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eastAsia="黑体"/>
          <w:sz w:val="52"/>
          <w:szCs w:val="52"/>
        </w:rPr>
      </w:pPr>
    </w:p>
    <w:p>
      <w:pPr>
        <w:jc w:val="center"/>
        <w:rPr>
          <w:rFonts w:hint="eastAsia" w:ascii="黑体" w:eastAsia="黑体"/>
          <w:sz w:val="52"/>
          <w:szCs w:val="52"/>
          <w:lang w:val="en-US"/>
        </w:rPr>
      </w:pPr>
      <w:r>
        <w:rPr>
          <w:rFonts w:hint="eastAsia" w:ascii="黑体" w:eastAsia="黑体"/>
          <w:sz w:val="52"/>
          <w:szCs w:val="52"/>
        </w:rPr>
        <w:t>遂宁市船山区</w:t>
      </w:r>
      <w:r>
        <w:rPr>
          <w:rFonts w:hint="eastAsia" w:ascii="黑体" w:eastAsia="黑体"/>
          <w:sz w:val="52"/>
          <w:szCs w:val="52"/>
          <w:lang w:val="en-US" w:eastAsia="zh-CN"/>
        </w:rPr>
        <w:t>经济信息化和科学技术局行政权力责任清单</w:t>
      </w:r>
    </w:p>
    <w:p>
      <w:pPr>
        <w:ind w:firstLine="2240" w:firstLineChars="700"/>
        <w:rPr>
          <w:rFonts w:hint="eastAsia" w:ascii="黑体" w:eastAsia="黑体"/>
          <w:sz w:val="32"/>
          <w:szCs w:val="32"/>
        </w:rPr>
      </w:pPr>
      <w:r>
        <w:rPr>
          <w:rFonts w:hint="eastAsia" w:ascii="黑体" w:eastAsia="黑体"/>
          <w:sz w:val="32"/>
          <w:szCs w:val="32"/>
        </w:rPr>
        <w:t xml:space="preserve">    </w:t>
      </w:r>
    </w:p>
    <w:p>
      <w:pPr>
        <w:ind w:firstLine="2240" w:firstLineChars="700"/>
        <w:rPr>
          <w:rFonts w:hint="eastAsia" w:ascii="黑体" w:eastAsia="黑体"/>
          <w:sz w:val="32"/>
          <w:szCs w:val="32"/>
        </w:rPr>
      </w:pPr>
      <w:r>
        <w:rPr>
          <w:rFonts w:hint="eastAsia" w:ascii="黑体" w:eastAsia="黑体"/>
          <w:sz w:val="32"/>
          <w:szCs w:val="32"/>
        </w:rPr>
        <w:t xml:space="preserve">      </w:t>
      </w:r>
    </w:p>
    <w:p>
      <w:pPr>
        <w:ind w:firstLine="2240" w:firstLineChars="700"/>
        <w:rPr>
          <w:rFonts w:hint="eastAsia" w:ascii="黑体" w:eastAsia="黑体"/>
          <w:sz w:val="32"/>
          <w:szCs w:val="32"/>
        </w:rPr>
      </w:pPr>
    </w:p>
    <w:p>
      <w:pPr>
        <w:ind w:firstLine="2240" w:firstLineChars="700"/>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u w:val="single"/>
        </w:rPr>
      </w:pPr>
      <w:r>
        <w:rPr>
          <w:rFonts w:hint="eastAsia" w:ascii="黑体" w:eastAsia="黑体"/>
          <w:sz w:val="32"/>
          <w:szCs w:val="32"/>
        </w:rPr>
        <mc:AlternateContent>
          <mc:Choice Requires="wps">
            <w:drawing>
              <wp:anchor distT="0" distB="0" distL="0" distR="0" simplePos="0" relativeHeight="1024" behindDoc="0" locked="0" layoutInCell="1" allowOverlap="1">
                <wp:simplePos x="0" y="0"/>
                <wp:positionH relativeFrom="column">
                  <wp:posOffset>3771900</wp:posOffset>
                </wp:positionH>
                <wp:positionV relativeFrom="paragraph">
                  <wp:posOffset>0</wp:posOffset>
                </wp:positionV>
                <wp:extent cx="1828800" cy="594360"/>
                <wp:effectExtent l="4445" t="4445" r="14605" b="10795"/>
                <wp:wrapNone/>
                <wp:docPr id="1026" name="文本框 7"/>
                <wp:cNvGraphicFramePr/>
                <a:graphic xmlns:a="http://schemas.openxmlformats.org/drawingml/2006/main">
                  <a:graphicData uri="http://schemas.microsoft.com/office/word/2010/wordprocessingShape">
                    <wps:wsp>
                      <wps:cNvSpPr/>
                      <wps:spPr>
                        <a:xfrm>
                          <a:off x="0" y="0"/>
                          <a:ext cx="1828800" cy="59436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jc w:val="center"/>
                              <w:rPr>
                                <w:rFonts w:hint="eastAsia" w:ascii="黑体" w:eastAsia="黑体"/>
                                <w:szCs w:val="21"/>
                              </w:rPr>
                            </w:pPr>
                            <w:r>
                              <w:rPr>
                                <w:rFonts w:hint="eastAsia" w:ascii="黑体" w:eastAsia="黑体"/>
                                <w:szCs w:val="21"/>
                              </w:rPr>
                              <w:t>（单位盖章）</w:t>
                            </w:r>
                          </w:p>
                          <w:p>
                            <w:pPr>
                              <w:jc w:val="center"/>
                              <w:rPr>
                                <w:rFonts w:hint="eastAsia" w:ascii="黑体" w:eastAsia="黑体"/>
                                <w:szCs w:val="21"/>
                              </w:rPr>
                            </w:pPr>
                            <w:r>
                              <w:rPr>
                                <w:rFonts w:hint="eastAsia" w:ascii="黑体" w:eastAsia="黑体"/>
                                <w:szCs w:val="21"/>
                              </w:rPr>
                              <w:t>年   月   日</w:t>
                            </w:r>
                          </w:p>
                        </w:txbxContent>
                      </wps:txbx>
                      <wps:bodyPr upright="1"/>
                    </wps:wsp>
                  </a:graphicData>
                </a:graphic>
              </wp:anchor>
            </w:drawing>
          </mc:Choice>
          <mc:Fallback>
            <w:pict>
              <v:rect id="文本框 7" o:spid="_x0000_s1026" o:spt="1" style="position:absolute;left:0pt;margin-left:297pt;margin-top:0pt;height:46.8pt;width:144pt;z-index:1024;mso-width-relative:page;mso-height-relative:page;" fillcolor="#FFFFFF" filled="t" stroked="t" coordsize="21600,21600" o:gfxdata="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Z7E7&#10;/9YAAAAHAQAADwAAAAAAAAABACAAAAAiAAAAZHJzL2Rvd25yZXYueG1sUEsBAhQAFAAAAAgAh07i&#10;QF5pVY3rAQAA4QMAAA4AAAAAAAAAAQAgAAAAJQEAAGRycy9lMm9Eb2MueG1sUEsFBgAAAAAGAAYA&#10;WQEAAIIFAAAAAA==&#10;">
                <v:fill on="t" focussize="0,0"/>
                <v:stroke color="#FFFFFF" joinstyle="miter"/>
                <v:imagedata o:title=""/>
                <o:lock v:ext="edit" aspectratio="f"/>
                <v:textbox>
                  <w:txbxContent>
                    <w:p>
                      <w:pPr>
                        <w:jc w:val="center"/>
                        <w:rPr>
                          <w:rFonts w:hint="eastAsia" w:ascii="黑体" w:eastAsia="黑体"/>
                          <w:szCs w:val="21"/>
                        </w:rPr>
                      </w:pPr>
                      <w:r>
                        <w:rPr>
                          <w:rFonts w:hint="eastAsia" w:ascii="黑体" w:eastAsia="黑体"/>
                          <w:szCs w:val="21"/>
                        </w:rPr>
                        <w:t>（单位盖章）</w:t>
                      </w:r>
                    </w:p>
                    <w:p>
                      <w:pPr>
                        <w:jc w:val="center"/>
                        <w:rPr>
                          <w:rFonts w:hint="eastAsia" w:ascii="黑体" w:eastAsia="黑体"/>
                          <w:szCs w:val="21"/>
                        </w:rPr>
                      </w:pPr>
                      <w:r>
                        <w:rPr>
                          <w:rFonts w:hint="eastAsia" w:ascii="黑体" w:eastAsia="黑体"/>
                          <w:szCs w:val="21"/>
                        </w:rPr>
                        <w:t>年   月   日</w:t>
                      </w:r>
                    </w:p>
                  </w:txbxContent>
                </v:textbox>
              </v:rect>
            </w:pict>
          </mc:Fallback>
        </mc:AlternateContent>
      </w:r>
      <w:r>
        <w:rPr>
          <w:rFonts w:hint="eastAsia" w:ascii="黑体" w:eastAsia="黑体"/>
          <w:sz w:val="32"/>
          <w:szCs w:val="32"/>
        </w:rPr>
        <w:t>单位负责人：</w:t>
      </w:r>
      <w:r>
        <w:rPr>
          <w:rFonts w:hint="eastAsia" w:ascii="黑体" w:eastAsia="黑体"/>
          <w:sz w:val="32"/>
          <w:szCs w:val="32"/>
          <w:u w:val="single"/>
        </w:rPr>
        <w:t xml:space="preserve">           </w:t>
      </w:r>
    </w:p>
    <w:p>
      <w:pPr>
        <w:rPr>
          <w:rFonts w:hint="eastAsia" w:ascii="黑体" w:eastAsia="黑体"/>
          <w:sz w:val="32"/>
          <w:szCs w:val="32"/>
        </w:rPr>
      </w:pPr>
    </w:p>
    <w:p>
      <w:pPr>
        <w:rPr>
          <w:rFonts w:hint="eastAsia" w:ascii="黑体" w:eastAsia="黑体"/>
          <w:sz w:val="32"/>
          <w:szCs w:val="32"/>
        </w:rPr>
      </w:pPr>
      <w:r>
        <w:rPr>
          <w:rFonts w:hint="eastAsia" w:ascii="黑体" w:eastAsia="黑体"/>
          <w:sz w:val="32"/>
          <w:szCs w:val="32"/>
        </w:rPr>
        <mc:AlternateContent>
          <mc:Choice Requires="wps">
            <w:drawing>
              <wp:anchor distT="0" distB="0" distL="0" distR="0" simplePos="0" relativeHeight="1024" behindDoc="0" locked="0" layoutInCell="1" allowOverlap="1">
                <wp:simplePos x="0" y="0"/>
                <wp:positionH relativeFrom="column">
                  <wp:posOffset>3771900</wp:posOffset>
                </wp:positionH>
                <wp:positionV relativeFrom="paragraph">
                  <wp:posOffset>0</wp:posOffset>
                </wp:positionV>
                <wp:extent cx="1828800" cy="594360"/>
                <wp:effectExtent l="4445" t="4445" r="14605" b="10795"/>
                <wp:wrapNone/>
                <wp:docPr id="1027" name="文本框 8"/>
                <wp:cNvGraphicFramePr/>
                <a:graphic xmlns:a="http://schemas.openxmlformats.org/drawingml/2006/main">
                  <a:graphicData uri="http://schemas.microsoft.com/office/word/2010/wordprocessingShape">
                    <wps:wsp>
                      <wps:cNvSpPr/>
                      <wps:spPr>
                        <a:xfrm>
                          <a:off x="0" y="0"/>
                          <a:ext cx="1828800" cy="59436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jc w:val="center"/>
                              <w:rPr>
                                <w:rFonts w:hint="eastAsia" w:ascii="黑体" w:eastAsia="黑体"/>
                                <w:szCs w:val="21"/>
                              </w:rPr>
                            </w:pPr>
                            <w:r>
                              <w:rPr>
                                <w:rFonts w:hint="eastAsia" w:ascii="黑体" w:eastAsia="黑体"/>
                                <w:szCs w:val="21"/>
                              </w:rPr>
                              <w:t>（单位盖章）</w:t>
                            </w:r>
                          </w:p>
                          <w:p>
                            <w:pPr>
                              <w:jc w:val="center"/>
                              <w:rPr>
                                <w:rFonts w:hint="eastAsia" w:ascii="黑体" w:eastAsia="黑体"/>
                                <w:szCs w:val="21"/>
                              </w:rPr>
                            </w:pPr>
                            <w:r>
                              <w:rPr>
                                <w:rFonts w:hint="eastAsia" w:ascii="黑体" w:eastAsia="黑体"/>
                                <w:szCs w:val="21"/>
                              </w:rPr>
                              <w:t>年   月   日</w:t>
                            </w:r>
                          </w:p>
                        </w:txbxContent>
                      </wps:txbx>
                      <wps:bodyPr upright="1"/>
                    </wps:wsp>
                  </a:graphicData>
                </a:graphic>
              </wp:anchor>
            </w:drawing>
          </mc:Choice>
          <mc:Fallback>
            <w:pict>
              <v:rect id="文本框 8" o:spid="_x0000_s1026" o:spt="1" style="position:absolute;left:0pt;margin-left:297pt;margin-top:0pt;height:46.8pt;width:144pt;z-index:1024;mso-width-relative:page;mso-height-relative:page;" fillcolor="#FFFFFF" filled="t" stroked="t" coordsize="21600,21600" o:gfxdata="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Gex&#10;O//WAAAABwEAAA8AAAAAAAAAAQAgAAAAIgAAAGRycy9kb3ducmV2LnhtbFBLAQIUABQAAAAIAIdO&#10;4kDqA4fB7AEAAOEDAAAOAAAAAAAAAAEAIAAAACUBAABkcnMvZTJvRG9jLnhtbFBLBQYAAAAABgAG&#10;AFkBAACDBQAAAAA=&#10;">
                <v:fill on="t" focussize="0,0"/>
                <v:stroke color="#FFFFFF" joinstyle="miter"/>
                <v:imagedata o:title=""/>
                <o:lock v:ext="edit" aspectratio="f"/>
                <v:textbox>
                  <w:txbxContent>
                    <w:p>
                      <w:pPr>
                        <w:jc w:val="center"/>
                        <w:rPr>
                          <w:rFonts w:hint="eastAsia" w:ascii="黑体" w:eastAsia="黑体"/>
                          <w:szCs w:val="21"/>
                        </w:rPr>
                      </w:pPr>
                      <w:r>
                        <w:rPr>
                          <w:rFonts w:hint="eastAsia" w:ascii="黑体" w:eastAsia="黑体"/>
                          <w:szCs w:val="21"/>
                        </w:rPr>
                        <w:t>（单位盖章）</w:t>
                      </w:r>
                    </w:p>
                    <w:p>
                      <w:pPr>
                        <w:jc w:val="center"/>
                        <w:rPr>
                          <w:rFonts w:hint="eastAsia" w:ascii="黑体" w:eastAsia="黑体"/>
                          <w:szCs w:val="21"/>
                        </w:rPr>
                      </w:pPr>
                      <w:r>
                        <w:rPr>
                          <w:rFonts w:hint="eastAsia" w:ascii="黑体" w:eastAsia="黑体"/>
                          <w:szCs w:val="21"/>
                        </w:rPr>
                        <w:t>年   月   日</w:t>
                      </w:r>
                    </w:p>
                  </w:txbxContent>
                </v:textbox>
              </v:rect>
            </w:pict>
          </mc:Fallback>
        </mc:AlternateContent>
      </w:r>
      <w:r>
        <w:rPr>
          <w:rFonts w:hint="eastAsia" w:ascii="黑体" w:eastAsia="黑体"/>
          <w:w w:val="120"/>
          <w:sz w:val="32"/>
          <w:szCs w:val="32"/>
        </w:rPr>
        <w:t>区委编办：</w:t>
      </w:r>
      <w:r>
        <w:rPr>
          <w:rFonts w:hint="eastAsia" w:ascii="黑体" w:eastAsia="黑体"/>
          <w:sz w:val="32"/>
          <w:szCs w:val="32"/>
          <w:u w:val="single"/>
        </w:rPr>
        <w:t xml:space="preserve">           </w:t>
      </w:r>
      <w:r>
        <w:rPr>
          <w:rFonts w:hint="eastAsia" w:ascii="黑体" w:eastAsia="黑体"/>
          <w:sz w:val="32"/>
          <w:szCs w:val="32"/>
        </w:rPr>
        <w:t xml:space="preserve">                 </w:t>
      </w:r>
    </w:p>
    <w:p>
      <w:pPr>
        <w:rPr>
          <w:rFonts w:hint="eastAsia" w:ascii="黑体" w:eastAsia="黑体"/>
          <w:w w:val="120"/>
          <w:sz w:val="32"/>
          <w:szCs w:val="32"/>
        </w:rPr>
      </w:pPr>
    </w:p>
    <w:p>
      <w:pPr>
        <w:rPr>
          <w:rFonts w:hint="eastAsia" w:ascii="黑体" w:eastAsia="黑体"/>
          <w:sz w:val="32"/>
          <w:szCs w:val="32"/>
        </w:rPr>
      </w:pPr>
      <w:r>
        <w:rPr>
          <w:rFonts w:hint="eastAsia" w:ascii="黑体" w:eastAsia="黑体"/>
          <w:sz w:val="32"/>
          <w:szCs w:val="32"/>
        </w:rPr>
        <mc:AlternateContent>
          <mc:Choice Requires="wps">
            <w:drawing>
              <wp:anchor distT="0" distB="0" distL="0" distR="0" simplePos="0" relativeHeight="1024" behindDoc="0" locked="0" layoutInCell="1" allowOverlap="1">
                <wp:simplePos x="0" y="0"/>
                <wp:positionH relativeFrom="column">
                  <wp:posOffset>3771900</wp:posOffset>
                </wp:positionH>
                <wp:positionV relativeFrom="paragraph">
                  <wp:posOffset>0</wp:posOffset>
                </wp:positionV>
                <wp:extent cx="1828800" cy="594360"/>
                <wp:effectExtent l="4445" t="4445" r="14605" b="10795"/>
                <wp:wrapNone/>
                <wp:docPr id="1028" name="文本框 9"/>
                <wp:cNvGraphicFramePr/>
                <a:graphic xmlns:a="http://schemas.openxmlformats.org/drawingml/2006/main">
                  <a:graphicData uri="http://schemas.microsoft.com/office/word/2010/wordprocessingShape">
                    <wps:wsp>
                      <wps:cNvSpPr/>
                      <wps:spPr>
                        <a:xfrm>
                          <a:off x="0" y="0"/>
                          <a:ext cx="1828800" cy="59436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jc w:val="center"/>
                              <w:rPr>
                                <w:rFonts w:hint="eastAsia" w:ascii="黑体" w:eastAsia="黑体"/>
                                <w:szCs w:val="21"/>
                              </w:rPr>
                            </w:pPr>
                            <w:r>
                              <w:rPr>
                                <w:rFonts w:hint="eastAsia" w:ascii="黑体" w:eastAsia="黑体"/>
                                <w:szCs w:val="21"/>
                              </w:rPr>
                              <w:t>（单位盖章）</w:t>
                            </w:r>
                          </w:p>
                          <w:p>
                            <w:pPr>
                              <w:jc w:val="center"/>
                              <w:rPr>
                                <w:rFonts w:hint="eastAsia" w:ascii="黑体" w:eastAsia="黑体"/>
                                <w:szCs w:val="21"/>
                              </w:rPr>
                            </w:pPr>
                            <w:r>
                              <w:rPr>
                                <w:rFonts w:hint="eastAsia" w:ascii="黑体" w:eastAsia="黑体"/>
                                <w:szCs w:val="21"/>
                              </w:rPr>
                              <w:t>年   月   日</w:t>
                            </w:r>
                          </w:p>
                        </w:txbxContent>
                      </wps:txbx>
                      <wps:bodyPr upright="1"/>
                    </wps:wsp>
                  </a:graphicData>
                </a:graphic>
              </wp:anchor>
            </w:drawing>
          </mc:Choice>
          <mc:Fallback>
            <w:pict>
              <v:rect id="文本框 9" o:spid="_x0000_s1026" o:spt="1" style="position:absolute;left:0pt;margin-left:297pt;margin-top:0pt;height:46.8pt;width:144pt;z-index:1024;mso-width-relative:page;mso-height-relative:page;" fillcolor="#FFFFFF" filled="t" stroked="t" coordsize="21600,21600" o:gfxdata="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Z7E7&#10;/9YAAAAHAQAADwAAAAAAAAABACAAAAAiAAAAZHJzL2Rvd25yZXYueG1sUEsBAhQAFAAAAAgAh07i&#10;QCNIzq3rAQAA4QMAAA4AAAAAAAAAAQAgAAAAJQEAAGRycy9lMm9Eb2MueG1sUEsFBgAAAAAGAAYA&#10;WQEAAIIFAAAAAA==&#10;">
                <v:fill on="t" focussize="0,0"/>
                <v:stroke color="#FFFFFF" joinstyle="miter"/>
                <v:imagedata o:title=""/>
                <o:lock v:ext="edit" aspectratio="f"/>
                <v:textbox>
                  <w:txbxContent>
                    <w:p>
                      <w:pPr>
                        <w:jc w:val="center"/>
                        <w:rPr>
                          <w:rFonts w:hint="eastAsia" w:ascii="黑体" w:eastAsia="黑体"/>
                          <w:szCs w:val="21"/>
                        </w:rPr>
                      </w:pPr>
                      <w:r>
                        <w:rPr>
                          <w:rFonts w:hint="eastAsia" w:ascii="黑体" w:eastAsia="黑体"/>
                          <w:szCs w:val="21"/>
                        </w:rPr>
                        <w:t>（单位盖章）</w:t>
                      </w:r>
                    </w:p>
                    <w:p>
                      <w:pPr>
                        <w:jc w:val="center"/>
                        <w:rPr>
                          <w:rFonts w:hint="eastAsia" w:ascii="黑体" w:eastAsia="黑体"/>
                          <w:szCs w:val="21"/>
                        </w:rPr>
                      </w:pPr>
                      <w:r>
                        <w:rPr>
                          <w:rFonts w:hint="eastAsia" w:ascii="黑体" w:eastAsia="黑体"/>
                          <w:szCs w:val="21"/>
                        </w:rPr>
                        <w:t>年   月   日</w:t>
                      </w:r>
                    </w:p>
                  </w:txbxContent>
                </v:textbox>
              </v:rect>
            </w:pict>
          </mc:Fallback>
        </mc:AlternateContent>
      </w:r>
      <w:r>
        <w:rPr>
          <w:rFonts w:hint="eastAsia" w:ascii="黑体" w:eastAsia="黑体"/>
          <w:w w:val="120"/>
          <w:sz w:val="32"/>
          <w:szCs w:val="32"/>
        </w:rPr>
        <w:t>区法制办：</w:t>
      </w:r>
      <w:r>
        <w:rPr>
          <w:rFonts w:hint="eastAsia" w:ascii="黑体" w:eastAsia="黑体"/>
          <w:sz w:val="32"/>
          <w:szCs w:val="32"/>
          <w:u w:val="single"/>
        </w:rPr>
        <w:t xml:space="preserve">           </w:t>
      </w:r>
      <w:r>
        <w:rPr>
          <w:rFonts w:hint="eastAsia" w:ascii="黑体" w:eastAsia="黑体"/>
          <w:sz w:val="32"/>
          <w:szCs w:val="32"/>
        </w:rPr>
        <w:t xml:space="preserve">               </w:t>
      </w:r>
    </w:p>
    <w:p>
      <w:pPr>
        <w:rPr>
          <w:rFonts w:hint="eastAsia" w:ascii="黑体" w:eastAsia="黑体"/>
          <w:sz w:val="32"/>
          <w:szCs w:val="32"/>
        </w:rPr>
      </w:pPr>
    </w:p>
    <w:p>
      <w:pPr>
        <w:rPr>
          <w:rFonts w:hint="eastAsia" w:ascii="黑体" w:hAnsi="黑体" w:eastAsia="黑体" w:cs="黑体"/>
          <w:sz w:val="28"/>
          <w:szCs w:val="28"/>
          <w:lang w:val="en-US" w:eastAsia="zh-CN"/>
        </w:rPr>
      </w:pPr>
      <w:r>
        <w:rPr>
          <w:rFonts w:hint="eastAsia" w:ascii="黑体" w:eastAsia="黑体"/>
          <w:sz w:val="32"/>
          <w:szCs w:val="32"/>
        </w:rPr>
        <mc:AlternateContent>
          <mc:Choice Requires="wps">
            <w:drawing>
              <wp:anchor distT="0" distB="0" distL="0" distR="0" simplePos="0" relativeHeight="1024" behindDoc="0" locked="0" layoutInCell="1" allowOverlap="1">
                <wp:simplePos x="0" y="0"/>
                <wp:positionH relativeFrom="column">
                  <wp:posOffset>3771900</wp:posOffset>
                </wp:positionH>
                <wp:positionV relativeFrom="paragraph">
                  <wp:posOffset>0</wp:posOffset>
                </wp:positionV>
                <wp:extent cx="1828800" cy="594360"/>
                <wp:effectExtent l="4445" t="4445" r="14605" b="10795"/>
                <wp:wrapNone/>
                <wp:docPr id="1029" name="文本框 10"/>
                <wp:cNvGraphicFramePr/>
                <a:graphic xmlns:a="http://schemas.openxmlformats.org/drawingml/2006/main">
                  <a:graphicData uri="http://schemas.microsoft.com/office/word/2010/wordprocessingShape">
                    <wps:wsp>
                      <wps:cNvSpPr/>
                      <wps:spPr>
                        <a:xfrm>
                          <a:off x="0" y="0"/>
                          <a:ext cx="1828800" cy="59436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jc w:val="center"/>
                              <w:rPr>
                                <w:rFonts w:hint="eastAsia" w:ascii="黑体" w:eastAsia="黑体"/>
                                <w:szCs w:val="21"/>
                              </w:rPr>
                            </w:pPr>
                            <w:r>
                              <w:rPr>
                                <w:rFonts w:hint="eastAsia" w:ascii="黑体" w:eastAsia="黑体"/>
                                <w:szCs w:val="21"/>
                              </w:rPr>
                              <w:t>（单位盖章）</w:t>
                            </w:r>
                          </w:p>
                          <w:p>
                            <w:pPr>
                              <w:jc w:val="center"/>
                              <w:rPr>
                                <w:rFonts w:hint="eastAsia" w:ascii="黑体" w:eastAsia="黑体"/>
                                <w:szCs w:val="21"/>
                              </w:rPr>
                            </w:pPr>
                            <w:r>
                              <w:rPr>
                                <w:rFonts w:hint="eastAsia" w:ascii="黑体" w:eastAsia="黑体"/>
                                <w:szCs w:val="21"/>
                              </w:rPr>
                              <w:t>年   月   日</w:t>
                            </w:r>
                          </w:p>
                        </w:txbxContent>
                      </wps:txbx>
                      <wps:bodyPr upright="1"/>
                    </wps:wsp>
                  </a:graphicData>
                </a:graphic>
              </wp:anchor>
            </w:drawing>
          </mc:Choice>
          <mc:Fallback>
            <w:pict>
              <v:rect id="文本框 10" o:spid="_x0000_s1026" o:spt="1" style="position:absolute;left:0pt;margin-left:297pt;margin-top:0pt;height:46.8pt;width:144pt;z-index:1024;mso-width-relative:page;mso-height-relative:page;" fillcolor="#FFFFFF" filled="t" stroked="t" coordsize="21600,21600" o:gfxdata="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nsTv/&#10;1gAAAAcBAAAPAAAAAAAAAAEAIAAAACIAAABkcnMvZG93bnJldi54bWxQSwECFAAUAAAACACHTuJA&#10;YOHh2+oBAADiAwAADgAAAAAAAAABACAAAAAlAQAAZHJzL2Uyb0RvYy54bWxQSwUGAAAAAAYABgBZ&#10;AQAAgQUAAAAA&#10;">
                <v:fill on="t" focussize="0,0"/>
                <v:stroke color="#FFFFFF" joinstyle="miter"/>
                <v:imagedata o:title=""/>
                <o:lock v:ext="edit" aspectratio="f"/>
                <v:textbox>
                  <w:txbxContent>
                    <w:p>
                      <w:pPr>
                        <w:jc w:val="center"/>
                        <w:rPr>
                          <w:rFonts w:hint="eastAsia" w:ascii="黑体" w:eastAsia="黑体"/>
                          <w:szCs w:val="21"/>
                        </w:rPr>
                      </w:pPr>
                      <w:r>
                        <w:rPr>
                          <w:rFonts w:hint="eastAsia" w:ascii="黑体" w:eastAsia="黑体"/>
                          <w:szCs w:val="21"/>
                        </w:rPr>
                        <w:t>（单位盖章）</w:t>
                      </w:r>
                    </w:p>
                    <w:p>
                      <w:pPr>
                        <w:jc w:val="center"/>
                        <w:rPr>
                          <w:rFonts w:hint="eastAsia" w:ascii="黑体" w:eastAsia="黑体"/>
                          <w:szCs w:val="21"/>
                        </w:rPr>
                      </w:pPr>
                      <w:r>
                        <w:rPr>
                          <w:rFonts w:hint="eastAsia" w:ascii="黑体" w:eastAsia="黑体"/>
                          <w:szCs w:val="21"/>
                        </w:rPr>
                        <w:t>年   月   日</w:t>
                      </w:r>
                    </w:p>
                  </w:txbxContent>
                </v:textbox>
              </v:rect>
            </w:pict>
          </mc:Fallback>
        </mc:AlternateContent>
      </w:r>
      <w:r>
        <w:rPr>
          <w:rFonts w:hint="eastAsia" w:ascii="黑体" w:eastAsia="黑体"/>
          <w:w w:val="120"/>
          <w:sz w:val="32"/>
          <w:szCs w:val="32"/>
        </w:rPr>
        <w:t>区监察</w:t>
      </w:r>
      <w:r>
        <w:rPr>
          <w:rFonts w:hint="eastAsia" w:ascii="黑体" w:eastAsia="黑体"/>
          <w:w w:val="120"/>
          <w:sz w:val="32"/>
          <w:szCs w:val="32"/>
          <w:lang w:eastAsia="zh-CN"/>
        </w:rPr>
        <w:t>委</w:t>
      </w:r>
      <w:r>
        <w:rPr>
          <w:rFonts w:hint="eastAsia" w:ascii="黑体" w:eastAsia="黑体"/>
          <w:w w:val="120"/>
          <w:sz w:val="32"/>
          <w:szCs w:val="32"/>
        </w:rPr>
        <w:t>：</w:t>
      </w:r>
      <w:r>
        <w:rPr>
          <w:rFonts w:hint="eastAsia" w:ascii="黑体" w:eastAsia="黑体"/>
          <w:sz w:val="32"/>
          <w:szCs w:val="32"/>
          <w:u w:val="single"/>
        </w:rPr>
        <w:t xml:space="preserve">           </w:t>
      </w:r>
      <w:r>
        <w:rPr>
          <w:rFonts w:hint="eastAsia" w:ascii="黑体" w:eastAsia="黑体"/>
          <w:sz w:val="32"/>
          <w:szCs w:val="32"/>
        </w:rPr>
        <w:t xml:space="preserve">                 </w:t>
      </w:r>
    </w:p>
    <w:p>
      <w:pPr>
        <w:rPr>
          <w:rFonts w:hint="eastAsia" w:ascii="黑体" w:hAnsi="黑体" w:eastAsia="黑体" w:cs="黑体"/>
          <w:sz w:val="32"/>
          <w:szCs w:val="32"/>
          <w:lang w:eastAsia="zh-CN"/>
        </w:rPr>
      </w:pPr>
      <w:r>
        <w:rPr>
          <w:rFonts w:hint="eastAsia" w:ascii="仿宋_GB2312" w:hAnsi="仿宋_GB2312" w:eastAsia="仿宋_GB2312" w:cs="仿宋_GB2312"/>
          <w:b w:val="0"/>
          <w:bCs w:val="0"/>
          <w:spacing w:val="0"/>
          <w:sz w:val="32"/>
          <w:szCs w:val="32"/>
          <w:lang w:val="en-US" w:eastAsia="zh-CN"/>
        </w:rPr>
        <w:br w:type="page"/>
      </w:r>
    </w:p>
    <w:p>
      <w:pPr>
        <w:spacing w:line="580" w:lineRule="exact"/>
        <w:jc w:val="center"/>
        <w:rPr>
          <w:rFonts w:ascii="黑体" w:hAnsi="黑体" w:eastAsia="黑体"/>
          <w:b/>
          <w:sz w:val="32"/>
          <w:szCs w:val="32"/>
        </w:rPr>
      </w:pPr>
      <w:r>
        <w:rPr>
          <w:rFonts w:hint="eastAsia" w:ascii="黑体" w:hAnsi="黑体" w:eastAsia="黑体"/>
          <w:b/>
          <w:sz w:val="32"/>
          <w:szCs w:val="32"/>
          <w:lang w:eastAsia="zh-CN"/>
        </w:rPr>
        <w:t>经科局行政权力</w:t>
      </w:r>
      <w:r>
        <w:rPr>
          <w:rFonts w:hint="eastAsia" w:ascii="黑体" w:hAnsi="黑体" w:eastAsia="黑体"/>
          <w:b/>
          <w:sz w:val="32"/>
          <w:szCs w:val="32"/>
        </w:rPr>
        <w:t>责任清单</w:t>
      </w:r>
    </w:p>
    <w:tbl>
      <w:tblPr>
        <w:tblStyle w:val="5"/>
        <w:tblW w:w="91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7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序</w:t>
            </w:r>
            <w:r>
              <w:rPr>
                <w:rFonts w:hint="eastAsia" w:ascii="宋体" w:hAnsi="宋体" w:cs="仿宋_GB2312"/>
                <w:sz w:val="21"/>
                <w:szCs w:val="21"/>
                <w:lang w:val="en-US" w:eastAsia="zh-CN"/>
              </w:rPr>
              <w:t xml:space="preserve">   </w:t>
            </w:r>
            <w:r>
              <w:rPr>
                <w:rFonts w:hint="eastAsia" w:ascii="宋体" w:hAnsi="宋体" w:cs="仿宋_GB2312"/>
                <w:sz w:val="21"/>
                <w:szCs w:val="21"/>
              </w:rPr>
              <w:t>号</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b/>
                <w:bCs/>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权力类型</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权力项目名称</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宋体" w:hAnsi="宋体" w:eastAsia="宋体" w:cs="仿宋_GB2312"/>
                <w:sz w:val="21"/>
                <w:szCs w:val="21"/>
                <w:lang w:eastAsia="zh-CN"/>
              </w:rPr>
            </w:pPr>
            <w:r>
              <w:rPr>
                <w:rFonts w:hint="eastAsia" w:asciiTheme="minorEastAsia" w:hAnsiTheme="minorEastAsia" w:eastAsiaTheme="minorEastAsia" w:cstheme="minorEastAsia"/>
                <w:sz w:val="21"/>
                <w:szCs w:val="21"/>
                <w:vertAlign w:val="baseline"/>
                <w:lang w:eastAsia="zh-CN"/>
              </w:rPr>
              <w:t>固定资产投资项目节能审查（企业技术改造项目）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宋体" w:hAnsi="宋体" w:eastAsia="宋体" w:cs="仿宋_GB2312"/>
                <w:sz w:val="21"/>
                <w:szCs w:val="21"/>
                <w:lang w:eastAsia="zh-CN"/>
              </w:rPr>
            </w:pPr>
            <w:r>
              <w:rPr>
                <w:rFonts w:hint="eastAsia" w:ascii="宋体" w:hAnsi="宋体" w:cs="仿宋_GB2312"/>
                <w:sz w:val="21"/>
                <w:szCs w:val="21"/>
                <w:lang w:eastAsia="zh-CN"/>
              </w:rPr>
              <w:t>备注</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sz w:val="21"/>
                <w:szCs w:val="21"/>
              </w:rPr>
            </w:pPr>
            <w:r>
              <w:rPr>
                <w:rFonts w:hint="eastAsia" w:asciiTheme="minorEastAsia" w:hAnsiTheme="minorEastAsia" w:eastAsiaTheme="minorEastAsia" w:cstheme="minorEastAsia"/>
                <w:sz w:val="21"/>
                <w:szCs w:val="21"/>
                <w:vertAlign w:val="baseline"/>
                <w:lang w:eastAsia="zh-CN"/>
              </w:rPr>
              <w:t>根据遂宁市船山区人民政府办公室关于印发《遂宁市船山区行政审批局主要职责内设机构和人员编制规定》的通知（遂船府办发〔</w:t>
            </w:r>
            <w:r>
              <w:rPr>
                <w:rFonts w:hint="eastAsia" w:asciiTheme="minorEastAsia" w:hAnsiTheme="minorEastAsia" w:eastAsiaTheme="minorEastAsia" w:cstheme="minorEastAsia"/>
                <w:sz w:val="21"/>
                <w:szCs w:val="21"/>
                <w:vertAlign w:val="baseline"/>
                <w:lang w:val="en-US" w:eastAsia="zh-CN"/>
              </w:rPr>
              <w:t>2018</w:t>
            </w:r>
            <w:r>
              <w:rPr>
                <w:rFonts w:hint="eastAsia" w:asciiTheme="minorEastAsia" w:hAnsiTheme="minorEastAsia" w:eastAsiaTheme="minorEastAsia" w:cstheme="minorEastAsia"/>
                <w:sz w:val="21"/>
                <w:szCs w:val="21"/>
                <w:vertAlign w:val="baseline"/>
                <w:lang w:eastAsia="zh-CN"/>
              </w:rPr>
              <w:t>〕</w:t>
            </w:r>
            <w:r>
              <w:rPr>
                <w:rFonts w:hint="eastAsia" w:asciiTheme="minorEastAsia" w:hAnsiTheme="minorEastAsia" w:eastAsiaTheme="minorEastAsia" w:cstheme="minorEastAsia"/>
                <w:sz w:val="21"/>
                <w:szCs w:val="21"/>
                <w:vertAlign w:val="baseline"/>
                <w:lang w:val="en-US" w:eastAsia="zh-CN"/>
              </w:rPr>
              <w:t>2号</w:t>
            </w:r>
            <w:r>
              <w:rPr>
                <w:rFonts w:hint="eastAsia" w:asciiTheme="minorEastAsia" w:hAnsiTheme="minorEastAsia" w:eastAsiaTheme="minorEastAsia" w:cstheme="minorEastAsia"/>
                <w:sz w:val="21"/>
                <w:szCs w:val="21"/>
                <w:vertAlign w:val="baseline"/>
                <w:lang w:eastAsia="zh-CN"/>
              </w:rPr>
              <w:t>）文件，技术改造项目核准（备案）已移交给区行政审批局，按照谁审批、谁审查的原则，企业技术改造项目节能审查应由区行政审批局在项目核准（备案）时同时进行。</w:t>
            </w:r>
          </w:p>
        </w:tc>
      </w:tr>
    </w:tbl>
    <w:p>
      <w:pPr>
        <w:spacing w:line="520" w:lineRule="exact"/>
        <w:jc w:val="center"/>
        <w:rPr>
          <w:rFonts w:hint="eastAsia" w:ascii="黑体" w:hAnsi="黑体" w:eastAsia="黑体"/>
          <w:b/>
          <w:sz w:val="32"/>
          <w:szCs w:val="32"/>
          <w:lang w:eastAsia="zh-CN"/>
        </w:rPr>
      </w:pPr>
    </w:p>
    <w:p>
      <w:pPr>
        <w:spacing w:line="520" w:lineRule="exact"/>
        <w:jc w:val="center"/>
        <w:rPr>
          <w:rFonts w:hint="eastAsia" w:ascii="黑体" w:hAnsi="黑体" w:eastAsia="黑体"/>
          <w:b/>
          <w:sz w:val="32"/>
          <w:szCs w:val="32"/>
          <w:lang w:eastAsia="zh-CN"/>
        </w:rPr>
      </w:pPr>
    </w:p>
    <w:p>
      <w:pPr>
        <w:spacing w:line="580" w:lineRule="exact"/>
        <w:jc w:val="center"/>
        <w:rPr>
          <w:rFonts w:hint="default" w:ascii="黑体" w:hAnsi="黑体" w:eastAsia="黑体"/>
          <w:b/>
          <w:sz w:val="32"/>
          <w:szCs w:val="32"/>
          <w:lang w:val="en-US" w:eastAsia="zh-CN"/>
        </w:rPr>
      </w:pPr>
      <w:r>
        <w:rPr>
          <w:rFonts w:hint="eastAsia" w:ascii="黑体" w:hAnsi="黑体" w:eastAsia="黑体"/>
          <w:b/>
          <w:sz w:val="32"/>
          <w:szCs w:val="32"/>
          <w:lang w:eastAsia="zh-CN"/>
        </w:rPr>
        <w:t>经科局行政权力</w:t>
      </w:r>
      <w:r>
        <w:rPr>
          <w:rFonts w:hint="eastAsia" w:ascii="黑体" w:hAnsi="黑体" w:eastAsia="黑体"/>
          <w:b/>
          <w:sz w:val="32"/>
          <w:szCs w:val="32"/>
        </w:rPr>
        <w:t>责任清</w:t>
      </w:r>
      <w:r>
        <w:rPr>
          <w:rFonts w:hint="eastAsia" w:ascii="黑体" w:hAnsi="黑体" w:eastAsia="黑体"/>
          <w:b/>
          <w:sz w:val="32"/>
          <w:szCs w:val="32"/>
          <w:lang w:eastAsia="zh-CN"/>
        </w:rPr>
        <w:t>单</w:t>
      </w:r>
    </w:p>
    <w:tbl>
      <w:tblPr>
        <w:tblStyle w:val="5"/>
        <w:tblW w:w="91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7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序</w:t>
            </w:r>
            <w:r>
              <w:rPr>
                <w:rFonts w:hint="eastAsia" w:ascii="宋体" w:hAnsi="宋体" w:cs="仿宋_GB2312"/>
                <w:sz w:val="21"/>
                <w:szCs w:val="21"/>
                <w:lang w:val="en-US" w:eastAsia="zh-CN"/>
              </w:rPr>
              <w:t xml:space="preserve">   </w:t>
            </w:r>
            <w:r>
              <w:rPr>
                <w:rFonts w:hint="eastAsia" w:ascii="宋体" w:hAnsi="宋体" w:cs="仿宋_GB2312"/>
                <w:sz w:val="21"/>
                <w:szCs w:val="21"/>
              </w:rPr>
              <w:t>号</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宋体" w:hAnsi="宋体" w:eastAsia="宋体" w:cs="仿宋_GB2312"/>
                <w:sz w:val="21"/>
                <w:szCs w:val="21"/>
                <w:lang w:val="en-US" w:eastAsia="zh-CN"/>
              </w:rPr>
            </w:pPr>
            <w:r>
              <w:rPr>
                <w:rFonts w:hint="eastAsia" w:ascii="宋体" w:hAnsi="宋体" w:cs="仿宋_GB2312"/>
                <w:b/>
                <w:bCs/>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权力类型</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Theme="minorEastAsia" w:hAnsiTheme="minorEastAsia" w:eastAsiaTheme="minorEastAsia" w:cstheme="minorEastAsia"/>
                <w:sz w:val="21"/>
                <w:szCs w:val="21"/>
                <w:vertAlign w:val="baseline"/>
                <w:lang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权力项目名称</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宋体" w:hAnsi="宋体" w:eastAsia="宋体" w:cs="仿宋_GB2312"/>
                <w:sz w:val="21"/>
                <w:szCs w:val="21"/>
                <w:lang w:eastAsia="zh-CN"/>
              </w:rPr>
            </w:pPr>
            <w:r>
              <w:rPr>
                <w:rFonts w:hint="eastAsia" w:ascii="宋体" w:hAnsi="宋体" w:cs="仿宋_GB2312"/>
                <w:sz w:val="21"/>
                <w:szCs w:val="21"/>
                <w:lang w:eastAsia="zh-CN"/>
              </w:rPr>
              <w:t>对违反原油、成品油市场管理有关规定的处罚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实施依据</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hint="eastAsia" w:asciiTheme="minorEastAsia" w:hAnsiTheme="minorEastAsia" w:eastAsiaTheme="minorEastAsia" w:cstheme="minorEastAsia"/>
                <w:i w:val="0"/>
                <w:caps w:val="0"/>
                <w:color w:val="000000"/>
                <w:spacing w:val="0"/>
                <w:kern w:val="0"/>
                <w:sz w:val="21"/>
                <w:szCs w:val="21"/>
                <w:shd w:val="clear" w:fill="FFFFFF"/>
                <w:lang w:val="en-US" w:eastAsia="zh-CN" w:bidi="ar"/>
              </w:rPr>
            </w:pPr>
            <w:r>
              <w:rPr>
                <w:rFonts w:hint="eastAsia" w:asciiTheme="minorEastAsia" w:hAnsiTheme="minorEastAsia" w:eastAsiaTheme="minorEastAsia" w:cstheme="minorEastAsia"/>
                <w:i w:val="0"/>
                <w:caps w:val="0"/>
                <w:color w:val="000000"/>
                <w:spacing w:val="0"/>
                <w:kern w:val="0"/>
                <w:sz w:val="21"/>
                <w:szCs w:val="21"/>
                <w:shd w:val="clear" w:fill="FFFFFF"/>
                <w:lang w:val="en-US" w:eastAsia="zh-CN" w:bidi="ar"/>
              </w:rPr>
              <w:t>《成品油市场管理办法》、《四川省成品油市场管理办法实施细则》</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hint="eastAsia" w:asciiTheme="minorEastAsia" w:hAnsiTheme="minorEastAsia" w:eastAsiaTheme="minorEastAsia" w:cstheme="minorEastAsia"/>
                <w:i w:val="0"/>
                <w:caps w:val="0"/>
                <w:color w:val="000000"/>
                <w:spacing w:val="0"/>
                <w:kern w:val="0"/>
                <w:sz w:val="21"/>
                <w:szCs w:val="21"/>
                <w:shd w:val="clear" w:fill="FFFFFF"/>
                <w:lang w:val="en-US" w:eastAsia="zh-CN" w:bidi="ar"/>
              </w:rPr>
            </w:pPr>
            <w:r>
              <w:rPr>
                <w:rFonts w:hint="eastAsia" w:asciiTheme="minorEastAsia" w:hAnsiTheme="minorEastAsia" w:eastAsiaTheme="minorEastAsia" w:cstheme="minorEastAsia"/>
                <w:i w:val="0"/>
                <w:caps w:val="0"/>
                <w:color w:val="000000"/>
                <w:spacing w:val="0"/>
                <w:kern w:val="0"/>
                <w:sz w:val="21"/>
                <w:szCs w:val="21"/>
                <w:shd w:val="clear" w:fill="FFFFFF"/>
                <w:lang w:val="en-US" w:eastAsia="zh-CN" w:bidi="ar"/>
              </w:rPr>
              <w:t>一、商务部《成品油市场管理办法》（2006第23号）以下条例：</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hint="eastAsia" w:asciiTheme="minorEastAsia" w:hAnsiTheme="minorEastAsia" w:eastAsiaTheme="minorEastAsia" w:cstheme="minorEastAsia"/>
                <w:i w:val="0"/>
                <w:caps w:val="0"/>
                <w:color w:val="000000"/>
                <w:spacing w:val="0"/>
                <w:kern w:val="0"/>
                <w:sz w:val="21"/>
                <w:szCs w:val="21"/>
                <w:shd w:val="clear" w:fill="FFFFFF"/>
                <w:lang w:val="en-US" w:eastAsia="zh-CN" w:bidi="ar"/>
              </w:rPr>
            </w:pPr>
            <w:r>
              <w:rPr>
                <w:rFonts w:hint="eastAsia" w:asciiTheme="minorEastAsia" w:hAnsiTheme="minorEastAsia" w:eastAsiaTheme="minorEastAsia" w:cstheme="minorEastAsia"/>
                <w:i w:val="0"/>
                <w:caps w:val="0"/>
                <w:color w:val="000000"/>
                <w:spacing w:val="0"/>
                <w:kern w:val="0"/>
                <w:sz w:val="21"/>
                <w:szCs w:val="21"/>
                <w:shd w:val="clear" w:fill="FFFFFF"/>
                <w:lang w:val="en-US" w:eastAsia="zh-CN" w:bidi="ar"/>
              </w:rPr>
              <w:t>第三十八条：成品油经营企业应当依法经营，禁止下列行为：（一）无证无照、证照不符或超范围经营；（二）加油站不使用加油机等计量器具加油或不按照规定使用税控装置；（三）使用未经检定或超过检定周期或不符合防爆要求的加油机，擅自改动加油机或利用其他手段克扣油量；（四）掺杂掺假、以假充真、以次充好；（五）销售国家明令淘汰或质量不合格的成品油；（六）经营走私或非法炼制的成品油；（七）违反国家价格法律、法规，哄抬油价或低价倾销；（八）国家法律法规禁止的其他经营行为。</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hint="eastAsia" w:asciiTheme="minorEastAsia" w:hAnsiTheme="minorEastAsia" w:eastAsiaTheme="minorEastAsia" w:cstheme="minorEastAsia"/>
                <w:i w:val="0"/>
                <w:caps w:val="0"/>
                <w:color w:val="000000"/>
                <w:spacing w:val="0"/>
                <w:kern w:val="0"/>
                <w:sz w:val="21"/>
                <w:szCs w:val="21"/>
                <w:shd w:val="clear" w:fill="FFFFFF"/>
                <w:lang w:val="en-US" w:eastAsia="zh-CN" w:bidi="ar"/>
              </w:rPr>
            </w:pPr>
            <w:r>
              <w:rPr>
                <w:rFonts w:hint="eastAsia" w:asciiTheme="minorEastAsia" w:hAnsiTheme="minorEastAsia" w:eastAsiaTheme="minorEastAsia" w:cstheme="minorEastAsia"/>
                <w:i w:val="0"/>
                <w:caps w:val="0"/>
                <w:color w:val="000000"/>
                <w:spacing w:val="0"/>
                <w:kern w:val="0"/>
                <w:sz w:val="21"/>
                <w:szCs w:val="21"/>
                <w:shd w:val="clear" w:fill="FFFFFF"/>
                <w:lang w:val="en-US" w:eastAsia="zh-CN" w:bidi="ar"/>
              </w:rPr>
              <w:t>第四十条：有下列情况之一的，作出成品油经营许可决定的商务主管部门或者上一级商务主管部门，根据利害关系人的请求或依据职权，应当撤销成品油经营许可决定：（一）对不具备资格或者不符合法定条件的申请人作出准予许可决定的；（二）超越法定职权作出准予许可决定的；（三）成品油经营企业不再具备本办法第七条、第八条、第九条相应规定条件的；（四）未参加或未通过年检的；（五）以欺骗、贿赂等不正当手段取得经营许可的；（六）隐瞒有关情况、提供虚假材料或者拒绝提供反映其经营活动真实材料的；（七）依法应当撤销行政许可的其他情形。</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hint="eastAsia" w:asciiTheme="minorEastAsia" w:hAnsiTheme="minorEastAsia" w:eastAsiaTheme="minorEastAsia" w:cstheme="minorEastAsia"/>
                <w:i w:val="0"/>
                <w:caps w:val="0"/>
                <w:color w:val="000000"/>
                <w:spacing w:val="0"/>
                <w:kern w:val="0"/>
                <w:sz w:val="21"/>
                <w:szCs w:val="21"/>
                <w:shd w:val="clear" w:fill="FFFFFF"/>
                <w:lang w:val="en-US" w:eastAsia="zh-CN" w:bidi="ar"/>
              </w:rPr>
            </w:pPr>
            <w:r>
              <w:rPr>
                <w:rFonts w:hint="eastAsia" w:asciiTheme="minorEastAsia" w:hAnsiTheme="minorEastAsia" w:eastAsiaTheme="minorEastAsia" w:cstheme="minorEastAsia"/>
                <w:i w:val="0"/>
                <w:caps w:val="0"/>
                <w:color w:val="000000"/>
                <w:spacing w:val="0"/>
                <w:kern w:val="0"/>
                <w:sz w:val="21"/>
                <w:szCs w:val="21"/>
                <w:shd w:val="clear" w:fill="FFFFFF"/>
                <w:lang w:val="en-US" w:eastAsia="zh-CN" w:bidi="ar"/>
              </w:rPr>
              <w:t>第四十三条：成品油经营企业有下列行为之一的，法律、法规有具体规定的，从其规定；如法律、法规未做规定的，由所在地县级以上人民政府商务主管部门视情节依法给予警告、责令停业整顿、处违法所得3倍以下或30000元以下罚款处罚：（一）涂改、倒卖、出租、出借或者以其他形式非法转让成品油经营批准证书的；（二）成品油专项用户违反规定，擅自将专项用油对系统外销售的；（三）违反本办法规定的条件和程序，未经许可擅自新建、迁建和扩建加油站或油库的；（四）采取掺杂掺假、以假充真、以次充好或者以不合格产品冒充合格产品等手段销售成品油，或者销售国家明令淘汰并禁止销售的成品油的；（五）销售走私成品油的；（六）擅自改动加油机或利用其他手段克扣油量的；（七）成品油批发企业向不具有成品油经营资格的企业销售用于经营用途成品油的；（八）成品油零售企业从不具有成品油批发经营资格的企业购进成品油的；（九）超越经营范围进行经营活动的；（十）违反有关技术规范要求的；（十一）法律、法规、规章规定的其他违法行为。</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hint="eastAsia" w:asciiTheme="minorEastAsia" w:hAnsiTheme="minorEastAsia" w:eastAsiaTheme="minorEastAsia" w:cstheme="minorEastAsia"/>
                <w:i w:val="0"/>
                <w:caps w:val="0"/>
                <w:color w:val="000000"/>
                <w:spacing w:val="0"/>
                <w:kern w:val="0"/>
                <w:sz w:val="21"/>
                <w:szCs w:val="21"/>
                <w:shd w:val="clear" w:fill="FFFFFF"/>
                <w:lang w:val="en-US" w:eastAsia="zh-CN" w:bidi="ar"/>
              </w:rPr>
            </w:pPr>
            <w:r>
              <w:rPr>
                <w:rFonts w:hint="eastAsia" w:asciiTheme="minorEastAsia" w:hAnsiTheme="minorEastAsia" w:eastAsiaTheme="minorEastAsia" w:cstheme="minorEastAsia"/>
                <w:i w:val="0"/>
                <w:caps w:val="0"/>
                <w:color w:val="000000"/>
                <w:spacing w:val="0"/>
                <w:kern w:val="0"/>
                <w:sz w:val="21"/>
                <w:szCs w:val="21"/>
                <w:shd w:val="clear" w:fill="FFFFFF"/>
                <w:lang w:val="en-US" w:eastAsia="zh-CN" w:bidi="ar"/>
              </w:rPr>
              <w:t>第四十四条：企业申请从事成品油经营有下列行为之一的，商务主管部门应当作出不予受理或者不予许可的决定，并给予警告；申请人在一年内不得为同一事项再次申请成品油经营许可。（一）隐瞒真实情况的；（二）提供虚假材料的；（三）违反有关政策和申请程序，情节严重的。</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hint="eastAsia" w:asciiTheme="minorEastAsia" w:hAnsiTheme="minorEastAsia" w:eastAsiaTheme="minorEastAsia" w:cstheme="minorEastAsia"/>
                <w:i w:val="0"/>
                <w:caps w:val="0"/>
                <w:color w:val="000000"/>
                <w:spacing w:val="0"/>
                <w:kern w:val="0"/>
                <w:sz w:val="21"/>
                <w:szCs w:val="21"/>
                <w:shd w:val="clear" w:fill="FFFFFF"/>
                <w:lang w:val="en-US" w:eastAsia="zh-CN" w:bidi="ar"/>
              </w:rPr>
            </w:pPr>
            <w:r>
              <w:rPr>
                <w:rFonts w:hint="eastAsia" w:asciiTheme="minorEastAsia" w:hAnsiTheme="minorEastAsia" w:eastAsiaTheme="minorEastAsia" w:cstheme="minorEastAsia"/>
                <w:i w:val="0"/>
                <w:caps w:val="0"/>
                <w:color w:val="000000"/>
                <w:spacing w:val="0"/>
                <w:kern w:val="0"/>
                <w:sz w:val="21"/>
                <w:szCs w:val="21"/>
                <w:shd w:val="clear" w:fill="FFFFFF"/>
                <w:lang w:val="en-US" w:eastAsia="zh-CN" w:bidi="ar"/>
              </w:rPr>
              <w:t>第四十五条：已取得省级以上商务主管部门颁发的成品油经营批准证书但尚不符合本办法第七条、第八条、第九条规定条件的企业，成品油批发和仓储企业应于本办法公布实施之日起18个月内、成品油零售企业应于6个月内进行整改；对于期满尚不符合条件的成品油经营企业，由行政许可机关撤销成品油经营许可，注销成品油经营批准证书。</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hint="eastAsia" w:asciiTheme="minorEastAsia" w:hAnsiTheme="minorEastAsia" w:eastAsiaTheme="minorEastAsia" w:cstheme="minorEastAsia"/>
                <w:i w:val="0"/>
                <w:caps w:val="0"/>
                <w:color w:val="000000"/>
                <w:spacing w:val="0"/>
                <w:kern w:val="0"/>
                <w:sz w:val="21"/>
                <w:szCs w:val="21"/>
                <w:shd w:val="clear" w:fill="FFFFFF"/>
                <w:lang w:val="en-US" w:eastAsia="zh-CN" w:bidi="ar"/>
              </w:rPr>
            </w:pPr>
            <w:r>
              <w:rPr>
                <w:rFonts w:hint="eastAsia" w:asciiTheme="minorEastAsia" w:hAnsiTheme="minorEastAsia" w:eastAsiaTheme="minorEastAsia" w:cstheme="minorEastAsia"/>
                <w:i w:val="0"/>
                <w:caps w:val="0"/>
                <w:color w:val="000000"/>
                <w:spacing w:val="0"/>
                <w:kern w:val="0"/>
                <w:sz w:val="21"/>
                <w:szCs w:val="21"/>
                <w:shd w:val="clear" w:fill="FFFFFF"/>
                <w:lang w:val="en-US" w:eastAsia="zh-CN" w:bidi="ar"/>
              </w:rPr>
              <w:t>二、《四川省成品油市场管理办法实施细则》（川经办运行﹝2009﹞5号）以下条例：</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hint="eastAsia" w:asciiTheme="minorEastAsia" w:hAnsiTheme="minorEastAsia" w:eastAsiaTheme="minorEastAsia" w:cstheme="minorEastAsia"/>
                <w:i w:val="0"/>
                <w:caps w:val="0"/>
                <w:color w:val="000000"/>
                <w:spacing w:val="0"/>
                <w:kern w:val="0"/>
                <w:sz w:val="21"/>
                <w:szCs w:val="21"/>
                <w:shd w:val="clear" w:fill="FFFFFF"/>
                <w:lang w:val="en-US" w:eastAsia="zh-CN" w:bidi="ar"/>
              </w:rPr>
            </w:pPr>
            <w:r>
              <w:rPr>
                <w:rFonts w:hint="eastAsia" w:asciiTheme="minorEastAsia" w:hAnsiTheme="minorEastAsia" w:eastAsiaTheme="minorEastAsia" w:cstheme="minorEastAsia"/>
                <w:i w:val="0"/>
                <w:caps w:val="0"/>
                <w:color w:val="000000"/>
                <w:spacing w:val="0"/>
                <w:kern w:val="0"/>
                <w:sz w:val="21"/>
                <w:szCs w:val="21"/>
                <w:shd w:val="clear" w:fill="FFFFFF"/>
                <w:lang w:val="en-US" w:eastAsia="zh-CN" w:bidi="ar"/>
              </w:rPr>
              <w:t>第三十二条 成品油经营企业应当依法经营，禁止下列行为： （一）无证无照、证照不符或超范围经营； （二）加油站不使用加油机等计量器具加油或不按照规定使用税控装置；（三）使用未经检定或超过检定周期或不符合防爆要求的加油机，擅自改动加油机或利用其他手段克扣油量；（四）掺杂掺假、以假充真、以次充好；（五）销售国家明令淘汰或质量不合格的成品油；　（六）经营走私或非法炼制的成品油；（七）违反国家价格法律、法规，哄抬油价或低价倾销；（八）国家法律法规禁止的其他经营行为。</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hint="eastAsia" w:asciiTheme="minorEastAsia" w:hAnsiTheme="minorEastAsia" w:eastAsiaTheme="minorEastAsia" w:cstheme="minorEastAsia"/>
                <w:i w:val="0"/>
                <w:caps w:val="0"/>
                <w:color w:val="000000"/>
                <w:spacing w:val="0"/>
                <w:kern w:val="0"/>
                <w:sz w:val="21"/>
                <w:szCs w:val="21"/>
                <w:shd w:val="clear" w:fill="FFFFFF"/>
                <w:lang w:val="en-US" w:eastAsia="zh-CN" w:bidi="ar"/>
              </w:rPr>
            </w:pPr>
            <w:r>
              <w:rPr>
                <w:rFonts w:hint="eastAsia" w:asciiTheme="minorEastAsia" w:hAnsiTheme="minorEastAsia" w:eastAsiaTheme="minorEastAsia" w:cstheme="minorEastAsia"/>
                <w:i w:val="0"/>
                <w:caps w:val="0"/>
                <w:color w:val="000000"/>
                <w:spacing w:val="0"/>
                <w:kern w:val="0"/>
                <w:sz w:val="21"/>
                <w:szCs w:val="21"/>
                <w:shd w:val="clear" w:fill="FFFFFF"/>
                <w:lang w:val="en-US" w:eastAsia="zh-CN" w:bidi="ar"/>
              </w:rPr>
              <w:t>第三十四条 有下列情况之一的，作出成品油经营许可决定的成品油行业主管部门或者上一级成品油行业主管部门，根据利害关系人的请求或依据职权，应当撤销成品油经营许可决定：（一）对不具备资格或者不符合法定条件的申请人作出准予许可决定的；（二）超越法定职权作出准予许可决定的；　（三）成品油经营企业不再具备本细则第二章相应规定条件的；（四）未参加或未通过年检的；（五）以欺骗、贿赂等不正当手段取得经营许可的；（六）隐瞒有关情况、提供虚假材料或者拒绝提供反映其经营活动真实材料的；（七）依法应当撤销行政许可的其他情形。</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hint="eastAsia" w:asciiTheme="minorEastAsia" w:hAnsiTheme="minorEastAsia" w:eastAsiaTheme="minorEastAsia" w:cstheme="minorEastAsia"/>
                <w:i w:val="0"/>
                <w:caps w:val="0"/>
                <w:color w:val="000000"/>
                <w:spacing w:val="0"/>
                <w:kern w:val="0"/>
                <w:sz w:val="21"/>
                <w:szCs w:val="21"/>
                <w:shd w:val="clear" w:fill="FFFFFF"/>
                <w:lang w:val="en-US" w:eastAsia="zh-CN" w:bidi="ar"/>
              </w:rPr>
            </w:pPr>
            <w:r>
              <w:rPr>
                <w:rFonts w:hint="eastAsia" w:asciiTheme="minorEastAsia" w:hAnsiTheme="minorEastAsia" w:eastAsiaTheme="minorEastAsia" w:cstheme="minorEastAsia"/>
                <w:i w:val="0"/>
                <w:caps w:val="0"/>
                <w:color w:val="000000"/>
                <w:spacing w:val="0"/>
                <w:kern w:val="0"/>
                <w:sz w:val="21"/>
                <w:szCs w:val="21"/>
                <w:shd w:val="clear" w:fill="FFFFFF"/>
                <w:lang w:val="en-US" w:eastAsia="zh-CN" w:bidi="ar"/>
              </w:rPr>
              <w:t>第三十七条 成品油经营企业有下列行为之一的，法律、法规有具体规定的，从其规定；如法律、法规未做规定的，由所在市县级以上人民政府成品油行业主管部门视情节依法给予警告、责令停业整顿、处违法所得3倍以下或30000元以下罚款处罚：（一）涂改、倒卖、出租、出借或者以其他形式非法转让成品油经营批准证书的；（二）成品油专项用户违反规定，擅自将专项用油对系统外销售的；（三）违反本细则规定的条件和程序，未经许可擅自新建、迁建和扩建加油站或油库的；（四）采取掺杂掺假、以假充真、以次充好或者以不合格产品冒充合格产品等手段销售成品油，或者销售国家明令淘汰并禁止销售的成品油的；（五）销售走私成品油的；（六）擅自改动加油机或利用其他手段克扣油量的；（七）成品油批发企业向不具有成品油经营资格的企业销售用于经营用途成品油的；（八）成品油零售企业从不具有成品油批发经营资格的企业购进成品油的；（九）超越经营范围进行经营活动的；（十）违反有关技术规范要求的；（十一）法律、法规、规章规定的其他违法行为。</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hint="eastAsia" w:asciiTheme="minorEastAsia" w:hAnsiTheme="minorEastAsia" w:eastAsiaTheme="minorEastAsia" w:cstheme="minorEastAsia"/>
                <w:i w:val="0"/>
                <w:caps w:val="0"/>
                <w:color w:val="000000"/>
                <w:spacing w:val="0"/>
                <w:kern w:val="0"/>
                <w:sz w:val="21"/>
                <w:szCs w:val="21"/>
                <w:shd w:val="clear" w:fill="FFFFFF"/>
                <w:lang w:val="en-US" w:eastAsia="zh-CN" w:bidi="ar"/>
              </w:rPr>
            </w:pPr>
            <w:r>
              <w:rPr>
                <w:rFonts w:hint="eastAsia" w:asciiTheme="minorEastAsia" w:hAnsiTheme="minorEastAsia" w:eastAsiaTheme="minorEastAsia" w:cstheme="minorEastAsia"/>
                <w:i w:val="0"/>
                <w:caps w:val="0"/>
                <w:color w:val="000000"/>
                <w:spacing w:val="0"/>
                <w:kern w:val="0"/>
                <w:sz w:val="21"/>
                <w:szCs w:val="21"/>
                <w:shd w:val="clear" w:fill="FFFFFF"/>
                <w:lang w:val="en-US" w:eastAsia="zh-CN" w:bidi="ar"/>
              </w:rPr>
              <w:t>第三十八条 企业申请从事成品油经营有下列行为之一的，各级人民政府成品油行业主管部门应当作出不予受理或者不予许可的决定，并给予警告；申请人在一年内不得为同一事项再次申请成品油经营许可。（一）隐瞒真实情况的；（二）提供虚假材料的；（三）违反有关政策和申请程序，情节严重的。</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hint="eastAsia" w:ascii="宋体" w:hAnsi="宋体" w:cs="仿宋_GB2312"/>
                <w:sz w:val="21"/>
                <w:szCs w:val="21"/>
              </w:rPr>
            </w:pPr>
            <w:r>
              <w:rPr>
                <w:rFonts w:hint="eastAsia" w:asciiTheme="minorEastAsia" w:hAnsiTheme="minorEastAsia" w:eastAsiaTheme="minorEastAsia" w:cstheme="minorEastAsia"/>
                <w:i w:val="0"/>
                <w:caps w:val="0"/>
                <w:color w:val="000000"/>
                <w:spacing w:val="0"/>
                <w:kern w:val="0"/>
                <w:sz w:val="21"/>
                <w:szCs w:val="21"/>
                <w:shd w:val="clear" w:fill="FFFFFF"/>
                <w:lang w:val="en-US" w:eastAsia="zh-CN" w:bidi="ar"/>
              </w:rPr>
              <w:t>第三十九条 已取得省经委颁发的成品油经营批准证书但尚不符合本细则第二章规定条件的成品油零售企业由各市（州）人民政府成品油行业主管部门负责下达《成品油经营企业限期整改通知书》。对于期满尚不符合条件的成品油经营企业，由行政许可机关撤销成品油经营许可，注销成品油经营批准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责任主体</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宋体" w:hAnsi="宋体" w:eastAsia="宋体" w:cs="仿宋_GB2312"/>
                <w:sz w:val="21"/>
                <w:szCs w:val="21"/>
                <w:lang w:eastAsia="zh-CN"/>
              </w:rPr>
            </w:pPr>
            <w:r>
              <w:rPr>
                <w:rFonts w:hint="eastAsia" w:ascii="宋体" w:hAnsi="宋体" w:cs="仿宋_GB2312"/>
                <w:color w:val="000000" w:themeColor="text1"/>
                <w:sz w:val="21"/>
                <w:szCs w:val="21"/>
                <w:lang w:eastAsia="zh-CN"/>
                <w14:textFill>
                  <w14:solidFill>
                    <w14:schemeClr w14:val="tx1"/>
                  </w14:solidFill>
                </w14:textFill>
              </w:rPr>
              <w:t>船山区经济信息化和科学技术局信息化和运行保障股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责任事项</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000000" w:themeColor="text1"/>
                <w:sz w:val="21"/>
                <w:szCs w:val="21"/>
                <w14:textFill>
                  <w14:solidFill>
                    <w14:schemeClr w14:val="tx1"/>
                  </w14:solidFill>
                </w14:textFill>
              </w:rPr>
            </w:pPr>
            <w:r>
              <w:rPr>
                <w:rFonts w:ascii="宋体" w:hAnsi="宋体" w:cs="仿宋_GB2312"/>
                <w:color w:val="000000" w:themeColor="text1"/>
                <w:sz w:val="21"/>
                <w:szCs w:val="21"/>
                <w14:textFill>
                  <w14:solidFill>
                    <w14:schemeClr w14:val="tx1"/>
                  </w14:solidFill>
                </w14:textFill>
              </w:rPr>
              <w:t>1.受理责任：公示应当提交的材料，一次性告知补正材料，依法受理或不予受理（不予受理应当告知理由）。</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000000" w:themeColor="text1"/>
                <w:sz w:val="21"/>
                <w:szCs w:val="21"/>
                <w14:textFill>
                  <w14:solidFill>
                    <w14:schemeClr w14:val="tx1"/>
                  </w14:solidFill>
                </w14:textFill>
              </w:rPr>
            </w:pPr>
            <w:r>
              <w:rPr>
                <w:rFonts w:ascii="宋体" w:hAnsi="宋体" w:cs="仿宋_GB2312"/>
                <w:color w:val="000000" w:themeColor="text1"/>
                <w:sz w:val="21"/>
                <w:szCs w:val="21"/>
                <w14:textFill>
                  <w14:solidFill>
                    <w14:schemeClr w14:val="tx1"/>
                  </w14:solidFill>
                </w14:textFill>
              </w:rPr>
              <w:t>2.审查责任：审查申请材料，现场踏勘。</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000000" w:themeColor="text1"/>
                <w:sz w:val="21"/>
                <w:szCs w:val="21"/>
                <w14:textFill>
                  <w14:solidFill>
                    <w14:schemeClr w14:val="tx1"/>
                  </w14:solidFill>
                </w14:textFill>
              </w:rPr>
            </w:pPr>
            <w:r>
              <w:rPr>
                <w:rFonts w:ascii="宋体" w:hAnsi="宋体" w:cs="仿宋_GB2312"/>
                <w:color w:val="000000" w:themeColor="text1"/>
                <w:sz w:val="21"/>
                <w:szCs w:val="21"/>
                <w14:textFill>
                  <w14:solidFill>
                    <w14:schemeClr w14:val="tx1"/>
                  </w14:solidFill>
                </w14:textFill>
              </w:rPr>
              <w:t>3.决定责任：作出行政许可或者不予行政许可决定，法定告知（不予许可的应当书面告知理由）。</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000000" w:themeColor="text1"/>
                <w:sz w:val="21"/>
                <w:szCs w:val="21"/>
                <w14:textFill>
                  <w14:solidFill>
                    <w14:schemeClr w14:val="tx1"/>
                  </w14:solidFill>
                </w14:textFill>
              </w:rPr>
            </w:pPr>
            <w:r>
              <w:rPr>
                <w:rFonts w:ascii="宋体" w:hAnsi="宋体" w:cs="仿宋_GB2312"/>
                <w:color w:val="000000" w:themeColor="text1"/>
                <w:sz w:val="21"/>
                <w:szCs w:val="21"/>
                <w14:textFill>
                  <w14:solidFill>
                    <w14:schemeClr w14:val="tx1"/>
                  </w14:solidFill>
                </w14:textFill>
              </w:rPr>
              <w:t>4.事后监管责任：建立实施监督检查的运行机制和管理制度，开展定期和不定期检查，依法采取相关处置措施。</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sz w:val="21"/>
                <w:szCs w:val="21"/>
              </w:rPr>
            </w:pPr>
            <w:r>
              <w:rPr>
                <w:rFonts w:ascii="宋体" w:hAnsi="宋体" w:cs="仿宋_GB2312"/>
                <w:color w:val="000000" w:themeColor="text1"/>
                <w:sz w:val="21"/>
                <w:szCs w:val="21"/>
                <w14:textFill>
                  <w14:solidFill>
                    <w14:schemeClr w14:val="tx1"/>
                  </w14:solidFill>
                </w14:textFill>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宋体" w:hAnsi="宋体" w:cs="仿宋_GB2312"/>
                <w:sz w:val="21"/>
                <w:szCs w:val="21"/>
              </w:rPr>
            </w:pP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eastAsia" w:ascii="宋体" w:hAnsi="宋体" w:cs="仿宋_GB2312"/>
                <w:sz w:val="21"/>
                <w:szCs w:val="21"/>
              </w:rPr>
            </w:pPr>
            <w:r>
              <w:rPr>
                <w:rFonts w:hint="eastAsia" w:ascii="宋体" w:hAnsi="宋体" w:cs="仿宋_GB2312"/>
                <w:sz w:val="21"/>
                <w:szCs w:val="21"/>
              </w:rPr>
              <w:t>责任事项依据</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000000" w:themeColor="text1"/>
                <w:sz w:val="21"/>
                <w:szCs w:val="21"/>
                <w14:textFill>
                  <w14:solidFill>
                    <w14:schemeClr w14:val="tx1"/>
                  </w14:solidFill>
                </w14:textFill>
              </w:rPr>
            </w:pPr>
            <w:r>
              <w:rPr>
                <w:rFonts w:ascii="宋体" w:hAnsi="宋体" w:cs="仿宋_GB2312"/>
                <w:color w:val="000000" w:themeColor="text1"/>
                <w:sz w:val="21"/>
                <w:szCs w:val="21"/>
                <w14:textFill>
                  <w14:solidFill>
                    <w14:schemeClr w14:val="tx1"/>
                  </w14:solidFill>
                </w14:textFill>
              </w:rPr>
              <w:t>《行政许可法》</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hint="default" w:ascii="宋体" w:hAnsi="宋体" w:cs="仿宋_GB2312"/>
                <w:color w:val="000000" w:themeColor="text1"/>
                <w:sz w:val="21"/>
                <w:szCs w:val="21"/>
                <w14:textFill>
                  <w14:solidFill>
                    <w14:schemeClr w14:val="tx1"/>
                  </w14:solidFill>
                </w14:textFill>
              </w:rPr>
            </w:pPr>
            <w:r>
              <w:rPr>
                <w:rFonts w:hint="default" w:ascii="宋体" w:hAnsi="宋体" w:cs="仿宋_GB2312"/>
                <w:color w:val="000000" w:themeColor="text1"/>
                <w:sz w:val="21"/>
                <w:szCs w:val="21"/>
                <w14:textFill>
                  <w14:solidFill>
                    <w14:schemeClr w14:val="tx1"/>
                  </w14:solidFill>
                </w14:textFill>
              </w:rPr>
              <w:t>第三十二条</w:t>
            </w:r>
            <w:r>
              <w:rPr>
                <w:rFonts w:hint="eastAsia" w:ascii="宋体" w:hAnsi="宋体" w:cs="仿宋_GB2312"/>
                <w:color w:val="000000" w:themeColor="text1"/>
                <w:sz w:val="21"/>
                <w:szCs w:val="21"/>
                <w:lang w:val="en-US" w:eastAsia="zh-CN"/>
                <w14:textFill>
                  <w14:solidFill>
                    <w14:schemeClr w14:val="tx1"/>
                  </w14:solidFill>
                </w14:textFill>
              </w:rPr>
              <w:t xml:space="preserve">  </w:t>
            </w:r>
            <w:r>
              <w:rPr>
                <w:rFonts w:hint="default" w:ascii="宋体" w:hAnsi="宋体" w:cs="仿宋_GB2312"/>
                <w:color w:val="000000" w:themeColor="text1"/>
                <w:sz w:val="21"/>
                <w:szCs w:val="21"/>
                <w14:textFill>
                  <w14:solidFill>
                    <w14:schemeClr w14:val="tx1"/>
                  </w14:solidFill>
                </w14:textFill>
              </w:rPr>
              <w:t>行政机关对申请人提出的行政许可申请，应当根据下列情况分别作出处理：</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（一）申请事项依法不需要取得行政许可的，应当即时告知申请人不受理；</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（二）申请事项依法不属于本行政机关职权范围的，应当即时作出不予受理的决定，并告知申请人向有关行政机关申请；</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（三）申请材料存在可以当场更正的错误的，应当允许申请人当场更正；</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（四）申请材料不齐全或者不符合法定形式的，应当当场或者在五日内一次告知申请人需要补正的全部内容，逾期不告知的，自收到申请材料之日起即为受理；</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（五）申请事项属于本行政机关职权范围，申请材料齐全、符合法定形式，或者申请人按照本行政机关的要求提交全部补正申请材料的，应当受理行政许可申请。</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行政机关受理或者不予受理行政许可申请，应当出具加盖本行政机关专用印章和注明日期的书面凭证。</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hint="eastAsia" w:ascii="宋体" w:hAnsi="宋体" w:cs="仿宋_GB2312"/>
                <w:color w:val="000000" w:themeColor="text1"/>
                <w:sz w:val="21"/>
                <w:szCs w:val="21"/>
                <w14:textFill>
                  <w14:solidFill>
                    <w14:schemeClr w14:val="tx1"/>
                  </w14:solidFill>
                </w14:textFill>
              </w:rPr>
            </w:pPr>
            <w:r>
              <w:rPr>
                <w:rFonts w:hint="default" w:ascii="宋体" w:hAnsi="宋体" w:cs="仿宋_GB2312"/>
                <w:color w:val="000000" w:themeColor="text1"/>
                <w:sz w:val="21"/>
                <w:szCs w:val="21"/>
                <w14:textFill>
                  <w14:solidFill>
                    <w14:schemeClr w14:val="tx1"/>
                  </w14:solidFill>
                </w14:textFill>
              </w:rPr>
              <w:t>第三十四条</w:t>
            </w:r>
            <w:r>
              <w:rPr>
                <w:rFonts w:hint="eastAsia" w:ascii="宋体" w:hAnsi="宋体" w:cs="仿宋_GB2312"/>
                <w:color w:val="000000" w:themeColor="text1"/>
                <w:sz w:val="21"/>
                <w:szCs w:val="21"/>
                <w:lang w:val="en-US" w:eastAsia="zh-CN"/>
                <w14:textFill>
                  <w14:solidFill>
                    <w14:schemeClr w14:val="tx1"/>
                  </w14:solidFill>
                </w14:textFill>
              </w:rPr>
              <w:t xml:space="preserve">  </w:t>
            </w:r>
            <w:r>
              <w:rPr>
                <w:rFonts w:hint="default" w:ascii="宋体" w:hAnsi="宋体" w:cs="仿宋_GB2312"/>
                <w:color w:val="000000" w:themeColor="text1"/>
                <w:sz w:val="21"/>
                <w:szCs w:val="21"/>
                <w14:textFill>
                  <w14:solidFill>
                    <w14:schemeClr w14:val="tx1"/>
                  </w14:solidFill>
                </w14:textFill>
              </w:rPr>
              <w:t>行政机关应当对申请人提交的申请材料进行审查。</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申请人提交的申请材料齐全、符合法定形式，行政机关能够当场作出决定的，应当当场作出书面的行政许可决定。</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根据法定条件和程序，需要对申请材料的实质内容进行核实的，行政机关应当指派两名以上工作人员进行核查。</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第三十八条</w:t>
            </w:r>
            <w:r>
              <w:rPr>
                <w:rFonts w:hint="eastAsia" w:ascii="宋体" w:hAnsi="宋体" w:cs="仿宋_GB2312"/>
                <w:color w:val="000000" w:themeColor="text1"/>
                <w:sz w:val="21"/>
                <w:szCs w:val="21"/>
                <w:lang w:val="en-US" w:eastAsia="zh-CN"/>
                <w14:textFill>
                  <w14:solidFill>
                    <w14:schemeClr w14:val="tx1"/>
                  </w14:solidFill>
                </w14:textFill>
              </w:rPr>
              <w:t xml:space="preserve">  </w:t>
            </w:r>
            <w:r>
              <w:rPr>
                <w:rFonts w:hint="default" w:ascii="宋体" w:hAnsi="宋体" w:cs="仿宋_GB2312"/>
                <w:color w:val="000000" w:themeColor="text1"/>
                <w:sz w:val="21"/>
                <w:szCs w:val="21"/>
                <w14:textFill>
                  <w14:solidFill>
                    <w14:schemeClr w14:val="tx1"/>
                  </w14:solidFill>
                </w14:textFill>
              </w:rPr>
              <w:t>申请人的申请符合法定条件、标准的，行政机关应当依法作出准予行政许可的书面决定。</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行政机关依法作出不予行政许可的书面决定的，应当说明理由，并告知申请人享有依法申请行政复议或者提起行政诉讼的权利。</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第六十一条</w:t>
            </w:r>
            <w:r>
              <w:rPr>
                <w:rFonts w:hint="eastAsia" w:ascii="宋体" w:hAnsi="宋体" w:cs="仿宋_GB2312"/>
                <w:color w:val="000000" w:themeColor="text1"/>
                <w:sz w:val="21"/>
                <w:szCs w:val="21"/>
                <w:lang w:val="en-US" w:eastAsia="zh-CN"/>
                <w14:textFill>
                  <w14:solidFill>
                    <w14:schemeClr w14:val="tx1"/>
                  </w14:solidFill>
                </w14:textFill>
              </w:rPr>
              <w:t xml:space="preserve">  </w:t>
            </w:r>
            <w:r>
              <w:rPr>
                <w:rFonts w:hint="default" w:ascii="宋体" w:hAnsi="宋体" w:cs="仿宋_GB2312"/>
                <w:color w:val="000000" w:themeColor="text1"/>
                <w:sz w:val="21"/>
                <w:szCs w:val="21"/>
                <w14:textFill>
                  <w14:solidFill>
                    <w14:schemeClr w14:val="tx1"/>
                  </w14:solidFill>
                </w14:textFill>
              </w:rPr>
              <w:t>行政机关应当建立健全监督制度，通过核查反映被许可人从事行政许可事项活动情况的有关材料，履行监督责任。</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行政机关依法对被许可人从事行政许可事项的活动进行监督检查时，应当将监督检查的情况和处理结果予以记录，由监督检查人员签字后归档。公众有权查阅行政机关监督检查记录。</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行政机关应当创造条件，实现与被许可人、其他有关行政机关的计算机档案系统互联，核查被许可人从事行政许可事项活动情况。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追责情形</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000000" w:themeColor="text1"/>
                <w:sz w:val="21"/>
                <w:szCs w:val="21"/>
                <w14:textFill>
                  <w14:solidFill>
                    <w14:schemeClr w14:val="tx1"/>
                  </w14:solidFill>
                </w14:textFill>
              </w:rPr>
            </w:pPr>
            <w:r>
              <w:rPr>
                <w:rFonts w:hint="eastAsia" w:ascii="宋体" w:hAnsi="宋体" w:cs="仿宋_GB2312"/>
                <w:color w:val="000000" w:themeColor="text1"/>
                <w:sz w:val="21"/>
                <w:szCs w:val="21"/>
                <w14:textFill>
                  <w14:solidFill>
                    <w14:schemeClr w14:val="tx1"/>
                  </w14:solidFill>
                </w14:textFill>
              </w:rPr>
              <w:t>对不履行或不正确履行行政职责的行政机关及其工作人员，依据</w:t>
            </w:r>
            <w:r>
              <w:rPr>
                <w:rFonts w:hint="eastAsia" w:ascii="宋体" w:hAnsi="宋体" w:cs="仿宋_GB2312"/>
                <w:color w:val="000000" w:themeColor="text1"/>
                <w:sz w:val="21"/>
                <w:szCs w:val="21"/>
                <w:lang w:eastAsia="zh-CN"/>
                <w14:textFill>
                  <w14:solidFill>
                    <w14:schemeClr w14:val="tx1"/>
                  </w14:solidFill>
                </w14:textFill>
              </w:rPr>
              <w:t>《中华人民共和国监察法》</w:t>
            </w:r>
            <w:r>
              <w:rPr>
                <w:rFonts w:hint="eastAsia" w:ascii="宋体" w:hAnsi="宋体" w:cs="仿宋_GB2312"/>
                <w:color w:val="000000" w:themeColor="text1"/>
                <w:sz w:val="21"/>
                <w:szCs w:val="21"/>
                <w14:textFill>
                  <w14:solidFill>
                    <w14:schemeClr w14:val="tx1"/>
                  </w14:solidFill>
                </w14:textFill>
              </w:rPr>
              <w:t>、《中华人民共和国行政许可法》、《行政机关公务员处分条例》、《四川省行政审批违法违纪行为责任追究办法》等法律法规规章的相关规定追究相应的责任。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监督电话</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FF0000"/>
                <w:sz w:val="21"/>
                <w:szCs w:val="21"/>
              </w:rPr>
            </w:pPr>
            <w:r>
              <w:rPr>
                <w:rFonts w:hint="eastAsia" w:ascii="宋体" w:hAnsi="宋体" w:cs="仿宋_GB2312"/>
                <w:sz w:val="21"/>
                <w:szCs w:val="21"/>
              </w:rPr>
              <w:t>0825</w:t>
            </w:r>
            <w:r>
              <w:rPr>
                <w:rFonts w:hint="eastAsia" w:ascii="宋体" w:hAnsi="宋体" w:cs="仿宋_GB2312"/>
                <w:sz w:val="21"/>
                <w:szCs w:val="21"/>
                <w:lang w:val="en-US" w:eastAsia="zh-CN"/>
              </w:rPr>
              <w:t>-6807580</w:t>
            </w:r>
          </w:p>
        </w:tc>
      </w:tr>
    </w:tbl>
    <w:p>
      <w:pPr>
        <w:spacing w:line="520" w:lineRule="exact"/>
        <w:jc w:val="center"/>
        <w:rPr>
          <w:rFonts w:hint="eastAsia" w:ascii="黑体" w:hAnsi="黑体" w:eastAsia="黑体"/>
          <w:b/>
          <w:sz w:val="32"/>
          <w:szCs w:val="32"/>
          <w:lang w:eastAsia="zh-CN"/>
        </w:rPr>
      </w:pPr>
    </w:p>
    <w:p>
      <w:pPr>
        <w:spacing w:line="520" w:lineRule="exact"/>
        <w:jc w:val="center"/>
        <w:rPr>
          <w:rFonts w:hint="eastAsia" w:ascii="黑体" w:hAnsi="黑体" w:eastAsia="黑体"/>
          <w:b/>
          <w:sz w:val="32"/>
          <w:szCs w:val="32"/>
          <w:lang w:eastAsia="zh-CN"/>
        </w:rPr>
      </w:pPr>
    </w:p>
    <w:p>
      <w:pPr>
        <w:spacing w:line="520" w:lineRule="exact"/>
        <w:jc w:val="center"/>
        <w:rPr>
          <w:rFonts w:ascii="黑体" w:hAnsi="黑体" w:eastAsia="黑体"/>
          <w:b/>
          <w:sz w:val="32"/>
          <w:szCs w:val="32"/>
        </w:rPr>
      </w:pPr>
      <w:r>
        <w:rPr>
          <w:rFonts w:hint="eastAsia" w:ascii="黑体" w:hAnsi="黑体" w:eastAsia="黑体"/>
          <w:b/>
          <w:sz w:val="32"/>
          <w:szCs w:val="32"/>
          <w:lang w:eastAsia="zh-CN"/>
        </w:rPr>
        <w:t>经科局行政权力</w:t>
      </w:r>
      <w:r>
        <w:rPr>
          <w:rFonts w:hint="eastAsia" w:ascii="黑体" w:hAnsi="黑体" w:eastAsia="黑体"/>
          <w:b/>
          <w:sz w:val="32"/>
          <w:szCs w:val="32"/>
        </w:rPr>
        <w:t>责任清单</w:t>
      </w:r>
    </w:p>
    <w:tbl>
      <w:tblPr>
        <w:tblStyle w:val="5"/>
        <w:tblW w:w="91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7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序</w:t>
            </w:r>
            <w:r>
              <w:rPr>
                <w:rFonts w:hint="eastAsia" w:ascii="宋体" w:hAnsi="宋体" w:cs="仿宋_GB2312"/>
                <w:sz w:val="21"/>
                <w:szCs w:val="21"/>
                <w:lang w:val="en-US" w:eastAsia="zh-CN"/>
              </w:rPr>
              <w:t xml:space="preserve">   </w:t>
            </w:r>
            <w:r>
              <w:rPr>
                <w:rFonts w:hint="eastAsia" w:ascii="宋体" w:hAnsi="宋体" w:cs="仿宋_GB2312"/>
                <w:sz w:val="21"/>
                <w:szCs w:val="21"/>
              </w:rPr>
              <w:t>号</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宋体" w:hAnsi="宋体" w:eastAsia="宋体" w:cs="仿宋_GB2312"/>
                <w:sz w:val="21"/>
                <w:szCs w:val="21"/>
                <w:lang w:val="en-US" w:eastAsia="zh-CN"/>
              </w:rPr>
            </w:pPr>
            <w:r>
              <w:rPr>
                <w:rFonts w:hint="eastAsia" w:ascii="宋体" w:hAnsi="宋体" w:cs="仿宋_GB2312"/>
                <w:b/>
                <w:bCs/>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权力类型</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权力项目名称</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宋体" w:hAnsi="宋体" w:eastAsia="宋体" w:cs="仿宋_GB2312"/>
                <w:sz w:val="21"/>
                <w:szCs w:val="21"/>
                <w:lang w:eastAsia="zh-CN"/>
              </w:rPr>
            </w:pPr>
            <w:r>
              <w:rPr>
                <w:rFonts w:hint="eastAsia" w:ascii="宋体" w:hAnsi="宋体" w:cs="仿宋_GB2312"/>
                <w:sz w:val="21"/>
                <w:szCs w:val="21"/>
                <w:lang w:eastAsia="zh-CN"/>
              </w:rPr>
              <w:t>对违反节约能源管理有关规定的处罚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实施依据</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hint="eastAsia"/>
              </w:rPr>
            </w:pPr>
            <w:r>
              <w:rPr>
                <w:rFonts w:hint="eastAsia"/>
              </w:rPr>
              <w:t>1.《中华人民共和国节约能源法》第六十八条：固定资产投资项目建设单位开工建设不符合强制性节能标准的项目或者将该项目投入生产、使用的，由管理节能工作的部门责令停止建设或者停止生产、使用，限期改造；不能改造或者逾期不改造的生产性项目，由管理节能工作的部门报请本级人民政府按照国务院规定的权限责令关闭。</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hint="eastAsia"/>
              </w:rPr>
            </w:pPr>
            <w:r>
              <w:rPr>
                <w:rFonts w:hint="eastAsia"/>
              </w:rPr>
              <w:t>2.《中华人民共和国节约能源法》第七十一条：使用国家明令淘汰的用能设备或者生产工艺的，由管理节能工作的部门责令停止使用，没收国家明令淘汰的用能设备；情节严重的，可以由管理节能工作的部门提出意见，报请本级人民政府按照国务院规定的权限责令停业整顿或者关闭。</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hint="eastAsia"/>
              </w:rPr>
            </w:pPr>
            <w:r>
              <w:rPr>
                <w:rFonts w:hint="eastAsia"/>
              </w:rPr>
              <w:t>3.《中华人民共和国节约能源法》第七十二条：生产单位超过单位产品能耗限额标准用能，情节严重，经限期治理逾期不治理或者没有达到治理要求的,可以由管理节能工作的部门提出意见，报请本级人民政府按照国务院规定的权限责令停业整顿或者关闭。</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hint="eastAsia"/>
              </w:rPr>
            </w:pPr>
            <w:r>
              <w:rPr>
                <w:rFonts w:hint="eastAsia"/>
              </w:rPr>
              <w:t>4.《中华人民共和国节约能源法》第七十七条：违反本法规定，无偿向本单位职工提供能源或者对能源消费实行包费制的,由管理节能工作的部门责令限期改正；逾期不改正的，处五万元以上二十万元以下罚款。</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hint="eastAsia"/>
              </w:rPr>
            </w:pPr>
            <w:r>
              <w:rPr>
                <w:rFonts w:hint="eastAsia"/>
              </w:rPr>
              <w:t>5.《中华人民共和国节约能源法》第八十二条：重点用能单位未按照本法规定报送能源利用状况报告或者报告内容不实的，由管理节能工作的部门责令限期改正；逾期不改正的，处一万元以上五万元以下罚款。</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hint="eastAsia"/>
              </w:rPr>
            </w:pPr>
            <w:r>
              <w:rPr>
                <w:rFonts w:hint="eastAsia"/>
              </w:rPr>
              <w:t>6.《中华人民共和国节约能源法》第八十三条：重点用能单位无正当理由拒不落实《中华人民共和国节约能源法》第五十四条规定的整改要求或者整改没有达到要求的，由管理节能工作的部门处十万元以上三十万元以下罚款。</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FF0000"/>
                <w:sz w:val="21"/>
                <w:szCs w:val="21"/>
              </w:rPr>
            </w:pPr>
            <w:r>
              <w:rPr>
                <w:rFonts w:hint="eastAsia"/>
              </w:rPr>
              <w:t>7.《中华人民共和国节约能源法》第八十四条：重点用能单位未按照本法规定设立能源管理岗位，聘任能源管理管理负责人，并报管理节能工作的部门和有关部门备案的，由管理节能工作的部门责令改正；拒不改正的，处一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责任主体</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宋体" w:hAnsi="宋体" w:eastAsia="宋体" w:cs="仿宋_GB2312"/>
                <w:color w:val="FF0000"/>
                <w:sz w:val="21"/>
                <w:szCs w:val="21"/>
                <w:lang w:eastAsia="zh-CN"/>
              </w:rPr>
            </w:pPr>
            <w:r>
              <w:rPr>
                <w:rFonts w:hint="eastAsia" w:ascii="宋体" w:hAnsi="宋体" w:cs="仿宋_GB2312"/>
                <w:color w:val="000000" w:themeColor="text1"/>
                <w:sz w:val="21"/>
                <w:szCs w:val="21"/>
                <w:lang w:eastAsia="zh-CN"/>
                <w14:textFill>
                  <w14:solidFill>
                    <w14:schemeClr w14:val="tx1"/>
                  </w14:solidFill>
                </w14:textFill>
              </w:rPr>
              <w:t>船山区经济信息化和科学技术局信息化和运行保障股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责任事项</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000000" w:themeColor="text1"/>
                <w:sz w:val="21"/>
                <w:szCs w:val="21"/>
                <w14:textFill>
                  <w14:solidFill>
                    <w14:schemeClr w14:val="tx1"/>
                  </w14:solidFill>
                </w14:textFill>
              </w:rPr>
            </w:pPr>
            <w:r>
              <w:rPr>
                <w:rFonts w:ascii="宋体" w:hAnsi="宋体" w:cs="仿宋_GB2312"/>
                <w:color w:val="000000" w:themeColor="text1"/>
                <w:sz w:val="21"/>
                <w:szCs w:val="21"/>
                <w14:textFill>
                  <w14:solidFill>
                    <w14:schemeClr w14:val="tx1"/>
                  </w14:solidFill>
                </w14:textFill>
              </w:rPr>
              <w:t>1.受理责任：公示应当提交的材料，一次性告知补正材料，依法受理或不予受理（不予受理应当告知理由）。</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000000" w:themeColor="text1"/>
                <w:sz w:val="21"/>
                <w:szCs w:val="21"/>
                <w14:textFill>
                  <w14:solidFill>
                    <w14:schemeClr w14:val="tx1"/>
                  </w14:solidFill>
                </w14:textFill>
              </w:rPr>
            </w:pPr>
            <w:r>
              <w:rPr>
                <w:rFonts w:ascii="宋体" w:hAnsi="宋体" w:cs="仿宋_GB2312"/>
                <w:color w:val="000000" w:themeColor="text1"/>
                <w:sz w:val="21"/>
                <w:szCs w:val="21"/>
                <w14:textFill>
                  <w14:solidFill>
                    <w14:schemeClr w14:val="tx1"/>
                  </w14:solidFill>
                </w14:textFill>
              </w:rPr>
              <w:t>2.审查责任：审查申请材料，现场踏勘。</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000000" w:themeColor="text1"/>
                <w:sz w:val="21"/>
                <w:szCs w:val="21"/>
                <w14:textFill>
                  <w14:solidFill>
                    <w14:schemeClr w14:val="tx1"/>
                  </w14:solidFill>
                </w14:textFill>
              </w:rPr>
            </w:pPr>
            <w:r>
              <w:rPr>
                <w:rFonts w:ascii="宋体" w:hAnsi="宋体" w:cs="仿宋_GB2312"/>
                <w:color w:val="000000" w:themeColor="text1"/>
                <w:sz w:val="21"/>
                <w:szCs w:val="21"/>
                <w14:textFill>
                  <w14:solidFill>
                    <w14:schemeClr w14:val="tx1"/>
                  </w14:solidFill>
                </w14:textFill>
              </w:rPr>
              <w:t>3.决定责任：作出行政许可或者不予行政许可决定，法定告知（不予许可的应当书面告知理由）。</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000000" w:themeColor="text1"/>
                <w:sz w:val="21"/>
                <w:szCs w:val="21"/>
                <w14:textFill>
                  <w14:solidFill>
                    <w14:schemeClr w14:val="tx1"/>
                  </w14:solidFill>
                </w14:textFill>
              </w:rPr>
            </w:pPr>
            <w:r>
              <w:rPr>
                <w:rFonts w:ascii="宋体" w:hAnsi="宋体" w:cs="仿宋_GB2312"/>
                <w:color w:val="000000" w:themeColor="text1"/>
                <w:sz w:val="21"/>
                <w:szCs w:val="21"/>
                <w14:textFill>
                  <w14:solidFill>
                    <w14:schemeClr w14:val="tx1"/>
                  </w14:solidFill>
                </w14:textFill>
              </w:rPr>
              <w:t>4.事后监管责任：建立实施监督检查的运行机制和管理制度，开展定期和不定期检查，依法采取相关处置措施。</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000000" w:themeColor="text1"/>
                <w:sz w:val="21"/>
                <w:szCs w:val="21"/>
                <w14:textFill>
                  <w14:solidFill>
                    <w14:schemeClr w14:val="tx1"/>
                  </w14:solidFill>
                </w14:textFill>
              </w:rPr>
            </w:pPr>
            <w:r>
              <w:rPr>
                <w:rFonts w:ascii="宋体" w:hAnsi="宋体" w:cs="仿宋_GB2312"/>
                <w:color w:val="000000" w:themeColor="text1"/>
                <w:sz w:val="21"/>
                <w:szCs w:val="21"/>
                <w14:textFill>
                  <w14:solidFill>
                    <w14:schemeClr w14:val="tx1"/>
                  </w14:solidFill>
                </w14:textFill>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宋体" w:hAnsi="宋体" w:cs="仿宋_GB2312"/>
                <w:sz w:val="21"/>
                <w:szCs w:val="21"/>
              </w:rPr>
            </w:pP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eastAsia" w:ascii="宋体" w:hAnsi="宋体" w:cs="仿宋_GB2312"/>
                <w:sz w:val="21"/>
                <w:szCs w:val="21"/>
              </w:rPr>
            </w:pPr>
            <w:r>
              <w:rPr>
                <w:rFonts w:hint="eastAsia" w:ascii="宋体" w:hAnsi="宋体" w:cs="仿宋_GB2312"/>
                <w:sz w:val="21"/>
                <w:szCs w:val="21"/>
              </w:rPr>
              <w:t>责任事项依据</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000000" w:themeColor="text1"/>
                <w:sz w:val="21"/>
                <w:szCs w:val="21"/>
                <w14:textFill>
                  <w14:solidFill>
                    <w14:schemeClr w14:val="tx1"/>
                  </w14:solidFill>
                </w14:textFill>
              </w:rPr>
            </w:pPr>
            <w:r>
              <w:rPr>
                <w:rFonts w:ascii="宋体" w:hAnsi="宋体" w:cs="仿宋_GB2312"/>
                <w:color w:val="000000" w:themeColor="text1"/>
                <w:sz w:val="21"/>
                <w:szCs w:val="21"/>
                <w14:textFill>
                  <w14:solidFill>
                    <w14:schemeClr w14:val="tx1"/>
                  </w14:solidFill>
                </w14:textFill>
              </w:rPr>
              <w:t>《行政许可法》</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hint="default" w:ascii="宋体" w:hAnsi="宋体" w:cs="仿宋_GB2312"/>
                <w:color w:val="000000" w:themeColor="text1"/>
                <w:sz w:val="21"/>
                <w:szCs w:val="21"/>
                <w14:textFill>
                  <w14:solidFill>
                    <w14:schemeClr w14:val="tx1"/>
                  </w14:solidFill>
                </w14:textFill>
              </w:rPr>
            </w:pPr>
            <w:r>
              <w:rPr>
                <w:rFonts w:hint="default" w:ascii="宋体" w:hAnsi="宋体" w:cs="仿宋_GB2312"/>
                <w:color w:val="000000" w:themeColor="text1"/>
                <w:sz w:val="21"/>
                <w:szCs w:val="21"/>
                <w14:textFill>
                  <w14:solidFill>
                    <w14:schemeClr w14:val="tx1"/>
                  </w14:solidFill>
                </w14:textFill>
              </w:rPr>
              <w:t>第三十二条</w:t>
            </w:r>
            <w:r>
              <w:rPr>
                <w:rFonts w:hint="eastAsia" w:ascii="宋体" w:hAnsi="宋体" w:cs="仿宋_GB2312"/>
                <w:color w:val="000000" w:themeColor="text1"/>
                <w:sz w:val="21"/>
                <w:szCs w:val="21"/>
                <w:lang w:val="en-US" w:eastAsia="zh-CN"/>
                <w14:textFill>
                  <w14:solidFill>
                    <w14:schemeClr w14:val="tx1"/>
                  </w14:solidFill>
                </w14:textFill>
              </w:rPr>
              <w:t xml:space="preserve">  </w:t>
            </w:r>
            <w:r>
              <w:rPr>
                <w:rFonts w:hint="default" w:ascii="宋体" w:hAnsi="宋体" w:cs="仿宋_GB2312"/>
                <w:color w:val="000000" w:themeColor="text1"/>
                <w:sz w:val="21"/>
                <w:szCs w:val="21"/>
                <w14:textFill>
                  <w14:solidFill>
                    <w14:schemeClr w14:val="tx1"/>
                  </w14:solidFill>
                </w14:textFill>
              </w:rPr>
              <w:t>行政机关对申请人提出的行政许可申请，应当根据下列情况分别作出处理：</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（一）申请事项依法不需要取得行政许可的，应当即时告知申请人不受理；</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（二）申请事项依法不属于本行政机关职权范围的，应当即时作出不予受理的决定，并告知申请人向有关行政机关申请；</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（三）申请材料存在可以当场更正的错误的，应当允许申请人当场更正；</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（四）申请材料不齐全或者不符合法定形式的，应当当场或者在五日内一次告知申请人需要补正的全部内容，逾期不告知的，自收到申请材料之日起即为受理；</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（五）申请事项属于本行政机关职权范围，申请材料齐全、符合法定形式，或者申请人按照本行政机关的要求提交全部补正申请材料的，应当受理行政许可申请。</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行政机关受理或者不予受理行政许可申请，应当出具加盖本行政机关专用印章和注明日期的书面凭证。</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hint="eastAsia" w:ascii="宋体" w:hAnsi="宋体" w:cs="仿宋_GB2312"/>
                <w:color w:val="000000" w:themeColor="text1"/>
                <w:sz w:val="21"/>
                <w:szCs w:val="21"/>
                <w14:textFill>
                  <w14:solidFill>
                    <w14:schemeClr w14:val="tx1"/>
                  </w14:solidFill>
                </w14:textFill>
              </w:rPr>
            </w:pPr>
            <w:r>
              <w:rPr>
                <w:rFonts w:hint="default" w:ascii="宋体" w:hAnsi="宋体" w:cs="仿宋_GB2312"/>
                <w:color w:val="000000" w:themeColor="text1"/>
                <w:sz w:val="21"/>
                <w:szCs w:val="21"/>
                <w14:textFill>
                  <w14:solidFill>
                    <w14:schemeClr w14:val="tx1"/>
                  </w14:solidFill>
                </w14:textFill>
              </w:rPr>
              <w:t>第三十四条</w:t>
            </w:r>
            <w:r>
              <w:rPr>
                <w:rFonts w:hint="eastAsia" w:ascii="宋体" w:hAnsi="宋体" w:cs="仿宋_GB2312"/>
                <w:color w:val="000000" w:themeColor="text1"/>
                <w:sz w:val="21"/>
                <w:szCs w:val="21"/>
                <w:lang w:val="en-US" w:eastAsia="zh-CN"/>
                <w14:textFill>
                  <w14:solidFill>
                    <w14:schemeClr w14:val="tx1"/>
                  </w14:solidFill>
                </w14:textFill>
              </w:rPr>
              <w:t xml:space="preserve">  </w:t>
            </w:r>
            <w:r>
              <w:rPr>
                <w:rFonts w:hint="default" w:ascii="宋体" w:hAnsi="宋体" w:cs="仿宋_GB2312"/>
                <w:color w:val="000000" w:themeColor="text1"/>
                <w:sz w:val="21"/>
                <w:szCs w:val="21"/>
                <w14:textFill>
                  <w14:solidFill>
                    <w14:schemeClr w14:val="tx1"/>
                  </w14:solidFill>
                </w14:textFill>
              </w:rPr>
              <w:t>行政机关应当对申请人提交的申请材料进行审查。</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申请人提交的申请材料齐全、符合法定形式，行政机关能够当场作出决定的，应当当场作出书面的行政许可决定。</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根据法定条件和程序，需要对申请材料的实质内容进行核实的，行政机关应当指派两名以上工作人员进行核查。</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第三十八条</w:t>
            </w:r>
            <w:r>
              <w:rPr>
                <w:rFonts w:hint="eastAsia" w:ascii="宋体" w:hAnsi="宋体" w:cs="仿宋_GB2312"/>
                <w:color w:val="000000" w:themeColor="text1"/>
                <w:sz w:val="21"/>
                <w:szCs w:val="21"/>
                <w:lang w:val="en-US" w:eastAsia="zh-CN"/>
                <w14:textFill>
                  <w14:solidFill>
                    <w14:schemeClr w14:val="tx1"/>
                  </w14:solidFill>
                </w14:textFill>
              </w:rPr>
              <w:t xml:space="preserve">  </w:t>
            </w:r>
            <w:r>
              <w:rPr>
                <w:rFonts w:hint="default" w:ascii="宋体" w:hAnsi="宋体" w:cs="仿宋_GB2312"/>
                <w:color w:val="000000" w:themeColor="text1"/>
                <w:sz w:val="21"/>
                <w:szCs w:val="21"/>
                <w14:textFill>
                  <w14:solidFill>
                    <w14:schemeClr w14:val="tx1"/>
                  </w14:solidFill>
                </w14:textFill>
              </w:rPr>
              <w:t>申请人的申请符合法定条件、标准的，行政机关应当依法作出准予行政许可的书面决定。</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行政机关依法作出不予行政许可的书面决定的，应当说明理由，并告知申请人享有依法申请行政复议或者提起行政诉讼的权利。</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第六十一条</w:t>
            </w:r>
            <w:r>
              <w:rPr>
                <w:rFonts w:hint="eastAsia" w:ascii="宋体" w:hAnsi="宋体" w:cs="仿宋_GB2312"/>
                <w:color w:val="000000" w:themeColor="text1"/>
                <w:sz w:val="21"/>
                <w:szCs w:val="21"/>
                <w:lang w:val="en-US" w:eastAsia="zh-CN"/>
                <w14:textFill>
                  <w14:solidFill>
                    <w14:schemeClr w14:val="tx1"/>
                  </w14:solidFill>
                </w14:textFill>
              </w:rPr>
              <w:t xml:space="preserve">  </w:t>
            </w:r>
            <w:r>
              <w:rPr>
                <w:rFonts w:hint="default" w:ascii="宋体" w:hAnsi="宋体" w:cs="仿宋_GB2312"/>
                <w:color w:val="000000" w:themeColor="text1"/>
                <w:sz w:val="21"/>
                <w:szCs w:val="21"/>
                <w14:textFill>
                  <w14:solidFill>
                    <w14:schemeClr w14:val="tx1"/>
                  </w14:solidFill>
                </w14:textFill>
              </w:rPr>
              <w:t>行政机关应当建立健全监督制度，通过核查反映被许可人从事行政许可事项活动情况的有关材料，履行监督责任。</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行政机关依法对被许可人从事行政许可事项的活动进行监督检查时，应当将监督检查的情况和处理结果予以记录，由监督检查人员签字后归档。公众有权查阅行政机关监督检查记录。</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行政机关应当创造条件，实现与被许可人、其他有关行政机关的计算机档案系统互联，核查被许可人从事行政许可事项活动情况。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追责情形</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FF0000"/>
                <w:sz w:val="21"/>
                <w:szCs w:val="21"/>
              </w:rPr>
            </w:pPr>
            <w:r>
              <w:rPr>
                <w:rFonts w:hint="eastAsia" w:ascii="宋体" w:hAnsi="宋体" w:cs="仿宋_GB2312"/>
                <w:color w:val="000000" w:themeColor="text1"/>
                <w:sz w:val="21"/>
                <w:szCs w:val="21"/>
                <w14:textFill>
                  <w14:solidFill>
                    <w14:schemeClr w14:val="tx1"/>
                  </w14:solidFill>
                </w14:textFill>
              </w:rPr>
              <w:t>对不履行或不正确履行行政职责的行政机关及其工作人员，依据</w:t>
            </w:r>
            <w:r>
              <w:rPr>
                <w:rFonts w:hint="eastAsia" w:ascii="宋体" w:hAnsi="宋体" w:cs="仿宋_GB2312"/>
                <w:color w:val="000000" w:themeColor="text1"/>
                <w:sz w:val="21"/>
                <w:szCs w:val="21"/>
                <w:lang w:eastAsia="zh-CN"/>
                <w14:textFill>
                  <w14:solidFill>
                    <w14:schemeClr w14:val="tx1"/>
                  </w14:solidFill>
                </w14:textFill>
              </w:rPr>
              <w:t>《中华人民共和国监察法》</w:t>
            </w:r>
            <w:r>
              <w:rPr>
                <w:rFonts w:hint="eastAsia" w:ascii="宋体" w:hAnsi="宋体" w:cs="仿宋_GB2312"/>
                <w:color w:val="000000" w:themeColor="text1"/>
                <w:sz w:val="21"/>
                <w:szCs w:val="21"/>
                <w14:textFill>
                  <w14:solidFill>
                    <w14:schemeClr w14:val="tx1"/>
                  </w14:solidFill>
                </w14:textFill>
              </w:rPr>
              <w:t>、《中华人民共和国行政许可法》、《行政机关公务员处分条例》、《四川省行政审批违法违纪行为责任追究办法》等法律法规规章的相关规定追究相应的责任。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监督电话</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hint="default" w:ascii="宋体" w:hAnsi="宋体" w:eastAsia="宋体" w:cs="仿宋_GB2312"/>
                <w:sz w:val="21"/>
                <w:szCs w:val="21"/>
                <w:lang w:val="en-US" w:eastAsia="zh-CN"/>
              </w:rPr>
            </w:pPr>
            <w:r>
              <w:rPr>
                <w:rFonts w:hint="eastAsia" w:ascii="宋体" w:hAnsi="宋体" w:cs="仿宋_GB2312"/>
                <w:sz w:val="21"/>
                <w:szCs w:val="21"/>
              </w:rPr>
              <w:t>0825</w:t>
            </w:r>
            <w:r>
              <w:rPr>
                <w:rFonts w:hint="eastAsia" w:ascii="宋体" w:hAnsi="宋体" w:cs="仿宋_GB2312"/>
                <w:sz w:val="21"/>
                <w:szCs w:val="21"/>
                <w:lang w:val="en-US" w:eastAsia="zh-CN"/>
              </w:rPr>
              <w:t>-6807580</w:t>
            </w:r>
          </w:p>
        </w:tc>
      </w:tr>
    </w:tbl>
    <w:p>
      <w:pPr>
        <w:spacing w:line="520" w:lineRule="exact"/>
        <w:rPr>
          <w:rFonts w:hint="eastAsia" w:ascii="仿宋_GB2312" w:hAnsi="仿宋_GB2312" w:eastAsia="仿宋_GB2312" w:cs="仿宋_GB2312"/>
          <w:color w:val="000000"/>
          <w:kern w:val="0"/>
          <w:sz w:val="32"/>
          <w:szCs w:val="32"/>
          <w:u w:val="none" w:color="000000"/>
          <w:lang w:val="en-US" w:eastAsia="zh-CN"/>
        </w:rPr>
      </w:pPr>
      <w:r>
        <w:rPr>
          <w:rFonts w:hint="eastAsia" w:ascii="仿宋_GB2312" w:hAnsi="仿宋_GB2312" w:eastAsia="仿宋_GB2312" w:cs="仿宋_GB2312"/>
          <w:color w:val="000000"/>
          <w:kern w:val="0"/>
          <w:sz w:val="32"/>
          <w:szCs w:val="32"/>
          <w:u w:val="none" w:color="000000"/>
          <w:lang w:val="en-US" w:eastAsia="zh-CN"/>
        </w:rPr>
        <w:t xml:space="preserve"> </w:t>
      </w:r>
    </w:p>
    <w:p/>
    <w:p/>
    <w:p>
      <w:pPr>
        <w:spacing w:line="580" w:lineRule="exact"/>
        <w:jc w:val="center"/>
        <w:rPr>
          <w:rFonts w:ascii="黑体" w:hAnsi="黑体" w:eastAsia="黑体"/>
          <w:b/>
          <w:sz w:val="32"/>
          <w:szCs w:val="32"/>
        </w:rPr>
      </w:pPr>
      <w:r>
        <w:rPr>
          <w:rFonts w:hint="eastAsia" w:ascii="黑体" w:hAnsi="黑体" w:eastAsia="黑体"/>
          <w:b/>
          <w:sz w:val="32"/>
          <w:szCs w:val="32"/>
          <w:lang w:eastAsia="zh-CN"/>
        </w:rPr>
        <w:t>经科局行政权力</w:t>
      </w:r>
      <w:r>
        <w:rPr>
          <w:rFonts w:hint="eastAsia" w:ascii="黑体" w:hAnsi="黑体" w:eastAsia="黑体"/>
          <w:b/>
          <w:sz w:val="32"/>
          <w:szCs w:val="32"/>
        </w:rPr>
        <w:t>责任清单</w:t>
      </w:r>
    </w:p>
    <w:tbl>
      <w:tblPr>
        <w:tblStyle w:val="5"/>
        <w:tblW w:w="91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7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序</w:t>
            </w:r>
            <w:r>
              <w:rPr>
                <w:rFonts w:hint="eastAsia" w:ascii="宋体" w:hAnsi="宋体" w:cs="仿宋_GB2312"/>
                <w:sz w:val="21"/>
                <w:szCs w:val="21"/>
                <w:lang w:val="en-US" w:eastAsia="zh-CN"/>
              </w:rPr>
              <w:t xml:space="preserve">   </w:t>
            </w:r>
            <w:r>
              <w:rPr>
                <w:rFonts w:hint="eastAsia" w:ascii="宋体" w:hAnsi="宋体" w:cs="仿宋_GB2312"/>
                <w:sz w:val="21"/>
                <w:szCs w:val="21"/>
              </w:rPr>
              <w:t>号</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宋体" w:hAnsi="宋体" w:eastAsia="宋体" w:cs="仿宋_GB2312"/>
                <w:sz w:val="21"/>
                <w:szCs w:val="21"/>
                <w:lang w:val="en-US" w:eastAsia="zh-CN"/>
              </w:rPr>
            </w:pPr>
            <w:r>
              <w:rPr>
                <w:rFonts w:hint="eastAsia" w:ascii="宋体" w:hAnsi="宋体" w:cs="仿宋_GB2312"/>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权力类型</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权力项目名称</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宋体" w:hAnsi="宋体" w:eastAsia="宋体" w:cs="仿宋_GB2312"/>
                <w:sz w:val="21"/>
                <w:szCs w:val="21"/>
                <w:lang w:eastAsia="zh-CN"/>
              </w:rPr>
            </w:pPr>
            <w:r>
              <w:rPr>
                <w:rFonts w:hint="eastAsia" w:ascii="宋体" w:hAnsi="宋体" w:cs="仿宋_GB2312"/>
                <w:sz w:val="21"/>
                <w:szCs w:val="21"/>
                <w:lang w:eastAsia="zh-CN"/>
              </w:rPr>
              <w:t>对违反电力设施保护和供用电秩序维护的处罚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实施依据</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hint="eastAsia" w:ascii="宋体" w:hAnsi="宋体" w:cs="仿宋_GB2312"/>
                <w:color w:val="000000" w:themeColor="text1"/>
                <w:sz w:val="21"/>
                <w:szCs w:val="21"/>
                <w:lang w:val="en-US" w:eastAsia="zh-CN"/>
                <w14:textFill>
                  <w14:solidFill>
                    <w14:schemeClr w14:val="tx1"/>
                  </w14:solidFill>
                </w14:textFill>
              </w:rPr>
            </w:pPr>
            <w:r>
              <w:rPr>
                <w:rFonts w:hint="eastAsia" w:ascii="宋体" w:hAnsi="宋体" w:cs="仿宋_GB2312"/>
                <w:color w:val="000000" w:themeColor="text1"/>
                <w:sz w:val="21"/>
                <w:szCs w:val="21"/>
                <w:lang w:val="en-US" w:eastAsia="zh-CN"/>
                <w14:textFill>
                  <w14:solidFill>
                    <w14:schemeClr w14:val="tx1"/>
                  </w14:solidFill>
                </w14:textFill>
              </w:rPr>
              <w:t>1.法律《中华人民共和国电力法》第七十一条：盗窃电能的，由电力管理部门责令停止违法行为，追缴电费并处应交电费五倍以下的罚款；构成犯罪的，依照刑法有关规定追究刑事责任。第六十八条：违反本法第五十二条第二款和第五十四条规定，未经批准或者未采取安全措施在电力设施周围或者在依法划定的电力设施保护区内进行作业，危及电力设施安全的，由电力管理部门责令停止作业、恢复原状并赔偿损失。第六十二条：违反本法第十四条规定，电力建设项目不符合电力发展规划、产业政策的，由电力管理部门责令停止建设。违反本法第十四条规定，电力建设项目使用国家明令淘汰的电力设备和技术的，由电力管理部门责令停止使用，没收国家明令淘汰的电力设备，并处五万元以下的罚款。第十四条：电力建设项目应当符合电力发展规划，符合国家电力产业政策。电力建设项目不得使用国家明令淘汰的电力设备和技术。第六十三条：违反本法第二十五条规定，未经许可，从事供电或者变更供电营业区的，由电力管理部门责令改正，没收违法所得，可以并处违法所得五倍以下的罚款。第六十四条：违反本法第二十六条、第二十九条规定，拒绝供电或者中断供电的，由电力管理部门责令改正，给予警告；情节严重的，对有关主管人员和直接责任人员给予行政处分。第二十六条：供电营业区内的供电营业机构，对本营业区内的用户有按照国家规定供电的义务；不得违反国家规定对其营业区内申请用电的单位和个人拒绝供电。</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hint="eastAsia" w:ascii="宋体" w:hAnsi="宋体" w:cs="仿宋_GB2312"/>
                <w:color w:val="000000" w:themeColor="text1"/>
                <w:sz w:val="21"/>
                <w:szCs w:val="21"/>
                <w:lang w:val="en-US" w:eastAsia="zh-CN"/>
                <w14:textFill>
                  <w14:solidFill>
                    <w14:schemeClr w14:val="tx1"/>
                  </w14:solidFill>
                </w14:textFill>
              </w:rPr>
            </w:pPr>
            <w:r>
              <w:rPr>
                <w:rFonts w:hint="eastAsia" w:ascii="宋体" w:hAnsi="宋体" w:cs="仿宋_GB2312"/>
                <w:color w:val="000000" w:themeColor="text1"/>
                <w:sz w:val="21"/>
                <w:szCs w:val="21"/>
                <w:lang w:val="en-US" w:eastAsia="zh-CN"/>
                <w14:textFill>
                  <w14:solidFill>
                    <w14:schemeClr w14:val="tx1"/>
                  </w14:solidFill>
                </w14:textFill>
              </w:rPr>
              <w:t>2.行政法规《电力供应与使用条例》第四十一条：违反本条例第三十一条规定，盗窃电能的，由电力管理部门责令停止违法行为，追缴电费并处应交电费5倍以下的罚款；构成犯罪的，依法追究刑事责任。第三十六条：电力管理部门应当加强对供电、用电的监督和管理。供电、用电监督检查工作人员必须具备相应的条件。供电、用电监督检查工作人员执行公务时，应当出示证件。 供电、用电监督检查管理的具体办法，由国务院电力管理部门另行制定。第三十八条：违反本条例规定，有下列行为之一的，由电力管理部门责令改正，没收违法所得，可以并处违法所得5倍以下的罚款：（一）未按照规定取得《供电营业许可证》，从事电力供应业务的。</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hint="eastAsia" w:ascii="宋体" w:hAnsi="宋体" w:cs="仿宋_GB2312"/>
                <w:color w:val="000000" w:themeColor="text1"/>
                <w:sz w:val="21"/>
                <w:szCs w:val="21"/>
                <w:lang w:val="en-US" w:eastAsia="zh-CN"/>
                <w14:textFill>
                  <w14:solidFill>
                    <w14:schemeClr w14:val="tx1"/>
                  </w14:solidFill>
                </w14:textFill>
              </w:rPr>
            </w:pPr>
            <w:r>
              <w:rPr>
                <w:rFonts w:hint="eastAsia" w:ascii="宋体" w:hAnsi="宋体" w:cs="仿宋_GB2312"/>
                <w:color w:val="000000" w:themeColor="text1"/>
                <w:sz w:val="21"/>
                <w:szCs w:val="21"/>
                <w:lang w:val="en-US" w:eastAsia="zh-CN"/>
                <w14:textFill>
                  <w14:solidFill>
                    <w14:schemeClr w14:val="tx1"/>
                  </w14:solidFill>
                </w14:textFill>
              </w:rPr>
              <w:t>行政法规《电力设施保护条例》第二十七条：违反本条例规定，危害发电设施、变电设施和电力线路设施的，由电力管理部门责令改正；拒不改正的，处10000元以下的罚款。第二十六条:违反本条例规定，未经批准或未采取安全措施，在电力设施周围或在依法划定的电力设施保护区内进行爆破或其他作业，危及电力设施安全的，由电力管理部门责令停止作业、恢复原状并赔偿损失。第二十八条: 违反本条例规定，在依法划定的电力设施保护区内进行烧窑、烧荒、抛锚、拖锚、炸鱼、挖沙作业，危及电力设施安全的，由电力管理部门责令停止作业、恢复原状并赔偿损失。第二十九条：违反本条例规定，危害电力设施建设的，由电力管理部门责令改正、恢复原状并赔偿损失。</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仿宋_GB2312"/>
                <w:color w:val="000000" w:themeColor="text1"/>
                <w:sz w:val="21"/>
                <w:szCs w:val="21"/>
                <w:lang w:val="en-US" w:eastAsia="zh-CN"/>
                <w14:textFill>
                  <w14:solidFill>
                    <w14:schemeClr w14:val="tx1"/>
                  </w14:solidFill>
                </w14:textFill>
              </w:rPr>
              <w:t>3.地方性法规《四川省反窃电管理办法》第二十条：窃电行为经查证属实的，电力行政管理部门应当责令窃电者停止违法行为，向被窃电者补交电费，并处应交电费1倍以上5倍以下的罚款。第二十二条：有下列行为之一的，由电力行政管理部门处以2千元以上1万元以下罚款：（一）以获取非法利益为目的，向他人传授窃电技术的；（二）为他人窃电提供条件的。地方性法规《四川省电力设施保护和供用电秩序维护条例》第五十二条：违反本条例第三十三条规定，盗窃电能的，由电力管理部门责令停止违法行为，并处以应交电费一倍以上五倍以下的罚款。第四十九条：违反本条例第十四条第六项至第十项规定，危害电力设施安全的，由电力管理部门责令改正；拒不改正的，处以一千元以上一万元以下的罚款。第五十条：违反本条例第十五条规定，在架空电力线路保护区内实施危及电力设施安全行为的，由电力管理部门责令停止作业、恢复原状。第五十一条：电力设施产权人违反本条例规定，有下列情形之一的，由电力管理部门责令改正；情节严重的，并处以一万元以上五万元以下罚款：（一）未制定电力设施突发事件应急预案的；（二）未按规定对电力设施进行维护、检修而造成事故的。第五十三条：违反本条例第三十五条、第三十六条规定，供电人中止供电不符合法定情形或者中止供电未按要求履行公告义务的，由电力管理部门责令改正，给予警告；情节严重的，处以五千元以上三万元以下罚款。第五十四条 供电人违反本条例第三十七条规定不按时恢复供电的，由电力管理部门责令改正，给予警告；情节严重的，处以一万元以上三万元以下罚款。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责任主体</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宋体" w:hAnsi="宋体" w:eastAsia="宋体" w:cs="仿宋_GB2312"/>
                <w:color w:val="FF0000"/>
                <w:sz w:val="21"/>
                <w:szCs w:val="21"/>
                <w:lang w:eastAsia="zh-CN"/>
              </w:rPr>
            </w:pPr>
            <w:r>
              <w:rPr>
                <w:rFonts w:hint="eastAsia" w:ascii="宋体" w:hAnsi="宋体" w:cs="仿宋_GB2312"/>
                <w:color w:val="000000" w:themeColor="text1"/>
                <w:sz w:val="21"/>
                <w:szCs w:val="21"/>
                <w:lang w:eastAsia="zh-CN"/>
                <w14:textFill>
                  <w14:solidFill>
                    <w14:schemeClr w14:val="tx1"/>
                  </w14:solidFill>
                </w14:textFill>
              </w:rPr>
              <w:t>船山区经济信息化和科学技术局信息化和运行保障股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责任事项</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000000" w:themeColor="text1"/>
                <w:sz w:val="21"/>
                <w:szCs w:val="21"/>
                <w14:textFill>
                  <w14:solidFill>
                    <w14:schemeClr w14:val="tx1"/>
                  </w14:solidFill>
                </w14:textFill>
              </w:rPr>
            </w:pPr>
            <w:r>
              <w:rPr>
                <w:rFonts w:ascii="宋体" w:hAnsi="宋体" w:cs="仿宋_GB2312"/>
                <w:color w:val="000000" w:themeColor="text1"/>
                <w:sz w:val="21"/>
                <w:szCs w:val="21"/>
                <w14:textFill>
                  <w14:solidFill>
                    <w14:schemeClr w14:val="tx1"/>
                  </w14:solidFill>
                </w14:textFill>
              </w:rPr>
              <w:t>1.受理责任：公示应当提交的材料，一次性告知补正材料，依法受理或不予受理（不予受理应当告知理由）。</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000000" w:themeColor="text1"/>
                <w:sz w:val="21"/>
                <w:szCs w:val="21"/>
                <w14:textFill>
                  <w14:solidFill>
                    <w14:schemeClr w14:val="tx1"/>
                  </w14:solidFill>
                </w14:textFill>
              </w:rPr>
            </w:pPr>
            <w:r>
              <w:rPr>
                <w:rFonts w:ascii="宋体" w:hAnsi="宋体" w:cs="仿宋_GB2312"/>
                <w:color w:val="000000" w:themeColor="text1"/>
                <w:sz w:val="21"/>
                <w:szCs w:val="21"/>
                <w14:textFill>
                  <w14:solidFill>
                    <w14:schemeClr w14:val="tx1"/>
                  </w14:solidFill>
                </w14:textFill>
              </w:rPr>
              <w:t>2.审查责任：审查申请材料，现场踏勘。</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000000" w:themeColor="text1"/>
                <w:sz w:val="21"/>
                <w:szCs w:val="21"/>
                <w14:textFill>
                  <w14:solidFill>
                    <w14:schemeClr w14:val="tx1"/>
                  </w14:solidFill>
                </w14:textFill>
              </w:rPr>
            </w:pPr>
            <w:r>
              <w:rPr>
                <w:rFonts w:ascii="宋体" w:hAnsi="宋体" w:cs="仿宋_GB2312"/>
                <w:color w:val="000000" w:themeColor="text1"/>
                <w:sz w:val="21"/>
                <w:szCs w:val="21"/>
                <w14:textFill>
                  <w14:solidFill>
                    <w14:schemeClr w14:val="tx1"/>
                  </w14:solidFill>
                </w14:textFill>
              </w:rPr>
              <w:t>3.决定责任：作出行政许可或者不予行政许可决定，法定告知（不予许可的应当书面告知理由）。</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000000" w:themeColor="text1"/>
                <w:sz w:val="21"/>
                <w:szCs w:val="21"/>
                <w14:textFill>
                  <w14:solidFill>
                    <w14:schemeClr w14:val="tx1"/>
                  </w14:solidFill>
                </w14:textFill>
              </w:rPr>
            </w:pPr>
            <w:r>
              <w:rPr>
                <w:rFonts w:ascii="宋体" w:hAnsi="宋体" w:cs="仿宋_GB2312"/>
                <w:color w:val="000000" w:themeColor="text1"/>
                <w:sz w:val="21"/>
                <w:szCs w:val="21"/>
                <w14:textFill>
                  <w14:solidFill>
                    <w14:schemeClr w14:val="tx1"/>
                  </w14:solidFill>
                </w14:textFill>
              </w:rPr>
              <w:t>4.事后监管责任：建立实施监督检查的运行机制和管理制度，开展定期和不定期检查，依法采取相关处置措施。</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000000" w:themeColor="text1"/>
                <w:sz w:val="21"/>
                <w:szCs w:val="21"/>
                <w14:textFill>
                  <w14:solidFill>
                    <w14:schemeClr w14:val="tx1"/>
                  </w14:solidFill>
                </w14:textFill>
              </w:rPr>
            </w:pPr>
            <w:r>
              <w:rPr>
                <w:rFonts w:ascii="宋体" w:hAnsi="宋体" w:cs="仿宋_GB2312"/>
                <w:color w:val="000000" w:themeColor="text1"/>
                <w:sz w:val="21"/>
                <w:szCs w:val="21"/>
                <w14:textFill>
                  <w14:solidFill>
                    <w14:schemeClr w14:val="tx1"/>
                  </w14:solidFill>
                </w14:textFill>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宋体" w:hAnsi="宋体" w:cs="仿宋_GB2312"/>
                <w:sz w:val="21"/>
                <w:szCs w:val="21"/>
              </w:rPr>
            </w:pP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eastAsia" w:ascii="宋体" w:hAnsi="宋体" w:cs="仿宋_GB2312"/>
                <w:sz w:val="21"/>
                <w:szCs w:val="21"/>
              </w:rPr>
            </w:pP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eastAsia" w:ascii="宋体" w:hAnsi="宋体" w:cs="仿宋_GB2312"/>
                <w:sz w:val="21"/>
                <w:szCs w:val="21"/>
              </w:rPr>
            </w:pP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eastAsia" w:ascii="宋体" w:hAnsi="宋体" w:cs="仿宋_GB2312"/>
                <w:sz w:val="21"/>
                <w:szCs w:val="21"/>
              </w:rPr>
            </w:pP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eastAsia" w:ascii="宋体" w:hAnsi="宋体" w:cs="仿宋_GB2312"/>
                <w:sz w:val="21"/>
                <w:szCs w:val="21"/>
              </w:rPr>
            </w:pP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eastAsia" w:ascii="宋体" w:hAnsi="宋体" w:cs="仿宋_GB2312"/>
                <w:sz w:val="21"/>
                <w:szCs w:val="21"/>
              </w:rPr>
            </w:pP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eastAsia" w:ascii="宋体" w:hAnsi="宋体" w:cs="仿宋_GB2312"/>
                <w:sz w:val="21"/>
                <w:szCs w:val="21"/>
              </w:rPr>
            </w:pP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eastAsia" w:ascii="宋体" w:hAnsi="宋体" w:cs="仿宋_GB2312"/>
                <w:sz w:val="21"/>
                <w:szCs w:val="21"/>
              </w:rPr>
            </w:pP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eastAsia" w:ascii="宋体" w:hAnsi="宋体" w:cs="仿宋_GB2312"/>
                <w:sz w:val="21"/>
                <w:szCs w:val="21"/>
              </w:rPr>
            </w:pP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eastAsia" w:ascii="宋体" w:hAnsi="宋体" w:cs="仿宋_GB2312"/>
                <w:sz w:val="21"/>
                <w:szCs w:val="21"/>
              </w:rPr>
            </w:pP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eastAsia" w:ascii="宋体" w:hAnsi="宋体" w:cs="仿宋_GB2312"/>
                <w:sz w:val="21"/>
                <w:szCs w:val="21"/>
              </w:rPr>
            </w:pP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eastAsia" w:ascii="宋体" w:hAnsi="宋体" w:cs="仿宋_GB2312"/>
                <w:sz w:val="21"/>
                <w:szCs w:val="21"/>
              </w:rPr>
            </w:pP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eastAsia" w:ascii="宋体" w:hAnsi="宋体" w:cs="仿宋_GB2312"/>
                <w:sz w:val="21"/>
                <w:szCs w:val="21"/>
              </w:rPr>
            </w:pPr>
            <w:r>
              <w:rPr>
                <w:rFonts w:hint="eastAsia" w:ascii="宋体" w:hAnsi="宋体" w:cs="仿宋_GB2312"/>
                <w:sz w:val="21"/>
                <w:szCs w:val="21"/>
              </w:rPr>
              <w:t>责任事项依据</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000000" w:themeColor="text1"/>
                <w:sz w:val="21"/>
                <w:szCs w:val="21"/>
                <w14:textFill>
                  <w14:solidFill>
                    <w14:schemeClr w14:val="tx1"/>
                  </w14:solidFill>
                </w14:textFill>
              </w:rPr>
            </w:pPr>
            <w:r>
              <w:rPr>
                <w:rFonts w:ascii="宋体" w:hAnsi="宋体" w:cs="仿宋_GB2312"/>
                <w:color w:val="000000" w:themeColor="text1"/>
                <w:sz w:val="21"/>
                <w:szCs w:val="21"/>
                <w14:textFill>
                  <w14:solidFill>
                    <w14:schemeClr w14:val="tx1"/>
                  </w14:solidFill>
                </w14:textFill>
              </w:rPr>
              <w:t>《行政许可法》</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hint="default" w:ascii="宋体" w:hAnsi="宋体" w:cs="仿宋_GB2312"/>
                <w:color w:val="000000" w:themeColor="text1"/>
                <w:sz w:val="21"/>
                <w:szCs w:val="21"/>
                <w14:textFill>
                  <w14:solidFill>
                    <w14:schemeClr w14:val="tx1"/>
                  </w14:solidFill>
                </w14:textFill>
              </w:rPr>
            </w:pPr>
            <w:r>
              <w:rPr>
                <w:rFonts w:hint="default" w:ascii="宋体" w:hAnsi="宋体" w:cs="仿宋_GB2312"/>
                <w:color w:val="000000" w:themeColor="text1"/>
                <w:sz w:val="21"/>
                <w:szCs w:val="21"/>
                <w14:textFill>
                  <w14:solidFill>
                    <w14:schemeClr w14:val="tx1"/>
                  </w14:solidFill>
                </w14:textFill>
              </w:rPr>
              <w:t>第三十二条</w:t>
            </w:r>
            <w:r>
              <w:rPr>
                <w:rFonts w:hint="eastAsia" w:ascii="宋体" w:hAnsi="宋体" w:cs="仿宋_GB2312"/>
                <w:color w:val="000000" w:themeColor="text1"/>
                <w:sz w:val="21"/>
                <w:szCs w:val="21"/>
                <w:lang w:val="en-US" w:eastAsia="zh-CN"/>
                <w14:textFill>
                  <w14:solidFill>
                    <w14:schemeClr w14:val="tx1"/>
                  </w14:solidFill>
                </w14:textFill>
              </w:rPr>
              <w:t xml:space="preserve">  </w:t>
            </w:r>
            <w:r>
              <w:rPr>
                <w:rFonts w:hint="default" w:ascii="宋体" w:hAnsi="宋体" w:cs="仿宋_GB2312"/>
                <w:color w:val="000000" w:themeColor="text1"/>
                <w:sz w:val="21"/>
                <w:szCs w:val="21"/>
                <w14:textFill>
                  <w14:solidFill>
                    <w14:schemeClr w14:val="tx1"/>
                  </w14:solidFill>
                </w14:textFill>
              </w:rPr>
              <w:t>行政机关对申请人提出的行政许可申请，应当根据下列情况分别作出处理：</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（一）申请事项依法不需要取得行政许可的，应当即时告知申请人不受理；</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（二）申请事项依法不属于本行政机关职权范围的，应当即时作出不予受理的决定，并告知申请人向有关行政机关申请；</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（三）申请材料存在可以当场更正的错误的，应当允许申请人当场更正；</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（四）申请材料不齐全或者不符合法定形式的，应当当场或者在五日内一次告知申请人需要补正的全部内容，逾期不告知的，自收到申请材料之日起即为受理；</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（五）申请事项属于本行政机关职权范围，申请材料齐全、符合法定形式，或者申请人按照本行政机关的要求提交全部补正申请材料的，应当受理行政许可申请。</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行政机关受理或者不予受理行政许可申请，应当出具加盖本行政机关专用印章和注明日期的书面凭证。</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hint="eastAsia" w:ascii="宋体" w:hAnsi="宋体" w:cs="仿宋_GB2312"/>
                <w:color w:val="000000" w:themeColor="text1"/>
                <w:sz w:val="21"/>
                <w:szCs w:val="21"/>
                <w14:textFill>
                  <w14:solidFill>
                    <w14:schemeClr w14:val="tx1"/>
                  </w14:solidFill>
                </w14:textFill>
              </w:rPr>
            </w:pPr>
            <w:r>
              <w:rPr>
                <w:rFonts w:hint="default" w:ascii="宋体" w:hAnsi="宋体" w:cs="仿宋_GB2312"/>
                <w:color w:val="000000" w:themeColor="text1"/>
                <w:sz w:val="21"/>
                <w:szCs w:val="21"/>
                <w14:textFill>
                  <w14:solidFill>
                    <w14:schemeClr w14:val="tx1"/>
                  </w14:solidFill>
                </w14:textFill>
              </w:rPr>
              <w:t>第三十四条</w:t>
            </w:r>
            <w:r>
              <w:rPr>
                <w:rFonts w:hint="eastAsia" w:ascii="宋体" w:hAnsi="宋体" w:cs="仿宋_GB2312"/>
                <w:color w:val="000000" w:themeColor="text1"/>
                <w:sz w:val="21"/>
                <w:szCs w:val="21"/>
                <w:lang w:val="en-US" w:eastAsia="zh-CN"/>
                <w14:textFill>
                  <w14:solidFill>
                    <w14:schemeClr w14:val="tx1"/>
                  </w14:solidFill>
                </w14:textFill>
              </w:rPr>
              <w:t xml:space="preserve">  </w:t>
            </w:r>
            <w:r>
              <w:rPr>
                <w:rFonts w:hint="default" w:ascii="宋体" w:hAnsi="宋体" w:cs="仿宋_GB2312"/>
                <w:color w:val="000000" w:themeColor="text1"/>
                <w:sz w:val="21"/>
                <w:szCs w:val="21"/>
                <w14:textFill>
                  <w14:solidFill>
                    <w14:schemeClr w14:val="tx1"/>
                  </w14:solidFill>
                </w14:textFill>
              </w:rPr>
              <w:t>行政机关应当对申请人提交的申请材料进行审查。</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申请人提交的申请材料齐全、符合法定形式，行政机关能够当场作出决定的，应当当场作出书面的行政许可决定。</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根据法定条件和程序，需要对申请材料的实质内容进行核实的，行政机关应当指派两名以上工作人员进行核查。</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第三十八条</w:t>
            </w:r>
            <w:r>
              <w:rPr>
                <w:rFonts w:hint="eastAsia" w:ascii="宋体" w:hAnsi="宋体" w:cs="仿宋_GB2312"/>
                <w:color w:val="000000" w:themeColor="text1"/>
                <w:sz w:val="21"/>
                <w:szCs w:val="21"/>
                <w:lang w:val="en-US" w:eastAsia="zh-CN"/>
                <w14:textFill>
                  <w14:solidFill>
                    <w14:schemeClr w14:val="tx1"/>
                  </w14:solidFill>
                </w14:textFill>
              </w:rPr>
              <w:t xml:space="preserve">  </w:t>
            </w:r>
            <w:r>
              <w:rPr>
                <w:rFonts w:hint="default" w:ascii="宋体" w:hAnsi="宋体" w:cs="仿宋_GB2312"/>
                <w:color w:val="000000" w:themeColor="text1"/>
                <w:sz w:val="21"/>
                <w:szCs w:val="21"/>
                <w14:textFill>
                  <w14:solidFill>
                    <w14:schemeClr w14:val="tx1"/>
                  </w14:solidFill>
                </w14:textFill>
              </w:rPr>
              <w:t>申请人的申请符合法定条件、标准的，行政机关应当依法作出准予行政许可的书面决定。</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行政机关依法作出不予行政许可的书面决定的，应当说明理由，并告知申请人享有依法申请行政复议或者提起行政诉讼的权利。</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第六十一条</w:t>
            </w:r>
            <w:r>
              <w:rPr>
                <w:rFonts w:hint="eastAsia" w:ascii="宋体" w:hAnsi="宋体" w:cs="仿宋_GB2312"/>
                <w:color w:val="000000" w:themeColor="text1"/>
                <w:sz w:val="21"/>
                <w:szCs w:val="21"/>
                <w:lang w:val="en-US" w:eastAsia="zh-CN"/>
                <w14:textFill>
                  <w14:solidFill>
                    <w14:schemeClr w14:val="tx1"/>
                  </w14:solidFill>
                </w14:textFill>
              </w:rPr>
              <w:t xml:space="preserve">  </w:t>
            </w:r>
            <w:r>
              <w:rPr>
                <w:rFonts w:hint="default" w:ascii="宋体" w:hAnsi="宋体" w:cs="仿宋_GB2312"/>
                <w:color w:val="000000" w:themeColor="text1"/>
                <w:sz w:val="21"/>
                <w:szCs w:val="21"/>
                <w14:textFill>
                  <w14:solidFill>
                    <w14:schemeClr w14:val="tx1"/>
                  </w14:solidFill>
                </w14:textFill>
              </w:rPr>
              <w:t>行政机关应当建立健全监督制度，通过核查反映被许可人从事行政许可事项活动情况的有关材料，履行监督责任。</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行政机关依法对被许可人从事行政许可事项的活动进行监督检查时，应当将监督检查的情况和处理结果予以记录，由监督检查人员签字后归档。公众有权查阅行政机关监督检查记录。</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行政机关应当创造条件，实现与被许可人、其他有关行政机关的计算机档案系统互联，核查被许可人从事行政许可事项活动情况。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追责情形</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000000" w:themeColor="text1"/>
                <w:sz w:val="21"/>
                <w:szCs w:val="21"/>
                <w14:textFill>
                  <w14:solidFill>
                    <w14:schemeClr w14:val="tx1"/>
                  </w14:solidFill>
                </w14:textFill>
              </w:rPr>
            </w:pPr>
            <w:r>
              <w:rPr>
                <w:rFonts w:hint="eastAsia" w:ascii="宋体" w:hAnsi="宋体" w:cs="仿宋_GB2312"/>
                <w:color w:val="000000" w:themeColor="text1"/>
                <w:sz w:val="21"/>
                <w:szCs w:val="21"/>
                <w14:textFill>
                  <w14:solidFill>
                    <w14:schemeClr w14:val="tx1"/>
                  </w14:solidFill>
                </w14:textFill>
              </w:rPr>
              <w:t>对不履行或不正确履行行政职责的行政机关及其工作人员，依据</w:t>
            </w:r>
            <w:r>
              <w:rPr>
                <w:rFonts w:hint="eastAsia" w:ascii="宋体" w:hAnsi="宋体" w:cs="仿宋_GB2312"/>
                <w:color w:val="000000" w:themeColor="text1"/>
                <w:sz w:val="21"/>
                <w:szCs w:val="21"/>
                <w:lang w:eastAsia="zh-CN"/>
                <w14:textFill>
                  <w14:solidFill>
                    <w14:schemeClr w14:val="tx1"/>
                  </w14:solidFill>
                </w14:textFill>
              </w:rPr>
              <w:t>《中华人民共和国监察法》</w:t>
            </w:r>
            <w:r>
              <w:rPr>
                <w:rFonts w:hint="eastAsia" w:ascii="宋体" w:hAnsi="宋体" w:cs="仿宋_GB2312"/>
                <w:color w:val="000000" w:themeColor="text1"/>
                <w:sz w:val="21"/>
                <w:szCs w:val="21"/>
                <w14:textFill>
                  <w14:solidFill>
                    <w14:schemeClr w14:val="tx1"/>
                  </w14:solidFill>
                </w14:textFill>
              </w:rPr>
              <w:t>、《中华人民共和国行政许可法》、《行政机关公务员处分条例》、《四川省行政审批违法违纪行为责任追究办法》等法律法规规章的相关规定追究相应的责任。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color w:val="000000" w:themeColor="text1"/>
                <w:sz w:val="21"/>
                <w:szCs w:val="21"/>
                <w14:textFill>
                  <w14:solidFill>
                    <w14:schemeClr w14:val="tx1"/>
                  </w14:solidFill>
                </w14:textFill>
              </w:rPr>
            </w:pPr>
            <w:r>
              <w:rPr>
                <w:rFonts w:hint="eastAsia" w:ascii="宋体" w:hAnsi="宋体" w:cs="仿宋_GB2312"/>
                <w:color w:val="000000" w:themeColor="text1"/>
                <w:sz w:val="21"/>
                <w:szCs w:val="21"/>
                <w14:textFill>
                  <w14:solidFill>
                    <w14:schemeClr w14:val="tx1"/>
                  </w14:solidFill>
                </w14:textFill>
              </w:rPr>
              <w:t>监督电话</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hint="default" w:ascii="宋体" w:hAnsi="宋体" w:eastAsia="宋体" w:cs="仿宋_GB2312"/>
                <w:color w:val="000000" w:themeColor="text1"/>
                <w:sz w:val="21"/>
                <w:szCs w:val="21"/>
                <w:lang w:val="en-US" w:eastAsia="zh-CN"/>
                <w14:textFill>
                  <w14:solidFill>
                    <w14:schemeClr w14:val="tx1"/>
                  </w14:solidFill>
                </w14:textFill>
              </w:rPr>
            </w:pPr>
            <w:r>
              <w:rPr>
                <w:rFonts w:hint="eastAsia" w:ascii="宋体" w:hAnsi="宋体" w:cs="仿宋_GB2312"/>
                <w:color w:val="000000" w:themeColor="text1"/>
                <w:sz w:val="21"/>
                <w:szCs w:val="21"/>
                <w14:textFill>
                  <w14:solidFill>
                    <w14:schemeClr w14:val="tx1"/>
                  </w14:solidFill>
                </w14:textFill>
              </w:rPr>
              <w:t>0825</w:t>
            </w:r>
            <w:r>
              <w:rPr>
                <w:rFonts w:hint="eastAsia" w:ascii="宋体" w:hAnsi="宋体" w:cs="仿宋_GB2312"/>
                <w:color w:val="000000" w:themeColor="text1"/>
                <w:sz w:val="21"/>
                <w:szCs w:val="21"/>
                <w:lang w:val="en-US" w:eastAsia="zh-CN"/>
                <w14:textFill>
                  <w14:solidFill>
                    <w14:schemeClr w14:val="tx1"/>
                  </w14:solidFill>
                </w14:textFill>
              </w:rPr>
              <w:t>-6807580</w:t>
            </w:r>
          </w:p>
        </w:tc>
      </w:tr>
    </w:tbl>
    <w:p>
      <w:pPr>
        <w:spacing w:line="520" w:lineRule="exact"/>
        <w:rPr>
          <w:rFonts w:hint="eastAsia" w:ascii="仿宋_GB2312" w:hAnsi="仿宋_GB2312" w:eastAsia="仿宋_GB2312" w:cs="仿宋_GB2312"/>
          <w:color w:val="000000"/>
          <w:kern w:val="0"/>
          <w:sz w:val="32"/>
          <w:szCs w:val="32"/>
          <w:u w:val="none" w:color="000000"/>
          <w:lang w:val="en-US" w:eastAsia="zh-CN"/>
        </w:rPr>
      </w:pPr>
    </w:p>
    <w:p>
      <w:pPr>
        <w:spacing w:line="580" w:lineRule="exact"/>
        <w:jc w:val="center"/>
        <w:rPr>
          <w:rFonts w:hint="eastAsia" w:ascii="仿宋_GB2312" w:hAnsi="仿宋_GB2312" w:eastAsia="仿宋_GB2312" w:cs="仿宋_GB2312"/>
          <w:color w:val="000000"/>
          <w:kern w:val="0"/>
          <w:sz w:val="32"/>
          <w:szCs w:val="32"/>
          <w:u w:val="none" w:color="000000"/>
          <w:lang w:val="en-US" w:eastAsia="zh-CN"/>
        </w:rPr>
      </w:pPr>
      <w:r>
        <w:rPr>
          <w:rFonts w:hint="eastAsia" w:ascii="黑体" w:hAnsi="黑体" w:eastAsia="黑体"/>
          <w:b/>
          <w:sz w:val="32"/>
          <w:szCs w:val="32"/>
          <w:lang w:eastAsia="zh-CN"/>
        </w:rPr>
        <w:t>经科局行政权力</w:t>
      </w:r>
      <w:r>
        <w:rPr>
          <w:rFonts w:hint="eastAsia" w:ascii="黑体" w:hAnsi="黑体" w:eastAsia="黑体"/>
          <w:b/>
          <w:sz w:val="32"/>
          <w:szCs w:val="32"/>
        </w:rPr>
        <w:t>责任清单</w:t>
      </w:r>
    </w:p>
    <w:tbl>
      <w:tblPr>
        <w:tblStyle w:val="5"/>
        <w:tblW w:w="91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7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序</w:t>
            </w:r>
            <w:r>
              <w:rPr>
                <w:rFonts w:hint="eastAsia" w:ascii="宋体" w:hAnsi="宋体" w:cs="仿宋_GB2312"/>
                <w:sz w:val="21"/>
                <w:szCs w:val="21"/>
                <w:lang w:val="en-US" w:eastAsia="zh-CN"/>
              </w:rPr>
              <w:t xml:space="preserve">   </w:t>
            </w:r>
            <w:r>
              <w:rPr>
                <w:rFonts w:hint="eastAsia" w:ascii="宋体" w:hAnsi="宋体" w:cs="仿宋_GB2312"/>
                <w:sz w:val="21"/>
                <w:szCs w:val="21"/>
              </w:rPr>
              <w:t>号</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宋体" w:hAnsi="宋体" w:eastAsia="宋体" w:cs="仿宋_GB2312"/>
                <w:sz w:val="21"/>
                <w:szCs w:val="21"/>
                <w:lang w:val="en-US" w:eastAsia="zh-CN"/>
              </w:rPr>
            </w:pPr>
            <w:r>
              <w:rPr>
                <w:rFonts w:hint="eastAsia" w:ascii="宋体" w:hAnsi="宋体" w:cs="仿宋_GB2312"/>
                <w:b/>
                <w:bCs/>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权力类型</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权力项目名称</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宋体" w:hAnsi="宋体" w:eastAsia="宋体" w:cs="仿宋_GB2312"/>
                <w:sz w:val="21"/>
                <w:szCs w:val="21"/>
                <w:lang w:eastAsia="zh-CN"/>
              </w:rPr>
            </w:pPr>
            <w:r>
              <w:rPr>
                <w:rFonts w:hint="eastAsia" w:ascii="宋体" w:hAnsi="宋体" w:cs="仿宋_GB2312"/>
                <w:sz w:val="21"/>
                <w:szCs w:val="21"/>
                <w:lang w:eastAsia="zh-CN"/>
              </w:rPr>
              <w:t>对非食盐定点企业生产或批发食盐的处罚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实施依据</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FF0000"/>
                <w:sz w:val="21"/>
                <w:szCs w:val="21"/>
              </w:rPr>
            </w:pPr>
            <w:r>
              <w:rPr>
                <w:rFonts w:hint="eastAsia" w:ascii="宋体" w:hAnsi="宋体" w:cs="仿宋_GB2312"/>
                <w:color w:val="000000" w:themeColor="text1"/>
                <w:sz w:val="21"/>
                <w:szCs w:val="21"/>
                <w14:textFill>
                  <w14:solidFill>
                    <w14:schemeClr w14:val="tx1"/>
                  </w14:solidFill>
                </w14:textFill>
              </w:rPr>
              <w:t>《食盐专营办法》第二十六条  有下列情形之一的，由县级以上地方人民政府盐业主管部门予以取缔，没收违法生产经营的食盐和违法所得。违法生产经营的食盐货值金额不足1万元的，可以处5万元以下的罚款；货值金额1万元以上的，并处货值金额5倍以上10倍以下的罚款： （一）非食盐定点生产企业生产食盐； （二）非食盐定点批发企业经营食盐批发业务。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责任主体</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宋体" w:hAnsi="宋体" w:eastAsia="宋体" w:cs="仿宋_GB2312"/>
                <w:color w:val="FF0000"/>
                <w:sz w:val="21"/>
                <w:szCs w:val="21"/>
                <w:lang w:eastAsia="zh-CN"/>
              </w:rPr>
            </w:pPr>
            <w:r>
              <w:rPr>
                <w:rFonts w:hint="eastAsia" w:ascii="宋体" w:hAnsi="宋体" w:cs="仿宋_GB2312"/>
                <w:color w:val="000000" w:themeColor="text1"/>
                <w:sz w:val="21"/>
                <w:szCs w:val="21"/>
                <w:lang w:eastAsia="zh-CN"/>
                <w14:textFill>
                  <w14:solidFill>
                    <w14:schemeClr w14:val="tx1"/>
                  </w14:solidFill>
                </w14:textFill>
              </w:rPr>
              <w:t>船山区经济信息化和科学技术局信息化和运行保障股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责任事项</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000000" w:themeColor="text1"/>
                <w:sz w:val="21"/>
                <w:szCs w:val="21"/>
                <w14:textFill>
                  <w14:solidFill>
                    <w14:schemeClr w14:val="tx1"/>
                  </w14:solidFill>
                </w14:textFill>
              </w:rPr>
            </w:pPr>
            <w:r>
              <w:rPr>
                <w:rFonts w:ascii="宋体" w:hAnsi="宋体" w:cs="仿宋_GB2312"/>
                <w:color w:val="000000" w:themeColor="text1"/>
                <w:sz w:val="21"/>
                <w:szCs w:val="21"/>
                <w14:textFill>
                  <w14:solidFill>
                    <w14:schemeClr w14:val="tx1"/>
                  </w14:solidFill>
                </w14:textFill>
              </w:rPr>
              <w:t>1.受理责任：公示应当提交的材料，一次性告知补正材料，依法受理或不予受理（不予受理应当告知理由）。</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000000" w:themeColor="text1"/>
                <w:sz w:val="21"/>
                <w:szCs w:val="21"/>
                <w14:textFill>
                  <w14:solidFill>
                    <w14:schemeClr w14:val="tx1"/>
                  </w14:solidFill>
                </w14:textFill>
              </w:rPr>
            </w:pPr>
            <w:r>
              <w:rPr>
                <w:rFonts w:ascii="宋体" w:hAnsi="宋体" w:cs="仿宋_GB2312"/>
                <w:color w:val="000000" w:themeColor="text1"/>
                <w:sz w:val="21"/>
                <w:szCs w:val="21"/>
                <w14:textFill>
                  <w14:solidFill>
                    <w14:schemeClr w14:val="tx1"/>
                  </w14:solidFill>
                </w14:textFill>
              </w:rPr>
              <w:t>2.审查责任：审查申请材料，现场踏勘。</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000000" w:themeColor="text1"/>
                <w:sz w:val="21"/>
                <w:szCs w:val="21"/>
                <w14:textFill>
                  <w14:solidFill>
                    <w14:schemeClr w14:val="tx1"/>
                  </w14:solidFill>
                </w14:textFill>
              </w:rPr>
            </w:pPr>
            <w:r>
              <w:rPr>
                <w:rFonts w:ascii="宋体" w:hAnsi="宋体" w:cs="仿宋_GB2312"/>
                <w:color w:val="000000" w:themeColor="text1"/>
                <w:sz w:val="21"/>
                <w:szCs w:val="21"/>
                <w14:textFill>
                  <w14:solidFill>
                    <w14:schemeClr w14:val="tx1"/>
                  </w14:solidFill>
                </w14:textFill>
              </w:rPr>
              <w:t>3.决定责任：作出行政许可或者不予行政许可决定，法定告知（不予许可的应当书面告知理由）。</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000000" w:themeColor="text1"/>
                <w:sz w:val="21"/>
                <w:szCs w:val="21"/>
                <w14:textFill>
                  <w14:solidFill>
                    <w14:schemeClr w14:val="tx1"/>
                  </w14:solidFill>
                </w14:textFill>
              </w:rPr>
            </w:pPr>
            <w:r>
              <w:rPr>
                <w:rFonts w:ascii="宋体" w:hAnsi="宋体" w:cs="仿宋_GB2312"/>
                <w:color w:val="000000" w:themeColor="text1"/>
                <w:sz w:val="21"/>
                <w:szCs w:val="21"/>
                <w14:textFill>
                  <w14:solidFill>
                    <w14:schemeClr w14:val="tx1"/>
                  </w14:solidFill>
                </w14:textFill>
              </w:rPr>
              <w:t>4.事后监管责任：建立实施监督检查的运行机制和管理制度，开展定期和不定期检查，依法采取相关处置措施。</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000000" w:themeColor="text1"/>
                <w:sz w:val="21"/>
                <w:szCs w:val="21"/>
                <w14:textFill>
                  <w14:solidFill>
                    <w14:schemeClr w14:val="tx1"/>
                  </w14:solidFill>
                </w14:textFill>
              </w:rPr>
            </w:pPr>
            <w:r>
              <w:rPr>
                <w:rFonts w:ascii="宋体" w:hAnsi="宋体" w:cs="仿宋_GB2312"/>
                <w:color w:val="000000" w:themeColor="text1"/>
                <w:sz w:val="21"/>
                <w:szCs w:val="21"/>
                <w14:textFill>
                  <w14:solidFill>
                    <w14:schemeClr w14:val="tx1"/>
                  </w14:solidFill>
                </w14:textFill>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宋体" w:hAnsi="宋体" w:cs="仿宋_GB2312"/>
                <w:sz w:val="21"/>
                <w:szCs w:val="21"/>
              </w:rPr>
            </w:pP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eastAsia" w:ascii="宋体" w:hAnsi="宋体" w:cs="仿宋_GB2312"/>
                <w:sz w:val="21"/>
                <w:szCs w:val="21"/>
              </w:rPr>
            </w:pPr>
            <w:r>
              <w:rPr>
                <w:rFonts w:hint="eastAsia" w:ascii="宋体" w:hAnsi="宋体" w:cs="仿宋_GB2312"/>
                <w:sz w:val="21"/>
                <w:szCs w:val="21"/>
              </w:rPr>
              <w:t>责任事项依据</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000000" w:themeColor="text1"/>
                <w:sz w:val="21"/>
                <w:szCs w:val="21"/>
                <w14:textFill>
                  <w14:solidFill>
                    <w14:schemeClr w14:val="tx1"/>
                  </w14:solidFill>
                </w14:textFill>
              </w:rPr>
            </w:pPr>
            <w:r>
              <w:rPr>
                <w:rFonts w:ascii="宋体" w:hAnsi="宋体" w:cs="仿宋_GB2312"/>
                <w:color w:val="000000" w:themeColor="text1"/>
                <w:sz w:val="21"/>
                <w:szCs w:val="21"/>
                <w14:textFill>
                  <w14:solidFill>
                    <w14:schemeClr w14:val="tx1"/>
                  </w14:solidFill>
                </w14:textFill>
              </w:rPr>
              <w:t>《行政许可法》</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hint="default" w:ascii="宋体" w:hAnsi="宋体" w:cs="仿宋_GB2312"/>
                <w:color w:val="000000" w:themeColor="text1"/>
                <w:sz w:val="21"/>
                <w:szCs w:val="21"/>
                <w14:textFill>
                  <w14:solidFill>
                    <w14:schemeClr w14:val="tx1"/>
                  </w14:solidFill>
                </w14:textFill>
              </w:rPr>
            </w:pPr>
            <w:r>
              <w:rPr>
                <w:rFonts w:hint="default" w:ascii="宋体" w:hAnsi="宋体" w:cs="仿宋_GB2312"/>
                <w:color w:val="000000" w:themeColor="text1"/>
                <w:sz w:val="21"/>
                <w:szCs w:val="21"/>
                <w14:textFill>
                  <w14:solidFill>
                    <w14:schemeClr w14:val="tx1"/>
                  </w14:solidFill>
                </w14:textFill>
              </w:rPr>
              <w:t>第三十二条</w:t>
            </w:r>
            <w:r>
              <w:rPr>
                <w:rFonts w:hint="eastAsia" w:ascii="宋体" w:hAnsi="宋体" w:cs="仿宋_GB2312"/>
                <w:color w:val="000000" w:themeColor="text1"/>
                <w:sz w:val="21"/>
                <w:szCs w:val="21"/>
                <w:lang w:val="en-US" w:eastAsia="zh-CN"/>
                <w14:textFill>
                  <w14:solidFill>
                    <w14:schemeClr w14:val="tx1"/>
                  </w14:solidFill>
                </w14:textFill>
              </w:rPr>
              <w:t xml:space="preserve">  </w:t>
            </w:r>
            <w:r>
              <w:rPr>
                <w:rFonts w:hint="default" w:ascii="宋体" w:hAnsi="宋体" w:cs="仿宋_GB2312"/>
                <w:color w:val="000000" w:themeColor="text1"/>
                <w:sz w:val="21"/>
                <w:szCs w:val="21"/>
                <w14:textFill>
                  <w14:solidFill>
                    <w14:schemeClr w14:val="tx1"/>
                  </w14:solidFill>
                </w14:textFill>
              </w:rPr>
              <w:t>行政机关对申请人提出的行政许可申请，应当根据下列情况分别作出处理：</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（一）申请事项依法不需要取得行政许可的，应当即时告知申请人不受理；</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（二）申请事项依法不属于本行政机关职权范围的，应当即时作出不予受理的决定，并告知申请人向有关行政机关申请；</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（三）申请材料存在可以当场更正的错误的，应当允许申请人当场更正；</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（四）申请材料不齐全或者不符合法定形式的，应当当场或者在五日内一次告知申请人需要补正的全部内容，逾期不告知的，自收到申请材料之日起即为受理；</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（五）申请事项属于本行政机关职权范围，申请材料齐全、符合法定形式，或者申请人按照本行政机关的要求提交全部补正申请材料的，应当受理行政许可申请。</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行政机关受理或者不予受理行政许可申请，应当出具加盖本行政机关专用印章和注明日期的书面凭证。</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hint="eastAsia" w:ascii="宋体" w:hAnsi="宋体" w:cs="仿宋_GB2312"/>
                <w:color w:val="000000" w:themeColor="text1"/>
                <w:sz w:val="21"/>
                <w:szCs w:val="21"/>
                <w14:textFill>
                  <w14:solidFill>
                    <w14:schemeClr w14:val="tx1"/>
                  </w14:solidFill>
                </w14:textFill>
              </w:rPr>
            </w:pPr>
            <w:r>
              <w:rPr>
                <w:rFonts w:hint="default" w:ascii="宋体" w:hAnsi="宋体" w:cs="仿宋_GB2312"/>
                <w:color w:val="000000" w:themeColor="text1"/>
                <w:sz w:val="21"/>
                <w:szCs w:val="21"/>
                <w14:textFill>
                  <w14:solidFill>
                    <w14:schemeClr w14:val="tx1"/>
                  </w14:solidFill>
                </w14:textFill>
              </w:rPr>
              <w:t>第三十四条</w:t>
            </w:r>
            <w:r>
              <w:rPr>
                <w:rFonts w:hint="eastAsia" w:ascii="宋体" w:hAnsi="宋体" w:cs="仿宋_GB2312"/>
                <w:color w:val="000000" w:themeColor="text1"/>
                <w:sz w:val="21"/>
                <w:szCs w:val="21"/>
                <w:lang w:val="en-US" w:eastAsia="zh-CN"/>
                <w14:textFill>
                  <w14:solidFill>
                    <w14:schemeClr w14:val="tx1"/>
                  </w14:solidFill>
                </w14:textFill>
              </w:rPr>
              <w:t xml:space="preserve">  </w:t>
            </w:r>
            <w:r>
              <w:rPr>
                <w:rFonts w:hint="default" w:ascii="宋体" w:hAnsi="宋体" w:cs="仿宋_GB2312"/>
                <w:color w:val="000000" w:themeColor="text1"/>
                <w:sz w:val="21"/>
                <w:szCs w:val="21"/>
                <w14:textFill>
                  <w14:solidFill>
                    <w14:schemeClr w14:val="tx1"/>
                  </w14:solidFill>
                </w14:textFill>
              </w:rPr>
              <w:t>行政机关应当对申请人提交的申请材料进行审查。</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申请人提交的申请材料齐全、符合法定形式，行政机关能够当场作出决定的，应当当场作出书面的行政许可决定。</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根据法定条件和程序，需要对申请材料的实质内容进行核实的，行政机关应当指派两名以上工作人员进行核查。</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第三十八条</w:t>
            </w:r>
            <w:r>
              <w:rPr>
                <w:rFonts w:hint="eastAsia" w:ascii="宋体" w:hAnsi="宋体" w:cs="仿宋_GB2312"/>
                <w:color w:val="000000" w:themeColor="text1"/>
                <w:sz w:val="21"/>
                <w:szCs w:val="21"/>
                <w:lang w:val="en-US" w:eastAsia="zh-CN"/>
                <w14:textFill>
                  <w14:solidFill>
                    <w14:schemeClr w14:val="tx1"/>
                  </w14:solidFill>
                </w14:textFill>
              </w:rPr>
              <w:t xml:space="preserve">  </w:t>
            </w:r>
            <w:r>
              <w:rPr>
                <w:rFonts w:hint="default" w:ascii="宋体" w:hAnsi="宋体" w:cs="仿宋_GB2312"/>
                <w:color w:val="000000" w:themeColor="text1"/>
                <w:sz w:val="21"/>
                <w:szCs w:val="21"/>
                <w14:textFill>
                  <w14:solidFill>
                    <w14:schemeClr w14:val="tx1"/>
                  </w14:solidFill>
                </w14:textFill>
              </w:rPr>
              <w:t>申请人的申请符合法定条件、标准的，行政机关应当依法作出准予行政许可的书面决定。</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行政机关依法作出不予行政许可的书面决定的，应当说明理由，并告知申请人享有依法申请行政复议或者提起行政诉讼的权利。</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第六十一条</w:t>
            </w:r>
            <w:r>
              <w:rPr>
                <w:rFonts w:hint="eastAsia" w:ascii="宋体" w:hAnsi="宋体" w:cs="仿宋_GB2312"/>
                <w:color w:val="000000" w:themeColor="text1"/>
                <w:sz w:val="21"/>
                <w:szCs w:val="21"/>
                <w:lang w:val="en-US" w:eastAsia="zh-CN"/>
                <w14:textFill>
                  <w14:solidFill>
                    <w14:schemeClr w14:val="tx1"/>
                  </w14:solidFill>
                </w14:textFill>
              </w:rPr>
              <w:t xml:space="preserve">  </w:t>
            </w:r>
            <w:r>
              <w:rPr>
                <w:rFonts w:hint="default" w:ascii="宋体" w:hAnsi="宋体" w:cs="仿宋_GB2312"/>
                <w:color w:val="000000" w:themeColor="text1"/>
                <w:sz w:val="21"/>
                <w:szCs w:val="21"/>
                <w14:textFill>
                  <w14:solidFill>
                    <w14:schemeClr w14:val="tx1"/>
                  </w14:solidFill>
                </w14:textFill>
              </w:rPr>
              <w:t>行政机关应当建立健全监督制度，通过核查反映被许可人从事行政许可事项活动情况的有关材料，履行监督责任。</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行政机关依法对被许可人从事行政许可事项的活动进行监督检查时，应当将监督检查的情况和处理结果予以记录，由监督检查人员签字后归档。公众有权查阅行政机关监督检查记录。</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行政机关应当创造条件，实现与被许可人、其他有关行政机关的计算机档案系统互联，核查被许可人从事行政许可事项活动情况。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追责情形</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000000" w:themeColor="text1"/>
                <w:sz w:val="21"/>
                <w:szCs w:val="21"/>
                <w14:textFill>
                  <w14:solidFill>
                    <w14:schemeClr w14:val="tx1"/>
                  </w14:solidFill>
                </w14:textFill>
              </w:rPr>
            </w:pPr>
            <w:r>
              <w:rPr>
                <w:rFonts w:hint="eastAsia" w:ascii="宋体" w:hAnsi="宋体" w:cs="仿宋_GB2312"/>
                <w:color w:val="000000" w:themeColor="text1"/>
                <w:sz w:val="21"/>
                <w:szCs w:val="21"/>
                <w14:textFill>
                  <w14:solidFill>
                    <w14:schemeClr w14:val="tx1"/>
                  </w14:solidFill>
                </w14:textFill>
              </w:rPr>
              <w:t>对不履行或不正确履行行政职责的行政机关及其工作人员，依据</w:t>
            </w:r>
            <w:r>
              <w:rPr>
                <w:rFonts w:hint="eastAsia" w:ascii="宋体" w:hAnsi="宋体" w:cs="仿宋_GB2312"/>
                <w:color w:val="000000" w:themeColor="text1"/>
                <w:sz w:val="21"/>
                <w:szCs w:val="21"/>
                <w:lang w:eastAsia="zh-CN"/>
                <w14:textFill>
                  <w14:solidFill>
                    <w14:schemeClr w14:val="tx1"/>
                  </w14:solidFill>
                </w14:textFill>
              </w:rPr>
              <w:t>《中华人民共和国监察法》</w:t>
            </w:r>
            <w:r>
              <w:rPr>
                <w:rFonts w:hint="eastAsia" w:ascii="宋体" w:hAnsi="宋体" w:cs="仿宋_GB2312"/>
                <w:color w:val="000000" w:themeColor="text1"/>
                <w:sz w:val="21"/>
                <w:szCs w:val="21"/>
                <w14:textFill>
                  <w14:solidFill>
                    <w14:schemeClr w14:val="tx1"/>
                  </w14:solidFill>
                </w14:textFill>
              </w:rPr>
              <w:t>、《中华人民共和国行政许可法》、《行政机关公务员处分条例》、《四川省行政审批违法违纪行为责任追究办法》等法律法规规章的相关规定追究相应的责任。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color w:val="000000" w:themeColor="text1"/>
                <w:sz w:val="21"/>
                <w:szCs w:val="21"/>
                <w14:textFill>
                  <w14:solidFill>
                    <w14:schemeClr w14:val="tx1"/>
                  </w14:solidFill>
                </w14:textFill>
              </w:rPr>
            </w:pPr>
            <w:r>
              <w:rPr>
                <w:rFonts w:hint="eastAsia" w:ascii="宋体" w:hAnsi="宋体" w:cs="仿宋_GB2312"/>
                <w:color w:val="000000" w:themeColor="text1"/>
                <w:sz w:val="21"/>
                <w:szCs w:val="21"/>
                <w14:textFill>
                  <w14:solidFill>
                    <w14:schemeClr w14:val="tx1"/>
                  </w14:solidFill>
                </w14:textFill>
              </w:rPr>
              <w:t>监督电话</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hint="default" w:ascii="宋体" w:hAnsi="宋体" w:eastAsia="宋体" w:cs="仿宋_GB2312"/>
                <w:color w:val="000000" w:themeColor="text1"/>
                <w:sz w:val="21"/>
                <w:szCs w:val="21"/>
                <w:lang w:val="en-US" w:eastAsia="zh-CN"/>
                <w14:textFill>
                  <w14:solidFill>
                    <w14:schemeClr w14:val="tx1"/>
                  </w14:solidFill>
                </w14:textFill>
              </w:rPr>
            </w:pPr>
            <w:r>
              <w:rPr>
                <w:rFonts w:hint="eastAsia" w:ascii="宋体" w:hAnsi="宋体" w:cs="仿宋_GB2312"/>
                <w:color w:val="000000" w:themeColor="text1"/>
                <w:sz w:val="21"/>
                <w:szCs w:val="21"/>
                <w14:textFill>
                  <w14:solidFill>
                    <w14:schemeClr w14:val="tx1"/>
                  </w14:solidFill>
                </w14:textFill>
              </w:rPr>
              <w:t>0825</w:t>
            </w:r>
            <w:r>
              <w:rPr>
                <w:rFonts w:hint="eastAsia" w:ascii="宋体" w:hAnsi="宋体" w:cs="仿宋_GB2312"/>
                <w:color w:val="000000" w:themeColor="text1"/>
                <w:sz w:val="21"/>
                <w:szCs w:val="21"/>
                <w:lang w:val="en-US" w:eastAsia="zh-CN"/>
                <w14:textFill>
                  <w14:solidFill>
                    <w14:schemeClr w14:val="tx1"/>
                  </w14:solidFill>
                </w14:textFill>
              </w:rPr>
              <w:t>-6807580</w:t>
            </w:r>
          </w:p>
        </w:tc>
      </w:tr>
    </w:tbl>
    <w:p>
      <w:pPr>
        <w:spacing w:line="520" w:lineRule="exact"/>
        <w:rPr>
          <w:rFonts w:hint="eastAsia" w:ascii="仿宋_GB2312" w:hAnsi="仿宋_GB2312" w:eastAsia="仿宋_GB2312" w:cs="仿宋_GB2312"/>
          <w:color w:val="000000"/>
          <w:kern w:val="0"/>
          <w:sz w:val="32"/>
          <w:szCs w:val="32"/>
          <w:u w:val="none" w:color="000000"/>
          <w:lang w:val="en-US" w:eastAsia="zh-CN"/>
        </w:rPr>
      </w:pPr>
      <w:r>
        <w:rPr>
          <w:rFonts w:hint="eastAsia" w:ascii="仿宋_GB2312" w:hAnsi="仿宋_GB2312" w:eastAsia="仿宋_GB2312" w:cs="仿宋_GB2312"/>
          <w:color w:val="000000"/>
          <w:kern w:val="0"/>
          <w:sz w:val="32"/>
          <w:szCs w:val="32"/>
          <w:u w:val="none" w:color="000000"/>
          <w:lang w:val="en-US" w:eastAsia="zh-CN"/>
        </w:rPr>
        <w:t xml:space="preserve"> </w:t>
      </w:r>
    </w:p>
    <w:p>
      <w:pPr>
        <w:spacing w:line="520" w:lineRule="exact"/>
        <w:rPr>
          <w:rFonts w:hint="eastAsia" w:ascii="仿宋_GB2312" w:hAnsi="仿宋_GB2312" w:eastAsia="仿宋_GB2312" w:cs="仿宋_GB2312"/>
          <w:color w:val="000000"/>
          <w:kern w:val="0"/>
          <w:sz w:val="32"/>
          <w:szCs w:val="32"/>
          <w:u w:val="none" w:color="000000"/>
          <w:lang w:val="en-US" w:eastAsia="zh-CN"/>
        </w:rPr>
      </w:pPr>
    </w:p>
    <w:p>
      <w:pPr>
        <w:spacing w:line="520" w:lineRule="exact"/>
        <w:rPr>
          <w:rFonts w:hint="eastAsia" w:ascii="仿宋_GB2312" w:hAnsi="仿宋_GB2312" w:eastAsia="仿宋_GB2312" w:cs="仿宋_GB2312"/>
          <w:color w:val="000000"/>
          <w:kern w:val="0"/>
          <w:sz w:val="32"/>
          <w:szCs w:val="32"/>
          <w:u w:val="none" w:color="000000"/>
          <w:lang w:val="en-US" w:eastAsia="zh-CN"/>
        </w:rPr>
      </w:pPr>
    </w:p>
    <w:p>
      <w:pPr>
        <w:spacing w:line="520" w:lineRule="exact"/>
        <w:rPr>
          <w:rFonts w:hint="eastAsia" w:ascii="仿宋_GB2312" w:hAnsi="仿宋_GB2312" w:eastAsia="仿宋_GB2312" w:cs="仿宋_GB2312"/>
          <w:color w:val="000000"/>
          <w:kern w:val="0"/>
          <w:sz w:val="32"/>
          <w:szCs w:val="32"/>
          <w:u w:val="none" w:color="000000"/>
          <w:lang w:val="en-US" w:eastAsia="zh-CN"/>
        </w:rPr>
      </w:pPr>
    </w:p>
    <w:p>
      <w:pPr>
        <w:spacing w:line="580" w:lineRule="exact"/>
        <w:jc w:val="center"/>
        <w:rPr>
          <w:rFonts w:hint="eastAsia" w:ascii="仿宋_GB2312" w:hAnsi="仿宋_GB2312" w:eastAsia="仿宋_GB2312" w:cs="仿宋_GB2312"/>
          <w:color w:val="000000"/>
          <w:kern w:val="0"/>
          <w:sz w:val="32"/>
          <w:szCs w:val="32"/>
          <w:u w:val="none" w:color="000000"/>
          <w:lang w:val="en-US" w:eastAsia="zh-CN"/>
        </w:rPr>
      </w:pPr>
      <w:r>
        <w:rPr>
          <w:rFonts w:hint="eastAsia" w:ascii="黑体" w:hAnsi="黑体" w:eastAsia="黑体"/>
          <w:b/>
          <w:sz w:val="32"/>
          <w:szCs w:val="32"/>
          <w:lang w:eastAsia="zh-CN"/>
        </w:rPr>
        <w:t>经科局行政权力</w:t>
      </w:r>
      <w:r>
        <w:rPr>
          <w:rFonts w:hint="eastAsia" w:ascii="黑体" w:hAnsi="黑体" w:eastAsia="黑体"/>
          <w:b/>
          <w:sz w:val="32"/>
          <w:szCs w:val="32"/>
        </w:rPr>
        <w:t>责任清单</w:t>
      </w:r>
    </w:p>
    <w:tbl>
      <w:tblPr>
        <w:tblStyle w:val="5"/>
        <w:tblW w:w="91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7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序</w:t>
            </w:r>
            <w:r>
              <w:rPr>
                <w:rFonts w:hint="eastAsia" w:ascii="宋体" w:hAnsi="宋体" w:cs="仿宋_GB2312"/>
                <w:sz w:val="21"/>
                <w:szCs w:val="21"/>
                <w:lang w:val="en-US" w:eastAsia="zh-CN"/>
              </w:rPr>
              <w:t xml:space="preserve">   </w:t>
            </w:r>
            <w:r>
              <w:rPr>
                <w:rFonts w:hint="eastAsia" w:ascii="宋体" w:hAnsi="宋体" w:cs="仿宋_GB2312"/>
                <w:sz w:val="21"/>
                <w:szCs w:val="21"/>
              </w:rPr>
              <w:t>号</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宋体" w:hAnsi="宋体" w:eastAsia="宋体" w:cs="仿宋_GB2312"/>
                <w:sz w:val="21"/>
                <w:szCs w:val="21"/>
                <w:lang w:val="en-US" w:eastAsia="zh-CN"/>
              </w:rPr>
            </w:pPr>
            <w:r>
              <w:rPr>
                <w:rFonts w:hint="eastAsia" w:ascii="宋体" w:hAnsi="宋体" w:cs="仿宋_GB2312"/>
                <w:b/>
                <w:bCs/>
                <w:sz w:val="21"/>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权力类型</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权力项目名称</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宋体" w:hAnsi="宋体" w:eastAsia="宋体" w:cs="仿宋_GB2312"/>
                <w:sz w:val="21"/>
                <w:szCs w:val="21"/>
                <w:lang w:eastAsia="zh-CN"/>
              </w:rPr>
            </w:pPr>
            <w:r>
              <w:rPr>
                <w:rFonts w:hint="eastAsia" w:ascii="宋体" w:hAnsi="宋体" w:cs="仿宋_GB2312"/>
                <w:sz w:val="21"/>
                <w:szCs w:val="21"/>
                <w:lang w:eastAsia="zh-CN"/>
              </w:rPr>
              <w:t>对违反规定生产或批发食盐、非食用盐的处罚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实施依据</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hint="eastAsia" w:ascii="宋体" w:hAnsi="宋体" w:eastAsia="宋体" w:cs="仿宋_GB2312"/>
                <w:color w:val="FF0000"/>
                <w:sz w:val="21"/>
                <w:szCs w:val="21"/>
                <w:lang w:eastAsia="zh-CN"/>
              </w:rPr>
            </w:pPr>
            <w:r>
              <w:rPr>
                <w:rFonts w:hint="eastAsia" w:ascii="宋体" w:hAnsi="宋体" w:eastAsia="宋体" w:cs="仿宋_GB2312"/>
                <w:color w:val="000000" w:themeColor="text1"/>
                <w:sz w:val="21"/>
                <w:szCs w:val="21"/>
                <w:lang w:eastAsia="zh-CN"/>
                <w14:textFill>
                  <w14:solidFill>
                    <w14:schemeClr w14:val="tx1"/>
                  </w14:solidFill>
                </w14:textFill>
              </w:rPr>
              <w:t>《食盐专营办法》第二十七条  有下列情形之一的，由县级以上地方人民政府盐业主管部门责令改正，处5000元以上5万元以下的罚款；情节严重的，责令停产停业整顿，直至吊销食盐定点生产、食盐定点批发企业证书： （一）食盐定点生产企业、非食用盐生产企业未按照本办法规定保存生产销售记录； （二）食盐定点批发企业未按照本办法规定保存采购销售记录； （三）食盐定点批发企业超出国家规定的范围销售食盐； （四）将非食用盐产品作为食盐销售。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责任主体</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宋体" w:hAnsi="宋体" w:eastAsia="宋体" w:cs="仿宋_GB2312"/>
                <w:color w:val="FF0000"/>
                <w:sz w:val="21"/>
                <w:szCs w:val="21"/>
                <w:lang w:eastAsia="zh-CN"/>
              </w:rPr>
            </w:pPr>
            <w:r>
              <w:rPr>
                <w:rFonts w:hint="eastAsia" w:ascii="宋体" w:hAnsi="宋体" w:cs="仿宋_GB2312"/>
                <w:color w:val="000000" w:themeColor="text1"/>
                <w:sz w:val="21"/>
                <w:szCs w:val="21"/>
                <w:lang w:eastAsia="zh-CN"/>
                <w14:textFill>
                  <w14:solidFill>
                    <w14:schemeClr w14:val="tx1"/>
                  </w14:solidFill>
                </w14:textFill>
              </w:rPr>
              <w:t>船山区经济信息化和科学技术局信息化和运行保障股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责任事项</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000000" w:themeColor="text1"/>
                <w:sz w:val="21"/>
                <w:szCs w:val="21"/>
                <w14:textFill>
                  <w14:solidFill>
                    <w14:schemeClr w14:val="tx1"/>
                  </w14:solidFill>
                </w14:textFill>
              </w:rPr>
            </w:pPr>
            <w:r>
              <w:rPr>
                <w:rFonts w:ascii="宋体" w:hAnsi="宋体" w:cs="仿宋_GB2312"/>
                <w:color w:val="000000" w:themeColor="text1"/>
                <w:sz w:val="21"/>
                <w:szCs w:val="21"/>
                <w14:textFill>
                  <w14:solidFill>
                    <w14:schemeClr w14:val="tx1"/>
                  </w14:solidFill>
                </w14:textFill>
              </w:rPr>
              <w:t>1.受理责任：公示应当提交的材料，一次性告知补正材料，依法受理或不予受理（不予受理应当告知理由）。</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000000" w:themeColor="text1"/>
                <w:sz w:val="21"/>
                <w:szCs w:val="21"/>
                <w14:textFill>
                  <w14:solidFill>
                    <w14:schemeClr w14:val="tx1"/>
                  </w14:solidFill>
                </w14:textFill>
              </w:rPr>
            </w:pPr>
            <w:r>
              <w:rPr>
                <w:rFonts w:ascii="宋体" w:hAnsi="宋体" w:cs="仿宋_GB2312"/>
                <w:color w:val="000000" w:themeColor="text1"/>
                <w:sz w:val="21"/>
                <w:szCs w:val="21"/>
                <w14:textFill>
                  <w14:solidFill>
                    <w14:schemeClr w14:val="tx1"/>
                  </w14:solidFill>
                </w14:textFill>
              </w:rPr>
              <w:t>2.审查责任：审查申请材料，现场踏勘。</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000000" w:themeColor="text1"/>
                <w:sz w:val="21"/>
                <w:szCs w:val="21"/>
                <w14:textFill>
                  <w14:solidFill>
                    <w14:schemeClr w14:val="tx1"/>
                  </w14:solidFill>
                </w14:textFill>
              </w:rPr>
            </w:pPr>
            <w:r>
              <w:rPr>
                <w:rFonts w:ascii="宋体" w:hAnsi="宋体" w:cs="仿宋_GB2312"/>
                <w:color w:val="000000" w:themeColor="text1"/>
                <w:sz w:val="21"/>
                <w:szCs w:val="21"/>
                <w14:textFill>
                  <w14:solidFill>
                    <w14:schemeClr w14:val="tx1"/>
                  </w14:solidFill>
                </w14:textFill>
              </w:rPr>
              <w:t>3.决定责任：作出行政许可或者不予行政许可决定，法定告知（不予许可的应当书面告知理由）。</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000000" w:themeColor="text1"/>
                <w:sz w:val="21"/>
                <w:szCs w:val="21"/>
                <w14:textFill>
                  <w14:solidFill>
                    <w14:schemeClr w14:val="tx1"/>
                  </w14:solidFill>
                </w14:textFill>
              </w:rPr>
            </w:pPr>
            <w:r>
              <w:rPr>
                <w:rFonts w:ascii="宋体" w:hAnsi="宋体" w:cs="仿宋_GB2312"/>
                <w:color w:val="000000" w:themeColor="text1"/>
                <w:sz w:val="21"/>
                <w:szCs w:val="21"/>
                <w14:textFill>
                  <w14:solidFill>
                    <w14:schemeClr w14:val="tx1"/>
                  </w14:solidFill>
                </w14:textFill>
              </w:rPr>
              <w:t>4.事后监管责任：建立实施监督检查的运行机制和管理制度，开展定期和不定期检查，依法采取相关处置措施。</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000000" w:themeColor="text1"/>
                <w:sz w:val="21"/>
                <w:szCs w:val="21"/>
                <w14:textFill>
                  <w14:solidFill>
                    <w14:schemeClr w14:val="tx1"/>
                  </w14:solidFill>
                </w14:textFill>
              </w:rPr>
            </w:pPr>
            <w:r>
              <w:rPr>
                <w:rFonts w:ascii="宋体" w:hAnsi="宋体" w:cs="仿宋_GB2312"/>
                <w:color w:val="000000" w:themeColor="text1"/>
                <w:sz w:val="21"/>
                <w:szCs w:val="21"/>
                <w14:textFill>
                  <w14:solidFill>
                    <w14:schemeClr w14:val="tx1"/>
                  </w14:solidFill>
                </w14:textFill>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宋体" w:hAnsi="宋体" w:cs="仿宋_GB2312"/>
                <w:sz w:val="21"/>
                <w:szCs w:val="21"/>
              </w:rPr>
            </w:pP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eastAsia" w:ascii="宋体" w:hAnsi="宋体" w:cs="仿宋_GB2312"/>
                <w:sz w:val="21"/>
                <w:szCs w:val="21"/>
              </w:rPr>
            </w:pPr>
            <w:r>
              <w:rPr>
                <w:rFonts w:hint="eastAsia" w:ascii="宋体" w:hAnsi="宋体" w:cs="仿宋_GB2312"/>
                <w:sz w:val="21"/>
                <w:szCs w:val="21"/>
              </w:rPr>
              <w:t>责任事项依据</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000000" w:themeColor="text1"/>
                <w:sz w:val="21"/>
                <w:szCs w:val="21"/>
                <w14:textFill>
                  <w14:solidFill>
                    <w14:schemeClr w14:val="tx1"/>
                  </w14:solidFill>
                </w14:textFill>
              </w:rPr>
            </w:pPr>
            <w:r>
              <w:rPr>
                <w:rFonts w:ascii="宋体" w:hAnsi="宋体" w:cs="仿宋_GB2312"/>
                <w:color w:val="000000" w:themeColor="text1"/>
                <w:sz w:val="21"/>
                <w:szCs w:val="21"/>
                <w14:textFill>
                  <w14:solidFill>
                    <w14:schemeClr w14:val="tx1"/>
                  </w14:solidFill>
                </w14:textFill>
              </w:rPr>
              <w:t>《行政许可法》</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hint="default" w:ascii="宋体" w:hAnsi="宋体" w:cs="仿宋_GB2312"/>
                <w:color w:val="000000" w:themeColor="text1"/>
                <w:sz w:val="21"/>
                <w:szCs w:val="21"/>
                <w14:textFill>
                  <w14:solidFill>
                    <w14:schemeClr w14:val="tx1"/>
                  </w14:solidFill>
                </w14:textFill>
              </w:rPr>
            </w:pPr>
            <w:r>
              <w:rPr>
                <w:rFonts w:hint="default" w:ascii="宋体" w:hAnsi="宋体" w:cs="仿宋_GB2312"/>
                <w:color w:val="000000" w:themeColor="text1"/>
                <w:sz w:val="21"/>
                <w:szCs w:val="21"/>
                <w14:textFill>
                  <w14:solidFill>
                    <w14:schemeClr w14:val="tx1"/>
                  </w14:solidFill>
                </w14:textFill>
              </w:rPr>
              <w:t>第三十二条</w:t>
            </w:r>
            <w:r>
              <w:rPr>
                <w:rFonts w:hint="eastAsia" w:ascii="宋体" w:hAnsi="宋体" w:cs="仿宋_GB2312"/>
                <w:color w:val="000000" w:themeColor="text1"/>
                <w:sz w:val="21"/>
                <w:szCs w:val="21"/>
                <w:lang w:val="en-US" w:eastAsia="zh-CN"/>
                <w14:textFill>
                  <w14:solidFill>
                    <w14:schemeClr w14:val="tx1"/>
                  </w14:solidFill>
                </w14:textFill>
              </w:rPr>
              <w:t xml:space="preserve">  </w:t>
            </w:r>
            <w:r>
              <w:rPr>
                <w:rFonts w:hint="default" w:ascii="宋体" w:hAnsi="宋体" w:cs="仿宋_GB2312"/>
                <w:color w:val="000000" w:themeColor="text1"/>
                <w:sz w:val="21"/>
                <w:szCs w:val="21"/>
                <w14:textFill>
                  <w14:solidFill>
                    <w14:schemeClr w14:val="tx1"/>
                  </w14:solidFill>
                </w14:textFill>
              </w:rPr>
              <w:t>行政机关对申请人提出的行政许可申请，应当根据下列情况分别作出处理：</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（一）申请事项依法不需要取得行政许可的，应当即时告知申请人不受理；</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（二）申请事项依法不属于本行政机关职权范围的，应当即时作出不予受理的决定，并告知申请人向有关行政机关申请；</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（三）申请材料存在可以当场更正的错误的，应当允许申请人当场更正；</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（四）申请材料不齐全或者不符合法定形式的，应当当场或者在五日内一次告知申请人需要补正的全部内容，逾期不告知的，自收到申请材料之日起即为受理；</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（五）申请事项属于本行政机关职权范围，申请材料齐全、符合法定形式，或者申请人按照本行政机关的要求提交全部补正申请材料的，应当受理行政许可申请。</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行政机关受理或者不予受理行政许可申请，应当出具加盖本行政机关专用印章和注明日期的书面凭证。</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hint="eastAsia" w:ascii="宋体" w:hAnsi="宋体" w:cs="仿宋_GB2312"/>
                <w:color w:val="000000" w:themeColor="text1"/>
                <w:sz w:val="21"/>
                <w:szCs w:val="21"/>
                <w14:textFill>
                  <w14:solidFill>
                    <w14:schemeClr w14:val="tx1"/>
                  </w14:solidFill>
                </w14:textFill>
              </w:rPr>
            </w:pPr>
            <w:r>
              <w:rPr>
                <w:rFonts w:hint="default" w:ascii="宋体" w:hAnsi="宋体" w:cs="仿宋_GB2312"/>
                <w:color w:val="000000" w:themeColor="text1"/>
                <w:sz w:val="21"/>
                <w:szCs w:val="21"/>
                <w14:textFill>
                  <w14:solidFill>
                    <w14:schemeClr w14:val="tx1"/>
                  </w14:solidFill>
                </w14:textFill>
              </w:rPr>
              <w:t>第三十四条</w:t>
            </w:r>
            <w:r>
              <w:rPr>
                <w:rFonts w:hint="eastAsia" w:ascii="宋体" w:hAnsi="宋体" w:cs="仿宋_GB2312"/>
                <w:color w:val="000000" w:themeColor="text1"/>
                <w:sz w:val="21"/>
                <w:szCs w:val="21"/>
                <w:lang w:val="en-US" w:eastAsia="zh-CN"/>
                <w14:textFill>
                  <w14:solidFill>
                    <w14:schemeClr w14:val="tx1"/>
                  </w14:solidFill>
                </w14:textFill>
              </w:rPr>
              <w:t xml:space="preserve">  </w:t>
            </w:r>
            <w:r>
              <w:rPr>
                <w:rFonts w:hint="default" w:ascii="宋体" w:hAnsi="宋体" w:cs="仿宋_GB2312"/>
                <w:color w:val="000000" w:themeColor="text1"/>
                <w:sz w:val="21"/>
                <w:szCs w:val="21"/>
                <w14:textFill>
                  <w14:solidFill>
                    <w14:schemeClr w14:val="tx1"/>
                  </w14:solidFill>
                </w14:textFill>
              </w:rPr>
              <w:t>行政机关应当对申请人提交的申请材料进行审查。</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申请人提交的申请材料齐全、符合法定形式，行政机关能够当场作出决定的，应当当场作出书面的行政许可决定。</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根据法定条件和程序，需要对申请材料的实质内容进行核实的，行政机关应当指派两名以上工作人员进行核查。</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第三十八条</w:t>
            </w:r>
            <w:r>
              <w:rPr>
                <w:rFonts w:hint="eastAsia" w:ascii="宋体" w:hAnsi="宋体" w:cs="仿宋_GB2312"/>
                <w:color w:val="000000" w:themeColor="text1"/>
                <w:sz w:val="21"/>
                <w:szCs w:val="21"/>
                <w:lang w:val="en-US" w:eastAsia="zh-CN"/>
                <w14:textFill>
                  <w14:solidFill>
                    <w14:schemeClr w14:val="tx1"/>
                  </w14:solidFill>
                </w14:textFill>
              </w:rPr>
              <w:t xml:space="preserve">  </w:t>
            </w:r>
            <w:r>
              <w:rPr>
                <w:rFonts w:hint="default" w:ascii="宋体" w:hAnsi="宋体" w:cs="仿宋_GB2312"/>
                <w:color w:val="000000" w:themeColor="text1"/>
                <w:sz w:val="21"/>
                <w:szCs w:val="21"/>
                <w14:textFill>
                  <w14:solidFill>
                    <w14:schemeClr w14:val="tx1"/>
                  </w14:solidFill>
                </w14:textFill>
              </w:rPr>
              <w:t>申请人的申请符合法定条件、标准的，行政机关应当依法作出准予行政许可的书面决定。</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行政机关依法作出不予行政许可的书面决定的，应当说明理由，并告知申请人享有依法申请行政复议或者提起行政诉讼的权利。</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第六十一条</w:t>
            </w:r>
            <w:r>
              <w:rPr>
                <w:rFonts w:hint="eastAsia" w:ascii="宋体" w:hAnsi="宋体" w:cs="仿宋_GB2312"/>
                <w:color w:val="000000" w:themeColor="text1"/>
                <w:sz w:val="21"/>
                <w:szCs w:val="21"/>
                <w:lang w:val="en-US" w:eastAsia="zh-CN"/>
                <w14:textFill>
                  <w14:solidFill>
                    <w14:schemeClr w14:val="tx1"/>
                  </w14:solidFill>
                </w14:textFill>
              </w:rPr>
              <w:t xml:space="preserve">  </w:t>
            </w:r>
            <w:r>
              <w:rPr>
                <w:rFonts w:hint="default" w:ascii="宋体" w:hAnsi="宋体" w:cs="仿宋_GB2312"/>
                <w:color w:val="000000" w:themeColor="text1"/>
                <w:sz w:val="21"/>
                <w:szCs w:val="21"/>
                <w14:textFill>
                  <w14:solidFill>
                    <w14:schemeClr w14:val="tx1"/>
                  </w14:solidFill>
                </w14:textFill>
              </w:rPr>
              <w:t>行政机关应当建立健全监督制度，通过核查反映被许可人从事行政许可事项活动情况的有关材料，履行监督责任。</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行政机关依法对被许可人从事行政许可事项的活动进行监督检查时，应当将监督检查的情况和处理结果予以记录，由监督检查人员签字后归档。公众有权查阅行政机关监督检查记录。</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行政机关应当创造条件，实现与被许可人、其他有关行政机关的计算机档案系统互联，核查被许可人从事行政许可事项活动情况。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追责情形</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000000" w:themeColor="text1"/>
                <w:sz w:val="21"/>
                <w:szCs w:val="21"/>
                <w14:textFill>
                  <w14:solidFill>
                    <w14:schemeClr w14:val="tx1"/>
                  </w14:solidFill>
                </w14:textFill>
              </w:rPr>
            </w:pPr>
            <w:r>
              <w:rPr>
                <w:rFonts w:hint="eastAsia" w:ascii="宋体" w:hAnsi="宋体" w:cs="仿宋_GB2312"/>
                <w:color w:val="000000" w:themeColor="text1"/>
                <w:sz w:val="21"/>
                <w:szCs w:val="21"/>
                <w14:textFill>
                  <w14:solidFill>
                    <w14:schemeClr w14:val="tx1"/>
                  </w14:solidFill>
                </w14:textFill>
              </w:rPr>
              <w:t>对不履行或不正确履行行政职责的行政机关及其工作人员，依据</w:t>
            </w:r>
            <w:r>
              <w:rPr>
                <w:rFonts w:hint="eastAsia" w:ascii="宋体" w:hAnsi="宋体" w:cs="仿宋_GB2312"/>
                <w:color w:val="000000" w:themeColor="text1"/>
                <w:sz w:val="21"/>
                <w:szCs w:val="21"/>
                <w:lang w:eastAsia="zh-CN"/>
                <w14:textFill>
                  <w14:solidFill>
                    <w14:schemeClr w14:val="tx1"/>
                  </w14:solidFill>
                </w14:textFill>
              </w:rPr>
              <w:t>《中华人民共和国监察法》</w:t>
            </w:r>
            <w:r>
              <w:rPr>
                <w:rFonts w:hint="eastAsia" w:ascii="宋体" w:hAnsi="宋体" w:cs="仿宋_GB2312"/>
                <w:color w:val="000000" w:themeColor="text1"/>
                <w:sz w:val="21"/>
                <w:szCs w:val="21"/>
                <w14:textFill>
                  <w14:solidFill>
                    <w14:schemeClr w14:val="tx1"/>
                  </w14:solidFill>
                </w14:textFill>
              </w:rPr>
              <w:t>、《中华人民共和国行政许可法》、《行政机关公务员处分条例》、《四川省行政审批违法违纪行为责任追究办法》等法律法规规章的相关规定追究相应的责任。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监督电话</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hint="default" w:ascii="宋体" w:hAnsi="宋体" w:eastAsia="宋体" w:cs="仿宋_GB2312"/>
                <w:color w:val="FF0000"/>
                <w:sz w:val="21"/>
                <w:szCs w:val="21"/>
                <w:lang w:val="en-US" w:eastAsia="zh-CN"/>
              </w:rPr>
            </w:pPr>
            <w:r>
              <w:rPr>
                <w:rFonts w:hint="eastAsia" w:ascii="宋体" w:hAnsi="宋体" w:cs="仿宋_GB2312"/>
                <w:color w:val="000000" w:themeColor="text1"/>
                <w:sz w:val="21"/>
                <w:szCs w:val="21"/>
                <w14:textFill>
                  <w14:solidFill>
                    <w14:schemeClr w14:val="tx1"/>
                  </w14:solidFill>
                </w14:textFill>
              </w:rPr>
              <w:t>0825</w:t>
            </w:r>
            <w:r>
              <w:rPr>
                <w:rFonts w:hint="eastAsia" w:ascii="宋体" w:hAnsi="宋体" w:cs="仿宋_GB2312"/>
                <w:color w:val="000000" w:themeColor="text1"/>
                <w:sz w:val="21"/>
                <w:szCs w:val="21"/>
                <w:lang w:val="en-US" w:eastAsia="zh-CN"/>
                <w14:textFill>
                  <w14:solidFill>
                    <w14:schemeClr w14:val="tx1"/>
                  </w14:solidFill>
                </w14:textFill>
              </w:rPr>
              <w:t>-6807580</w:t>
            </w:r>
          </w:p>
        </w:tc>
      </w:tr>
    </w:tbl>
    <w:p>
      <w:pPr>
        <w:spacing w:line="580" w:lineRule="exact"/>
        <w:jc w:val="both"/>
        <w:rPr>
          <w:rFonts w:hint="eastAsia" w:ascii="黑体" w:hAnsi="黑体" w:eastAsia="黑体"/>
          <w:b/>
          <w:sz w:val="32"/>
          <w:szCs w:val="32"/>
          <w:lang w:eastAsia="zh-CN"/>
        </w:rPr>
      </w:pPr>
    </w:p>
    <w:p>
      <w:pPr>
        <w:spacing w:line="580" w:lineRule="exact"/>
        <w:jc w:val="both"/>
        <w:rPr>
          <w:rFonts w:hint="eastAsia" w:ascii="黑体" w:hAnsi="黑体" w:eastAsia="黑体"/>
          <w:b/>
          <w:sz w:val="32"/>
          <w:szCs w:val="32"/>
          <w:lang w:eastAsia="zh-CN"/>
        </w:rPr>
      </w:pPr>
    </w:p>
    <w:p>
      <w:pPr>
        <w:spacing w:line="580" w:lineRule="exact"/>
        <w:jc w:val="center"/>
        <w:rPr>
          <w:rFonts w:ascii="黑体" w:hAnsi="黑体" w:eastAsia="黑体"/>
          <w:b/>
          <w:sz w:val="32"/>
          <w:szCs w:val="32"/>
        </w:rPr>
      </w:pPr>
      <w:r>
        <w:rPr>
          <w:rFonts w:hint="eastAsia" w:ascii="黑体" w:hAnsi="黑体" w:eastAsia="黑体"/>
          <w:b/>
          <w:sz w:val="32"/>
          <w:szCs w:val="32"/>
          <w:lang w:eastAsia="zh-CN"/>
        </w:rPr>
        <w:t>经科局行政权力</w:t>
      </w:r>
      <w:r>
        <w:rPr>
          <w:rFonts w:hint="eastAsia" w:ascii="黑体" w:hAnsi="黑体" w:eastAsia="黑体"/>
          <w:b/>
          <w:sz w:val="32"/>
          <w:szCs w:val="32"/>
        </w:rPr>
        <w:t>责任清单</w:t>
      </w:r>
    </w:p>
    <w:tbl>
      <w:tblPr>
        <w:tblStyle w:val="5"/>
        <w:tblW w:w="91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7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序</w:t>
            </w:r>
            <w:r>
              <w:rPr>
                <w:rFonts w:hint="eastAsia" w:ascii="宋体" w:hAnsi="宋体" w:cs="仿宋_GB2312"/>
                <w:sz w:val="21"/>
                <w:szCs w:val="21"/>
                <w:lang w:val="en-US" w:eastAsia="zh-CN"/>
              </w:rPr>
              <w:t xml:space="preserve">   </w:t>
            </w:r>
            <w:r>
              <w:rPr>
                <w:rFonts w:hint="eastAsia" w:ascii="宋体" w:hAnsi="宋体" w:cs="仿宋_GB2312"/>
                <w:sz w:val="21"/>
                <w:szCs w:val="21"/>
              </w:rPr>
              <w:t>号</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宋体" w:hAnsi="宋体" w:eastAsia="宋体" w:cs="仿宋_GB2312"/>
                <w:sz w:val="21"/>
                <w:szCs w:val="21"/>
                <w:lang w:val="en-US" w:eastAsia="zh-CN"/>
              </w:rPr>
            </w:pPr>
            <w:r>
              <w:rPr>
                <w:rFonts w:hint="eastAsia" w:ascii="宋体" w:hAnsi="宋体" w:cs="仿宋_GB2312"/>
                <w:b/>
                <w:bCs/>
                <w:sz w:val="21"/>
                <w:szCs w:val="21"/>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权力类型</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权力项目名称</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宋体" w:hAnsi="宋体" w:eastAsia="宋体" w:cs="仿宋_GB2312"/>
                <w:sz w:val="21"/>
                <w:szCs w:val="21"/>
                <w:lang w:eastAsia="zh-CN"/>
              </w:rPr>
            </w:pPr>
            <w:r>
              <w:rPr>
                <w:rFonts w:hint="eastAsia" w:ascii="宋体" w:hAnsi="宋体" w:cs="仿宋_GB2312"/>
                <w:sz w:val="21"/>
                <w:szCs w:val="21"/>
                <w:lang w:eastAsia="zh-CN"/>
              </w:rPr>
              <w:t>对违反规定购进食盐的处罚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实施依据</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FF0000"/>
                <w:sz w:val="21"/>
                <w:szCs w:val="21"/>
              </w:rPr>
            </w:pPr>
            <w:r>
              <w:rPr>
                <w:rFonts w:hint="eastAsia" w:ascii="宋体" w:hAnsi="宋体" w:cs="仿宋_GB2312"/>
                <w:color w:val="000000" w:themeColor="text1"/>
                <w:sz w:val="21"/>
                <w:szCs w:val="21"/>
                <w:lang w:val="en-US" w:eastAsia="zh-CN"/>
                <w14:textFill>
                  <w14:solidFill>
                    <w14:schemeClr w14:val="tx1"/>
                  </w14:solidFill>
                </w14:textFill>
              </w:rPr>
              <w:t>《食盐专营办法》第二十八条  有下列情形之一的，由县级以上地方人民政府盐业主管部门责令改正，没收违法购进的食盐，可以处违法购进的食盐货值金额3倍以下的罚款： （一）食盐定点批发企业从除食盐定点生产企业、其他食盐定点批发企业以外的单位或者个人购进食盐； （二）食盐零售单位从食盐定点批发企业以外的单位或者个人购进食盐。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责任主体</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宋体" w:hAnsi="宋体" w:eastAsia="宋体" w:cs="仿宋_GB2312"/>
                <w:color w:val="FF0000"/>
                <w:sz w:val="21"/>
                <w:szCs w:val="21"/>
                <w:lang w:eastAsia="zh-CN"/>
              </w:rPr>
            </w:pPr>
            <w:r>
              <w:rPr>
                <w:rFonts w:hint="eastAsia" w:ascii="宋体" w:hAnsi="宋体" w:cs="仿宋_GB2312"/>
                <w:color w:val="000000" w:themeColor="text1"/>
                <w:sz w:val="21"/>
                <w:szCs w:val="21"/>
                <w:lang w:eastAsia="zh-CN"/>
                <w14:textFill>
                  <w14:solidFill>
                    <w14:schemeClr w14:val="tx1"/>
                  </w14:solidFill>
                </w14:textFill>
              </w:rPr>
              <w:t>船山区经济信息化和科学技术局信息化和运行保障股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责任事项</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000000" w:themeColor="text1"/>
                <w:sz w:val="21"/>
                <w:szCs w:val="21"/>
                <w14:textFill>
                  <w14:solidFill>
                    <w14:schemeClr w14:val="tx1"/>
                  </w14:solidFill>
                </w14:textFill>
              </w:rPr>
            </w:pPr>
            <w:r>
              <w:rPr>
                <w:rFonts w:ascii="宋体" w:hAnsi="宋体" w:cs="仿宋_GB2312"/>
                <w:color w:val="000000" w:themeColor="text1"/>
                <w:sz w:val="21"/>
                <w:szCs w:val="21"/>
                <w14:textFill>
                  <w14:solidFill>
                    <w14:schemeClr w14:val="tx1"/>
                  </w14:solidFill>
                </w14:textFill>
              </w:rPr>
              <w:t>1.受理责任：公示应当提交的材料，一次性告知补正材料，依法受理或不予受理（不予受理应当告知理由）。</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000000" w:themeColor="text1"/>
                <w:sz w:val="21"/>
                <w:szCs w:val="21"/>
                <w14:textFill>
                  <w14:solidFill>
                    <w14:schemeClr w14:val="tx1"/>
                  </w14:solidFill>
                </w14:textFill>
              </w:rPr>
            </w:pPr>
            <w:r>
              <w:rPr>
                <w:rFonts w:ascii="宋体" w:hAnsi="宋体" w:cs="仿宋_GB2312"/>
                <w:color w:val="000000" w:themeColor="text1"/>
                <w:sz w:val="21"/>
                <w:szCs w:val="21"/>
                <w14:textFill>
                  <w14:solidFill>
                    <w14:schemeClr w14:val="tx1"/>
                  </w14:solidFill>
                </w14:textFill>
              </w:rPr>
              <w:t>2.审查责任：审查申请材料，现场踏勘。</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000000" w:themeColor="text1"/>
                <w:sz w:val="21"/>
                <w:szCs w:val="21"/>
                <w14:textFill>
                  <w14:solidFill>
                    <w14:schemeClr w14:val="tx1"/>
                  </w14:solidFill>
                </w14:textFill>
              </w:rPr>
            </w:pPr>
            <w:r>
              <w:rPr>
                <w:rFonts w:ascii="宋体" w:hAnsi="宋体" w:cs="仿宋_GB2312"/>
                <w:color w:val="000000" w:themeColor="text1"/>
                <w:sz w:val="21"/>
                <w:szCs w:val="21"/>
                <w14:textFill>
                  <w14:solidFill>
                    <w14:schemeClr w14:val="tx1"/>
                  </w14:solidFill>
                </w14:textFill>
              </w:rPr>
              <w:t>3.决定责任：作出行政许可或者不予行政许可决定，法定告知（不予许可的应当书面告知理由）。</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000000" w:themeColor="text1"/>
                <w:sz w:val="21"/>
                <w:szCs w:val="21"/>
                <w14:textFill>
                  <w14:solidFill>
                    <w14:schemeClr w14:val="tx1"/>
                  </w14:solidFill>
                </w14:textFill>
              </w:rPr>
            </w:pPr>
            <w:r>
              <w:rPr>
                <w:rFonts w:ascii="宋体" w:hAnsi="宋体" w:cs="仿宋_GB2312"/>
                <w:color w:val="000000" w:themeColor="text1"/>
                <w:sz w:val="21"/>
                <w:szCs w:val="21"/>
                <w14:textFill>
                  <w14:solidFill>
                    <w14:schemeClr w14:val="tx1"/>
                  </w14:solidFill>
                </w14:textFill>
              </w:rPr>
              <w:t>4.事后监管责任：建立实施监督检查的运行机制和管理制度，开展定期和不定期检查，依法采取相关处置措施。</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000000" w:themeColor="text1"/>
                <w:sz w:val="21"/>
                <w:szCs w:val="21"/>
                <w14:textFill>
                  <w14:solidFill>
                    <w14:schemeClr w14:val="tx1"/>
                  </w14:solidFill>
                </w14:textFill>
              </w:rPr>
            </w:pPr>
            <w:r>
              <w:rPr>
                <w:rFonts w:ascii="宋体" w:hAnsi="宋体" w:cs="仿宋_GB2312"/>
                <w:color w:val="000000" w:themeColor="text1"/>
                <w:sz w:val="21"/>
                <w:szCs w:val="21"/>
                <w14:textFill>
                  <w14:solidFill>
                    <w14:schemeClr w14:val="tx1"/>
                  </w14:solidFill>
                </w14:textFill>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宋体" w:hAnsi="宋体" w:cs="仿宋_GB2312"/>
                <w:sz w:val="21"/>
                <w:szCs w:val="21"/>
              </w:rPr>
            </w:pP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eastAsia" w:ascii="宋体" w:hAnsi="宋体" w:cs="仿宋_GB2312"/>
                <w:sz w:val="21"/>
                <w:szCs w:val="21"/>
              </w:rPr>
            </w:pPr>
            <w:r>
              <w:rPr>
                <w:rFonts w:hint="eastAsia" w:ascii="宋体" w:hAnsi="宋体" w:cs="仿宋_GB2312"/>
                <w:sz w:val="21"/>
                <w:szCs w:val="21"/>
              </w:rPr>
              <w:t>责任事项依据</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000000" w:themeColor="text1"/>
                <w:sz w:val="21"/>
                <w:szCs w:val="21"/>
                <w14:textFill>
                  <w14:solidFill>
                    <w14:schemeClr w14:val="tx1"/>
                  </w14:solidFill>
                </w14:textFill>
              </w:rPr>
            </w:pPr>
            <w:r>
              <w:rPr>
                <w:rFonts w:ascii="宋体" w:hAnsi="宋体" w:cs="仿宋_GB2312"/>
                <w:color w:val="000000" w:themeColor="text1"/>
                <w:sz w:val="21"/>
                <w:szCs w:val="21"/>
                <w14:textFill>
                  <w14:solidFill>
                    <w14:schemeClr w14:val="tx1"/>
                  </w14:solidFill>
                </w14:textFill>
              </w:rPr>
              <w:t>《行政许可法》</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hint="default" w:ascii="宋体" w:hAnsi="宋体" w:cs="仿宋_GB2312"/>
                <w:color w:val="000000" w:themeColor="text1"/>
                <w:sz w:val="21"/>
                <w:szCs w:val="21"/>
                <w14:textFill>
                  <w14:solidFill>
                    <w14:schemeClr w14:val="tx1"/>
                  </w14:solidFill>
                </w14:textFill>
              </w:rPr>
            </w:pPr>
            <w:r>
              <w:rPr>
                <w:rFonts w:hint="default" w:ascii="宋体" w:hAnsi="宋体" w:cs="仿宋_GB2312"/>
                <w:color w:val="000000" w:themeColor="text1"/>
                <w:sz w:val="21"/>
                <w:szCs w:val="21"/>
                <w14:textFill>
                  <w14:solidFill>
                    <w14:schemeClr w14:val="tx1"/>
                  </w14:solidFill>
                </w14:textFill>
              </w:rPr>
              <w:t>第三十二条</w:t>
            </w:r>
            <w:r>
              <w:rPr>
                <w:rFonts w:hint="eastAsia" w:ascii="宋体" w:hAnsi="宋体" w:cs="仿宋_GB2312"/>
                <w:color w:val="000000" w:themeColor="text1"/>
                <w:sz w:val="21"/>
                <w:szCs w:val="21"/>
                <w:lang w:val="en-US" w:eastAsia="zh-CN"/>
                <w14:textFill>
                  <w14:solidFill>
                    <w14:schemeClr w14:val="tx1"/>
                  </w14:solidFill>
                </w14:textFill>
              </w:rPr>
              <w:t xml:space="preserve">  </w:t>
            </w:r>
            <w:r>
              <w:rPr>
                <w:rFonts w:hint="default" w:ascii="宋体" w:hAnsi="宋体" w:cs="仿宋_GB2312"/>
                <w:color w:val="000000" w:themeColor="text1"/>
                <w:sz w:val="21"/>
                <w:szCs w:val="21"/>
                <w14:textFill>
                  <w14:solidFill>
                    <w14:schemeClr w14:val="tx1"/>
                  </w14:solidFill>
                </w14:textFill>
              </w:rPr>
              <w:t>行政机关对申请人提出的行政许可申请，应当根据下列情况分别作出处理：</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（一）申请事项依法不需要取得行政许可的，应当即时告知申请人不受理；</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（二）申请事项依法不属于本行政机关职权范围的，应当即时作出不予受理的决定，并告知申请人向有关行政机关申请；</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（三）申请材料存在可以当场更正的错误的，应当允许申请人当场更正；</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（四）申请材料不齐全或者不符合法定形式的，应当当场或者在五日内一次告知申请人需要补正的全部内容，逾期不告知的，自收到申请材料之日起即为受理；</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（五）申请事项属于本行政机关职权范围，申请材料齐全、符合法定形式，或者申请人按照本行政机关的要求提交全部补正申请材料的，应当受理行政许可申请。</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行政机关受理或者不予受理行政许可申请，应当出具加盖本行政机关专用印章和注明日期的书面凭证。</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hint="eastAsia" w:ascii="宋体" w:hAnsi="宋体" w:cs="仿宋_GB2312"/>
                <w:color w:val="000000" w:themeColor="text1"/>
                <w:sz w:val="21"/>
                <w:szCs w:val="21"/>
                <w14:textFill>
                  <w14:solidFill>
                    <w14:schemeClr w14:val="tx1"/>
                  </w14:solidFill>
                </w14:textFill>
              </w:rPr>
            </w:pPr>
            <w:r>
              <w:rPr>
                <w:rFonts w:hint="default" w:ascii="宋体" w:hAnsi="宋体" w:cs="仿宋_GB2312"/>
                <w:color w:val="000000" w:themeColor="text1"/>
                <w:sz w:val="21"/>
                <w:szCs w:val="21"/>
                <w14:textFill>
                  <w14:solidFill>
                    <w14:schemeClr w14:val="tx1"/>
                  </w14:solidFill>
                </w14:textFill>
              </w:rPr>
              <w:t>第三十四条</w:t>
            </w:r>
            <w:r>
              <w:rPr>
                <w:rFonts w:hint="eastAsia" w:ascii="宋体" w:hAnsi="宋体" w:cs="仿宋_GB2312"/>
                <w:color w:val="000000" w:themeColor="text1"/>
                <w:sz w:val="21"/>
                <w:szCs w:val="21"/>
                <w:lang w:val="en-US" w:eastAsia="zh-CN"/>
                <w14:textFill>
                  <w14:solidFill>
                    <w14:schemeClr w14:val="tx1"/>
                  </w14:solidFill>
                </w14:textFill>
              </w:rPr>
              <w:t xml:space="preserve">  </w:t>
            </w:r>
            <w:r>
              <w:rPr>
                <w:rFonts w:hint="default" w:ascii="宋体" w:hAnsi="宋体" w:cs="仿宋_GB2312"/>
                <w:color w:val="000000" w:themeColor="text1"/>
                <w:sz w:val="21"/>
                <w:szCs w:val="21"/>
                <w14:textFill>
                  <w14:solidFill>
                    <w14:schemeClr w14:val="tx1"/>
                  </w14:solidFill>
                </w14:textFill>
              </w:rPr>
              <w:t>行政机关应当对申请人提交的申请材料进行审查。</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申请人提交的申请材料齐全、符合法定形式，行政机关能够当场作出决定的，应当当场作出书面的行政许可决定。</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根据法定条件和程序，需要对申请材料的实质内容进行核实的，行政机关应当指派两名以上工作人员进行核查。</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第三十八条</w:t>
            </w:r>
            <w:r>
              <w:rPr>
                <w:rFonts w:hint="eastAsia" w:ascii="宋体" w:hAnsi="宋体" w:cs="仿宋_GB2312"/>
                <w:color w:val="000000" w:themeColor="text1"/>
                <w:sz w:val="21"/>
                <w:szCs w:val="21"/>
                <w:lang w:val="en-US" w:eastAsia="zh-CN"/>
                <w14:textFill>
                  <w14:solidFill>
                    <w14:schemeClr w14:val="tx1"/>
                  </w14:solidFill>
                </w14:textFill>
              </w:rPr>
              <w:t xml:space="preserve">  </w:t>
            </w:r>
            <w:r>
              <w:rPr>
                <w:rFonts w:hint="default" w:ascii="宋体" w:hAnsi="宋体" w:cs="仿宋_GB2312"/>
                <w:color w:val="000000" w:themeColor="text1"/>
                <w:sz w:val="21"/>
                <w:szCs w:val="21"/>
                <w14:textFill>
                  <w14:solidFill>
                    <w14:schemeClr w14:val="tx1"/>
                  </w14:solidFill>
                </w14:textFill>
              </w:rPr>
              <w:t>申请人的申请符合法定条件、标准的，行政机关应当依法作出准予行政许可的书面决定。</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行政机关依法作出不予行政许可的书面决定的，应当说明理由，并告知申请人享有依法申请行政复议或者提起行政诉讼的权利。</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第六十一条</w:t>
            </w:r>
            <w:r>
              <w:rPr>
                <w:rFonts w:hint="eastAsia" w:ascii="宋体" w:hAnsi="宋体" w:cs="仿宋_GB2312"/>
                <w:color w:val="000000" w:themeColor="text1"/>
                <w:sz w:val="21"/>
                <w:szCs w:val="21"/>
                <w:lang w:val="en-US" w:eastAsia="zh-CN"/>
                <w14:textFill>
                  <w14:solidFill>
                    <w14:schemeClr w14:val="tx1"/>
                  </w14:solidFill>
                </w14:textFill>
              </w:rPr>
              <w:t xml:space="preserve">  </w:t>
            </w:r>
            <w:r>
              <w:rPr>
                <w:rFonts w:hint="default" w:ascii="宋体" w:hAnsi="宋体" w:cs="仿宋_GB2312"/>
                <w:color w:val="000000" w:themeColor="text1"/>
                <w:sz w:val="21"/>
                <w:szCs w:val="21"/>
                <w14:textFill>
                  <w14:solidFill>
                    <w14:schemeClr w14:val="tx1"/>
                  </w14:solidFill>
                </w14:textFill>
              </w:rPr>
              <w:t>行政机关应当建立健全监督制度，通过核查反映被许可人从事行政许可事项活动情况的有关材料，履行监督责任。</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行政机关依法对被许可人从事行政许可事项的活动进行监督检查时，应当将监督检查的情况和处理结果予以记录，由监督检查人员签字后归档。公众有权查阅行政机关监督检查记录。</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行政机关应当创造条件，实现与被许可人、其他有关行政机关的计算机档案系统互联，核查被许可人从事行政许可事项活动情况。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追责情形</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FF0000"/>
                <w:sz w:val="21"/>
                <w:szCs w:val="21"/>
              </w:rPr>
            </w:pPr>
            <w:r>
              <w:rPr>
                <w:rFonts w:hint="eastAsia" w:ascii="宋体" w:hAnsi="宋体" w:cs="仿宋_GB2312"/>
                <w:color w:val="000000" w:themeColor="text1"/>
                <w:sz w:val="21"/>
                <w:szCs w:val="21"/>
                <w14:textFill>
                  <w14:solidFill>
                    <w14:schemeClr w14:val="tx1"/>
                  </w14:solidFill>
                </w14:textFill>
              </w:rPr>
              <w:t>对不履行或不正确履行行政职责的行政机关及其工作人员，依据</w:t>
            </w:r>
            <w:r>
              <w:rPr>
                <w:rFonts w:hint="eastAsia" w:ascii="宋体" w:hAnsi="宋体" w:cs="仿宋_GB2312"/>
                <w:color w:val="000000" w:themeColor="text1"/>
                <w:sz w:val="21"/>
                <w:szCs w:val="21"/>
                <w:lang w:eastAsia="zh-CN"/>
                <w14:textFill>
                  <w14:solidFill>
                    <w14:schemeClr w14:val="tx1"/>
                  </w14:solidFill>
                </w14:textFill>
              </w:rPr>
              <w:t>《中华人民共和国监察法》</w:t>
            </w:r>
            <w:r>
              <w:rPr>
                <w:rFonts w:hint="eastAsia" w:ascii="宋体" w:hAnsi="宋体" w:cs="仿宋_GB2312"/>
                <w:color w:val="000000" w:themeColor="text1"/>
                <w:sz w:val="21"/>
                <w:szCs w:val="21"/>
                <w14:textFill>
                  <w14:solidFill>
                    <w14:schemeClr w14:val="tx1"/>
                  </w14:solidFill>
                </w14:textFill>
              </w:rPr>
              <w:t>、《中华人民共和国行政许可法》、《行政机关公务员处分条例》、《四川省行政审批违法违纪行为责任追究办法》等法律法规规章的相关规定追究相应的责任。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监督电话</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FF0000"/>
                <w:sz w:val="21"/>
                <w:szCs w:val="21"/>
              </w:rPr>
            </w:pPr>
            <w:r>
              <w:rPr>
                <w:rFonts w:hint="eastAsia" w:ascii="宋体" w:hAnsi="宋体" w:cs="仿宋_GB2312"/>
                <w:color w:val="000000" w:themeColor="text1"/>
                <w:sz w:val="21"/>
                <w:szCs w:val="21"/>
                <w14:textFill>
                  <w14:solidFill>
                    <w14:schemeClr w14:val="tx1"/>
                  </w14:solidFill>
                </w14:textFill>
              </w:rPr>
              <w:t>0825</w:t>
            </w:r>
            <w:r>
              <w:rPr>
                <w:rFonts w:hint="eastAsia" w:ascii="宋体" w:hAnsi="宋体" w:cs="仿宋_GB2312"/>
                <w:color w:val="000000" w:themeColor="text1"/>
                <w:sz w:val="21"/>
                <w:szCs w:val="21"/>
                <w:lang w:val="en-US" w:eastAsia="zh-CN"/>
                <w14:textFill>
                  <w14:solidFill>
                    <w14:schemeClr w14:val="tx1"/>
                  </w14:solidFill>
                </w14:textFill>
              </w:rPr>
              <w:t>-6807580</w:t>
            </w:r>
          </w:p>
        </w:tc>
      </w:tr>
    </w:tbl>
    <w:p>
      <w:pPr>
        <w:spacing w:line="520" w:lineRule="exact"/>
        <w:rPr>
          <w:rFonts w:hint="eastAsia" w:ascii="黑体" w:hAnsi="黑体" w:eastAsia="黑体"/>
          <w:b/>
          <w:sz w:val="32"/>
          <w:szCs w:val="32"/>
          <w:lang w:eastAsia="zh-CN"/>
        </w:rPr>
      </w:pPr>
      <w:r>
        <w:rPr>
          <w:rFonts w:hint="eastAsia" w:ascii="仿宋_GB2312" w:hAnsi="仿宋_GB2312" w:eastAsia="仿宋_GB2312" w:cs="仿宋_GB2312"/>
          <w:color w:val="000000"/>
          <w:kern w:val="0"/>
          <w:sz w:val="32"/>
          <w:szCs w:val="32"/>
          <w:u w:val="none" w:color="000000"/>
          <w:lang w:val="en-US" w:eastAsia="zh-CN"/>
        </w:rPr>
        <w:t xml:space="preserve"> </w:t>
      </w:r>
    </w:p>
    <w:p>
      <w:pPr>
        <w:spacing w:line="580" w:lineRule="exact"/>
        <w:jc w:val="center"/>
        <w:rPr>
          <w:rFonts w:hint="eastAsia" w:ascii="黑体" w:hAnsi="黑体" w:eastAsia="黑体"/>
          <w:b/>
          <w:sz w:val="32"/>
          <w:szCs w:val="32"/>
          <w:lang w:eastAsia="zh-CN"/>
        </w:rPr>
      </w:pPr>
    </w:p>
    <w:p>
      <w:pPr>
        <w:spacing w:line="580" w:lineRule="exact"/>
        <w:jc w:val="center"/>
        <w:rPr>
          <w:rFonts w:hint="eastAsia" w:ascii="黑体" w:hAnsi="黑体" w:eastAsia="黑体"/>
          <w:b/>
          <w:sz w:val="32"/>
          <w:szCs w:val="32"/>
          <w:lang w:eastAsia="zh-CN"/>
        </w:rPr>
      </w:pPr>
    </w:p>
    <w:p>
      <w:pPr>
        <w:spacing w:line="580" w:lineRule="exact"/>
        <w:jc w:val="center"/>
        <w:rPr>
          <w:rFonts w:hint="eastAsia" w:ascii="黑体" w:hAnsi="黑体" w:eastAsia="黑体"/>
          <w:b/>
          <w:sz w:val="32"/>
          <w:szCs w:val="32"/>
          <w:lang w:eastAsia="zh-CN"/>
        </w:rPr>
      </w:pPr>
    </w:p>
    <w:p>
      <w:pPr>
        <w:spacing w:line="580" w:lineRule="exact"/>
        <w:jc w:val="center"/>
        <w:rPr>
          <w:rFonts w:ascii="黑体" w:hAnsi="黑体" w:eastAsia="黑体"/>
          <w:b/>
          <w:sz w:val="32"/>
          <w:szCs w:val="32"/>
        </w:rPr>
      </w:pPr>
      <w:r>
        <w:rPr>
          <w:rFonts w:hint="eastAsia" w:ascii="黑体" w:hAnsi="黑体" w:eastAsia="黑体"/>
          <w:b/>
          <w:sz w:val="32"/>
          <w:szCs w:val="32"/>
          <w:lang w:eastAsia="zh-CN"/>
        </w:rPr>
        <w:t>经科局行政权力</w:t>
      </w:r>
      <w:r>
        <w:rPr>
          <w:rFonts w:hint="eastAsia" w:ascii="黑体" w:hAnsi="黑体" w:eastAsia="黑体"/>
          <w:b/>
          <w:sz w:val="32"/>
          <w:szCs w:val="32"/>
        </w:rPr>
        <w:t>责任清单</w:t>
      </w:r>
    </w:p>
    <w:tbl>
      <w:tblPr>
        <w:tblStyle w:val="5"/>
        <w:tblW w:w="91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7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序</w:t>
            </w:r>
            <w:r>
              <w:rPr>
                <w:rFonts w:hint="eastAsia" w:ascii="宋体" w:hAnsi="宋体" w:cs="仿宋_GB2312"/>
                <w:sz w:val="21"/>
                <w:szCs w:val="21"/>
                <w:lang w:val="en-US" w:eastAsia="zh-CN"/>
              </w:rPr>
              <w:t xml:space="preserve">   </w:t>
            </w:r>
            <w:r>
              <w:rPr>
                <w:rFonts w:hint="eastAsia" w:ascii="宋体" w:hAnsi="宋体" w:cs="仿宋_GB2312"/>
                <w:sz w:val="21"/>
                <w:szCs w:val="21"/>
              </w:rPr>
              <w:t>号</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宋体" w:hAnsi="宋体" w:eastAsia="宋体" w:cs="仿宋_GB2312"/>
                <w:sz w:val="21"/>
                <w:szCs w:val="21"/>
                <w:lang w:val="en-US" w:eastAsia="zh-CN"/>
              </w:rPr>
            </w:pPr>
            <w:r>
              <w:rPr>
                <w:rFonts w:hint="eastAsia" w:ascii="宋体" w:hAnsi="宋体" w:cs="仿宋_GB2312"/>
                <w:b/>
                <w:bCs/>
                <w:sz w:val="21"/>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权力类型</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权力项目名称</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宋体" w:hAnsi="宋体" w:eastAsia="宋体" w:cs="仿宋_GB2312"/>
                <w:sz w:val="21"/>
                <w:szCs w:val="21"/>
                <w:lang w:eastAsia="zh-CN"/>
              </w:rPr>
            </w:pPr>
            <w:r>
              <w:rPr>
                <w:rFonts w:hint="eastAsia" w:ascii="宋体" w:hAnsi="宋体" w:cs="仿宋_GB2312"/>
                <w:sz w:val="21"/>
                <w:szCs w:val="21"/>
                <w:lang w:eastAsia="zh-CN"/>
              </w:rPr>
              <w:t>对未按规定作出食盐或非食用盐标识的处罚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实施依据</w:t>
            </w:r>
          </w:p>
        </w:tc>
        <w:tc>
          <w:tcPr>
            <w:tcW w:w="756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left"/>
              <w:textAlignment w:val="auto"/>
              <w:outlineLvl w:val="9"/>
              <w:rPr>
                <w:rFonts w:ascii="宋体" w:hAnsi="宋体" w:cs="仿宋_GB2312"/>
                <w:color w:val="FF0000"/>
                <w:sz w:val="21"/>
                <w:szCs w:val="21"/>
              </w:rPr>
            </w:pPr>
            <w:r>
              <w:rPr>
                <w:rFonts w:hint="eastAsia" w:asciiTheme="minorEastAsia" w:hAnsiTheme="minorEastAsia" w:eastAsiaTheme="minorEastAsia" w:cstheme="minorEastAsia"/>
                <w:i w:val="0"/>
                <w:caps w:val="0"/>
                <w:color w:val="000000" w:themeColor="text1"/>
                <w:spacing w:val="0"/>
                <w:sz w:val="21"/>
                <w:szCs w:val="21"/>
                <w:shd w:val="clear" w:fill="FFFFFF"/>
                <w14:textFill>
                  <w14:solidFill>
                    <w14:schemeClr w14:val="tx1"/>
                  </w14:solidFill>
                </w14:textFill>
              </w:rPr>
              <w:t>《食盐专营办法》第二十九条</w:t>
            </w:r>
            <w:r>
              <w:rPr>
                <w:rFonts w:hint="eastAsia" w:asciiTheme="minorEastAsia" w:hAnsiTheme="minorEastAsia" w:eastAsiaTheme="minorEastAsia" w:cstheme="minorEastAsia"/>
                <w:i w:val="0"/>
                <w:caps w:val="0"/>
                <w:color w:val="000000" w:themeColor="text1"/>
                <w:spacing w:val="0"/>
                <w:sz w:val="21"/>
                <w:szCs w:val="21"/>
                <w:shd w:val="clear" w:fill="FFFFFF"/>
                <w:lang w:val="en-US" w:eastAsia="zh-CN"/>
                <w14:textFill>
                  <w14:solidFill>
                    <w14:schemeClr w14:val="tx1"/>
                  </w14:solidFill>
                </w14:textFill>
              </w:rPr>
              <w:t xml:space="preserve"> </w:t>
            </w:r>
            <w:r>
              <w:rPr>
                <w:rFonts w:hint="eastAsia" w:asciiTheme="minorEastAsia" w:hAnsiTheme="minorEastAsia" w:eastAsiaTheme="minorEastAsia" w:cstheme="minorEastAsia"/>
                <w:i w:val="0"/>
                <w:caps w:val="0"/>
                <w:color w:val="000000" w:themeColor="text1"/>
                <w:spacing w:val="0"/>
                <w:sz w:val="21"/>
                <w:szCs w:val="21"/>
                <w:shd w:val="clear" w:fill="FFFFFF"/>
                <w14:textFill>
                  <w14:solidFill>
                    <w14:schemeClr w14:val="tx1"/>
                  </w14:solidFill>
                </w14:textFill>
              </w:rPr>
              <w:t>未按照本办法第十条的规定作出标识的，由有关主管部门依据职责分工，责令改正，可以处5万元以下的罚款。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责任主体</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宋体" w:hAnsi="宋体" w:eastAsia="宋体" w:cs="仿宋_GB2312"/>
                <w:color w:val="FF0000"/>
                <w:sz w:val="21"/>
                <w:szCs w:val="21"/>
                <w:lang w:eastAsia="zh-CN"/>
              </w:rPr>
            </w:pPr>
            <w:r>
              <w:rPr>
                <w:rFonts w:hint="eastAsia" w:ascii="宋体" w:hAnsi="宋体" w:cs="仿宋_GB2312"/>
                <w:color w:val="000000" w:themeColor="text1"/>
                <w:sz w:val="21"/>
                <w:szCs w:val="21"/>
                <w:lang w:eastAsia="zh-CN"/>
                <w14:textFill>
                  <w14:solidFill>
                    <w14:schemeClr w14:val="tx1"/>
                  </w14:solidFill>
                </w14:textFill>
              </w:rPr>
              <w:t>船山区经济信息化和科学技术局信息化和运行保障股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责任事项</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000000" w:themeColor="text1"/>
                <w:sz w:val="21"/>
                <w:szCs w:val="21"/>
                <w14:textFill>
                  <w14:solidFill>
                    <w14:schemeClr w14:val="tx1"/>
                  </w14:solidFill>
                </w14:textFill>
              </w:rPr>
            </w:pPr>
            <w:r>
              <w:rPr>
                <w:rFonts w:ascii="宋体" w:hAnsi="宋体" w:cs="仿宋_GB2312"/>
                <w:color w:val="000000" w:themeColor="text1"/>
                <w:sz w:val="21"/>
                <w:szCs w:val="21"/>
                <w14:textFill>
                  <w14:solidFill>
                    <w14:schemeClr w14:val="tx1"/>
                  </w14:solidFill>
                </w14:textFill>
              </w:rPr>
              <w:t>1.受理责任：公示应当提交的材料，一次性告知补正材料，依法受理或不予受理（不予受理应当告知理由）。</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000000" w:themeColor="text1"/>
                <w:sz w:val="21"/>
                <w:szCs w:val="21"/>
                <w14:textFill>
                  <w14:solidFill>
                    <w14:schemeClr w14:val="tx1"/>
                  </w14:solidFill>
                </w14:textFill>
              </w:rPr>
            </w:pPr>
            <w:r>
              <w:rPr>
                <w:rFonts w:ascii="宋体" w:hAnsi="宋体" w:cs="仿宋_GB2312"/>
                <w:color w:val="000000" w:themeColor="text1"/>
                <w:sz w:val="21"/>
                <w:szCs w:val="21"/>
                <w14:textFill>
                  <w14:solidFill>
                    <w14:schemeClr w14:val="tx1"/>
                  </w14:solidFill>
                </w14:textFill>
              </w:rPr>
              <w:t>2.审查责任：审查申请材料，现场踏勘。</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000000" w:themeColor="text1"/>
                <w:sz w:val="21"/>
                <w:szCs w:val="21"/>
                <w14:textFill>
                  <w14:solidFill>
                    <w14:schemeClr w14:val="tx1"/>
                  </w14:solidFill>
                </w14:textFill>
              </w:rPr>
            </w:pPr>
            <w:r>
              <w:rPr>
                <w:rFonts w:ascii="宋体" w:hAnsi="宋体" w:cs="仿宋_GB2312"/>
                <w:color w:val="000000" w:themeColor="text1"/>
                <w:sz w:val="21"/>
                <w:szCs w:val="21"/>
                <w14:textFill>
                  <w14:solidFill>
                    <w14:schemeClr w14:val="tx1"/>
                  </w14:solidFill>
                </w14:textFill>
              </w:rPr>
              <w:t>3.决定责任：作出行政许可或者不予行政许可决定，法定告知（不予许可的应当书面告知理由）。</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000000" w:themeColor="text1"/>
                <w:sz w:val="21"/>
                <w:szCs w:val="21"/>
                <w14:textFill>
                  <w14:solidFill>
                    <w14:schemeClr w14:val="tx1"/>
                  </w14:solidFill>
                </w14:textFill>
              </w:rPr>
            </w:pPr>
            <w:r>
              <w:rPr>
                <w:rFonts w:ascii="宋体" w:hAnsi="宋体" w:cs="仿宋_GB2312"/>
                <w:color w:val="000000" w:themeColor="text1"/>
                <w:sz w:val="21"/>
                <w:szCs w:val="21"/>
                <w14:textFill>
                  <w14:solidFill>
                    <w14:schemeClr w14:val="tx1"/>
                  </w14:solidFill>
                </w14:textFill>
              </w:rPr>
              <w:t>4.事后监管责任：建立实施监督检查的运行机制和管理制度，开展定期和不定期检查，依法采取相关处置措施。</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FF0000"/>
                <w:sz w:val="21"/>
                <w:szCs w:val="21"/>
              </w:rPr>
            </w:pPr>
            <w:r>
              <w:rPr>
                <w:rFonts w:ascii="宋体" w:hAnsi="宋体" w:cs="仿宋_GB2312"/>
                <w:color w:val="000000" w:themeColor="text1"/>
                <w:sz w:val="21"/>
                <w:szCs w:val="21"/>
                <w14:textFill>
                  <w14:solidFill>
                    <w14:schemeClr w14:val="tx1"/>
                  </w14:solidFill>
                </w14:textFill>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宋体" w:hAnsi="宋体" w:cs="仿宋_GB2312"/>
                <w:sz w:val="21"/>
                <w:szCs w:val="21"/>
              </w:rPr>
            </w:pP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eastAsia" w:ascii="宋体" w:hAnsi="宋体" w:cs="仿宋_GB2312"/>
                <w:sz w:val="21"/>
                <w:szCs w:val="21"/>
              </w:rPr>
            </w:pPr>
            <w:r>
              <w:rPr>
                <w:rFonts w:hint="eastAsia" w:ascii="宋体" w:hAnsi="宋体" w:cs="仿宋_GB2312"/>
                <w:sz w:val="21"/>
                <w:szCs w:val="21"/>
              </w:rPr>
              <w:t>责任事项依据</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000000" w:themeColor="text1"/>
                <w:sz w:val="21"/>
                <w:szCs w:val="21"/>
                <w14:textFill>
                  <w14:solidFill>
                    <w14:schemeClr w14:val="tx1"/>
                  </w14:solidFill>
                </w14:textFill>
              </w:rPr>
            </w:pPr>
            <w:r>
              <w:rPr>
                <w:rFonts w:ascii="宋体" w:hAnsi="宋体" w:cs="仿宋_GB2312"/>
                <w:color w:val="000000" w:themeColor="text1"/>
                <w:sz w:val="21"/>
                <w:szCs w:val="21"/>
                <w14:textFill>
                  <w14:solidFill>
                    <w14:schemeClr w14:val="tx1"/>
                  </w14:solidFill>
                </w14:textFill>
              </w:rPr>
              <w:t>《行政许可法》</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hint="default" w:ascii="宋体" w:hAnsi="宋体" w:cs="仿宋_GB2312"/>
                <w:color w:val="000000" w:themeColor="text1"/>
                <w:sz w:val="21"/>
                <w:szCs w:val="21"/>
                <w14:textFill>
                  <w14:solidFill>
                    <w14:schemeClr w14:val="tx1"/>
                  </w14:solidFill>
                </w14:textFill>
              </w:rPr>
            </w:pPr>
            <w:r>
              <w:rPr>
                <w:rFonts w:hint="default" w:ascii="宋体" w:hAnsi="宋体" w:cs="仿宋_GB2312"/>
                <w:color w:val="000000" w:themeColor="text1"/>
                <w:sz w:val="21"/>
                <w:szCs w:val="21"/>
                <w14:textFill>
                  <w14:solidFill>
                    <w14:schemeClr w14:val="tx1"/>
                  </w14:solidFill>
                </w14:textFill>
              </w:rPr>
              <w:t>第三十二条</w:t>
            </w:r>
            <w:r>
              <w:rPr>
                <w:rFonts w:hint="eastAsia" w:ascii="宋体" w:hAnsi="宋体" w:cs="仿宋_GB2312"/>
                <w:color w:val="000000" w:themeColor="text1"/>
                <w:sz w:val="21"/>
                <w:szCs w:val="21"/>
                <w:lang w:val="en-US" w:eastAsia="zh-CN"/>
                <w14:textFill>
                  <w14:solidFill>
                    <w14:schemeClr w14:val="tx1"/>
                  </w14:solidFill>
                </w14:textFill>
              </w:rPr>
              <w:t xml:space="preserve">  </w:t>
            </w:r>
            <w:r>
              <w:rPr>
                <w:rFonts w:hint="default" w:ascii="宋体" w:hAnsi="宋体" w:cs="仿宋_GB2312"/>
                <w:color w:val="000000" w:themeColor="text1"/>
                <w:sz w:val="21"/>
                <w:szCs w:val="21"/>
                <w14:textFill>
                  <w14:solidFill>
                    <w14:schemeClr w14:val="tx1"/>
                  </w14:solidFill>
                </w14:textFill>
              </w:rPr>
              <w:t>行政机关对申请人提出的行政许可申请，应当根据下列情况分别作出处理：</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（一）申请事项依法不需要取得行政许可的，应当即时告知申请人不受理；</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（二）申请事项依法不属于本行政机关职权范围的，应当即时作出不予受理的决定，并告知申请人向有关行政机关申请；</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（三）申请材料存在可以当场更正的错误的，应当允许申请人当场更正；</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（四）申请材料不齐全或者不符合法定形式的，应当当场或者在五日内一次告知申请人需要补正的全部内容，逾期不告知的，自收到申请材料之日起即为受理；</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（五）申请事项属于本行政机关职权范围，申请材料齐全、符合法定形式，或者申请人按照本行政机关的要求提交全部补正申请材料的，应当受理行政许可申请。</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行政机关受理或者不予受理行政许可申请，应当出具加盖本行政机关专用印章和注明日期的书面凭证。</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hint="eastAsia" w:ascii="宋体" w:hAnsi="宋体" w:cs="仿宋_GB2312"/>
                <w:color w:val="FF0000"/>
                <w:sz w:val="21"/>
                <w:szCs w:val="21"/>
              </w:rPr>
            </w:pPr>
            <w:r>
              <w:rPr>
                <w:rFonts w:hint="default" w:ascii="宋体" w:hAnsi="宋体" w:cs="仿宋_GB2312"/>
                <w:color w:val="000000" w:themeColor="text1"/>
                <w:sz w:val="21"/>
                <w:szCs w:val="21"/>
                <w14:textFill>
                  <w14:solidFill>
                    <w14:schemeClr w14:val="tx1"/>
                  </w14:solidFill>
                </w14:textFill>
              </w:rPr>
              <w:t>第三十四条</w:t>
            </w:r>
            <w:r>
              <w:rPr>
                <w:rFonts w:hint="eastAsia" w:ascii="宋体" w:hAnsi="宋体" w:cs="仿宋_GB2312"/>
                <w:color w:val="000000" w:themeColor="text1"/>
                <w:sz w:val="21"/>
                <w:szCs w:val="21"/>
                <w:lang w:val="en-US" w:eastAsia="zh-CN"/>
                <w14:textFill>
                  <w14:solidFill>
                    <w14:schemeClr w14:val="tx1"/>
                  </w14:solidFill>
                </w14:textFill>
              </w:rPr>
              <w:t xml:space="preserve">  </w:t>
            </w:r>
            <w:r>
              <w:rPr>
                <w:rFonts w:hint="default" w:ascii="宋体" w:hAnsi="宋体" w:cs="仿宋_GB2312"/>
                <w:color w:val="000000" w:themeColor="text1"/>
                <w:sz w:val="21"/>
                <w:szCs w:val="21"/>
                <w14:textFill>
                  <w14:solidFill>
                    <w14:schemeClr w14:val="tx1"/>
                  </w14:solidFill>
                </w14:textFill>
              </w:rPr>
              <w:t>行政机关应当对申请人提交的申请材料进行审查。</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申请人提交的申请材料齐全、符合法定形式，行政机关能够当场作出决定的，应当当场作出书面的行政许可决定。</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根据法定条件和程序，需要对申请材料的实质内容进行核实的，行政机关应当指派两名以上工作人员进行核查。</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第三十八条</w:t>
            </w:r>
            <w:r>
              <w:rPr>
                <w:rFonts w:hint="eastAsia" w:ascii="宋体" w:hAnsi="宋体" w:cs="仿宋_GB2312"/>
                <w:color w:val="000000" w:themeColor="text1"/>
                <w:sz w:val="21"/>
                <w:szCs w:val="21"/>
                <w:lang w:val="en-US" w:eastAsia="zh-CN"/>
                <w14:textFill>
                  <w14:solidFill>
                    <w14:schemeClr w14:val="tx1"/>
                  </w14:solidFill>
                </w14:textFill>
              </w:rPr>
              <w:t xml:space="preserve">  </w:t>
            </w:r>
            <w:r>
              <w:rPr>
                <w:rFonts w:hint="default" w:ascii="宋体" w:hAnsi="宋体" w:cs="仿宋_GB2312"/>
                <w:color w:val="000000" w:themeColor="text1"/>
                <w:sz w:val="21"/>
                <w:szCs w:val="21"/>
                <w14:textFill>
                  <w14:solidFill>
                    <w14:schemeClr w14:val="tx1"/>
                  </w14:solidFill>
                </w14:textFill>
              </w:rPr>
              <w:t>申请人的申请符合法定条件、标准的，行政机关应当依法作出准予行政许可的书面决定。</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行政机关依法作出不予行政许可的书面决定的，应当说明理由，并告知申请人享有依法申请行政复议或者提起行政诉讼的权利。</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第六十一条</w:t>
            </w:r>
            <w:r>
              <w:rPr>
                <w:rFonts w:hint="eastAsia" w:ascii="宋体" w:hAnsi="宋体" w:cs="仿宋_GB2312"/>
                <w:color w:val="000000" w:themeColor="text1"/>
                <w:sz w:val="21"/>
                <w:szCs w:val="21"/>
                <w:lang w:val="en-US" w:eastAsia="zh-CN"/>
                <w14:textFill>
                  <w14:solidFill>
                    <w14:schemeClr w14:val="tx1"/>
                  </w14:solidFill>
                </w14:textFill>
              </w:rPr>
              <w:t xml:space="preserve">  </w:t>
            </w:r>
            <w:r>
              <w:rPr>
                <w:rFonts w:hint="default" w:ascii="宋体" w:hAnsi="宋体" w:cs="仿宋_GB2312"/>
                <w:color w:val="000000" w:themeColor="text1"/>
                <w:sz w:val="21"/>
                <w:szCs w:val="21"/>
                <w14:textFill>
                  <w14:solidFill>
                    <w14:schemeClr w14:val="tx1"/>
                  </w14:solidFill>
                </w14:textFill>
              </w:rPr>
              <w:t>行政机关应当建立健全监督制度，通过核查反映被许可人从事行政许可事项活动情况的有关材料，履行监督责任。</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行政机关依法对被许可人从事行政许可事项的活动进行监督检查时，应当将监督检查的情况和处理结果予以记录，由监督检查人员签字后归档。公众有权查阅行政机关监督检查记录。</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行政机关应当创造条件，实现与被许可人、其他有关行政机关的计算机档案系统互联，核查被许可人从事行政许可事项活动情况。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color w:val="000000" w:themeColor="text1"/>
                <w:sz w:val="21"/>
                <w:szCs w:val="21"/>
                <w14:textFill>
                  <w14:solidFill>
                    <w14:schemeClr w14:val="tx1"/>
                  </w14:solidFill>
                </w14:textFill>
              </w:rPr>
            </w:pPr>
            <w:r>
              <w:rPr>
                <w:rFonts w:hint="eastAsia" w:ascii="宋体" w:hAnsi="宋体" w:cs="仿宋_GB2312"/>
                <w:color w:val="000000" w:themeColor="text1"/>
                <w:sz w:val="21"/>
                <w:szCs w:val="21"/>
                <w14:textFill>
                  <w14:solidFill>
                    <w14:schemeClr w14:val="tx1"/>
                  </w14:solidFill>
                </w14:textFill>
              </w:rPr>
              <w:t>追责情形</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000000" w:themeColor="text1"/>
                <w:sz w:val="21"/>
                <w:szCs w:val="21"/>
                <w14:textFill>
                  <w14:solidFill>
                    <w14:schemeClr w14:val="tx1"/>
                  </w14:solidFill>
                </w14:textFill>
              </w:rPr>
            </w:pPr>
            <w:r>
              <w:rPr>
                <w:rFonts w:hint="eastAsia" w:ascii="宋体" w:hAnsi="宋体" w:cs="仿宋_GB2312"/>
                <w:color w:val="000000" w:themeColor="text1"/>
                <w:sz w:val="21"/>
                <w:szCs w:val="21"/>
                <w14:textFill>
                  <w14:solidFill>
                    <w14:schemeClr w14:val="tx1"/>
                  </w14:solidFill>
                </w14:textFill>
              </w:rPr>
              <w:t>对不履行或不正确履行行政职责的行政机关及其工作人员，依据</w:t>
            </w:r>
            <w:r>
              <w:rPr>
                <w:rFonts w:hint="eastAsia" w:ascii="宋体" w:hAnsi="宋体" w:cs="仿宋_GB2312"/>
                <w:color w:val="000000" w:themeColor="text1"/>
                <w:sz w:val="21"/>
                <w:szCs w:val="21"/>
                <w:lang w:eastAsia="zh-CN"/>
                <w14:textFill>
                  <w14:solidFill>
                    <w14:schemeClr w14:val="tx1"/>
                  </w14:solidFill>
                </w14:textFill>
              </w:rPr>
              <w:t>《中华人民共和国监察法》</w:t>
            </w:r>
            <w:r>
              <w:rPr>
                <w:rFonts w:hint="eastAsia" w:ascii="宋体" w:hAnsi="宋体" w:cs="仿宋_GB2312"/>
                <w:color w:val="000000" w:themeColor="text1"/>
                <w:sz w:val="21"/>
                <w:szCs w:val="21"/>
                <w14:textFill>
                  <w14:solidFill>
                    <w14:schemeClr w14:val="tx1"/>
                  </w14:solidFill>
                </w14:textFill>
              </w:rPr>
              <w:t>、《中华人民共和国行政许可法》、《行政机关公务员处分条例》、《四川省行政审批违法违纪行为责任追究办法》等法律法规规章的相关规定追究相应的责任。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监督电话</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hint="default" w:ascii="宋体" w:hAnsi="宋体" w:eastAsia="宋体" w:cs="仿宋_GB2312"/>
                <w:color w:val="FF0000"/>
                <w:sz w:val="21"/>
                <w:szCs w:val="21"/>
                <w:lang w:val="en-US" w:eastAsia="zh-CN"/>
              </w:rPr>
            </w:pPr>
            <w:r>
              <w:rPr>
                <w:rFonts w:hint="eastAsia" w:ascii="宋体" w:hAnsi="宋体" w:cs="仿宋_GB2312"/>
                <w:color w:val="000000" w:themeColor="text1"/>
                <w:sz w:val="21"/>
                <w:szCs w:val="21"/>
                <w14:textFill>
                  <w14:solidFill>
                    <w14:schemeClr w14:val="tx1"/>
                  </w14:solidFill>
                </w14:textFill>
              </w:rPr>
              <w:t>0825</w:t>
            </w:r>
            <w:r>
              <w:rPr>
                <w:rFonts w:hint="eastAsia" w:ascii="宋体" w:hAnsi="宋体" w:cs="仿宋_GB2312"/>
                <w:color w:val="000000" w:themeColor="text1"/>
                <w:sz w:val="21"/>
                <w:szCs w:val="21"/>
                <w:lang w:val="en-US" w:eastAsia="zh-CN"/>
                <w14:textFill>
                  <w14:solidFill>
                    <w14:schemeClr w14:val="tx1"/>
                  </w14:solidFill>
                </w14:textFill>
              </w:rPr>
              <w:t>-6807580</w:t>
            </w:r>
          </w:p>
        </w:tc>
      </w:tr>
    </w:tbl>
    <w:p>
      <w:pPr>
        <w:spacing w:line="520" w:lineRule="exact"/>
        <w:rPr>
          <w:rFonts w:hint="eastAsia" w:ascii="仿宋_GB2312" w:hAnsi="仿宋_GB2312" w:eastAsia="仿宋_GB2312" w:cs="仿宋_GB2312"/>
          <w:color w:val="000000"/>
          <w:kern w:val="0"/>
          <w:sz w:val="32"/>
          <w:szCs w:val="32"/>
          <w:u w:val="none" w:color="000000"/>
          <w:lang w:val="en-US" w:eastAsia="zh-CN"/>
        </w:rPr>
      </w:pPr>
      <w:r>
        <w:rPr>
          <w:rFonts w:hint="eastAsia" w:ascii="仿宋_GB2312" w:hAnsi="仿宋_GB2312" w:eastAsia="仿宋_GB2312" w:cs="仿宋_GB2312"/>
          <w:color w:val="000000"/>
          <w:kern w:val="0"/>
          <w:sz w:val="32"/>
          <w:szCs w:val="32"/>
          <w:u w:val="none" w:color="000000"/>
          <w:lang w:val="en-US" w:eastAsia="zh-CN"/>
        </w:rPr>
        <w:t xml:space="preserve"> </w:t>
      </w:r>
    </w:p>
    <w:p>
      <w:pPr>
        <w:spacing w:line="520" w:lineRule="exact"/>
        <w:rPr>
          <w:rFonts w:hint="eastAsia" w:ascii="仿宋_GB2312" w:hAnsi="仿宋_GB2312" w:eastAsia="仿宋_GB2312" w:cs="仿宋_GB2312"/>
          <w:color w:val="000000"/>
          <w:kern w:val="0"/>
          <w:sz w:val="32"/>
          <w:szCs w:val="32"/>
          <w:u w:val="none" w:color="000000"/>
          <w:lang w:val="en-US" w:eastAsia="zh-CN"/>
        </w:rPr>
      </w:pPr>
    </w:p>
    <w:p>
      <w:pPr>
        <w:spacing w:line="520" w:lineRule="exact"/>
        <w:rPr>
          <w:rFonts w:hint="eastAsia" w:ascii="仿宋_GB2312" w:hAnsi="仿宋_GB2312" w:eastAsia="仿宋_GB2312" w:cs="仿宋_GB2312"/>
          <w:color w:val="000000"/>
          <w:kern w:val="0"/>
          <w:sz w:val="32"/>
          <w:szCs w:val="32"/>
          <w:u w:val="none" w:color="000000"/>
          <w:lang w:val="en-US" w:eastAsia="zh-CN"/>
        </w:rPr>
      </w:pPr>
    </w:p>
    <w:p>
      <w:pPr>
        <w:spacing w:line="520" w:lineRule="exact"/>
        <w:rPr>
          <w:rFonts w:hint="eastAsia" w:ascii="仿宋_GB2312" w:hAnsi="仿宋_GB2312" w:eastAsia="仿宋_GB2312" w:cs="仿宋_GB2312"/>
          <w:color w:val="000000"/>
          <w:kern w:val="0"/>
          <w:sz w:val="32"/>
          <w:szCs w:val="32"/>
          <w:u w:val="none" w:color="000000"/>
          <w:lang w:val="en-US" w:eastAsia="zh-CN"/>
        </w:rPr>
      </w:pPr>
    </w:p>
    <w:p>
      <w:pPr>
        <w:spacing w:line="520" w:lineRule="exact"/>
        <w:rPr>
          <w:rFonts w:hint="eastAsia" w:ascii="仿宋_GB2312" w:hAnsi="仿宋_GB2312" w:eastAsia="仿宋_GB2312" w:cs="仿宋_GB2312"/>
          <w:color w:val="000000"/>
          <w:kern w:val="0"/>
          <w:sz w:val="32"/>
          <w:szCs w:val="32"/>
          <w:u w:val="none" w:color="000000"/>
          <w:lang w:val="en-US" w:eastAsia="zh-CN"/>
        </w:rPr>
      </w:pPr>
    </w:p>
    <w:p>
      <w:pPr>
        <w:spacing w:line="520" w:lineRule="exact"/>
        <w:rPr>
          <w:rFonts w:hint="eastAsia" w:ascii="仿宋_GB2312" w:hAnsi="仿宋_GB2312" w:eastAsia="仿宋_GB2312" w:cs="仿宋_GB2312"/>
          <w:color w:val="000000"/>
          <w:kern w:val="0"/>
          <w:sz w:val="32"/>
          <w:szCs w:val="32"/>
          <w:u w:val="none" w:color="000000"/>
          <w:lang w:val="en-US" w:eastAsia="zh-CN"/>
        </w:rPr>
      </w:pPr>
    </w:p>
    <w:p>
      <w:pPr>
        <w:spacing w:line="580" w:lineRule="exact"/>
        <w:jc w:val="both"/>
        <w:rPr>
          <w:rFonts w:hint="eastAsia" w:ascii="黑体" w:hAnsi="黑体" w:eastAsia="黑体"/>
          <w:b/>
          <w:sz w:val="32"/>
          <w:szCs w:val="32"/>
          <w:lang w:eastAsia="zh-CN"/>
        </w:rPr>
      </w:pPr>
      <w:bookmarkStart w:id="0" w:name="_GoBack"/>
      <w:bookmarkEnd w:id="0"/>
    </w:p>
    <w:p>
      <w:pPr>
        <w:spacing w:line="580" w:lineRule="exact"/>
        <w:jc w:val="center"/>
        <w:rPr>
          <w:rFonts w:hint="eastAsia" w:ascii="黑体" w:hAnsi="黑体" w:eastAsia="黑体"/>
          <w:b/>
          <w:sz w:val="32"/>
          <w:szCs w:val="32"/>
        </w:rPr>
      </w:pPr>
      <w:r>
        <w:rPr>
          <w:rFonts w:hint="eastAsia" w:ascii="黑体" w:hAnsi="黑体" w:eastAsia="黑体"/>
          <w:b/>
          <w:sz w:val="32"/>
          <w:szCs w:val="32"/>
          <w:lang w:eastAsia="zh-CN"/>
        </w:rPr>
        <w:t>经科局行政权力</w:t>
      </w:r>
      <w:r>
        <w:rPr>
          <w:rFonts w:hint="eastAsia" w:ascii="黑体" w:hAnsi="黑体" w:eastAsia="黑体"/>
          <w:b/>
          <w:sz w:val="32"/>
          <w:szCs w:val="32"/>
        </w:rPr>
        <w:t>责任清单</w:t>
      </w:r>
    </w:p>
    <w:tbl>
      <w:tblPr>
        <w:tblStyle w:val="5"/>
        <w:tblW w:w="91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7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序</w:t>
            </w:r>
            <w:r>
              <w:rPr>
                <w:rFonts w:hint="eastAsia" w:ascii="宋体" w:hAnsi="宋体" w:cs="仿宋_GB2312"/>
                <w:sz w:val="21"/>
                <w:szCs w:val="21"/>
                <w:lang w:val="en-US" w:eastAsia="zh-CN"/>
              </w:rPr>
              <w:t xml:space="preserve">   </w:t>
            </w:r>
            <w:r>
              <w:rPr>
                <w:rFonts w:hint="eastAsia" w:ascii="宋体" w:hAnsi="宋体" w:cs="仿宋_GB2312"/>
                <w:sz w:val="21"/>
                <w:szCs w:val="21"/>
              </w:rPr>
              <w:t>号</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宋体" w:hAnsi="宋体" w:eastAsia="宋体" w:cs="仿宋_GB2312"/>
                <w:sz w:val="21"/>
                <w:szCs w:val="21"/>
                <w:lang w:val="en-US" w:eastAsia="zh-CN"/>
              </w:rPr>
            </w:pPr>
            <w:r>
              <w:rPr>
                <w:rFonts w:hint="eastAsia" w:ascii="宋体" w:hAnsi="宋体" w:cs="仿宋_GB2312"/>
                <w:b/>
                <w:bCs/>
                <w:sz w:val="21"/>
                <w:szCs w:val="21"/>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权力类型</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权力项目名称</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宋体" w:hAnsi="宋体" w:eastAsia="宋体" w:cs="仿宋_GB2312"/>
                <w:sz w:val="21"/>
                <w:szCs w:val="21"/>
                <w:lang w:eastAsia="zh-CN"/>
              </w:rPr>
            </w:pPr>
            <w:r>
              <w:rPr>
                <w:rFonts w:hint="eastAsia" w:ascii="宋体" w:hAnsi="宋体" w:cs="仿宋_GB2312"/>
                <w:sz w:val="21"/>
                <w:szCs w:val="21"/>
                <w:lang w:eastAsia="zh-CN"/>
              </w:rPr>
              <w:t>对食盐定点企业违反规定聘用禁业限制人员的处罚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实施依据</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FF0000"/>
                <w:sz w:val="21"/>
                <w:szCs w:val="21"/>
              </w:rPr>
            </w:pPr>
            <w:r>
              <w:rPr>
                <w:rFonts w:hint="eastAsia" w:ascii="宋体" w:hAnsi="宋体" w:eastAsia="宋体" w:cs="宋体"/>
                <w:b w:val="0"/>
                <w:i w:val="0"/>
                <w:caps w:val="0"/>
                <w:color w:val="000000" w:themeColor="text1"/>
                <w:spacing w:val="0"/>
                <w:sz w:val="21"/>
                <w:szCs w:val="21"/>
                <w:shd w:val="clear" w:color="auto" w:fill="FFFFFF"/>
                <w14:textFill>
                  <w14:solidFill>
                    <w14:schemeClr w14:val="tx1"/>
                  </w14:solidFill>
                </w14:textFill>
              </w:rPr>
              <w:t>《食盐专营办法》第三十一条  食盐定点生产企业、食盐定点批发企业违反本办法的规定，被处以吊销食盐定点生产、食盐定点批发企业证书行政处罚的，其法定代表人、直接负责的主管人员和其他直接责任人员自处罚决定作出之日起5年内不得从事食盐生产经营管理活动，不得担任食盐定点生产企业、食盐定点批发企业的董事、监事或者高级管理人员。 食盐定点生产企业、食盐定点批发企业违反前款规定聘用人员的，由盐业主管部门责令改正；拒不改正的，吊销其食盐定点生产、食盐定点批发企业证书。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责任主体</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宋体" w:hAnsi="宋体" w:eastAsia="宋体" w:cs="仿宋_GB2312"/>
                <w:color w:val="FF0000"/>
                <w:sz w:val="21"/>
                <w:szCs w:val="21"/>
                <w:lang w:eastAsia="zh-CN"/>
              </w:rPr>
            </w:pPr>
            <w:r>
              <w:rPr>
                <w:rFonts w:hint="eastAsia" w:ascii="宋体" w:hAnsi="宋体" w:cs="仿宋_GB2312"/>
                <w:color w:val="000000" w:themeColor="text1"/>
                <w:sz w:val="21"/>
                <w:szCs w:val="21"/>
                <w:lang w:eastAsia="zh-CN"/>
                <w14:textFill>
                  <w14:solidFill>
                    <w14:schemeClr w14:val="tx1"/>
                  </w14:solidFill>
                </w14:textFill>
              </w:rPr>
              <w:t>船山区经济信息化和科学技术局信息化和运行保障股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责任事项</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000000" w:themeColor="text1"/>
                <w:sz w:val="21"/>
                <w:szCs w:val="21"/>
                <w14:textFill>
                  <w14:solidFill>
                    <w14:schemeClr w14:val="tx1"/>
                  </w14:solidFill>
                </w14:textFill>
              </w:rPr>
            </w:pPr>
            <w:r>
              <w:rPr>
                <w:rFonts w:ascii="宋体" w:hAnsi="宋体" w:cs="仿宋_GB2312"/>
                <w:color w:val="000000" w:themeColor="text1"/>
                <w:sz w:val="21"/>
                <w:szCs w:val="21"/>
                <w14:textFill>
                  <w14:solidFill>
                    <w14:schemeClr w14:val="tx1"/>
                  </w14:solidFill>
                </w14:textFill>
              </w:rPr>
              <w:t>1.受理责任：公示应当提交的材料，一次性告知补正材料，依法受理或不予受理（不予受理应当告知理由）。</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000000" w:themeColor="text1"/>
                <w:sz w:val="21"/>
                <w:szCs w:val="21"/>
                <w14:textFill>
                  <w14:solidFill>
                    <w14:schemeClr w14:val="tx1"/>
                  </w14:solidFill>
                </w14:textFill>
              </w:rPr>
            </w:pPr>
            <w:r>
              <w:rPr>
                <w:rFonts w:ascii="宋体" w:hAnsi="宋体" w:cs="仿宋_GB2312"/>
                <w:color w:val="000000" w:themeColor="text1"/>
                <w:sz w:val="21"/>
                <w:szCs w:val="21"/>
                <w14:textFill>
                  <w14:solidFill>
                    <w14:schemeClr w14:val="tx1"/>
                  </w14:solidFill>
                </w14:textFill>
              </w:rPr>
              <w:t>2.审查责任：审查申请材料，现场踏勘。</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000000" w:themeColor="text1"/>
                <w:sz w:val="21"/>
                <w:szCs w:val="21"/>
                <w14:textFill>
                  <w14:solidFill>
                    <w14:schemeClr w14:val="tx1"/>
                  </w14:solidFill>
                </w14:textFill>
              </w:rPr>
            </w:pPr>
            <w:r>
              <w:rPr>
                <w:rFonts w:ascii="宋体" w:hAnsi="宋体" w:cs="仿宋_GB2312"/>
                <w:color w:val="000000" w:themeColor="text1"/>
                <w:sz w:val="21"/>
                <w:szCs w:val="21"/>
                <w14:textFill>
                  <w14:solidFill>
                    <w14:schemeClr w14:val="tx1"/>
                  </w14:solidFill>
                </w14:textFill>
              </w:rPr>
              <w:t>3.决定责任：作出行政许可或者不予行政许可决定，法定告知（不予许可的应当书面告知理由）。</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000000" w:themeColor="text1"/>
                <w:sz w:val="21"/>
                <w:szCs w:val="21"/>
                <w14:textFill>
                  <w14:solidFill>
                    <w14:schemeClr w14:val="tx1"/>
                  </w14:solidFill>
                </w14:textFill>
              </w:rPr>
            </w:pPr>
            <w:r>
              <w:rPr>
                <w:rFonts w:ascii="宋体" w:hAnsi="宋体" w:cs="仿宋_GB2312"/>
                <w:color w:val="000000" w:themeColor="text1"/>
                <w:sz w:val="21"/>
                <w:szCs w:val="21"/>
                <w14:textFill>
                  <w14:solidFill>
                    <w14:schemeClr w14:val="tx1"/>
                  </w14:solidFill>
                </w14:textFill>
              </w:rPr>
              <w:t>4.事后监管责任：建立实施监督检查的运行机制和管理制度，开展定期和不定期检查，依法采取相关处置措施。</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FF0000"/>
                <w:sz w:val="21"/>
                <w:szCs w:val="21"/>
              </w:rPr>
            </w:pPr>
            <w:r>
              <w:rPr>
                <w:rFonts w:ascii="宋体" w:hAnsi="宋体" w:cs="仿宋_GB2312"/>
                <w:color w:val="000000" w:themeColor="text1"/>
                <w:sz w:val="21"/>
                <w:szCs w:val="21"/>
                <w14:textFill>
                  <w14:solidFill>
                    <w14:schemeClr w14:val="tx1"/>
                  </w14:solidFill>
                </w14:textFill>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宋体" w:hAnsi="宋体" w:cs="仿宋_GB2312"/>
                <w:sz w:val="21"/>
                <w:szCs w:val="21"/>
              </w:rPr>
            </w:pP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eastAsia" w:ascii="宋体" w:hAnsi="宋体" w:cs="仿宋_GB2312"/>
                <w:sz w:val="21"/>
                <w:szCs w:val="21"/>
              </w:rPr>
            </w:pPr>
            <w:r>
              <w:rPr>
                <w:rFonts w:hint="eastAsia" w:ascii="宋体" w:hAnsi="宋体" w:cs="仿宋_GB2312"/>
                <w:sz w:val="21"/>
                <w:szCs w:val="21"/>
              </w:rPr>
              <w:t>责任事项依据</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000000" w:themeColor="text1"/>
                <w:sz w:val="21"/>
                <w:szCs w:val="21"/>
                <w14:textFill>
                  <w14:solidFill>
                    <w14:schemeClr w14:val="tx1"/>
                  </w14:solidFill>
                </w14:textFill>
              </w:rPr>
            </w:pPr>
            <w:r>
              <w:rPr>
                <w:rFonts w:ascii="宋体" w:hAnsi="宋体" w:cs="仿宋_GB2312"/>
                <w:color w:val="000000" w:themeColor="text1"/>
                <w:sz w:val="21"/>
                <w:szCs w:val="21"/>
                <w14:textFill>
                  <w14:solidFill>
                    <w14:schemeClr w14:val="tx1"/>
                  </w14:solidFill>
                </w14:textFill>
              </w:rPr>
              <w:t>《行政许可法》</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hint="default" w:ascii="宋体" w:hAnsi="宋体" w:cs="仿宋_GB2312"/>
                <w:color w:val="000000" w:themeColor="text1"/>
                <w:sz w:val="21"/>
                <w:szCs w:val="21"/>
                <w14:textFill>
                  <w14:solidFill>
                    <w14:schemeClr w14:val="tx1"/>
                  </w14:solidFill>
                </w14:textFill>
              </w:rPr>
            </w:pPr>
            <w:r>
              <w:rPr>
                <w:rFonts w:hint="default" w:ascii="宋体" w:hAnsi="宋体" w:cs="仿宋_GB2312"/>
                <w:color w:val="000000" w:themeColor="text1"/>
                <w:sz w:val="21"/>
                <w:szCs w:val="21"/>
                <w14:textFill>
                  <w14:solidFill>
                    <w14:schemeClr w14:val="tx1"/>
                  </w14:solidFill>
                </w14:textFill>
              </w:rPr>
              <w:t>第三十二条</w:t>
            </w:r>
            <w:r>
              <w:rPr>
                <w:rFonts w:hint="eastAsia" w:ascii="宋体" w:hAnsi="宋体" w:cs="仿宋_GB2312"/>
                <w:color w:val="000000" w:themeColor="text1"/>
                <w:sz w:val="21"/>
                <w:szCs w:val="21"/>
                <w:lang w:val="en-US" w:eastAsia="zh-CN"/>
                <w14:textFill>
                  <w14:solidFill>
                    <w14:schemeClr w14:val="tx1"/>
                  </w14:solidFill>
                </w14:textFill>
              </w:rPr>
              <w:t xml:space="preserve">  </w:t>
            </w:r>
            <w:r>
              <w:rPr>
                <w:rFonts w:hint="default" w:ascii="宋体" w:hAnsi="宋体" w:cs="仿宋_GB2312"/>
                <w:color w:val="000000" w:themeColor="text1"/>
                <w:sz w:val="21"/>
                <w:szCs w:val="21"/>
                <w14:textFill>
                  <w14:solidFill>
                    <w14:schemeClr w14:val="tx1"/>
                  </w14:solidFill>
                </w14:textFill>
              </w:rPr>
              <w:t>行政机关对申请人提出的行政许可申请，应当根据下列情况分别作出处理：</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（一）申请事项依法不需要取得行政许可的，应当即时告知申请人不受理；</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（二）申请事项依法不属于本行政机关职权范围的，应当即时作出不予受理的决定，并告知申请人向有关行政机关申请；</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（三）申请材料存在可以当场更正的错误的，应当允许申请人当场更正；</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（四）申请材料不齐全或者不符合法定形式的，应当当场或者在五日内一次告知申请人需要补正的全部内容，逾期不告知的，自收到申请材料之日起即为受理；</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（五）申请事项属于本行政机关职权范围，申请材料齐全、符合法定形式，或者申请人按照本行政机关的要求提交全部补正申请材料的，应当受理行政许可申请。</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行政机关受理或者不予受理行政许可申请，应当出具加盖本行政机关专用印章和注明日期的书面凭证。</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hint="eastAsia" w:ascii="宋体" w:hAnsi="宋体" w:cs="仿宋_GB2312"/>
                <w:color w:val="000000" w:themeColor="text1"/>
                <w:sz w:val="21"/>
                <w:szCs w:val="21"/>
                <w14:textFill>
                  <w14:solidFill>
                    <w14:schemeClr w14:val="tx1"/>
                  </w14:solidFill>
                </w14:textFill>
              </w:rPr>
            </w:pPr>
            <w:r>
              <w:rPr>
                <w:rFonts w:hint="default" w:ascii="宋体" w:hAnsi="宋体" w:cs="仿宋_GB2312"/>
                <w:color w:val="000000" w:themeColor="text1"/>
                <w:sz w:val="21"/>
                <w:szCs w:val="21"/>
                <w14:textFill>
                  <w14:solidFill>
                    <w14:schemeClr w14:val="tx1"/>
                  </w14:solidFill>
                </w14:textFill>
              </w:rPr>
              <w:t>第三十四条</w:t>
            </w:r>
            <w:r>
              <w:rPr>
                <w:rFonts w:hint="eastAsia" w:ascii="宋体" w:hAnsi="宋体" w:cs="仿宋_GB2312"/>
                <w:color w:val="000000" w:themeColor="text1"/>
                <w:sz w:val="21"/>
                <w:szCs w:val="21"/>
                <w:lang w:val="en-US" w:eastAsia="zh-CN"/>
                <w14:textFill>
                  <w14:solidFill>
                    <w14:schemeClr w14:val="tx1"/>
                  </w14:solidFill>
                </w14:textFill>
              </w:rPr>
              <w:t xml:space="preserve">  </w:t>
            </w:r>
            <w:r>
              <w:rPr>
                <w:rFonts w:hint="default" w:ascii="宋体" w:hAnsi="宋体" w:cs="仿宋_GB2312"/>
                <w:color w:val="000000" w:themeColor="text1"/>
                <w:sz w:val="21"/>
                <w:szCs w:val="21"/>
                <w14:textFill>
                  <w14:solidFill>
                    <w14:schemeClr w14:val="tx1"/>
                  </w14:solidFill>
                </w14:textFill>
              </w:rPr>
              <w:t>行政机关应当对申请人提交的申请材料进行审查。</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申请人提交的申请材料齐全、符合法定形式，行政机关能够当场作出决定的，应当当场作出书面的行政许可决定。</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根据法定条件和程序，需要对申请材料的实质内容进行核实的，行政机关应当指派两名以上工作人员进行核查。</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第三十八条</w:t>
            </w:r>
            <w:r>
              <w:rPr>
                <w:rFonts w:hint="eastAsia" w:ascii="宋体" w:hAnsi="宋体" w:cs="仿宋_GB2312"/>
                <w:color w:val="000000" w:themeColor="text1"/>
                <w:sz w:val="21"/>
                <w:szCs w:val="21"/>
                <w:lang w:val="en-US" w:eastAsia="zh-CN"/>
                <w14:textFill>
                  <w14:solidFill>
                    <w14:schemeClr w14:val="tx1"/>
                  </w14:solidFill>
                </w14:textFill>
              </w:rPr>
              <w:t xml:space="preserve">  </w:t>
            </w:r>
            <w:r>
              <w:rPr>
                <w:rFonts w:hint="default" w:ascii="宋体" w:hAnsi="宋体" w:cs="仿宋_GB2312"/>
                <w:color w:val="000000" w:themeColor="text1"/>
                <w:sz w:val="21"/>
                <w:szCs w:val="21"/>
                <w14:textFill>
                  <w14:solidFill>
                    <w14:schemeClr w14:val="tx1"/>
                  </w14:solidFill>
                </w14:textFill>
              </w:rPr>
              <w:t>申请人的申请符合法定条件、标准的，行政机关应当依法作出准予行政许可的书面决定。</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行政机关依法作出不予行政许可的书面决定的，应当说明理由，并告知申请人享有依法申请行政复议或者提起行政诉讼的权利。</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第六十一条</w:t>
            </w:r>
            <w:r>
              <w:rPr>
                <w:rFonts w:hint="eastAsia" w:ascii="宋体" w:hAnsi="宋体" w:cs="仿宋_GB2312"/>
                <w:color w:val="000000" w:themeColor="text1"/>
                <w:sz w:val="21"/>
                <w:szCs w:val="21"/>
                <w:lang w:val="en-US" w:eastAsia="zh-CN"/>
                <w14:textFill>
                  <w14:solidFill>
                    <w14:schemeClr w14:val="tx1"/>
                  </w14:solidFill>
                </w14:textFill>
              </w:rPr>
              <w:t xml:space="preserve">  </w:t>
            </w:r>
            <w:r>
              <w:rPr>
                <w:rFonts w:hint="default" w:ascii="宋体" w:hAnsi="宋体" w:cs="仿宋_GB2312"/>
                <w:color w:val="000000" w:themeColor="text1"/>
                <w:sz w:val="21"/>
                <w:szCs w:val="21"/>
                <w14:textFill>
                  <w14:solidFill>
                    <w14:schemeClr w14:val="tx1"/>
                  </w14:solidFill>
                </w14:textFill>
              </w:rPr>
              <w:t>行政机关应当建立健全监督制度，通过核查反映被许可人从事行政许可事项活动情况的有关材料，履行监督责任。</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行政机关依法对被许可人从事行政许可事项的活动进行监督检查时，应当将监督检查的情况和处理结果予以记录，由监督检查人员签字后归档。公众有权查阅行政机关监督检查记录。</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行政机关应当创造条件，实现与被许可人、其他有关行政机关的计算机档案系统互联，核查被许可人从事行政许可事项活动情况。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追责情形</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000000" w:themeColor="text1"/>
                <w:sz w:val="21"/>
                <w:szCs w:val="21"/>
                <w14:textFill>
                  <w14:solidFill>
                    <w14:schemeClr w14:val="tx1"/>
                  </w14:solidFill>
                </w14:textFill>
              </w:rPr>
            </w:pPr>
            <w:r>
              <w:rPr>
                <w:rFonts w:hint="eastAsia" w:ascii="宋体" w:hAnsi="宋体" w:cs="仿宋_GB2312"/>
                <w:color w:val="000000" w:themeColor="text1"/>
                <w:sz w:val="21"/>
                <w:szCs w:val="21"/>
                <w14:textFill>
                  <w14:solidFill>
                    <w14:schemeClr w14:val="tx1"/>
                  </w14:solidFill>
                </w14:textFill>
              </w:rPr>
              <w:t>对不履行或不正确履行行政职责的行政机关及其工作人员，依据</w:t>
            </w:r>
            <w:r>
              <w:rPr>
                <w:rFonts w:hint="eastAsia" w:ascii="宋体" w:hAnsi="宋体" w:cs="仿宋_GB2312"/>
                <w:color w:val="000000" w:themeColor="text1"/>
                <w:sz w:val="21"/>
                <w:szCs w:val="21"/>
                <w:lang w:eastAsia="zh-CN"/>
                <w14:textFill>
                  <w14:solidFill>
                    <w14:schemeClr w14:val="tx1"/>
                  </w14:solidFill>
                </w14:textFill>
              </w:rPr>
              <w:t>《中华人民共和国监察法》</w:t>
            </w:r>
            <w:r>
              <w:rPr>
                <w:rFonts w:hint="eastAsia" w:ascii="宋体" w:hAnsi="宋体" w:cs="仿宋_GB2312"/>
                <w:color w:val="000000" w:themeColor="text1"/>
                <w:sz w:val="21"/>
                <w:szCs w:val="21"/>
                <w14:textFill>
                  <w14:solidFill>
                    <w14:schemeClr w14:val="tx1"/>
                  </w14:solidFill>
                </w14:textFill>
              </w:rPr>
              <w:t>、《中华人民共和国行政许可法》、《行政机关公务员处分条例》、《四川省行政审批违法违纪行为责任追究办法》等法律法规规章的相关规定追究相应的责任。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监督电话</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FF0000"/>
                <w:sz w:val="21"/>
                <w:szCs w:val="21"/>
              </w:rPr>
            </w:pPr>
            <w:r>
              <w:rPr>
                <w:rFonts w:hint="eastAsia" w:ascii="宋体" w:hAnsi="宋体" w:cs="仿宋_GB2312"/>
                <w:color w:val="000000" w:themeColor="text1"/>
                <w:sz w:val="21"/>
                <w:szCs w:val="21"/>
                <w14:textFill>
                  <w14:solidFill>
                    <w14:schemeClr w14:val="tx1"/>
                  </w14:solidFill>
                </w14:textFill>
              </w:rPr>
              <w:t>0825</w:t>
            </w:r>
            <w:r>
              <w:rPr>
                <w:rFonts w:hint="eastAsia" w:ascii="宋体" w:hAnsi="宋体" w:cs="仿宋_GB2312"/>
                <w:color w:val="000000" w:themeColor="text1"/>
                <w:sz w:val="21"/>
                <w:szCs w:val="21"/>
                <w:lang w:val="en-US" w:eastAsia="zh-CN"/>
                <w14:textFill>
                  <w14:solidFill>
                    <w14:schemeClr w14:val="tx1"/>
                  </w14:solidFill>
                </w14:textFill>
              </w:rPr>
              <w:t>-6807580</w:t>
            </w:r>
          </w:p>
        </w:tc>
      </w:tr>
    </w:tbl>
    <w:p>
      <w:pPr>
        <w:spacing w:line="520" w:lineRule="exact"/>
        <w:rPr>
          <w:rFonts w:hint="eastAsia" w:ascii="仿宋_GB2312" w:hAnsi="仿宋_GB2312" w:eastAsia="仿宋_GB2312" w:cs="仿宋_GB2312"/>
          <w:color w:val="000000"/>
          <w:kern w:val="0"/>
          <w:sz w:val="32"/>
          <w:szCs w:val="32"/>
          <w:u w:val="none" w:color="000000"/>
          <w:lang w:val="en-US" w:eastAsia="zh-CN"/>
        </w:rPr>
      </w:pPr>
      <w:r>
        <w:rPr>
          <w:rFonts w:hint="eastAsia" w:ascii="仿宋_GB2312" w:hAnsi="仿宋_GB2312" w:eastAsia="仿宋_GB2312" w:cs="仿宋_GB2312"/>
          <w:color w:val="000000"/>
          <w:kern w:val="0"/>
          <w:sz w:val="32"/>
          <w:szCs w:val="32"/>
          <w:u w:val="none" w:color="000000"/>
          <w:lang w:val="en-US" w:eastAsia="zh-CN"/>
        </w:rPr>
        <w:t xml:space="preserve"> </w:t>
      </w:r>
    </w:p>
    <w:p>
      <w:pPr>
        <w:spacing w:line="520" w:lineRule="exact"/>
        <w:rPr>
          <w:rFonts w:hint="eastAsia" w:ascii="仿宋_GB2312" w:hAnsi="仿宋_GB2312" w:eastAsia="仿宋_GB2312" w:cs="仿宋_GB2312"/>
          <w:color w:val="000000"/>
          <w:kern w:val="0"/>
          <w:sz w:val="32"/>
          <w:szCs w:val="32"/>
          <w:u w:val="none" w:color="000000"/>
          <w:lang w:val="en-US" w:eastAsia="zh-CN"/>
        </w:rPr>
      </w:pPr>
    </w:p>
    <w:p/>
    <w:p/>
    <w:p/>
    <w:p/>
    <w:p/>
    <w:p/>
    <w:p/>
    <w:p/>
    <w:p/>
    <w:p/>
    <w:p/>
    <w:p>
      <w:pPr>
        <w:spacing w:line="580" w:lineRule="exact"/>
        <w:jc w:val="center"/>
        <w:rPr>
          <w:rFonts w:hint="eastAsia" w:ascii="黑体" w:hAnsi="黑体" w:eastAsia="黑体"/>
          <w:b/>
          <w:sz w:val="32"/>
          <w:szCs w:val="32"/>
          <w:lang w:eastAsia="zh-CN"/>
        </w:rPr>
      </w:pPr>
    </w:p>
    <w:p>
      <w:pPr>
        <w:spacing w:line="580" w:lineRule="exact"/>
        <w:jc w:val="center"/>
        <w:rPr>
          <w:rFonts w:hint="eastAsia" w:ascii="黑体" w:hAnsi="黑体" w:eastAsia="黑体"/>
          <w:b/>
          <w:sz w:val="32"/>
          <w:szCs w:val="32"/>
          <w:lang w:eastAsia="zh-CN"/>
        </w:rPr>
      </w:pPr>
    </w:p>
    <w:p>
      <w:pPr>
        <w:spacing w:line="580" w:lineRule="exact"/>
        <w:jc w:val="center"/>
        <w:rPr>
          <w:rFonts w:hint="eastAsia" w:ascii="黑体" w:hAnsi="黑体" w:eastAsia="黑体"/>
          <w:b/>
          <w:sz w:val="32"/>
          <w:szCs w:val="32"/>
          <w:lang w:eastAsia="zh-CN"/>
        </w:rPr>
      </w:pPr>
    </w:p>
    <w:p>
      <w:pPr>
        <w:spacing w:line="580" w:lineRule="exact"/>
        <w:jc w:val="center"/>
        <w:rPr>
          <w:rFonts w:hint="eastAsia" w:ascii="黑体" w:hAnsi="黑体" w:eastAsia="黑体"/>
          <w:b/>
          <w:sz w:val="32"/>
          <w:szCs w:val="32"/>
          <w:lang w:eastAsia="zh-CN"/>
        </w:rPr>
      </w:pPr>
    </w:p>
    <w:p>
      <w:pPr>
        <w:spacing w:line="580" w:lineRule="exact"/>
        <w:jc w:val="center"/>
        <w:rPr>
          <w:rFonts w:hint="eastAsia" w:ascii="黑体" w:hAnsi="黑体" w:eastAsia="黑体"/>
          <w:b/>
          <w:sz w:val="32"/>
          <w:szCs w:val="32"/>
          <w:lang w:eastAsia="zh-CN"/>
        </w:rPr>
      </w:pPr>
    </w:p>
    <w:p>
      <w:pPr>
        <w:spacing w:line="580" w:lineRule="exact"/>
        <w:jc w:val="center"/>
        <w:rPr>
          <w:rFonts w:hint="eastAsia" w:ascii="黑体" w:hAnsi="黑体" w:eastAsia="黑体"/>
          <w:b/>
          <w:sz w:val="32"/>
          <w:szCs w:val="32"/>
          <w:lang w:eastAsia="zh-CN"/>
        </w:rPr>
      </w:pPr>
    </w:p>
    <w:p>
      <w:pPr>
        <w:spacing w:line="580" w:lineRule="exact"/>
        <w:jc w:val="both"/>
        <w:rPr>
          <w:rFonts w:hint="eastAsia" w:ascii="黑体" w:hAnsi="黑体" w:eastAsia="黑体"/>
          <w:b/>
          <w:sz w:val="32"/>
          <w:szCs w:val="32"/>
          <w:lang w:eastAsia="zh-CN"/>
        </w:rPr>
      </w:pPr>
    </w:p>
    <w:p>
      <w:pPr>
        <w:spacing w:line="580" w:lineRule="exact"/>
        <w:jc w:val="center"/>
        <w:rPr>
          <w:rFonts w:hint="eastAsia" w:ascii="黑体" w:hAnsi="黑体" w:eastAsia="黑体"/>
          <w:b/>
          <w:sz w:val="32"/>
          <w:szCs w:val="32"/>
        </w:rPr>
      </w:pPr>
      <w:r>
        <w:rPr>
          <w:rFonts w:hint="eastAsia" w:ascii="黑体" w:hAnsi="黑体" w:eastAsia="黑体"/>
          <w:b/>
          <w:sz w:val="32"/>
          <w:szCs w:val="32"/>
          <w:lang w:eastAsia="zh-CN"/>
        </w:rPr>
        <w:t>经科局行政权力</w:t>
      </w:r>
      <w:r>
        <w:rPr>
          <w:rFonts w:hint="eastAsia" w:ascii="黑体" w:hAnsi="黑体" w:eastAsia="黑体"/>
          <w:b/>
          <w:sz w:val="32"/>
          <w:szCs w:val="32"/>
        </w:rPr>
        <w:t>责任清单</w:t>
      </w:r>
    </w:p>
    <w:tbl>
      <w:tblPr>
        <w:tblStyle w:val="5"/>
        <w:tblW w:w="91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7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序</w:t>
            </w:r>
            <w:r>
              <w:rPr>
                <w:rFonts w:hint="eastAsia" w:ascii="宋体" w:hAnsi="宋体" w:cs="仿宋_GB2312"/>
                <w:sz w:val="21"/>
                <w:szCs w:val="21"/>
                <w:lang w:val="en-US" w:eastAsia="zh-CN"/>
              </w:rPr>
              <w:t xml:space="preserve">   </w:t>
            </w:r>
            <w:r>
              <w:rPr>
                <w:rFonts w:hint="eastAsia" w:ascii="宋体" w:hAnsi="宋体" w:cs="仿宋_GB2312"/>
                <w:sz w:val="21"/>
                <w:szCs w:val="21"/>
              </w:rPr>
              <w:t>号</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b/>
                <w:bCs/>
                <w:sz w:val="21"/>
                <w:szCs w:val="21"/>
              </w:rPr>
              <w:t>1</w:t>
            </w:r>
            <w:r>
              <w:rPr>
                <w:rFonts w:hint="eastAsia" w:ascii="宋体" w:hAnsi="宋体" w:cs="仿宋_GB2312"/>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权力类型</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权力项目名称</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宋体" w:hAnsi="宋体" w:eastAsia="宋体" w:cs="仿宋_GB2312"/>
                <w:sz w:val="21"/>
                <w:szCs w:val="21"/>
                <w:lang w:eastAsia="zh-CN"/>
              </w:rPr>
            </w:pPr>
            <w:r>
              <w:rPr>
                <w:rFonts w:hint="eastAsia" w:ascii="宋体" w:hAnsi="宋体" w:cs="仿宋_GB2312"/>
                <w:sz w:val="21"/>
                <w:szCs w:val="21"/>
                <w:lang w:eastAsia="zh-CN"/>
              </w:rPr>
              <w:t>对在科技成果转化和科技奖励活动中弄虚作假，侵占他人的科技成果，骗取奖励和荣誉称号的处罚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实施依据</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sz w:val="21"/>
                <w:szCs w:val="21"/>
              </w:rPr>
            </w:pPr>
            <w:r>
              <w:rPr>
                <w:rFonts w:hint="eastAsia" w:ascii="宋体" w:hAnsi="宋体"/>
                <w:szCs w:val="21"/>
              </w:rPr>
              <w:t>《中华人民共和国促进科技成果转化法》第三十一条：违反本法规定，在科技成果转化活动中弄虚作假，采取欺骗手段，骗取奖励和荣誉称号、诈骗钱财、非法牟利的，责令改正，取消该奖励和荣誉称号，没收违法所得，并处以罚款。给他人造成经济损失的，依法承担民事赔偿责任。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责任主体</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宋体" w:hAnsi="宋体" w:eastAsia="宋体" w:cs="仿宋_GB2312"/>
                <w:sz w:val="21"/>
                <w:szCs w:val="21"/>
                <w:lang w:eastAsia="zh-CN"/>
              </w:rPr>
            </w:pPr>
            <w:r>
              <w:rPr>
                <w:rFonts w:hint="eastAsia" w:ascii="宋体" w:hAnsi="宋体"/>
                <w:color w:val="000000"/>
                <w:szCs w:val="21"/>
              </w:rPr>
              <w:t>遂宁市船山区</w:t>
            </w:r>
            <w:r>
              <w:rPr>
                <w:rFonts w:hint="eastAsia" w:ascii="宋体" w:hAnsi="宋体"/>
                <w:color w:val="000000"/>
                <w:szCs w:val="21"/>
                <w:lang w:eastAsia="zh-CN"/>
              </w:rPr>
              <w:t>经济信息化和科学技术局科技</w:t>
            </w:r>
            <w:r>
              <w:rPr>
                <w:rFonts w:hint="eastAsia" w:ascii="宋体" w:hAnsi="宋体"/>
                <w:color w:val="000000"/>
                <w:szCs w:val="21"/>
              </w:rPr>
              <w:t>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责任事项</w:t>
            </w:r>
          </w:p>
        </w:tc>
        <w:tc>
          <w:tcPr>
            <w:tcW w:w="7561" w:type="dxa"/>
            <w:vAlign w:val="center"/>
          </w:tcPr>
          <w:p>
            <w:pPr>
              <w:spacing w:line="360" w:lineRule="exact"/>
              <w:ind w:firstLine="420" w:firstLineChars="200"/>
              <w:rPr>
                <w:rFonts w:hint="eastAsia" w:ascii="宋体" w:hAnsi="宋体"/>
                <w:szCs w:val="21"/>
              </w:rPr>
            </w:pPr>
            <w:r>
              <w:rPr>
                <w:rFonts w:hint="eastAsia" w:ascii="宋体" w:hAnsi="宋体"/>
                <w:szCs w:val="21"/>
              </w:rPr>
              <w:t>1．立案责任：发现涉嫌</w:t>
            </w:r>
            <w:r>
              <w:rPr>
                <w:rFonts w:ascii="宋体" w:hAnsi="宋体"/>
                <w:szCs w:val="21"/>
              </w:rPr>
              <w:t>在科技成果转化和科技奖励活动中弄虚作假，侵占他人的科技成果，骗取奖励和荣誉称号的</w:t>
            </w:r>
            <w:r>
              <w:rPr>
                <w:rFonts w:hint="eastAsia" w:ascii="宋体" w:hAnsi="宋体"/>
                <w:szCs w:val="21"/>
              </w:rPr>
              <w:t>，予以审查，决定是否立案。</w:t>
            </w:r>
          </w:p>
          <w:p>
            <w:pPr>
              <w:spacing w:line="360" w:lineRule="exact"/>
              <w:ind w:firstLine="420" w:firstLineChars="200"/>
              <w:rPr>
                <w:rFonts w:hint="eastAsia" w:ascii="宋体" w:hAnsi="宋体"/>
                <w:szCs w:val="21"/>
              </w:rPr>
            </w:pPr>
            <w:r>
              <w:rPr>
                <w:rFonts w:ascii="宋体" w:hAnsi="宋体"/>
                <w:szCs w:val="21"/>
              </w:rPr>
              <w:t>2．调查责任：</w:t>
            </w:r>
            <w:r>
              <w:rPr>
                <w:rFonts w:hint="eastAsia" w:ascii="宋体" w:hAnsi="宋体"/>
                <w:szCs w:val="21"/>
              </w:rPr>
              <w:t>对立案的案件及时组织调查取证，与当</w:t>
            </w:r>
            <w:r>
              <w:rPr>
                <w:rFonts w:ascii="宋体" w:hAnsi="宋体"/>
                <w:szCs w:val="21"/>
              </w:rPr>
              <w:t>事人有直接利害关系的应当回避</w:t>
            </w:r>
            <w:r>
              <w:rPr>
                <w:rFonts w:hint="eastAsia" w:ascii="宋体" w:hAnsi="宋体"/>
                <w:szCs w:val="21"/>
              </w:rPr>
              <w:t>。执法人员不得少于两人，询问或者检查应当制作笔录，允许当事人</w:t>
            </w:r>
            <w:r>
              <w:rPr>
                <w:rFonts w:ascii="宋体" w:hAnsi="宋体"/>
                <w:szCs w:val="21"/>
              </w:rPr>
              <w:t>陈述和</w:t>
            </w:r>
            <w:r>
              <w:rPr>
                <w:rFonts w:hint="eastAsia" w:ascii="宋体" w:hAnsi="宋体"/>
                <w:szCs w:val="21"/>
              </w:rPr>
              <w:t>辩解。</w:t>
            </w:r>
          </w:p>
          <w:p>
            <w:pPr>
              <w:spacing w:line="360" w:lineRule="exact"/>
              <w:ind w:firstLine="420" w:firstLineChars="200"/>
              <w:rPr>
                <w:rFonts w:hint="eastAsia" w:ascii="宋体" w:hAnsi="宋体"/>
                <w:szCs w:val="21"/>
              </w:rPr>
            </w:pPr>
            <w:r>
              <w:rPr>
                <w:rFonts w:ascii="宋体" w:hAnsi="宋体"/>
                <w:szCs w:val="21"/>
              </w:rPr>
              <w:t>3．审查责任：对案件违法事实、证据、调查取证程序、法律适用、处罚种类和幅度、当事人陈述和申辩</w:t>
            </w:r>
            <w:r>
              <w:rPr>
                <w:rFonts w:hint="eastAsia" w:ascii="宋体" w:hAnsi="宋体"/>
                <w:szCs w:val="21"/>
              </w:rPr>
              <w:t>进行审查</w:t>
            </w:r>
            <w:r>
              <w:rPr>
                <w:rFonts w:ascii="宋体" w:hAnsi="宋体"/>
                <w:szCs w:val="21"/>
              </w:rPr>
              <w:t>，提出处理意见。</w:t>
            </w:r>
          </w:p>
          <w:p>
            <w:pPr>
              <w:spacing w:line="360" w:lineRule="exact"/>
              <w:ind w:firstLine="420" w:firstLineChars="200"/>
              <w:rPr>
                <w:rFonts w:hint="eastAsia" w:ascii="宋体" w:hAnsi="宋体"/>
                <w:szCs w:val="21"/>
              </w:rPr>
            </w:pPr>
            <w:r>
              <w:rPr>
                <w:rFonts w:ascii="宋体" w:hAnsi="宋体"/>
                <w:szCs w:val="21"/>
              </w:rPr>
              <w:t>4．告知责任：</w:t>
            </w:r>
            <w:r>
              <w:rPr>
                <w:rFonts w:hint="eastAsia" w:ascii="宋体" w:hAnsi="宋体"/>
                <w:szCs w:val="21"/>
              </w:rPr>
              <w:t>作出行政处罚前，应制作</w:t>
            </w:r>
            <w:r>
              <w:rPr>
                <w:rFonts w:ascii="宋体" w:hAnsi="宋体"/>
                <w:szCs w:val="21"/>
              </w:rPr>
              <w:t>《行政处罚告知书》</w:t>
            </w:r>
            <w:r>
              <w:rPr>
                <w:rFonts w:hint="eastAsia" w:ascii="宋体" w:hAnsi="宋体"/>
                <w:szCs w:val="21"/>
              </w:rPr>
              <w:t>送达当事人，告知其作出行政处罚决定的事实、理由及依据，并告知当事人依法享有的权利。符合听证规定的，制作并送达</w:t>
            </w:r>
            <w:r>
              <w:rPr>
                <w:rFonts w:ascii="宋体" w:hAnsi="宋体"/>
                <w:szCs w:val="21"/>
              </w:rPr>
              <w:t>《行政处罚听证告知书》。</w:t>
            </w:r>
          </w:p>
          <w:p>
            <w:pPr>
              <w:spacing w:line="360" w:lineRule="exact"/>
              <w:ind w:firstLine="420" w:firstLineChars="200"/>
              <w:rPr>
                <w:rFonts w:hint="eastAsia" w:ascii="宋体" w:hAnsi="宋体"/>
                <w:szCs w:val="21"/>
              </w:rPr>
            </w:pPr>
            <w:r>
              <w:rPr>
                <w:rFonts w:ascii="宋体" w:hAnsi="宋体"/>
                <w:szCs w:val="21"/>
              </w:rPr>
              <w:t>5．决定责任：</w:t>
            </w:r>
            <w:r>
              <w:rPr>
                <w:rFonts w:hint="eastAsia" w:ascii="宋体" w:hAnsi="宋体"/>
                <w:szCs w:val="21"/>
              </w:rPr>
              <w:t>作出处罚决定，</w:t>
            </w:r>
            <w:r>
              <w:rPr>
                <w:rFonts w:ascii="宋体" w:hAnsi="宋体"/>
                <w:szCs w:val="21"/>
              </w:rPr>
              <w:t>制作《行政处罚决定书》，</w:t>
            </w:r>
            <w:r>
              <w:rPr>
                <w:rFonts w:hint="eastAsia" w:ascii="宋体" w:hAnsi="宋体"/>
                <w:szCs w:val="21"/>
              </w:rPr>
              <w:t>并</w:t>
            </w:r>
            <w:r>
              <w:rPr>
                <w:rFonts w:ascii="宋体" w:hAnsi="宋体"/>
                <w:szCs w:val="21"/>
              </w:rPr>
              <w:t>载明行政处罚告知、当事人陈述申辩</w:t>
            </w:r>
            <w:r>
              <w:rPr>
                <w:rFonts w:hint="eastAsia" w:ascii="宋体" w:hAnsi="宋体"/>
                <w:szCs w:val="21"/>
              </w:rPr>
              <w:t>或者听证情况</w:t>
            </w:r>
            <w:r>
              <w:rPr>
                <w:rFonts w:ascii="宋体" w:hAnsi="宋体"/>
                <w:szCs w:val="21"/>
              </w:rPr>
              <w:t>等内容。</w:t>
            </w:r>
          </w:p>
          <w:p>
            <w:pPr>
              <w:spacing w:line="360" w:lineRule="exact"/>
              <w:ind w:firstLine="420" w:firstLineChars="200"/>
              <w:rPr>
                <w:rFonts w:hint="eastAsia" w:ascii="宋体" w:hAnsi="宋体"/>
                <w:szCs w:val="21"/>
              </w:rPr>
            </w:pPr>
            <w:r>
              <w:rPr>
                <w:rFonts w:ascii="宋体" w:hAnsi="宋体"/>
                <w:szCs w:val="21"/>
              </w:rPr>
              <w:t>6．送达责任：</w:t>
            </w:r>
            <w:r>
              <w:rPr>
                <w:rFonts w:hint="eastAsia" w:ascii="宋体" w:hAnsi="宋体"/>
                <w:szCs w:val="21"/>
              </w:rPr>
              <w:t>按照法律法规规定的方式和时限，将</w:t>
            </w:r>
            <w:r>
              <w:rPr>
                <w:rFonts w:ascii="宋体" w:hAnsi="宋体"/>
                <w:szCs w:val="21"/>
              </w:rPr>
              <w:t>《行政处罚决定书》</w:t>
            </w:r>
            <w:r>
              <w:rPr>
                <w:rFonts w:hint="eastAsia" w:ascii="宋体" w:hAnsi="宋体"/>
                <w:szCs w:val="21"/>
              </w:rPr>
              <w:t>送达当事人。</w:t>
            </w:r>
          </w:p>
          <w:p>
            <w:pPr>
              <w:spacing w:line="360" w:lineRule="exact"/>
              <w:ind w:firstLine="420" w:firstLineChars="200"/>
              <w:rPr>
                <w:rFonts w:hint="eastAsia" w:ascii="宋体" w:hAnsi="宋体"/>
                <w:szCs w:val="21"/>
              </w:rPr>
            </w:pPr>
            <w:r>
              <w:rPr>
                <w:rFonts w:ascii="宋体" w:hAnsi="宋体"/>
                <w:szCs w:val="21"/>
              </w:rPr>
              <w:t>7．执行责任：</w:t>
            </w:r>
            <w:r>
              <w:rPr>
                <w:rFonts w:hint="eastAsia" w:ascii="宋体" w:hAnsi="宋体"/>
                <w:szCs w:val="21"/>
              </w:rPr>
              <w:t>依照生效的行政处罚决定执行。</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sz w:val="21"/>
                <w:szCs w:val="21"/>
              </w:rPr>
            </w:pPr>
            <w:r>
              <w:rPr>
                <w:rFonts w:ascii="宋体" w:hAnsi="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宋体" w:hAnsi="宋体" w:cs="仿宋_GB2312"/>
                <w:sz w:val="21"/>
                <w:szCs w:val="21"/>
              </w:rPr>
            </w:pP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eastAsia" w:ascii="宋体" w:hAnsi="宋体" w:cs="仿宋_GB2312"/>
                <w:sz w:val="21"/>
                <w:szCs w:val="21"/>
              </w:rPr>
            </w:pPr>
            <w:r>
              <w:rPr>
                <w:rFonts w:hint="eastAsia" w:ascii="宋体" w:hAnsi="宋体" w:cs="仿宋_GB2312"/>
                <w:sz w:val="21"/>
                <w:szCs w:val="21"/>
              </w:rPr>
              <w:t>责任事项依据</w:t>
            </w:r>
          </w:p>
        </w:tc>
        <w:tc>
          <w:tcPr>
            <w:tcW w:w="7561" w:type="dxa"/>
            <w:vAlign w:val="center"/>
          </w:tcPr>
          <w:p>
            <w:pPr>
              <w:spacing w:line="360" w:lineRule="exact"/>
              <w:ind w:firstLine="420" w:firstLineChars="200"/>
              <w:rPr>
                <w:rFonts w:hint="eastAsia" w:ascii="宋体" w:hAnsi="宋体"/>
                <w:szCs w:val="21"/>
              </w:rPr>
            </w:pPr>
            <w:r>
              <w:rPr>
                <w:rFonts w:hint="eastAsia" w:ascii="宋体" w:hAnsi="宋体"/>
                <w:szCs w:val="21"/>
              </w:rPr>
              <w:t>1.《四川省促进科技成果转化条例》第二十八条：在科技成果转化活动中弄虚作假，骗取奖励和荣誉称号、非法牟利的，由有关行政部门取消奖励和荣誉称号，没收其违法所得，并可处违法所得额1倍以上5倍以下罚款；采取欺骗手段骗取享受税收优惠的，由税务机关依法予以追缴。”</w:t>
            </w:r>
          </w:p>
          <w:p>
            <w:pPr>
              <w:spacing w:line="360" w:lineRule="exact"/>
              <w:ind w:firstLine="420" w:firstLineChars="200"/>
              <w:rPr>
                <w:rFonts w:hint="eastAsia" w:ascii="宋体" w:hAnsi="宋体"/>
                <w:szCs w:val="21"/>
              </w:rPr>
            </w:pPr>
            <w:r>
              <w:rPr>
                <w:rFonts w:hint="eastAsia" w:ascii="宋体" w:hAnsi="宋体"/>
                <w:szCs w:val="21"/>
              </w:rPr>
              <w:t>2.《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w:t>
            </w:r>
          </w:p>
          <w:p>
            <w:pPr>
              <w:spacing w:line="360" w:lineRule="exact"/>
              <w:ind w:firstLine="420" w:firstLineChars="200"/>
              <w:rPr>
                <w:rFonts w:hint="eastAsia" w:ascii="宋体" w:hAnsi="宋体"/>
                <w:szCs w:val="21"/>
              </w:rPr>
            </w:pPr>
            <w:r>
              <w:rPr>
                <w:rFonts w:hint="eastAsia" w:ascii="宋体" w:hAnsi="宋体"/>
                <w:szCs w:val="21"/>
              </w:rPr>
              <w:t>3.《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hint="eastAsia" w:ascii="宋体" w:hAnsi="宋体" w:cs="仿宋_GB2312"/>
                <w:sz w:val="21"/>
                <w:szCs w:val="21"/>
              </w:rPr>
            </w:pPr>
            <w:r>
              <w:rPr>
                <w:rFonts w:hint="eastAsia" w:ascii="宋体" w:hAnsi="宋体"/>
                <w:szCs w:val="21"/>
              </w:rPr>
              <w:t>4.《中华人民共和国行政处罚法》第四十条：行政处罚决定书应当在宣告后当场交付当事人；当事人不在场的，行政机关应当在七日内依照民事诉讼法的有关规定，将行政处罚决定书送达当事人。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追责情形</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sz w:val="21"/>
                <w:szCs w:val="21"/>
              </w:rPr>
            </w:pPr>
            <w:r>
              <w:rPr>
                <w:rFonts w:ascii="宋体" w:hAnsi="宋体"/>
                <w:szCs w:val="21"/>
              </w:rPr>
              <w:t>对不履行或不正确履行行政职责的行政机关及其工作人员，依据《中华人民共和国行政监察法</w:t>
            </w:r>
            <w:r>
              <w:rPr>
                <w:rFonts w:hint="eastAsia" w:ascii="宋体" w:hAnsi="宋体"/>
                <w:szCs w:val="21"/>
              </w:rPr>
              <w:t>》、《</w:t>
            </w:r>
            <w:r>
              <w:rPr>
                <w:rFonts w:ascii="宋体" w:hAnsi="宋体"/>
                <w:szCs w:val="21"/>
              </w:rPr>
              <w:t>中华人民共和国行政处罚法》、</w:t>
            </w:r>
            <w:r>
              <w:rPr>
                <w:rFonts w:hint="eastAsia" w:ascii="宋体" w:hAnsi="宋体"/>
                <w:szCs w:val="21"/>
              </w:rPr>
              <w:t>《中华人民共和国行政强制法》、《</w:t>
            </w:r>
            <w:r>
              <w:rPr>
                <w:rFonts w:ascii="宋体" w:hAnsi="宋体"/>
                <w:szCs w:val="21"/>
              </w:rPr>
              <w:t>中华人民共和国促进科技成果转化法》</w:t>
            </w:r>
            <w:r>
              <w:rPr>
                <w:rFonts w:hint="eastAsia" w:ascii="宋体" w:hAnsi="宋体"/>
                <w:szCs w:val="21"/>
              </w:rPr>
              <w:t>、</w:t>
            </w:r>
            <w:r>
              <w:rPr>
                <w:rFonts w:ascii="宋体" w:hAnsi="宋体"/>
                <w:szCs w:val="21"/>
              </w:rPr>
              <w:t>《行政机关公务员处分条例》、</w:t>
            </w:r>
            <w:r>
              <w:rPr>
                <w:rFonts w:hint="eastAsia" w:ascii="宋体" w:hAnsi="宋体"/>
                <w:szCs w:val="21"/>
              </w:rPr>
              <w:t>《四川省促进科技成果转化条例》、《四川省行政执法监督条例》、《四川省行政机关工作人员行政过错责任追究试行办法》、</w:t>
            </w:r>
            <w:r>
              <w:rPr>
                <w:rFonts w:ascii="宋体" w:hAnsi="宋体"/>
                <w:szCs w:val="21"/>
              </w:rPr>
              <w:t>《四川省行政审批违法违纪行为责任追究办法》等法律法规规章的相关规定追究相应的责任。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监督电话</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hint="default" w:ascii="宋体" w:hAnsi="宋体" w:eastAsia="宋体" w:cs="仿宋_GB2312"/>
                <w:sz w:val="21"/>
                <w:szCs w:val="21"/>
                <w:lang w:val="en-US" w:eastAsia="zh-CN"/>
              </w:rPr>
            </w:pPr>
            <w:r>
              <w:rPr>
                <w:rFonts w:hint="eastAsia" w:ascii="宋体" w:hAnsi="宋体" w:cs="仿宋_GB2312"/>
                <w:color w:val="000000" w:themeColor="text1"/>
                <w:sz w:val="21"/>
                <w:szCs w:val="21"/>
                <w14:textFill>
                  <w14:solidFill>
                    <w14:schemeClr w14:val="tx1"/>
                  </w14:solidFill>
                </w14:textFill>
              </w:rPr>
              <w:t>0825</w:t>
            </w:r>
            <w:r>
              <w:rPr>
                <w:rFonts w:hint="eastAsia" w:ascii="宋体" w:hAnsi="宋体" w:cs="仿宋_GB2312"/>
                <w:color w:val="000000" w:themeColor="text1"/>
                <w:sz w:val="21"/>
                <w:szCs w:val="21"/>
                <w:lang w:val="en-US" w:eastAsia="zh-CN"/>
                <w14:textFill>
                  <w14:solidFill>
                    <w14:schemeClr w14:val="tx1"/>
                  </w14:solidFill>
                </w14:textFill>
              </w:rPr>
              <w:t>-8192183</w:t>
            </w:r>
          </w:p>
        </w:tc>
      </w:tr>
    </w:tbl>
    <w:p>
      <w:pPr>
        <w:spacing w:line="520" w:lineRule="exact"/>
        <w:rPr>
          <w:rFonts w:hint="eastAsia" w:ascii="仿宋_GB2312" w:hAnsi="仿宋_GB2312" w:eastAsia="仿宋_GB2312" w:cs="仿宋_GB2312"/>
          <w:color w:val="000000"/>
          <w:kern w:val="0"/>
          <w:sz w:val="32"/>
          <w:szCs w:val="32"/>
          <w:u w:val="none" w:color="000000"/>
          <w:lang w:val="en-US" w:eastAsia="zh-CN"/>
        </w:rPr>
      </w:pPr>
      <w:r>
        <w:rPr>
          <w:rFonts w:hint="eastAsia" w:ascii="仿宋_GB2312" w:hAnsi="仿宋_GB2312" w:eastAsia="仿宋_GB2312" w:cs="仿宋_GB2312"/>
          <w:color w:val="000000"/>
          <w:kern w:val="0"/>
          <w:sz w:val="32"/>
          <w:szCs w:val="32"/>
          <w:u w:val="none" w:color="000000"/>
          <w:lang w:val="en-US" w:eastAsia="zh-CN"/>
        </w:rPr>
        <w:t xml:space="preserve"> </w:t>
      </w:r>
    </w:p>
    <w:p/>
    <w:p/>
    <w:p/>
    <w:p/>
    <w:p/>
    <w:p/>
    <w:p/>
    <w:p/>
    <w:p/>
    <w:p/>
    <w:p/>
    <w:p/>
    <w:p/>
    <w:p/>
    <w:p/>
    <w:p/>
    <w:p/>
    <w:p/>
    <w:p/>
    <w:p/>
    <w:p/>
    <w:p/>
    <w:p/>
    <w:p/>
    <w:p/>
    <w:p>
      <w:pPr>
        <w:spacing w:line="580" w:lineRule="exact"/>
        <w:jc w:val="both"/>
        <w:rPr>
          <w:rFonts w:hint="eastAsia" w:ascii="黑体" w:hAnsi="黑体" w:eastAsia="黑体"/>
          <w:b/>
          <w:sz w:val="32"/>
          <w:szCs w:val="32"/>
          <w:lang w:eastAsia="zh-CN"/>
        </w:rPr>
      </w:pPr>
    </w:p>
    <w:p>
      <w:pPr>
        <w:spacing w:line="580" w:lineRule="exact"/>
        <w:jc w:val="center"/>
        <w:rPr>
          <w:rFonts w:hint="eastAsia" w:ascii="黑体" w:hAnsi="黑体" w:eastAsia="黑体"/>
          <w:b/>
          <w:sz w:val="32"/>
          <w:szCs w:val="32"/>
        </w:rPr>
      </w:pPr>
      <w:r>
        <w:rPr>
          <w:rFonts w:hint="eastAsia" w:ascii="黑体" w:hAnsi="黑体" w:eastAsia="黑体"/>
          <w:b/>
          <w:sz w:val="32"/>
          <w:szCs w:val="32"/>
          <w:lang w:eastAsia="zh-CN"/>
        </w:rPr>
        <w:t>经科局行政权力</w:t>
      </w:r>
      <w:r>
        <w:rPr>
          <w:rFonts w:hint="eastAsia" w:ascii="黑体" w:hAnsi="黑体" w:eastAsia="黑体"/>
          <w:b/>
          <w:sz w:val="32"/>
          <w:szCs w:val="32"/>
        </w:rPr>
        <w:t>责任清</w:t>
      </w:r>
    </w:p>
    <w:tbl>
      <w:tblPr>
        <w:tblStyle w:val="5"/>
        <w:tblW w:w="91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7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序</w:t>
            </w:r>
            <w:r>
              <w:rPr>
                <w:rFonts w:hint="eastAsia" w:ascii="宋体" w:hAnsi="宋体" w:cs="仿宋_GB2312"/>
                <w:sz w:val="21"/>
                <w:szCs w:val="21"/>
                <w:lang w:val="en-US" w:eastAsia="zh-CN"/>
              </w:rPr>
              <w:t xml:space="preserve">   </w:t>
            </w:r>
            <w:r>
              <w:rPr>
                <w:rFonts w:hint="eastAsia" w:ascii="宋体" w:hAnsi="宋体" w:cs="仿宋_GB2312"/>
                <w:sz w:val="21"/>
                <w:szCs w:val="21"/>
              </w:rPr>
              <w:t>号</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b/>
                <w:bCs/>
                <w:sz w:val="21"/>
                <w:szCs w:val="21"/>
              </w:rPr>
              <w:t>1</w:t>
            </w:r>
            <w:r>
              <w:rPr>
                <w:rFonts w:hint="eastAsia" w:ascii="宋体" w:hAnsi="宋体" w:cs="仿宋_GB2312"/>
                <w:b/>
                <w:bCs/>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权力类型</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宋体" w:hAnsi="宋体" w:eastAsia="宋体" w:cs="仿宋_GB2312"/>
                <w:sz w:val="21"/>
                <w:szCs w:val="21"/>
                <w:lang w:eastAsia="zh-CN"/>
              </w:rPr>
            </w:pPr>
            <w:r>
              <w:rPr>
                <w:rFonts w:hint="eastAsia" w:ascii="宋体" w:hAnsi="宋体" w:cs="仿宋_GB2312"/>
                <w:sz w:val="21"/>
                <w:szCs w:val="21"/>
              </w:rPr>
              <w:t>行政</w:t>
            </w:r>
            <w:r>
              <w:rPr>
                <w:rFonts w:hint="eastAsia" w:ascii="宋体" w:hAnsi="宋体" w:cs="仿宋_GB2312"/>
                <w:sz w:val="21"/>
                <w:szCs w:val="21"/>
                <w:lang w:eastAsia="zh-CN"/>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权力项目名称</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宋体" w:hAnsi="宋体" w:eastAsia="宋体" w:cs="仿宋_GB2312"/>
                <w:sz w:val="21"/>
                <w:szCs w:val="21"/>
                <w:lang w:eastAsia="zh-CN"/>
              </w:rPr>
            </w:pPr>
            <w:r>
              <w:rPr>
                <w:rFonts w:hint="eastAsia" w:ascii="宋体" w:hAnsi="宋体" w:cs="仿宋_GB2312"/>
                <w:sz w:val="21"/>
                <w:szCs w:val="21"/>
                <w:lang w:eastAsia="zh-CN"/>
              </w:rPr>
              <w:t>对科技服务机构及其从业人员，故意提供虚假的信息、实验结果或者评估意见等欺骗当事人，或者与当事人一方串通欺骗另一方当事人的处罚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实施依据</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sz w:val="21"/>
                <w:szCs w:val="21"/>
              </w:rPr>
            </w:pPr>
            <w:r>
              <w:rPr>
                <w:rFonts w:hint="eastAsia" w:ascii="宋体" w:hAnsi="宋体"/>
                <w:szCs w:val="21"/>
              </w:rPr>
              <w:t>《中华人民共和国促进科技成果转化法》第三十六条：在技术交易中从事代理或者居间服务的中介机构和从事经纪业务的人员，欺骗委托人的，或者与当事人一方串通欺骗另一方当事人的，责令改正，予以警告，除依法承担民事赔偿责任外，没收违法所得，并处以罚款；情节严重的，依法吊销营业执照和资格证书；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责任主体</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宋体" w:hAnsi="宋体" w:eastAsia="宋体" w:cs="仿宋_GB2312"/>
                <w:sz w:val="21"/>
                <w:szCs w:val="21"/>
                <w:lang w:eastAsia="zh-CN"/>
              </w:rPr>
            </w:pPr>
            <w:r>
              <w:rPr>
                <w:rFonts w:hint="eastAsia" w:ascii="宋体" w:hAnsi="宋体"/>
                <w:color w:val="000000"/>
                <w:szCs w:val="21"/>
              </w:rPr>
              <w:t>遂宁市船山区</w:t>
            </w:r>
            <w:r>
              <w:rPr>
                <w:rFonts w:hint="eastAsia" w:ascii="宋体" w:hAnsi="宋体"/>
                <w:color w:val="000000"/>
                <w:szCs w:val="21"/>
                <w:lang w:eastAsia="zh-CN"/>
              </w:rPr>
              <w:t>经济信息化和科学技术局科技</w:t>
            </w:r>
            <w:r>
              <w:rPr>
                <w:rFonts w:hint="eastAsia" w:ascii="宋体" w:hAnsi="宋体"/>
                <w:color w:val="000000"/>
                <w:szCs w:val="21"/>
              </w:rPr>
              <w:t>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责任事项</w:t>
            </w:r>
          </w:p>
        </w:tc>
        <w:tc>
          <w:tcPr>
            <w:tcW w:w="7561" w:type="dxa"/>
            <w:vAlign w:val="center"/>
          </w:tcPr>
          <w:p>
            <w:pPr>
              <w:spacing w:line="360" w:lineRule="exact"/>
              <w:ind w:firstLine="420" w:firstLineChars="200"/>
              <w:rPr>
                <w:rFonts w:hint="eastAsia" w:ascii="宋体" w:hAnsi="宋体"/>
                <w:szCs w:val="21"/>
              </w:rPr>
            </w:pPr>
            <w:r>
              <w:rPr>
                <w:rFonts w:hint="eastAsia" w:ascii="宋体" w:hAnsi="宋体"/>
                <w:szCs w:val="21"/>
              </w:rPr>
              <w:t>1．立案责任：发现科技服务机构及其从业人员故意提供虚假的信息、实验结果或者评估意见等欺骗当事人，或者与当事人一方串通欺骗另一方当事人的，予以审查，决定是否立案。</w:t>
            </w:r>
          </w:p>
          <w:p>
            <w:pPr>
              <w:spacing w:line="360" w:lineRule="exact"/>
              <w:ind w:firstLine="420" w:firstLineChars="200"/>
              <w:rPr>
                <w:rFonts w:hint="eastAsia" w:ascii="宋体" w:hAnsi="宋体"/>
                <w:szCs w:val="21"/>
              </w:rPr>
            </w:pPr>
            <w:r>
              <w:rPr>
                <w:rFonts w:ascii="宋体" w:hAnsi="宋体"/>
                <w:szCs w:val="21"/>
              </w:rPr>
              <w:t>2．调查责任：</w:t>
            </w:r>
            <w:r>
              <w:rPr>
                <w:rFonts w:hint="eastAsia" w:ascii="宋体" w:hAnsi="宋体"/>
                <w:szCs w:val="21"/>
              </w:rPr>
              <w:t>对立案的案件及时组织调查取证，与当</w:t>
            </w:r>
            <w:r>
              <w:rPr>
                <w:rFonts w:ascii="宋体" w:hAnsi="宋体"/>
                <w:szCs w:val="21"/>
              </w:rPr>
              <w:t>事人有直接利害关系的应当回避</w:t>
            </w:r>
            <w:r>
              <w:rPr>
                <w:rFonts w:hint="eastAsia" w:ascii="宋体" w:hAnsi="宋体"/>
                <w:szCs w:val="21"/>
              </w:rPr>
              <w:t>。执法人员不得少于两人，询问或者检查应当制作笔录，允许当事人</w:t>
            </w:r>
            <w:r>
              <w:rPr>
                <w:rFonts w:ascii="宋体" w:hAnsi="宋体"/>
                <w:szCs w:val="21"/>
              </w:rPr>
              <w:t>陈述和</w:t>
            </w:r>
            <w:r>
              <w:rPr>
                <w:rFonts w:hint="eastAsia" w:ascii="宋体" w:hAnsi="宋体"/>
                <w:szCs w:val="21"/>
              </w:rPr>
              <w:t>辩解。</w:t>
            </w:r>
          </w:p>
          <w:p>
            <w:pPr>
              <w:spacing w:line="360" w:lineRule="exact"/>
              <w:ind w:firstLine="420" w:firstLineChars="200"/>
              <w:rPr>
                <w:rFonts w:hint="eastAsia" w:ascii="宋体" w:hAnsi="宋体"/>
                <w:szCs w:val="21"/>
              </w:rPr>
            </w:pPr>
            <w:r>
              <w:rPr>
                <w:rFonts w:ascii="宋体" w:hAnsi="宋体"/>
                <w:szCs w:val="21"/>
              </w:rPr>
              <w:t>3．审查责任：对案件违法事实、证据、调查取证程序、法律适用、处罚种类和幅度、当事人陈述和申辩</w:t>
            </w:r>
            <w:r>
              <w:rPr>
                <w:rFonts w:hint="eastAsia" w:ascii="宋体" w:hAnsi="宋体"/>
                <w:szCs w:val="21"/>
              </w:rPr>
              <w:t>进行审查</w:t>
            </w:r>
            <w:r>
              <w:rPr>
                <w:rFonts w:ascii="宋体" w:hAnsi="宋体"/>
                <w:szCs w:val="21"/>
              </w:rPr>
              <w:t>，提出处理意见。</w:t>
            </w:r>
          </w:p>
          <w:p>
            <w:pPr>
              <w:spacing w:line="360" w:lineRule="exact"/>
              <w:ind w:firstLine="420" w:firstLineChars="200"/>
              <w:rPr>
                <w:rFonts w:hint="eastAsia" w:ascii="宋体" w:hAnsi="宋体"/>
                <w:szCs w:val="21"/>
              </w:rPr>
            </w:pPr>
            <w:r>
              <w:rPr>
                <w:rFonts w:ascii="宋体" w:hAnsi="宋体"/>
                <w:szCs w:val="21"/>
              </w:rPr>
              <w:t>4．告知责任：</w:t>
            </w:r>
            <w:r>
              <w:rPr>
                <w:rFonts w:hint="eastAsia" w:ascii="宋体" w:hAnsi="宋体"/>
                <w:szCs w:val="21"/>
              </w:rPr>
              <w:t>作出行政处罚前，应制作</w:t>
            </w:r>
            <w:r>
              <w:rPr>
                <w:rFonts w:ascii="宋体" w:hAnsi="宋体"/>
                <w:szCs w:val="21"/>
              </w:rPr>
              <w:t>《行政处罚告知书》</w:t>
            </w:r>
            <w:r>
              <w:rPr>
                <w:rFonts w:hint="eastAsia" w:ascii="宋体" w:hAnsi="宋体"/>
                <w:szCs w:val="21"/>
              </w:rPr>
              <w:t>送达当事人，告知其作出行政处罚决定的事实、理由及依据，并告知当事人依法享有的权利。符合听证规定的，制作并送达</w:t>
            </w:r>
            <w:r>
              <w:rPr>
                <w:rFonts w:ascii="宋体" w:hAnsi="宋体"/>
                <w:szCs w:val="21"/>
              </w:rPr>
              <w:t>《行政处罚听证告知书》。</w:t>
            </w:r>
          </w:p>
          <w:p>
            <w:pPr>
              <w:spacing w:line="360" w:lineRule="exact"/>
              <w:ind w:firstLine="420" w:firstLineChars="200"/>
              <w:rPr>
                <w:rFonts w:hint="eastAsia" w:ascii="宋体" w:hAnsi="宋体"/>
                <w:szCs w:val="21"/>
              </w:rPr>
            </w:pPr>
            <w:r>
              <w:rPr>
                <w:rFonts w:ascii="宋体" w:hAnsi="宋体"/>
                <w:szCs w:val="21"/>
              </w:rPr>
              <w:t>5．决定责任：</w:t>
            </w:r>
            <w:r>
              <w:rPr>
                <w:rFonts w:hint="eastAsia" w:ascii="宋体" w:hAnsi="宋体"/>
                <w:szCs w:val="21"/>
              </w:rPr>
              <w:t>作出处罚决定，</w:t>
            </w:r>
            <w:r>
              <w:rPr>
                <w:rFonts w:ascii="宋体" w:hAnsi="宋体"/>
                <w:szCs w:val="21"/>
              </w:rPr>
              <w:t>制作《行政处罚决定书》，</w:t>
            </w:r>
            <w:r>
              <w:rPr>
                <w:rFonts w:hint="eastAsia" w:ascii="宋体" w:hAnsi="宋体"/>
                <w:szCs w:val="21"/>
              </w:rPr>
              <w:t>并</w:t>
            </w:r>
            <w:r>
              <w:rPr>
                <w:rFonts w:ascii="宋体" w:hAnsi="宋体"/>
                <w:szCs w:val="21"/>
              </w:rPr>
              <w:t>载明行政处罚告知、当事人陈述申辩</w:t>
            </w:r>
            <w:r>
              <w:rPr>
                <w:rFonts w:hint="eastAsia" w:ascii="宋体" w:hAnsi="宋体"/>
                <w:szCs w:val="21"/>
              </w:rPr>
              <w:t>或者听证情况</w:t>
            </w:r>
            <w:r>
              <w:rPr>
                <w:rFonts w:ascii="宋体" w:hAnsi="宋体"/>
                <w:szCs w:val="21"/>
              </w:rPr>
              <w:t>等内容。</w:t>
            </w:r>
          </w:p>
          <w:p>
            <w:pPr>
              <w:spacing w:line="360" w:lineRule="exact"/>
              <w:ind w:firstLine="420" w:firstLineChars="200"/>
              <w:rPr>
                <w:rFonts w:hint="eastAsia" w:ascii="宋体" w:hAnsi="宋体"/>
                <w:szCs w:val="21"/>
              </w:rPr>
            </w:pPr>
            <w:r>
              <w:rPr>
                <w:rFonts w:ascii="宋体" w:hAnsi="宋体"/>
                <w:szCs w:val="21"/>
              </w:rPr>
              <w:t>6．送达责任：</w:t>
            </w:r>
            <w:r>
              <w:rPr>
                <w:rFonts w:hint="eastAsia" w:ascii="宋体" w:hAnsi="宋体"/>
                <w:szCs w:val="21"/>
              </w:rPr>
              <w:t>按照法律法规规定的方式和时限，将</w:t>
            </w:r>
            <w:r>
              <w:rPr>
                <w:rFonts w:ascii="宋体" w:hAnsi="宋体"/>
                <w:szCs w:val="21"/>
              </w:rPr>
              <w:t>《行政处罚决定书》</w:t>
            </w:r>
            <w:r>
              <w:rPr>
                <w:rFonts w:hint="eastAsia" w:ascii="宋体" w:hAnsi="宋体"/>
                <w:szCs w:val="21"/>
              </w:rPr>
              <w:t>送达当事人。</w:t>
            </w:r>
          </w:p>
          <w:p>
            <w:pPr>
              <w:spacing w:line="360" w:lineRule="exact"/>
              <w:ind w:firstLine="420" w:firstLineChars="200"/>
              <w:rPr>
                <w:rFonts w:hint="eastAsia" w:ascii="宋体" w:hAnsi="宋体"/>
                <w:szCs w:val="21"/>
              </w:rPr>
            </w:pPr>
            <w:r>
              <w:rPr>
                <w:rFonts w:ascii="宋体" w:hAnsi="宋体"/>
                <w:szCs w:val="21"/>
              </w:rPr>
              <w:t>7．执行责任：</w:t>
            </w:r>
            <w:r>
              <w:rPr>
                <w:rFonts w:hint="eastAsia" w:ascii="宋体" w:hAnsi="宋体"/>
                <w:szCs w:val="21"/>
              </w:rPr>
              <w:t>依照生效的行政处罚决定执行。</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sz w:val="21"/>
                <w:szCs w:val="21"/>
              </w:rPr>
            </w:pPr>
            <w:r>
              <w:rPr>
                <w:rFonts w:hint="eastAsia" w:ascii="宋体" w:hAnsi="宋体"/>
                <w:szCs w:val="21"/>
              </w:rPr>
              <w:t xml:space="preserve">    </w:t>
            </w:r>
            <w:r>
              <w:rPr>
                <w:rFonts w:ascii="宋体" w:hAnsi="宋体"/>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宋体" w:hAnsi="宋体" w:cs="仿宋_GB2312"/>
                <w:sz w:val="21"/>
                <w:szCs w:val="21"/>
              </w:rPr>
            </w:pP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eastAsia" w:ascii="宋体" w:hAnsi="宋体" w:cs="仿宋_GB2312"/>
                <w:sz w:val="21"/>
                <w:szCs w:val="21"/>
              </w:rPr>
            </w:pPr>
            <w:r>
              <w:rPr>
                <w:rFonts w:hint="eastAsia" w:ascii="宋体" w:hAnsi="宋体" w:cs="仿宋_GB2312"/>
                <w:sz w:val="21"/>
                <w:szCs w:val="21"/>
              </w:rPr>
              <w:t>责任事项依据</w:t>
            </w:r>
          </w:p>
        </w:tc>
        <w:tc>
          <w:tcPr>
            <w:tcW w:w="7561" w:type="dxa"/>
            <w:vAlign w:val="center"/>
          </w:tcPr>
          <w:p>
            <w:pPr>
              <w:spacing w:line="360" w:lineRule="exact"/>
              <w:ind w:firstLine="420" w:firstLineChars="200"/>
              <w:rPr>
                <w:rFonts w:hint="eastAsia" w:ascii="宋体" w:hAnsi="宋体"/>
                <w:szCs w:val="21"/>
              </w:rPr>
            </w:pPr>
            <w:r>
              <w:rPr>
                <w:rFonts w:hint="eastAsia" w:ascii="宋体" w:hAnsi="宋体"/>
                <w:szCs w:val="21"/>
              </w:rPr>
              <w:t>1.《四川省促进科技成果转化条例》第三十一条：在技术交易中从事代理或者居间服务的中介机构和从事经纪业务的人员，欺骗委托人的，或者与一方当事人恶意串通欺骗另一方当事人的，由县级以上科学技术行政部门责令改正，予以警告，没收违法所得，并处以违法所得额1倍以上5倍以下罚款；情节严重的，有关行政机关依法吊销其资格证书和营业执照。给他人造成经济损失的，依法承担民事赔偿责任。构成犯罪的，依法追究刑事责任。”</w:t>
            </w:r>
          </w:p>
          <w:p>
            <w:pPr>
              <w:spacing w:line="360" w:lineRule="exact"/>
              <w:ind w:firstLine="420" w:firstLineChars="200"/>
              <w:rPr>
                <w:rFonts w:hint="eastAsia" w:ascii="宋体" w:hAnsi="宋体"/>
                <w:szCs w:val="21"/>
              </w:rPr>
            </w:pPr>
            <w:r>
              <w:rPr>
                <w:rFonts w:hint="eastAsia" w:ascii="宋体" w:hAnsi="宋体"/>
                <w:szCs w:val="21"/>
              </w:rPr>
              <w:t>2.《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w:t>
            </w:r>
          </w:p>
          <w:p>
            <w:pPr>
              <w:spacing w:line="360" w:lineRule="exact"/>
              <w:ind w:firstLine="420" w:firstLineChars="200"/>
              <w:rPr>
                <w:rFonts w:hint="eastAsia" w:ascii="宋体" w:hAnsi="宋体"/>
                <w:szCs w:val="21"/>
              </w:rPr>
            </w:pPr>
            <w:r>
              <w:rPr>
                <w:rFonts w:hint="eastAsia" w:ascii="宋体" w:hAnsi="宋体"/>
                <w:szCs w:val="21"/>
              </w:rPr>
              <w:t>3.《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hint="eastAsia" w:ascii="宋体" w:hAnsi="宋体" w:cs="仿宋_GB2312"/>
                <w:sz w:val="21"/>
                <w:szCs w:val="21"/>
              </w:rPr>
            </w:pPr>
            <w:r>
              <w:rPr>
                <w:rFonts w:hint="eastAsia" w:ascii="宋体" w:hAnsi="宋体"/>
                <w:szCs w:val="21"/>
              </w:rPr>
              <w:t>4.《中华人民共和国行政处罚法》第四十条：行政处罚决定书应当在宣告后当场交付当事人；当事人不在场的，行政机关应当在七日内依照民事诉讼法的有关规定，将行政处罚决定书送达当事人。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追责情形</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ascii="宋体" w:hAnsi="宋体" w:cs="仿宋_GB2312"/>
                <w:sz w:val="21"/>
                <w:szCs w:val="21"/>
              </w:rPr>
            </w:pPr>
            <w:r>
              <w:rPr>
                <w:rFonts w:ascii="宋体" w:hAnsi="宋体"/>
                <w:szCs w:val="21"/>
              </w:rPr>
              <w:t>对不履行或不正确履行行政职责的行政机关及其工作人员，依据《中华人民共和国行政监察法</w:t>
            </w:r>
            <w:r>
              <w:rPr>
                <w:rFonts w:hint="eastAsia" w:ascii="宋体" w:hAnsi="宋体"/>
                <w:szCs w:val="21"/>
              </w:rPr>
              <w:t>》、《</w:t>
            </w:r>
            <w:r>
              <w:rPr>
                <w:rFonts w:ascii="宋体" w:hAnsi="宋体"/>
                <w:szCs w:val="21"/>
              </w:rPr>
              <w:t>中华人民共和国行政处罚法》、</w:t>
            </w:r>
            <w:r>
              <w:rPr>
                <w:rFonts w:hint="eastAsia" w:ascii="宋体" w:hAnsi="宋体"/>
                <w:szCs w:val="21"/>
              </w:rPr>
              <w:t>《中华人民共和国行政强制法》、《</w:t>
            </w:r>
            <w:r>
              <w:rPr>
                <w:rFonts w:ascii="宋体" w:hAnsi="宋体"/>
                <w:szCs w:val="21"/>
              </w:rPr>
              <w:t>中华人民共和国促进科技成果转化法》</w:t>
            </w:r>
            <w:r>
              <w:rPr>
                <w:rFonts w:hint="eastAsia" w:ascii="宋体" w:hAnsi="宋体"/>
                <w:szCs w:val="21"/>
              </w:rPr>
              <w:t>、</w:t>
            </w:r>
            <w:r>
              <w:rPr>
                <w:rFonts w:ascii="宋体" w:hAnsi="宋体"/>
                <w:szCs w:val="21"/>
              </w:rPr>
              <w:t>《行政机关公务员处分条例》、</w:t>
            </w:r>
            <w:r>
              <w:rPr>
                <w:rFonts w:hint="eastAsia" w:ascii="宋体" w:hAnsi="宋体"/>
                <w:szCs w:val="21"/>
              </w:rPr>
              <w:t>《四川省促进科技成果转化条例》、《四川省行政执法监督条例》、《四川省行政机关工作人员行政过错责任追究试行办法》、</w:t>
            </w:r>
            <w:r>
              <w:rPr>
                <w:rFonts w:ascii="宋体" w:hAnsi="宋体"/>
                <w:szCs w:val="21"/>
              </w:rPr>
              <w:t>《四川省行政审批违法违纪行为责任追究办法》等法律法规规章的相关规定追究相应的责任。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监督电话</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hint="default" w:ascii="宋体" w:hAnsi="宋体" w:cs="仿宋_GB2312"/>
                <w:sz w:val="21"/>
                <w:szCs w:val="21"/>
                <w:lang w:val="en-US"/>
              </w:rPr>
            </w:pPr>
            <w:r>
              <w:rPr>
                <w:rFonts w:hint="eastAsia" w:ascii="宋体" w:hAnsi="宋体" w:cs="仿宋_GB2312"/>
                <w:color w:val="000000" w:themeColor="text1"/>
                <w:sz w:val="21"/>
                <w:szCs w:val="21"/>
                <w14:textFill>
                  <w14:solidFill>
                    <w14:schemeClr w14:val="tx1"/>
                  </w14:solidFill>
                </w14:textFill>
              </w:rPr>
              <w:t>0825</w:t>
            </w:r>
            <w:r>
              <w:rPr>
                <w:rFonts w:hint="eastAsia" w:ascii="宋体" w:hAnsi="宋体" w:cs="仿宋_GB2312"/>
                <w:color w:val="000000" w:themeColor="text1"/>
                <w:sz w:val="21"/>
                <w:szCs w:val="21"/>
                <w:lang w:val="en-US" w:eastAsia="zh-CN"/>
                <w14:textFill>
                  <w14:solidFill>
                    <w14:schemeClr w14:val="tx1"/>
                  </w14:solidFill>
                </w14:textFill>
              </w:rPr>
              <w:t>-8192183</w:t>
            </w:r>
          </w:p>
        </w:tc>
      </w:tr>
    </w:tbl>
    <w:p>
      <w:pPr>
        <w:spacing w:line="520" w:lineRule="exact"/>
        <w:rPr>
          <w:rFonts w:hint="eastAsia" w:ascii="仿宋_GB2312" w:hAnsi="仿宋_GB2312" w:eastAsia="仿宋_GB2312" w:cs="仿宋_GB2312"/>
          <w:color w:val="000000"/>
          <w:kern w:val="0"/>
          <w:sz w:val="32"/>
          <w:szCs w:val="32"/>
          <w:u w:val="none" w:color="000000"/>
          <w:lang w:val="en-US" w:eastAsia="zh-CN"/>
        </w:rPr>
      </w:pPr>
      <w:r>
        <w:rPr>
          <w:rFonts w:hint="eastAsia" w:ascii="仿宋_GB2312" w:hAnsi="仿宋_GB2312" w:eastAsia="仿宋_GB2312" w:cs="仿宋_GB2312"/>
          <w:color w:val="000000"/>
          <w:kern w:val="0"/>
          <w:sz w:val="32"/>
          <w:szCs w:val="32"/>
          <w:u w:val="none" w:color="000000"/>
          <w:lang w:val="en-US" w:eastAsia="zh-CN"/>
        </w:rPr>
        <w:t xml:space="preserve"> </w:t>
      </w:r>
    </w:p>
    <w:p/>
    <w:p/>
    <w:p/>
    <w:p/>
    <w:p/>
    <w:p/>
    <w:p/>
    <w:p/>
    <w:p/>
    <w:p/>
    <w:p/>
    <w:p/>
    <w:p/>
    <w:p/>
    <w:p/>
    <w:p/>
    <w:p/>
    <w:p>
      <w:pPr>
        <w:spacing w:line="580" w:lineRule="exact"/>
        <w:jc w:val="both"/>
        <w:rPr>
          <w:rFonts w:hint="eastAsia" w:ascii="黑体" w:hAnsi="黑体" w:eastAsia="黑体"/>
          <w:b/>
          <w:sz w:val="32"/>
          <w:szCs w:val="32"/>
          <w:lang w:eastAsia="zh-CN"/>
        </w:rPr>
      </w:pPr>
    </w:p>
    <w:p>
      <w:pPr>
        <w:spacing w:line="580" w:lineRule="exact"/>
        <w:jc w:val="both"/>
        <w:rPr>
          <w:rFonts w:hint="eastAsia" w:ascii="黑体" w:hAnsi="黑体" w:eastAsia="黑体"/>
          <w:b/>
          <w:sz w:val="32"/>
          <w:szCs w:val="32"/>
          <w:lang w:eastAsia="zh-CN"/>
        </w:rPr>
      </w:pPr>
    </w:p>
    <w:p>
      <w:pPr>
        <w:spacing w:line="580" w:lineRule="exact"/>
        <w:jc w:val="center"/>
        <w:rPr>
          <w:rFonts w:hint="eastAsia" w:ascii="黑体" w:hAnsi="黑体" w:eastAsia="黑体"/>
          <w:b/>
          <w:sz w:val="32"/>
          <w:szCs w:val="32"/>
          <w:lang w:eastAsia="zh-CN"/>
        </w:rPr>
      </w:pPr>
    </w:p>
    <w:p>
      <w:pPr>
        <w:spacing w:line="580" w:lineRule="exact"/>
        <w:jc w:val="center"/>
        <w:rPr>
          <w:rFonts w:hint="eastAsia" w:ascii="黑体" w:hAnsi="黑体" w:eastAsia="黑体"/>
          <w:b/>
          <w:sz w:val="32"/>
          <w:szCs w:val="32"/>
        </w:rPr>
      </w:pPr>
      <w:r>
        <w:rPr>
          <w:rFonts w:hint="eastAsia" w:ascii="黑体" w:hAnsi="黑体" w:eastAsia="黑体"/>
          <w:b/>
          <w:sz w:val="32"/>
          <w:szCs w:val="32"/>
          <w:lang w:eastAsia="zh-CN"/>
        </w:rPr>
        <w:t>经科局行政权力</w:t>
      </w:r>
      <w:r>
        <w:rPr>
          <w:rFonts w:hint="eastAsia" w:ascii="黑体" w:hAnsi="黑体" w:eastAsia="黑体"/>
          <w:b/>
          <w:sz w:val="32"/>
          <w:szCs w:val="32"/>
        </w:rPr>
        <w:t>责任清单</w:t>
      </w:r>
    </w:p>
    <w:tbl>
      <w:tblPr>
        <w:tblStyle w:val="5"/>
        <w:tblW w:w="91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7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序</w:t>
            </w:r>
            <w:r>
              <w:rPr>
                <w:rFonts w:hint="eastAsia" w:ascii="宋体" w:hAnsi="宋体" w:cs="仿宋_GB2312"/>
                <w:sz w:val="21"/>
                <w:szCs w:val="21"/>
                <w:lang w:val="en-US" w:eastAsia="zh-CN"/>
              </w:rPr>
              <w:t xml:space="preserve">   </w:t>
            </w:r>
            <w:r>
              <w:rPr>
                <w:rFonts w:hint="eastAsia" w:ascii="宋体" w:hAnsi="宋体" w:cs="仿宋_GB2312"/>
                <w:sz w:val="21"/>
                <w:szCs w:val="21"/>
              </w:rPr>
              <w:t>号</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b/>
                <w:bCs/>
                <w:sz w:val="21"/>
                <w:szCs w:val="21"/>
              </w:rPr>
              <w:t>1</w:t>
            </w:r>
            <w:r>
              <w:rPr>
                <w:rFonts w:hint="eastAsia" w:ascii="宋体" w:hAnsi="宋体" w:cs="仿宋_GB2312"/>
                <w:b/>
                <w:bCs/>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权力类型</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宋体" w:hAnsi="宋体" w:eastAsia="宋体" w:cs="仿宋_GB2312"/>
                <w:sz w:val="21"/>
                <w:szCs w:val="21"/>
                <w:lang w:eastAsia="zh-CN"/>
              </w:rPr>
            </w:pPr>
            <w:r>
              <w:rPr>
                <w:rFonts w:hint="eastAsia" w:ascii="宋体" w:hAnsi="宋体" w:cs="仿宋_GB2312"/>
                <w:sz w:val="21"/>
                <w:szCs w:val="21"/>
              </w:rPr>
              <w:t>行政</w:t>
            </w:r>
            <w:r>
              <w:rPr>
                <w:rFonts w:hint="eastAsia" w:ascii="宋体" w:hAnsi="宋体" w:cs="仿宋_GB2312"/>
                <w:sz w:val="21"/>
                <w:szCs w:val="21"/>
                <w:lang w:eastAsia="zh-CN"/>
              </w:rPr>
              <w:t>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权力项目名称</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宋体" w:hAnsi="宋体" w:eastAsia="宋体" w:cs="仿宋_GB2312"/>
                <w:sz w:val="21"/>
                <w:szCs w:val="21"/>
                <w:lang w:eastAsia="zh-CN"/>
              </w:rPr>
            </w:pPr>
            <w:r>
              <w:rPr>
                <w:rFonts w:hint="eastAsia" w:ascii="宋体" w:hAnsi="宋体" w:cs="仿宋_GB2312"/>
                <w:sz w:val="21"/>
                <w:szCs w:val="21"/>
                <w:lang w:eastAsia="zh-CN"/>
              </w:rPr>
              <w:t>查封、扣押涉嫌盐业违法行为有关的物品或查封场所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实施依据</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hint="eastAsia" w:ascii="宋体" w:hAnsi="宋体" w:cs="仿宋_GB2312"/>
                <w:color w:val="000000" w:themeColor="text1"/>
                <w:sz w:val="21"/>
                <w:szCs w:val="21"/>
                <w:lang w:val="en-US" w:eastAsia="zh-CN"/>
                <w14:textFill>
                  <w14:solidFill>
                    <w14:schemeClr w14:val="tx1"/>
                  </w14:solidFill>
                </w14:textFill>
              </w:rPr>
            </w:pPr>
            <w:r>
              <w:rPr>
                <w:rFonts w:hint="eastAsia" w:ascii="宋体" w:hAnsi="宋体" w:cs="仿宋_GB2312"/>
                <w:color w:val="000000" w:themeColor="text1"/>
                <w:sz w:val="21"/>
                <w:szCs w:val="21"/>
                <w:lang w:val="en-US" w:eastAsia="zh-CN"/>
                <w14:textFill>
                  <w14:solidFill>
                    <w14:schemeClr w14:val="tx1"/>
                  </w14:solidFill>
                </w14:textFill>
              </w:rPr>
              <w:t>《食盐专营办法》(国务院令第696号)第二十三条 盐业主管部门依法履行监督检查职责，可以采取下列措施：（三）查封、扣押与涉嫌盐业违法行为有关的食盐及原材料，以及用于违法生产或者销售食盐的工具、设备；</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hint="eastAsia" w:ascii="宋体" w:hAnsi="宋体" w:eastAsia="宋体" w:cs="仿宋_GB2312"/>
                <w:color w:val="FF0000"/>
                <w:sz w:val="21"/>
                <w:szCs w:val="21"/>
                <w:lang w:val="en-US" w:eastAsia="zh-CN"/>
              </w:rPr>
            </w:pPr>
            <w:r>
              <w:rPr>
                <w:rFonts w:hint="eastAsia" w:ascii="宋体" w:hAnsi="宋体" w:cs="仿宋_GB2312"/>
                <w:color w:val="000000" w:themeColor="text1"/>
                <w:sz w:val="21"/>
                <w:szCs w:val="21"/>
                <w:lang w:val="en-US" w:eastAsia="zh-CN"/>
                <w14:textFill>
                  <w14:solidFill>
                    <w14:schemeClr w14:val="tx1"/>
                  </w14:solidFill>
                </w14:textFill>
              </w:rPr>
              <w:t>采取本款规定的措施，应当向盐业主管部门主要负责人书面报告，并经批准。 盐业主管部门调查涉嫌盐业违法行为，应当遵守《中华人民共和国行政强制法》和其他有关法律、行政法规的规定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责任主体</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宋体" w:hAnsi="宋体" w:eastAsia="宋体" w:cs="仿宋_GB2312"/>
                <w:color w:val="FF0000"/>
                <w:sz w:val="21"/>
                <w:szCs w:val="21"/>
                <w:lang w:eastAsia="zh-CN"/>
              </w:rPr>
            </w:pPr>
            <w:r>
              <w:rPr>
                <w:rFonts w:hint="eastAsia" w:ascii="宋体" w:hAnsi="宋体" w:cs="仿宋_GB2312"/>
                <w:color w:val="000000" w:themeColor="text1"/>
                <w:sz w:val="21"/>
                <w:szCs w:val="21"/>
                <w:lang w:eastAsia="zh-CN"/>
                <w14:textFill>
                  <w14:solidFill>
                    <w14:schemeClr w14:val="tx1"/>
                  </w14:solidFill>
                </w14:textFill>
              </w:rPr>
              <w:t>船山区经济信息化和科学技术局信息化和运行保障股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责任事项</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000000" w:themeColor="text1"/>
                <w:sz w:val="21"/>
                <w:szCs w:val="21"/>
                <w14:textFill>
                  <w14:solidFill>
                    <w14:schemeClr w14:val="tx1"/>
                  </w14:solidFill>
                </w14:textFill>
              </w:rPr>
            </w:pPr>
            <w:r>
              <w:rPr>
                <w:rFonts w:ascii="宋体" w:hAnsi="宋体" w:cs="仿宋_GB2312"/>
                <w:color w:val="000000" w:themeColor="text1"/>
                <w:sz w:val="21"/>
                <w:szCs w:val="21"/>
                <w14:textFill>
                  <w14:solidFill>
                    <w14:schemeClr w14:val="tx1"/>
                  </w14:solidFill>
                </w14:textFill>
              </w:rPr>
              <w:t>1.受理责任：公示应当提交的材料，一次性告知补正材料，依法受理或不予受理（不予受理应当告知理由）。</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000000" w:themeColor="text1"/>
                <w:sz w:val="21"/>
                <w:szCs w:val="21"/>
                <w14:textFill>
                  <w14:solidFill>
                    <w14:schemeClr w14:val="tx1"/>
                  </w14:solidFill>
                </w14:textFill>
              </w:rPr>
            </w:pPr>
            <w:r>
              <w:rPr>
                <w:rFonts w:ascii="宋体" w:hAnsi="宋体" w:cs="仿宋_GB2312"/>
                <w:color w:val="000000" w:themeColor="text1"/>
                <w:sz w:val="21"/>
                <w:szCs w:val="21"/>
                <w14:textFill>
                  <w14:solidFill>
                    <w14:schemeClr w14:val="tx1"/>
                  </w14:solidFill>
                </w14:textFill>
              </w:rPr>
              <w:t>2.审查责任：审查申请材料，现场踏勘。</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000000" w:themeColor="text1"/>
                <w:sz w:val="21"/>
                <w:szCs w:val="21"/>
                <w14:textFill>
                  <w14:solidFill>
                    <w14:schemeClr w14:val="tx1"/>
                  </w14:solidFill>
                </w14:textFill>
              </w:rPr>
            </w:pPr>
            <w:r>
              <w:rPr>
                <w:rFonts w:ascii="宋体" w:hAnsi="宋体" w:cs="仿宋_GB2312"/>
                <w:color w:val="000000" w:themeColor="text1"/>
                <w:sz w:val="21"/>
                <w:szCs w:val="21"/>
                <w14:textFill>
                  <w14:solidFill>
                    <w14:schemeClr w14:val="tx1"/>
                  </w14:solidFill>
                </w14:textFill>
              </w:rPr>
              <w:t>3.决定责任：作出行政许可或者不予行政许可决定，法定告知（不予许可的应当书面告知理由）。</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000000" w:themeColor="text1"/>
                <w:sz w:val="21"/>
                <w:szCs w:val="21"/>
                <w14:textFill>
                  <w14:solidFill>
                    <w14:schemeClr w14:val="tx1"/>
                  </w14:solidFill>
                </w14:textFill>
              </w:rPr>
            </w:pPr>
            <w:r>
              <w:rPr>
                <w:rFonts w:ascii="宋体" w:hAnsi="宋体" w:cs="仿宋_GB2312"/>
                <w:color w:val="000000" w:themeColor="text1"/>
                <w:sz w:val="21"/>
                <w:szCs w:val="21"/>
                <w14:textFill>
                  <w14:solidFill>
                    <w14:schemeClr w14:val="tx1"/>
                  </w14:solidFill>
                </w14:textFill>
              </w:rPr>
              <w:t>4.事后监管责任：建立实施监督检查的运行机制和管理制度，开展定期和不定期检查，依法采取相关处置措施。</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000000" w:themeColor="text1"/>
                <w:sz w:val="21"/>
                <w:szCs w:val="21"/>
                <w14:textFill>
                  <w14:solidFill>
                    <w14:schemeClr w14:val="tx1"/>
                  </w14:solidFill>
                </w14:textFill>
              </w:rPr>
            </w:pPr>
            <w:r>
              <w:rPr>
                <w:rFonts w:ascii="宋体" w:hAnsi="宋体" w:cs="仿宋_GB2312"/>
                <w:color w:val="000000" w:themeColor="text1"/>
                <w:sz w:val="21"/>
                <w:szCs w:val="21"/>
                <w14:textFill>
                  <w14:solidFill>
                    <w14:schemeClr w14:val="tx1"/>
                  </w14:solidFill>
                </w14:textFill>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宋体" w:hAnsi="宋体" w:cs="仿宋_GB2312"/>
                <w:sz w:val="21"/>
                <w:szCs w:val="21"/>
              </w:rPr>
            </w:pP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eastAsia" w:ascii="宋体" w:hAnsi="宋体" w:cs="仿宋_GB2312"/>
                <w:sz w:val="21"/>
                <w:szCs w:val="21"/>
              </w:rPr>
            </w:pP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eastAsia" w:ascii="宋体" w:hAnsi="宋体" w:cs="仿宋_GB2312"/>
                <w:sz w:val="21"/>
                <w:szCs w:val="21"/>
              </w:rPr>
            </w:pP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eastAsia" w:ascii="宋体" w:hAnsi="宋体" w:cs="仿宋_GB2312"/>
                <w:sz w:val="21"/>
                <w:szCs w:val="21"/>
              </w:rPr>
            </w:pP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eastAsia" w:ascii="宋体" w:hAnsi="宋体" w:cs="仿宋_GB2312"/>
                <w:sz w:val="21"/>
                <w:szCs w:val="21"/>
              </w:rPr>
            </w:pP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eastAsia" w:ascii="宋体" w:hAnsi="宋体" w:cs="仿宋_GB2312"/>
                <w:sz w:val="21"/>
                <w:szCs w:val="21"/>
              </w:rPr>
            </w:pP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eastAsia" w:ascii="宋体" w:hAnsi="宋体" w:cs="仿宋_GB2312"/>
                <w:sz w:val="21"/>
                <w:szCs w:val="21"/>
              </w:rPr>
            </w:pP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eastAsia" w:ascii="宋体" w:hAnsi="宋体" w:cs="仿宋_GB2312"/>
                <w:sz w:val="21"/>
                <w:szCs w:val="21"/>
              </w:rPr>
            </w:pP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eastAsia" w:ascii="宋体" w:hAnsi="宋体" w:cs="仿宋_GB2312"/>
                <w:sz w:val="21"/>
                <w:szCs w:val="21"/>
              </w:rPr>
            </w:pP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eastAsia" w:ascii="宋体" w:hAnsi="宋体" w:cs="仿宋_GB2312"/>
                <w:sz w:val="21"/>
                <w:szCs w:val="21"/>
              </w:rPr>
            </w:pP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eastAsia" w:ascii="宋体" w:hAnsi="宋体" w:cs="仿宋_GB2312"/>
                <w:sz w:val="21"/>
                <w:szCs w:val="21"/>
              </w:rPr>
            </w:pP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eastAsia" w:ascii="宋体" w:hAnsi="宋体" w:cs="仿宋_GB2312"/>
                <w:sz w:val="21"/>
                <w:szCs w:val="21"/>
              </w:rPr>
            </w:pP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eastAsia" w:ascii="宋体" w:hAnsi="宋体" w:cs="仿宋_GB2312"/>
                <w:sz w:val="21"/>
                <w:szCs w:val="21"/>
              </w:rPr>
            </w:pP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eastAsia" w:ascii="宋体" w:hAnsi="宋体" w:cs="仿宋_GB2312"/>
                <w:sz w:val="21"/>
                <w:szCs w:val="21"/>
              </w:rPr>
            </w:pP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eastAsia" w:ascii="宋体" w:hAnsi="宋体" w:cs="仿宋_GB2312"/>
                <w:sz w:val="21"/>
                <w:szCs w:val="21"/>
              </w:rPr>
            </w:pPr>
            <w:r>
              <w:rPr>
                <w:rFonts w:hint="eastAsia" w:ascii="宋体" w:hAnsi="宋体" w:cs="仿宋_GB2312"/>
                <w:sz w:val="21"/>
                <w:szCs w:val="21"/>
              </w:rPr>
              <w:t>责任事项依据</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000000" w:themeColor="text1"/>
                <w:sz w:val="21"/>
                <w:szCs w:val="21"/>
                <w14:textFill>
                  <w14:solidFill>
                    <w14:schemeClr w14:val="tx1"/>
                  </w14:solidFill>
                </w14:textFill>
              </w:rPr>
            </w:pPr>
            <w:r>
              <w:rPr>
                <w:rFonts w:ascii="宋体" w:hAnsi="宋体" w:cs="仿宋_GB2312"/>
                <w:color w:val="000000" w:themeColor="text1"/>
                <w:sz w:val="21"/>
                <w:szCs w:val="21"/>
                <w14:textFill>
                  <w14:solidFill>
                    <w14:schemeClr w14:val="tx1"/>
                  </w14:solidFill>
                </w14:textFill>
              </w:rPr>
              <w:t>《行政许可法》</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hint="default" w:ascii="宋体" w:hAnsi="宋体" w:cs="仿宋_GB2312"/>
                <w:color w:val="000000" w:themeColor="text1"/>
                <w:sz w:val="21"/>
                <w:szCs w:val="21"/>
                <w14:textFill>
                  <w14:solidFill>
                    <w14:schemeClr w14:val="tx1"/>
                  </w14:solidFill>
                </w14:textFill>
              </w:rPr>
            </w:pPr>
            <w:r>
              <w:rPr>
                <w:rFonts w:hint="default" w:ascii="宋体" w:hAnsi="宋体" w:cs="仿宋_GB2312"/>
                <w:color w:val="000000" w:themeColor="text1"/>
                <w:sz w:val="21"/>
                <w:szCs w:val="21"/>
                <w14:textFill>
                  <w14:solidFill>
                    <w14:schemeClr w14:val="tx1"/>
                  </w14:solidFill>
                </w14:textFill>
              </w:rPr>
              <w:t>第三十二条</w:t>
            </w:r>
            <w:r>
              <w:rPr>
                <w:rFonts w:hint="eastAsia" w:ascii="宋体" w:hAnsi="宋体" w:cs="仿宋_GB2312"/>
                <w:color w:val="000000" w:themeColor="text1"/>
                <w:sz w:val="21"/>
                <w:szCs w:val="21"/>
                <w:lang w:val="en-US" w:eastAsia="zh-CN"/>
                <w14:textFill>
                  <w14:solidFill>
                    <w14:schemeClr w14:val="tx1"/>
                  </w14:solidFill>
                </w14:textFill>
              </w:rPr>
              <w:t xml:space="preserve">  </w:t>
            </w:r>
            <w:r>
              <w:rPr>
                <w:rFonts w:hint="default" w:ascii="宋体" w:hAnsi="宋体" w:cs="仿宋_GB2312"/>
                <w:color w:val="000000" w:themeColor="text1"/>
                <w:sz w:val="21"/>
                <w:szCs w:val="21"/>
                <w14:textFill>
                  <w14:solidFill>
                    <w14:schemeClr w14:val="tx1"/>
                  </w14:solidFill>
                </w14:textFill>
              </w:rPr>
              <w:t>行政机关对申请人提出的行政许可申请，应当根据下列情况分别作出处理：</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（一）申请事项依法不需要取得行政许可的，应当即时告知申请人不受理；</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（二）申请事项依法不属于本行政机关职权范围的，应当即时作出不予受理的决定，并告知申请人向有关行政机关申请；</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（三）申请材料存在可以当场更正的错误的，应当允许申请人当场更正；</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（四）申请材料不齐全或者不符合法定形式的，应当当场或者在五日内一次告知申请人需要补正的全部内容，逾期不告知的，自收到申请材料之日起即为受理；</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（五）申请事项属于本行政机关职权范围，申请材料齐全、符合法定形式，或者申请人按照本行政机关的要求提交全部补正申请材料的，应当受理行政许可申请。</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行政机关受理或者不予受理行政许可申请，应当出具加盖本行政机关专用印章和注明日期的书面凭证。</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hint="eastAsia" w:ascii="宋体" w:hAnsi="宋体" w:cs="仿宋_GB2312"/>
                <w:color w:val="FF0000"/>
                <w:sz w:val="21"/>
                <w:szCs w:val="21"/>
              </w:rPr>
            </w:pPr>
            <w:r>
              <w:rPr>
                <w:rFonts w:hint="default" w:ascii="宋体" w:hAnsi="宋体" w:cs="仿宋_GB2312"/>
                <w:color w:val="000000" w:themeColor="text1"/>
                <w:sz w:val="21"/>
                <w:szCs w:val="21"/>
                <w14:textFill>
                  <w14:solidFill>
                    <w14:schemeClr w14:val="tx1"/>
                  </w14:solidFill>
                </w14:textFill>
              </w:rPr>
              <w:t>第三十四条</w:t>
            </w:r>
            <w:r>
              <w:rPr>
                <w:rFonts w:hint="eastAsia" w:ascii="宋体" w:hAnsi="宋体" w:cs="仿宋_GB2312"/>
                <w:color w:val="000000" w:themeColor="text1"/>
                <w:sz w:val="21"/>
                <w:szCs w:val="21"/>
                <w:lang w:val="en-US" w:eastAsia="zh-CN"/>
                <w14:textFill>
                  <w14:solidFill>
                    <w14:schemeClr w14:val="tx1"/>
                  </w14:solidFill>
                </w14:textFill>
              </w:rPr>
              <w:t xml:space="preserve">  </w:t>
            </w:r>
            <w:r>
              <w:rPr>
                <w:rFonts w:hint="default" w:ascii="宋体" w:hAnsi="宋体" w:cs="仿宋_GB2312"/>
                <w:color w:val="000000" w:themeColor="text1"/>
                <w:sz w:val="21"/>
                <w:szCs w:val="21"/>
                <w14:textFill>
                  <w14:solidFill>
                    <w14:schemeClr w14:val="tx1"/>
                  </w14:solidFill>
                </w14:textFill>
              </w:rPr>
              <w:t>行政机关应当对申请人提交的申请材料进行审查。</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申请人提交的申请材料齐全、符合法定形式，行政机关能够当场作出决定的，应当当场作出书面的行政许可决定。</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根据法定条件和程序，需要对申请材料的实质内容进行核实的，行政机关应当指派两名以上工作人员进行核查。</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第三十八条</w:t>
            </w:r>
            <w:r>
              <w:rPr>
                <w:rFonts w:hint="eastAsia" w:ascii="宋体" w:hAnsi="宋体" w:cs="仿宋_GB2312"/>
                <w:color w:val="000000" w:themeColor="text1"/>
                <w:sz w:val="21"/>
                <w:szCs w:val="21"/>
                <w:lang w:val="en-US" w:eastAsia="zh-CN"/>
                <w14:textFill>
                  <w14:solidFill>
                    <w14:schemeClr w14:val="tx1"/>
                  </w14:solidFill>
                </w14:textFill>
              </w:rPr>
              <w:t xml:space="preserve">  </w:t>
            </w:r>
            <w:r>
              <w:rPr>
                <w:rFonts w:hint="default" w:ascii="宋体" w:hAnsi="宋体" w:cs="仿宋_GB2312"/>
                <w:color w:val="000000" w:themeColor="text1"/>
                <w:sz w:val="21"/>
                <w:szCs w:val="21"/>
                <w14:textFill>
                  <w14:solidFill>
                    <w14:schemeClr w14:val="tx1"/>
                  </w14:solidFill>
                </w14:textFill>
              </w:rPr>
              <w:t>申请人的申请符合法定条件、标准的，行政机关应当依法作出准予行政许可的书面决定。</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行政机关依法作出不予行政许可的书面决定的，应当说明理由，并告知申请人享有依法申请行政复议或者提起行政诉讼的权利。</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第六十一条</w:t>
            </w:r>
            <w:r>
              <w:rPr>
                <w:rFonts w:hint="eastAsia" w:ascii="宋体" w:hAnsi="宋体" w:cs="仿宋_GB2312"/>
                <w:color w:val="000000" w:themeColor="text1"/>
                <w:sz w:val="21"/>
                <w:szCs w:val="21"/>
                <w:lang w:val="en-US" w:eastAsia="zh-CN"/>
                <w14:textFill>
                  <w14:solidFill>
                    <w14:schemeClr w14:val="tx1"/>
                  </w14:solidFill>
                </w14:textFill>
              </w:rPr>
              <w:t xml:space="preserve">  </w:t>
            </w:r>
            <w:r>
              <w:rPr>
                <w:rFonts w:hint="default" w:ascii="宋体" w:hAnsi="宋体" w:cs="仿宋_GB2312"/>
                <w:color w:val="000000" w:themeColor="text1"/>
                <w:sz w:val="21"/>
                <w:szCs w:val="21"/>
                <w14:textFill>
                  <w14:solidFill>
                    <w14:schemeClr w14:val="tx1"/>
                  </w14:solidFill>
                </w14:textFill>
              </w:rPr>
              <w:t>行政机关应当建立健全监督制度，通过核查反映被许可人从事行政许可事项活动情况的有关材料，履行监督责任。</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行政机关依法对被许可人从事行政许可事项的活动进行监督检查时，应当将监督检查的情况和处理结果予以记录，由监督检查人员签字后归档。公众有权查阅行政机关监督检查记录。</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行政机关应当创造条件，实现与被许可人、其他有关行政机关的计算机档案系统互联，核查被许可人从事行政许可事项活动情况。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追责情形</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FF0000"/>
                <w:sz w:val="21"/>
                <w:szCs w:val="21"/>
              </w:rPr>
            </w:pPr>
            <w:r>
              <w:rPr>
                <w:rFonts w:hint="eastAsia" w:ascii="宋体" w:hAnsi="宋体" w:cs="仿宋_GB2312"/>
                <w:color w:val="000000" w:themeColor="text1"/>
                <w:sz w:val="21"/>
                <w:szCs w:val="21"/>
                <w14:textFill>
                  <w14:solidFill>
                    <w14:schemeClr w14:val="tx1"/>
                  </w14:solidFill>
                </w14:textFill>
              </w:rPr>
              <w:t>对不履行或不正确履行行政职责的行政机关及其工作人员，依据</w:t>
            </w:r>
            <w:r>
              <w:rPr>
                <w:rFonts w:hint="eastAsia" w:ascii="宋体" w:hAnsi="宋体" w:cs="仿宋_GB2312"/>
                <w:color w:val="000000" w:themeColor="text1"/>
                <w:sz w:val="21"/>
                <w:szCs w:val="21"/>
                <w:lang w:eastAsia="zh-CN"/>
                <w14:textFill>
                  <w14:solidFill>
                    <w14:schemeClr w14:val="tx1"/>
                  </w14:solidFill>
                </w14:textFill>
              </w:rPr>
              <w:t>《中华人民共和国监察法》</w:t>
            </w:r>
            <w:r>
              <w:rPr>
                <w:rFonts w:hint="eastAsia" w:ascii="宋体" w:hAnsi="宋体" w:cs="仿宋_GB2312"/>
                <w:color w:val="000000" w:themeColor="text1"/>
                <w:sz w:val="21"/>
                <w:szCs w:val="21"/>
                <w14:textFill>
                  <w14:solidFill>
                    <w14:schemeClr w14:val="tx1"/>
                  </w14:solidFill>
                </w14:textFill>
              </w:rPr>
              <w:t>、《中华人民共和国行政许可法》、《行政机关公务员处分条例》、《四川省行政审批违法违纪行为责任追究办法》等法律法规规章的相关规定追究相应的责任。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监督电话</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FF0000"/>
                <w:sz w:val="21"/>
                <w:szCs w:val="21"/>
              </w:rPr>
            </w:pPr>
            <w:r>
              <w:rPr>
                <w:rFonts w:hint="eastAsia" w:ascii="宋体" w:hAnsi="宋体" w:cs="仿宋_GB2312"/>
                <w:color w:val="000000" w:themeColor="text1"/>
                <w:sz w:val="21"/>
                <w:szCs w:val="21"/>
                <w14:textFill>
                  <w14:solidFill>
                    <w14:schemeClr w14:val="tx1"/>
                  </w14:solidFill>
                </w14:textFill>
              </w:rPr>
              <w:t>0825</w:t>
            </w:r>
            <w:r>
              <w:rPr>
                <w:rFonts w:hint="eastAsia" w:ascii="宋体" w:hAnsi="宋体" w:cs="仿宋_GB2312"/>
                <w:color w:val="000000" w:themeColor="text1"/>
                <w:sz w:val="21"/>
                <w:szCs w:val="21"/>
                <w:lang w:val="en-US" w:eastAsia="zh-CN"/>
                <w14:textFill>
                  <w14:solidFill>
                    <w14:schemeClr w14:val="tx1"/>
                  </w14:solidFill>
                </w14:textFill>
              </w:rPr>
              <w:t>-6807580</w:t>
            </w:r>
          </w:p>
        </w:tc>
      </w:tr>
    </w:tbl>
    <w:p>
      <w:pPr>
        <w:spacing w:line="520" w:lineRule="exact"/>
        <w:rPr>
          <w:rFonts w:hint="eastAsia" w:ascii="仿宋_GB2312" w:hAnsi="仿宋_GB2312" w:eastAsia="仿宋_GB2312" w:cs="仿宋_GB2312"/>
          <w:color w:val="000000"/>
          <w:kern w:val="0"/>
          <w:sz w:val="32"/>
          <w:szCs w:val="32"/>
          <w:u w:val="none" w:color="000000"/>
          <w:lang w:val="en-US" w:eastAsia="zh-CN"/>
        </w:rPr>
      </w:pPr>
      <w:r>
        <w:rPr>
          <w:rFonts w:hint="eastAsia" w:ascii="仿宋_GB2312" w:hAnsi="仿宋_GB2312" w:eastAsia="仿宋_GB2312" w:cs="仿宋_GB2312"/>
          <w:color w:val="000000"/>
          <w:kern w:val="0"/>
          <w:sz w:val="32"/>
          <w:szCs w:val="32"/>
          <w:u w:val="none" w:color="000000"/>
          <w:lang w:val="en-US" w:eastAsia="zh-CN"/>
        </w:rPr>
        <w:t xml:space="preserve"> </w:t>
      </w:r>
    </w:p>
    <w:p/>
    <w:p/>
    <w:p/>
    <w:p/>
    <w:p/>
    <w:p/>
    <w:p/>
    <w:p/>
    <w:p/>
    <w:p/>
    <w:p/>
    <w:p/>
    <w:p/>
    <w:p/>
    <w:p/>
    <w:p/>
    <w:p/>
    <w:p/>
    <w:p/>
    <w:p/>
    <w:p/>
    <w:p/>
    <w:p/>
    <w:p/>
    <w:p/>
    <w:p/>
    <w:p>
      <w:pPr>
        <w:spacing w:line="580" w:lineRule="exact"/>
        <w:jc w:val="center"/>
        <w:rPr>
          <w:rFonts w:hint="eastAsia" w:ascii="黑体" w:hAnsi="黑体" w:eastAsia="黑体"/>
          <w:b/>
          <w:sz w:val="32"/>
          <w:szCs w:val="32"/>
        </w:rPr>
      </w:pPr>
      <w:r>
        <w:rPr>
          <w:rFonts w:hint="eastAsia" w:ascii="黑体" w:hAnsi="黑体" w:eastAsia="黑体"/>
          <w:b/>
          <w:sz w:val="32"/>
          <w:szCs w:val="32"/>
          <w:lang w:eastAsia="zh-CN"/>
        </w:rPr>
        <w:t>经科局行政权力</w:t>
      </w:r>
      <w:r>
        <w:rPr>
          <w:rFonts w:hint="eastAsia" w:ascii="黑体" w:hAnsi="黑体" w:eastAsia="黑体"/>
          <w:b/>
          <w:sz w:val="32"/>
          <w:szCs w:val="32"/>
        </w:rPr>
        <w:t>责任清单</w:t>
      </w:r>
    </w:p>
    <w:tbl>
      <w:tblPr>
        <w:tblStyle w:val="5"/>
        <w:tblW w:w="91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7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序</w:t>
            </w:r>
            <w:r>
              <w:rPr>
                <w:rFonts w:hint="eastAsia" w:ascii="宋体" w:hAnsi="宋体" w:cs="仿宋_GB2312"/>
                <w:sz w:val="21"/>
                <w:szCs w:val="21"/>
                <w:lang w:val="en-US" w:eastAsia="zh-CN"/>
              </w:rPr>
              <w:t xml:space="preserve">   </w:t>
            </w:r>
            <w:r>
              <w:rPr>
                <w:rFonts w:hint="eastAsia" w:ascii="宋体" w:hAnsi="宋体" w:cs="仿宋_GB2312"/>
                <w:sz w:val="21"/>
                <w:szCs w:val="21"/>
              </w:rPr>
              <w:t>号</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b/>
                <w:bCs/>
                <w:sz w:val="21"/>
                <w:szCs w:val="21"/>
              </w:rPr>
              <w:t>1</w:t>
            </w:r>
            <w:r>
              <w:rPr>
                <w:rFonts w:hint="eastAsia" w:ascii="宋体" w:hAnsi="宋体" w:cs="仿宋_GB2312"/>
                <w:b/>
                <w:bCs/>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权力类型</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宋体" w:hAnsi="宋体" w:eastAsia="宋体" w:cs="仿宋_GB2312"/>
                <w:sz w:val="21"/>
                <w:szCs w:val="21"/>
                <w:lang w:eastAsia="zh-CN"/>
              </w:rPr>
            </w:pPr>
            <w:r>
              <w:rPr>
                <w:rFonts w:hint="eastAsia" w:ascii="宋体" w:hAnsi="宋体" w:cs="仿宋_GB2312"/>
                <w:sz w:val="21"/>
                <w:szCs w:val="21"/>
              </w:rPr>
              <w:t>行政</w:t>
            </w:r>
            <w:r>
              <w:rPr>
                <w:rFonts w:hint="eastAsia" w:ascii="宋体" w:hAnsi="宋体" w:cs="仿宋_GB2312"/>
                <w:sz w:val="21"/>
                <w:szCs w:val="21"/>
                <w:lang w:eastAsia="zh-CN"/>
              </w:rPr>
              <w:t>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权力项目名称</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宋体" w:hAnsi="宋体" w:eastAsia="宋体" w:cs="仿宋_GB2312"/>
                <w:sz w:val="21"/>
                <w:szCs w:val="21"/>
                <w:lang w:eastAsia="zh-CN"/>
              </w:rPr>
            </w:pPr>
            <w:r>
              <w:rPr>
                <w:rFonts w:hint="eastAsia" w:ascii="宋体" w:hAnsi="宋体" w:cs="仿宋_GB2312"/>
                <w:sz w:val="21"/>
                <w:szCs w:val="21"/>
                <w:lang w:eastAsia="zh-CN"/>
              </w:rPr>
              <w:t>对涉盐生产经营有关单位、个人开展监督检查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实施依据</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hint="eastAsia" w:ascii="宋体" w:hAnsi="宋体" w:cs="仿宋_GB2312"/>
                <w:color w:val="000000" w:themeColor="text1"/>
                <w:sz w:val="21"/>
                <w:szCs w:val="21"/>
                <w14:textFill>
                  <w14:solidFill>
                    <w14:schemeClr w14:val="tx1"/>
                  </w14:solidFill>
                </w14:textFill>
              </w:rPr>
            </w:pPr>
            <w:r>
              <w:rPr>
                <w:rFonts w:hint="eastAsia" w:ascii="宋体" w:hAnsi="宋体" w:cs="仿宋_GB2312"/>
                <w:color w:val="000000" w:themeColor="text1"/>
                <w:sz w:val="21"/>
                <w:szCs w:val="21"/>
                <w14:textFill>
                  <w14:solidFill>
                    <w14:schemeClr w14:val="tx1"/>
                  </w14:solidFill>
                </w14:textFill>
              </w:rPr>
              <w:t>《盐业管理条例》（1990年3月2日国务院令第51号）第十五条 制盐企业必须严格按照国家有关规定，加强质量监督检测工作，不符合质量和卫生标准的产品不准出企业。</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hint="eastAsia" w:ascii="宋体" w:hAnsi="宋体" w:cs="仿宋_GB2312"/>
                <w:color w:val="000000" w:themeColor="text1"/>
                <w:sz w:val="21"/>
                <w:szCs w:val="21"/>
                <w14:textFill>
                  <w14:solidFill>
                    <w14:schemeClr w14:val="tx1"/>
                  </w14:solidFill>
                </w14:textFill>
              </w:rPr>
            </w:pPr>
            <w:r>
              <w:rPr>
                <w:rFonts w:hint="eastAsia" w:ascii="宋体" w:hAnsi="宋体" w:cs="仿宋_GB2312"/>
                <w:color w:val="000000" w:themeColor="text1"/>
                <w:sz w:val="21"/>
                <w:szCs w:val="21"/>
                <w14:textFill>
                  <w14:solidFill>
                    <w14:schemeClr w14:val="tx1"/>
                  </w14:solidFill>
                </w14:textFill>
              </w:rPr>
              <w:t>《四川省盐业管理条例》第二条 在四川省行政区域内从事盐资源开发和盐产品生产、加工、储运、购销及盐业管理，必须遵守本条例。</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hint="eastAsia" w:ascii="宋体" w:hAnsi="宋体" w:cs="仿宋_GB2312"/>
                <w:color w:val="000000" w:themeColor="text1"/>
                <w:sz w:val="21"/>
                <w:szCs w:val="21"/>
                <w14:textFill>
                  <w14:solidFill>
                    <w14:schemeClr w14:val="tx1"/>
                  </w14:solidFill>
                </w14:textFill>
              </w:rPr>
            </w:pPr>
            <w:r>
              <w:rPr>
                <w:rFonts w:hint="eastAsia" w:ascii="宋体" w:hAnsi="宋体" w:cs="仿宋_GB2312"/>
                <w:color w:val="000000" w:themeColor="text1"/>
                <w:sz w:val="21"/>
                <w:szCs w:val="21"/>
                <w14:textFill>
                  <w14:solidFill>
                    <w14:schemeClr w14:val="tx1"/>
                  </w14:solidFill>
                </w14:textFill>
              </w:rPr>
              <w:t>第十一条盐产品的生产、加工单位，应具备质量保证条件，严格按照质量标准组织生产。食盐和碘剂，必须符合国家卫生标准和国家卫生行政部门确定碘剂品种的要求。碘盐出厂前必须经质量检验，不符合规定含量不得出厂</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FF0000"/>
                <w:sz w:val="21"/>
                <w:szCs w:val="21"/>
              </w:rPr>
            </w:pPr>
            <w:r>
              <w:rPr>
                <w:rFonts w:hint="eastAsia" w:ascii="宋体" w:hAnsi="宋体" w:cs="仿宋_GB2312"/>
                <w:color w:val="000000" w:themeColor="text1"/>
                <w:sz w:val="21"/>
                <w:szCs w:val="21"/>
                <w14:textFill>
                  <w14:solidFill>
                    <w14:schemeClr w14:val="tx1"/>
                  </w14:solidFill>
                </w14:textFill>
              </w:rPr>
              <w:t>第十四条 任何单位和个人不得破坏、侵占盐业企业的采卤、制盐、加工生产设备和输卤管道。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责任主体</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宋体" w:hAnsi="宋体" w:eastAsia="宋体" w:cs="仿宋_GB2312"/>
                <w:color w:val="FF0000"/>
                <w:sz w:val="21"/>
                <w:szCs w:val="21"/>
                <w:lang w:eastAsia="zh-CN"/>
              </w:rPr>
            </w:pPr>
            <w:r>
              <w:rPr>
                <w:rFonts w:hint="eastAsia" w:ascii="宋体" w:hAnsi="宋体" w:cs="仿宋_GB2312"/>
                <w:color w:val="000000" w:themeColor="text1"/>
                <w:sz w:val="21"/>
                <w:szCs w:val="21"/>
                <w:lang w:eastAsia="zh-CN"/>
                <w14:textFill>
                  <w14:solidFill>
                    <w14:schemeClr w14:val="tx1"/>
                  </w14:solidFill>
                </w14:textFill>
              </w:rPr>
              <w:t>船山区经济信息化和科学技术局信息化和运行保障股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责任事项</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000000" w:themeColor="text1"/>
                <w:sz w:val="21"/>
                <w:szCs w:val="21"/>
                <w14:textFill>
                  <w14:solidFill>
                    <w14:schemeClr w14:val="tx1"/>
                  </w14:solidFill>
                </w14:textFill>
              </w:rPr>
            </w:pPr>
            <w:r>
              <w:rPr>
                <w:rFonts w:ascii="宋体" w:hAnsi="宋体" w:cs="仿宋_GB2312"/>
                <w:color w:val="000000" w:themeColor="text1"/>
                <w:sz w:val="21"/>
                <w:szCs w:val="21"/>
                <w14:textFill>
                  <w14:solidFill>
                    <w14:schemeClr w14:val="tx1"/>
                  </w14:solidFill>
                </w14:textFill>
              </w:rPr>
              <w:t>1.受理责任：公示应当提交的材料，一次性告知补正材料，依法受理或不予受理（不予受理应当告知理由）。</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000000" w:themeColor="text1"/>
                <w:sz w:val="21"/>
                <w:szCs w:val="21"/>
                <w14:textFill>
                  <w14:solidFill>
                    <w14:schemeClr w14:val="tx1"/>
                  </w14:solidFill>
                </w14:textFill>
              </w:rPr>
            </w:pPr>
            <w:r>
              <w:rPr>
                <w:rFonts w:ascii="宋体" w:hAnsi="宋体" w:cs="仿宋_GB2312"/>
                <w:color w:val="000000" w:themeColor="text1"/>
                <w:sz w:val="21"/>
                <w:szCs w:val="21"/>
                <w14:textFill>
                  <w14:solidFill>
                    <w14:schemeClr w14:val="tx1"/>
                  </w14:solidFill>
                </w14:textFill>
              </w:rPr>
              <w:t>2.审查责任：审查申请材料，现场踏勘。</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000000" w:themeColor="text1"/>
                <w:sz w:val="21"/>
                <w:szCs w:val="21"/>
                <w14:textFill>
                  <w14:solidFill>
                    <w14:schemeClr w14:val="tx1"/>
                  </w14:solidFill>
                </w14:textFill>
              </w:rPr>
            </w:pPr>
            <w:r>
              <w:rPr>
                <w:rFonts w:ascii="宋体" w:hAnsi="宋体" w:cs="仿宋_GB2312"/>
                <w:color w:val="000000" w:themeColor="text1"/>
                <w:sz w:val="21"/>
                <w:szCs w:val="21"/>
                <w14:textFill>
                  <w14:solidFill>
                    <w14:schemeClr w14:val="tx1"/>
                  </w14:solidFill>
                </w14:textFill>
              </w:rPr>
              <w:t>3.决定责任：作出行政许可或者不予行政许可决定，法定告知（不予许可的应当书面告知理由）。</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000000" w:themeColor="text1"/>
                <w:sz w:val="21"/>
                <w:szCs w:val="21"/>
                <w14:textFill>
                  <w14:solidFill>
                    <w14:schemeClr w14:val="tx1"/>
                  </w14:solidFill>
                </w14:textFill>
              </w:rPr>
            </w:pPr>
            <w:r>
              <w:rPr>
                <w:rFonts w:ascii="宋体" w:hAnsi="宋体" w:cs="仿宋_GB2312"/>
                <w:color w:val="000000" w:themeColor="text1"/>
                <w:sz w:val="21"/>
                <w:szCs w:val="21"/>
                <w14:textFill>
                  <w14:solidFill>
                    <w14:schemeClr w14:val="tx1"/>
                  </w14:solidFill>
                </w14:textFill>
              </w:rPr>
              <w:t>4.事后监管责任：建立实施监督检查的运行机制和管理制度，开展定期和不定期检查，依法采取相关处置措施。</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000000" w:themeColor="text1"/>
                <w:sz w:val="21"/>
                <w:szCs w:val="21"/>
                <w14:textFill>
                  <w14:solidFill>
                    <w14:schemeClr w14:val="tx1"/>
                  </w14:solidFill>
                </w14:textFill>
              </w:rPr>
            </w:pPr>
            <w:r>
              <w:rPr>
                <w:rFonts w:ascii="宋体" w:hAnsi="宋体" w:cs="仿宋_GB2312"/>
                <w:color w:val="000000" w:themeColor="text1"/>
                <w:sz w:val="21"/>
                <w:szCs w:val="21"/>
                <w14:textFill>
                  <w14:solidFill>
                    <w14:schemeClr w14:val="tx1"/>
                  </w14:solidFill>
                </w14:textFill>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宋体" w:hAnsi="宋体" w:cs="仿宋_GB2312"/>
                <w:sz w:val="21"/>
                <w:szCs w:val="21"/>
              </w:rPr>
            </w:pP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eastAsia" w:ascii="宋体" w:hAnsi="宋体" w:cs="仿宋_GB2312"/>
                <w:sz w:val="21"/>
                <w:szCs w:val="21"/>
              </w:rPr>
            </w:pPr>
            <w:r>
              <w:rPr>
                <w:rFonts w:hint="eastAsia" w:ascii="宋体" w:hAnsi="宋体" w:cs="仿宋_GB2312"/>
                <w:sz w:val="21"/>
                <w:szCs w:val="21"/>
              </w:rPr>
              <w:t>责任事项依据</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000000" w:themeColor="text1"/>
                <w:sz w:val="21"/>
                <w:szCs w:val="21"/>
                <w14:textFill>
                  <w14:solidFill>
                    <w14:schemeClr w14:val="tx1"/>
                  </w14:solidFill>
                </w14:textFill>
              </w:rPr>
            </w:pPr>
            <w:r>
              <w:rPr>
                <w:rFonts w:ascii="宋体" w:hAnsi="宋体" w:cs="仿宋_GB2312"/>
                <w:color w:val="000000" w:themeColor="text1"/>
                <w:sz w:val="21"/>
                <w:szCs w:val="21"/>
                <w14:textFill>
                  <w14:solidFill>
                    <w14:schemeClr w14:val="tx1"/>
                  </w14:solidFill>
                </w14:textFill>
              </w:rPr>
              <w:t>《行政许可法》</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hint="default" w:ascii="宋体" w:hAnsi="宋体" w:cs="仿宋_GB2312"/>
                <w:color w:val="000000" w:themeColor="text1"/>
                <w:sz w:val="21"/>
                <w:szCs w:val="21"/>
                <w14:textFill>
                  <w14:solidFill>
                    <w14:schemeClr w14:val="tx1"/>
                  </w14:solidFill>
                </w14:textFill>
              </w:rPr>
            </w:pPr>
            <w:r>
              <w:rPr>
                <w:rFonts w:hint="default" w:ascii="宋体" w:hAnsi="宋体" w:cs="仿宋_GB2312"/>
                <w:color w:val="000000" w:themeColor="text1"/>
                <w:sz w:val="21"/>
                <w:szCs w:val="21"/>
                <w14:textFill>
                  <w14:solidFill>
                    <w14:schemeClr w14:val="tx1"/>
                  </w14:solidFill>
                </w14:textFill>
              </w:rPr>
              <w:t>第三十二条</w:t>
            </w:r>
            <w:r>
              <w:rPr>
                <w:rFonts w:hint="eastAsia" w:ascii="宋体" w:hAnsi="宋体" w:cs="仿宋_GB2312"/>
                <w:color w:val="000000" w:themeColor="text1"/>
                <w:sz w:val="21"/>
                <w:szCs w:val="21"/>
                <w:lang w:val="en-US" w:eastAsia="zh-CN"/>
                <w14:textFill>
                  <w14:solidFill>
                    <w14:schemeClr w14:val="tx1"/>
                  </w14:solidFill>
                </w14:textFill>
              </w:rPr>
              <w:t xml:space="preserve">  </w:t>
            </w:r>
            <w:r>
              <w:rPr>
                <w:rFonts w:hint="default" w:ascii="宋体" w:hAnsi="宋体" w:cs="仿宋_GB2312"/>
                <w:color w:val="000000" w:themeColor="text1"/>
                <w:sz w:val="21"/>
                <w:szCs w:val="21"/>
                <w14:textFill>
                  <w14:solidFill>
                    <w14:schemeClr w14:val="tx1"/>
                  </w14:solidFill>
                </w14:textFill>
              </w:rPr>
              <w:t>行政机关对申请人提出的行政许可申请，应当根据下列情况分别作出处理：</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（一）申请事项依法不需要取得行政许可的，应当即时告知申请人不受理；</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（二）申请事项依法不属于本行政机关职权范围的，应当即时作出不予受理的决定，并告知申请人向有关行政机关申请；</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（三）申请材料存在可以当场更正的错误的，应当允许申请人当场更正；</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（四）申请材料不齐全或者不符合法定形式的，应当当场或者在五日内一次告知申请人需要补正的全部内容，逾期不告知的，自收到申请材料之日起即为受理；</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（五）申请事项属于本行政机关职权范围，申请材料齐全、符合法定形式，或者申请人按照本行政机关的要求提交全部补正申请材料的，应当受理行政许可申请。</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行政机关受理或者不予受理行政许可申请，应当出具加盖本行政机关专用印章和注明日期的书面凭证。</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hint="eastAsia" w:ascii="宋体" w:hAnsi="宋体" w:cs="仿宋_GB2312"/>
                <w:color w:val="000000" w:themeColor="text1"/>
                <w:sz w:val="21"/>
                <w:szCs w:val="21"/>
                <w14:textFill>
                  <w14:solidFill>
                    <w14:schemeClr w14:val="tx1"/>
                  </w14:solidFill>
                </w14:textFill>
              </w:rPr>
            </w:pPr>
            <w:r>
              <w:rPr>
                <w:rFonts w:hint="default" w:ascii="宋体" w:hAnsi="宋体" w:cs="仿宋_GB2312"/>
                <w:color w:val="000000" w:themeColor="text1"/>
                <w:sz w:val="21"/>
                <w:szCs w:val="21"/>
                <w14:textFill>
                  <w14:solidFill>
                    <w14:schemeClr w14:val="tx1"/>
                  </w14:solidFill>
                </w14:textFill>
              </w:rPr>
              <w:t>第三十四条</w:t>
            </w:r>
            <w:r>
              <w:rPr>
                <w:rFonts w:hint="eastAsia" w:ascii="宋体" w:hAnsi="宋体" w:cs="仿宋_GB2312"/>
                <w:color w:val="000000" w:themeColor="text1"/>
                <w:sz w:val="21"/>
                <w:szCs w:val="21"/>
                <w:lang w:val="en-US" w:eastAsia="zh-CN"/>
                <w14:textFill>
                  <w14:solidFill>
                    <w14:schemeClr w14:val="tx1"/>
                  </w14:solidFill>
                </w14:textFill>
              </w:rPr>
              <w:t xml:space="preserve">  </w:t>
            </w:r>
            <w:r>
              <w:rPr>
                <w:rFonts w:hint="default" w:ascii="宋体" w:hAnsi="宋体" w:cs="仿宋_GB2312"/>
                <w:color w:val="000000" w:themeColor="text1"/>
                <w:sz w:val="21"/>
                <w:szCs w:val="21"/>
                <w14:textFill>
                  <w14:solidFill>
                    <w14:schemeClr w14:val="tx1"/>
                  </w14:solidFill>
                </w14:textFill>
              </w:rPr>
              <w:t>行政机关应当对申请人提交的申请材料进行审查。</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申请人提交的申请材料齐全、符合法定形式，行政机关能够当场作出决定的，应当当场作出书面的行政许可决定。</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根据法定条件和程序，需要对申请材料的实质内容进行核实的，行政机关应当指派两名以上工作人员进行核查。</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第三十八条</w:t>
            </w:r>
            <w:r>
              <w:rPr>
                <w:rFonts w:hint="eastAsia" w:ascii="宋体" w:hAnsi="宋体" w:cs="仿宋_GB2312"/>
                <w:color w:val="000000" w:themeColor="text1"/>
                <w:sz w:val="21"/>
                <w:szCs w:val="21"/>
                <w:lang w:val="en-US" w:eastAsia="zh-CN"/>
                <w14:textFill>
                  <w14:solidFill>
                    <w14:schemeClr w14:val="tx1"/>
                  </w14:solidFill>
                </w14:textFill>
              </w:rPr>
              <w:t xml:space="preserve">  </w:t>
            </w:r>
            <w:r>
              <w:rPr>
                <w:rFonts w:hint="default" w:ascii="宋体" w:hAnsi="宋体" w:cs="仿宋_GB2312"/>
                <w:color w:val="000000" w:themeColor="text1"/>
                <w:sz w:val="21"/>
                <w:szCs w:val="21"/>
                <w14:textFill>
                  <w14:solidFill>
                    <w14:schemeClr w14:val="tx1"/>
                  </w14:solidFill>
                </w14:textFill>
              </w:rPr>
              <w:t>申请人的申请符合法定条件、标准的，行政机关应当依法作出准予行政许可的书面决定。</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行政机关依法作出不予行政许可的书面决定的，应当说明理由，并告知申请人享有依法申请行政复议或者提起行政诉讼的权利。</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第六十一条</w:t>
            </w:r>
            <w:r>
              <w:rPr>
                <w:rFonts w:hint="eastAsia" w:ascii="宋体" w:hAnsi="宋体" w:cs="仿宋_GB2312"/>
                <w:color w:val="000000" w:themeColor="text1"/>
                <w:sz w:val="21"/>
                <w:szCs w:val="21"/>
                <w:lang w:val="en-US" w:eastAsia="zh-CN"/>
                <w14:textFill>
                  <w14:solidFill>
                    <w14:schemeClr w14:val="tx1"/>
                  </w14:solidFill>
                </w14:textFill>
              </w:rPr>
              <w:t xml:space="preserve">  </w:t>
            </w:r>
            <w:r>
              <w:rPr>
                <w:rFonts w:hint="default" w:ascii="宋体" w:hAnsi="宋体" w:cs="仿宋_GB2312"/>
                <w:color w:val="000000" w:themeColor="text1"/>
                <w:sz w:val="21"/>
                <w:szCs w:val="21"/>
                <w14:textFill>
                  <w14:solidFill>
                    <w14:schemeClr w14:val="tx1"/>
                  </w14:solidFill>
                </w14:textFill>
              </w:rPr>
              <w:t>行政机关应当建立健全监督制度，通过核查反映被许可人从事行政许可事项活动情况的有关材料，履行监督责任。</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行政机关依法对被许可人从事行政许可事项的活动进行监督检查时，应当将监督检查的情况和处理结果予以记录，由监督检查人员签字后归档。公众有权查阅行政机关监督检查记录。</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行政机关应当创造条件，实现与被许可人、其他有关行政机关的计算机档案系统互联，核查被许可人从事行政许可事项活动情况。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追责情形</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FF0000"/>
                <w:sz w:val="21"/>
                <w:szCs w:val="21"/>
              </w:rPr>
            </w:pPr>
            <w:r>
              <w:rPr>
                <w:rFonts w:hint="eastAsia" w:ascii="宋体" w:hAnsi="宋体" w:cs="仿宋_GB2312"/>
                <w:color w:val="000000" w:themeColor="text1"/>
                <w:sz w:val="21"/>
                <w:szCs w:val="21"/>
                <w14:textFill>
                  <w14:solidFill>
                    <w14:schemeClr w14:val="tx1"/>
                  </w14:solidFill>
                </w14:textFill>
              </w:rPr>
              <w:t>对不履行或不正确履行行政职责的行政机关及其工作人员，依据</w:t>
            </w:r>
            <w:r>
              <w:rPr>
                <w:rFonts w:hint="eastAsia" w:ascii="宋体" w:hAnsi="宋体" w:cs="仿宋_GB2312"/>
                <w:color w:val="000000" w:themeColor="text1"/>
                <w:sz w:val="21"/>
                <w:szCs w:val="21"/>
                <w:lang w:eastAsia="zh-CN"/>
                <w14:textFill>
                  <w14:solidFill>
                    <w14:schemeClr w14:val="tx1"/>
                  </w14:solidFill>
                </w14:textFill>
              </w:rPr>
              <w:t>《中华人民共和国监察法》</w:t>
            </w:r>
            <w:r>
              <w:rPr>
                <w:rFonts w:hint="eastAsia" w:ascii="宋体" w:hAnsi="宋体" w:cs="仿宋_GB2312"/>
                <w:color w:val="000000" w:themeColor="text1"/>
                <w:sz w:val="21"/>
                <w:szCs w:val="21"/>
                <w14:textFill>
                  <w14:solidFill>
                    <w14:schemeClr w14:val="tx1"/>
                  </w14:solidFill>
                </w14:textFill>
              </w:rPr>
              <w:t>、《中华人民共和国行政许可法》、《行政机关公务员处分条例》、《四川省行政审批违法违纪行为责任追究办法》等法律法规规章的相关规定追究相应的责任。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监督电话</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FF0000"/>
                <w:sz w:val="21"/>
                <w:szCs w:val="21"/>
              </w:rPr>
            </w:pPr>
            <w:r>
              <w:rPr>
                <w:rFonts w:hint="eastAsia" w:ascii="宋体" w:hAnsi="宋体" w:cs="仿宋_GB2312"/>
                <w:color w:val="000000" w:themeColor="text1"/>
                <w:sz w:val="21"/>
                <w:szCs w:val="21"/>
                <w14:textFill>
                  <w14:solidFill>
                    <w14:schemeClr w14:val="tx1"/>
                  </w14:solidFill>
                </w14:textFill>
              </w:rPr>
              <w:t>0825</w:t>
            </w:r>
            <w:r>
              <w:rPr>
                <w:rFonts w:hint="eastAsia" w:ascii="宋体" w:hAnsi="宋体" w:cs="仿宋_GB2312"/>
                <w:color w:val="000000" w:themeColor="text1"/>
                <w:sz w:val="21"/>
                <w:szCs w:val="21"/>
                <w:lang w:val="en-US" w:eastAsia="zh-CN"/>
                <w14:textFill>
                  <w14:solidFill>
                    <w14:schemeClr w14:val="tx1"/>
                  </w14:solidFill>
                </w14:textFill>
              </w:rPr>
              <w:t>-6807580</w:t>
            </w:r>
          </w:p>
        </w:tc>
      </w:tr>
    </w:tbl>
    <w:p>
      <w:pPr>
        <w:spacing w:line="520" w:lineRule="exact"/>
        <w:rPr>
          <w:rFonts w:hint="eastAsia" w:ascii="仿宋_GB2312" w:hAnsi="仿宋_GB2312" w:eastAsia="仿宋_GB2312" w:cs="仿宋_GB2312"/>
          <w:color w:val="000000"/>
          <w:kern w:val="0"/>
          <w:sz w:val="32"/>
          <w:szCs w:val="32"/>
          <w:u w:val="none" w:color="000000"/>
          <w:lang w:val="en-US" w:eastAsia="zh-CN"/>
        </w:rPr>
      </w:pPr>
      <w:r>
        <w:rPr>
          <w:rFonts w:hint="eastAsia" w:ascii="仿宋_GB2312" w:hAnsi="仿宋_GB2312" w:eastAsia="仿宋_GB2312" w:cs="仿宋_GB2312"/>
          <w:color w:val="000000"/>
          <w:kern w:val="0"/>
          <w:sz w:val="32"/>
          <w:szCs w:val="32"/>
          <w:u w:val="none" w:color="000000"/>
          <w:lang w:val="en-US" w:eastAsia="zh-CN"/>
        </w:rPr>
        <w:t xml:space="preserve"> </w:t>
      </w:r>
    </w:p>
    <w:p/>
    <w:p/>
    <w:p/>
    <w:p/>
    <w:p/>
    <w:p/>
    <w:p/>
    <w:p/>
    <w:p/>
    <w:p/>
    <w:p/>
    <w:p/>
    <w:p/>
    <w:p>
      <w:pPr>
        <w:spacing w:line="580" w:lineRule="exact"/>
        <w:jc w:val="center"/>
        <w:rPr>
          <w:rFonts w:hint="eastAsia" w:ascii="黑体" w:hAnsi="黑体" w:eastAsia="黑体"/>
          <w:b/>
          <w:sz w:val="32"/>
          <w:szCs w:val="32"/>
          <w:lang w:eastAsia="zh-CN"/>
        </w:rPr>
      </w:pPr>
    </w:p>
    <w:p>
      <w:pPr>
        <w:spacing w:line="580" w:lineRule="exact"/>
        <w:jc w:val="center"/>
        <w:rPr>
          <w:rFonts w:hint="eastAsia" w:ascii="黑体" w:hAnsi="黑体" w:eastAsia="黑体"/>
          <w:b/>
          <w:sz w:val="32"/>
          <w:szCs w:val="32"/>
          <w:lang w:eastAsia="zh-CN"/>
        </w:rPr>
      </w:pPr>
    </w:p>
    <w:p>
      <w:pPr>
        <w:spacing w:line="580" w:lineRule="exact"/>
        <w:jc w:val="center"/>
        <w:rPr>
          <w:rFonts w:hint="eastAsia" w:ascii="黑体" w:hAnsi="黑体" w:eastAsia="黑体"/>
          <w:b/>
          <w:sz w:val="32"/>
          <w:szCs w:val="32"/>
          <w:lang w:eastAsia="zh-CN"/>
        </w:rPr>
      </w:pPr>
    </w:p>
    <w:p>
      <w:pPr>
        <w:spacing w:line="580" w:lineRule="exact"/>
        <w:jc w:val="center"/>
        <w:rPr>
          <w:rFonts w:hint="eastAsia" w:ascii="黑体" w:hAnsi="黑体" w:eastAsia="黑体"/>
          <w:b/>
          <w:sz w:val="32"/>
          <w:szCs w:val="32"/>
          <w:lang w:eastAsia="zh-CN"/>
        </w:rPr>
      </w:pPr>
    </w:p>
    <w:p>
      <w:pPr>
        <w:spacing w:line="580" w:lineRule="exact"/>
        <w:jc w:val="both"/>
        <w:rPr>
          <w:rFonts w:hint="eastAsia" w:ascii="黑体" w:hAnsi="黑体" w:eastAsia="黑体"/>
          <w:b/>
          <w:sz w:val="32"/>
          <w:szCs w:val="32"/>
          <w:lang w:eastAsia="zh-CN"/>
        </w:rPr>
      </w:pPr>
    </w:p>
    <w:p>
      <w:pPr>
        <w:spacing w:line="580" w:lineRule="exact"/>
        <w:jc w:val="center"/>
        <w:rPr>
          <w:rFonts w:hint="eastAsia" w:ascii="黑体" w:hAnsi="黑体" w:eastAsia="黑体"/>
          <w:b/>
          <w:sz w:val="32"/>
          <w:szCs w:val="32"/>
        </w:rPr>
      </w:pPr>
      <w:r>
        <w:rPr>
          <w:rFonts w:hint="eastAsia" w:ascii="黑体" w:hAnsi="黑体" w:eastAsia="黑体"/>
          <w:b/>
          <w:sz w:val="32"/>
          <w:szCs w:val="32"/>
          <w:lang w:eastAsia="zh-CN"/>
        </w:rPr>
        <w:t>经科局行政权力</w:t>
      </w:r>
      <w:r>
        <w:rPr>
          <w:rFonts w:hint="eastAsia" w:ascii="黑体" w:hAnsi="黑体" w:eastAsia="黑体"/>
          <w:b/>
          <w:sz w:val="32"/>
          <w:szCs w:val="32"/>
        </w:rPr>
        <w:t>责任清单</w:t>
      </w:r>
    </w:p>
    <w:tbl>
      <w:tblPr>
        <w:tblStyle w:val="5"/>
        <w:tblW w:w="91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7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序</w:t>
            </w:r>
            <w:r>
              <w:rPr>
                <w:rFonts w:hint="eastAsia" w:ascii="宋体" w:hAnsi="宋体" w:cs="仿宋_GB2312"/>
                <w:sz w:val="21"/>
                <w:szCs w:val="21"/>
                <w:lang w:val="en-US" w:eastAsia="zh-CN"/>
              </w:rPr>
              <w:t xml:space="preserve">   </w:t>
            </w:r>
            <w:r>
              <w:rPr>
                <w:rFonts w:hint="eastAsia" w:ascii="宋体" w:hAnsi="宋体" w:cs="仿宋_GB2312"/>
                <w:sz w:val="21"/>
                <w:szCs w:val="21"/>
              </w:rPr>
              <w:t>号</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b/>
                <w:bCs/>
                <w:sz w:val="21"/>
                <w:szCs w:val="21"/>
              </w:rPr>
              <w:t>1</w:t>
            </w:r>
            <w:r>
              <w:rPr>
                <w:rFonts w:hint="eastAsia" w:ascii="宋体" w:hAnsi="宋体" w:cs="仿宋_GB2312"/>
                <w:b/>
                <w:bCs/>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权力类型</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权力项目名称</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宋体" w:hAnsi="宋体" w:eastAsia="宋体" w:cs="仿宋_GB2312"/>
                <w:color w:val="000000" w:themeColor="text1"/>
                <w:sz w:val="21"/>
                <w:szCs w:val="21"/>
                <w:lang w:eastAsia="zh-CN"/>
                <w14:textFill>
                  <w14:solidFill>
                    <w14:schemeClr w14:val="tx1"/>
                  </w14:solidFill>
                </w14:textFill>
              </w:rPr>
            </w:pPr>
            <w:r>
              <w:rPr>
                <w:rFonts w:hint="eastAsia" w:ascii="宋体" w:hAnsi="宋体" w:cs="仿宋_GB2312"/>
                <w:color w:val="000000" w:themeColor="text1"/>
                <w:sz w:val="21"/>
                <w:szCs w:val="21"/>
                <w:lang w:eastAsia="zh-CN"/>
                <w14:textFill>
                  <w14:solidFill>
                    <w14:schemeClr w14:val="tx1"/>
                  </w14:solidFill>
                </w14:textFill>
              </w:rPr>
              <w:t>民用爆炸物品销售许可监督管理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实施依据</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000000" w:themeColor="text1"/>
                <w:sz w:val="21"/>
                <w:szCs w:val="21"/>
                <w14:textFill>
                  <w14:solidFill>
                    <w14:schemeClr w14:val="tx1"/>
                  </w14:solidFill>
                </w14:textFill>
              </w:rPr>
            </w:pPr>
            <w:r>
              <w:rPr>
                <w:rFonts w:hint="eastAsia" w:ascii="宋体" w:hAnsi="宋体" w:cs="仿宋_GB2312"/>
                <w:color w:val="000000" w:themeColor="text1"/>
                <w:sz w:val="21"/>
                <w:szCs w:val="21"/>
                <w:lang w:val="en-US" w:eastAsia="zh-CN"/>
                <w14:textFill>
                  <w14:solidFill>
                    <w14:schemeClr w14:val="tx1"/>
                  </w14:solidFill>
                </w14:textFill>
              </w:rPr>
              <w:t>《民用爆炸物品安全管理条例》（2006年5月10日中华人民共和国国务院令第466号公布 根据2014年7月29日中华人民共和国国务院令第653号公布的《国务院关于修改部分行政法规的决定》修正）第四条 民用爆炸物品行业主管部门负责民用爆炸物品生产、销售的安全监督管理。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责任主体</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宋体" w:hAnsi="宋体" w:eastAsia="宋体" w:cs="仿宋_GB2312"/>
                <w:color w:val="FF0000"/>
                <w:sz w:val="21"/>
                <w:szCs w:val="21"/>
                <w:lang w:eastAsia="zh-CN"/>
              </w:rPr>
            </w:pPr>
            <w:r>
              <w:rPr>
                <w:rFonts w:hint="eastAsia" w:ascii="宋体" w:hAnsi="宋体" w:cs="仿宋_GB2312"/>
                <w:color w:val="000000" w:themeColor="text1"/>
                <w:sz w:val="21"/>
                <w:szCs w:val="21"/>
                <w:lang w:eastAsia="zh-CN"/>
                <w14:textFill>
                  <w14:solidFill>
                    <w14:schemeClr w14:val="tx1"/>
                  </w14:solidFill>
                </w14:textFill>
              </w:rPr>
              <w:t>船山区经济信息化和科学技术局信息化和运行保障股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责任事项</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000000" w:themeColor="text1"/>
                <w:sz w:val="21"/>
                <w:szCs w:val="21"/>
                <w14:textFill>
                  <w14:solidFill>
                    <w14:schemeClr w14:val="tx1"/>
                  </w14:solidFill>
                </w14:textFill>
              </w:rPr>
            </w:pPr>
            <w:r>
              <w:rPr>
                <w:rFonts w:ascii="宋体" w:hAnsi="宋体" w:cs="仿宋_GB2312"/>
                <w:color w:val="000000" w:themeColor="text1"/>
                <w:sz w:val="21"/>
                <w:szCs w:val="21"/>
                <w14:textFill>
                  <w14:solidFill>
                    <w14:schemeClr w14:val="tx1"/>
                  </w14:solidFill>
                </w14:textFill>
              </w:rPr>
              <w:t>1.受理责任：公示应当提交的材料，一次性告知补正材料，依法受理或不予受理（不予受理应当告知理由）。</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000000" w:themeColor="text1"/>
                <w:sz w:val="21"/>
                <w:szCs w:val="21"/>
                <w14:textFill>
                  <w14:solidFill>
                    <w14:schemeClr w14:val="tx1"/>
                  </w14:solidFill>
                </w14:textFill>
              </w:rPr>
            </w:pPr>
            <w:r>
              <w:rPr>
                <w:rFonts w:ascii="宋体" w:hAnsi="宋体" w:cs="仿宋_GB2312"/>
                <w:color w:val="000000" w:themeColor="text1"/>
                <w:sz w:val="21"/>
                <w:szCs w:val="21"/>
                <w14:textFill>
                  <w14:solidFill>
                    <w14:schemeClr w14:val="tx1"/>
                  </w14:solidFill>
                </w14:textFill>
              </w:rPr>
              <w:t>2.审查责任：审查申请材料，现场踏勘。</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000000" w:themeColor="text1"/>
                <w:sz w:val="21"/>
                <w:szCs w:val="21"/>
                <w14:textFill>
                  <w14:solidFill>
                    <w14:schemeClr w14:val="tx1"/>
                  </w14:solidFill>
                </w14:textFill>
              </w:rPr>
            </w:pPr>
            <w:r>
              <w:rPr>
                <w:rFonts w:ascii="宋体" w:hAnsi="宋体" w:cs="仿宋_GB2312"/>
                <w:color w:val="000000" w:themeColor="text1"/>
                <w:sz w:val="21"/>
                <w:szCs w:val="21"/>
                <w14:textFill>
                  <w14:solidFill>
                    <w14:schemeClr w14:val="tx1"/>
                  </w14:solidFill>
                </w14:textFill>
              </w:rPr>
              <w:t>3.决定责任：作出行政许可或者不予行政许可决定，法定告知（不予许可的应当书面告知理由）。</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000000" w:themeColor="text1"/>
                <w:sz w:val="21"/>
                <w:szCs w:val="21"/>
                <w14:textFill>
                  <w14:solidFill>
                    <w14:schemeClr w14:val="tx1"/>
                  </w14:solidFill>
                </w14:textFill>
              </w:rPr>
            </w:pPr>
            <w:r>
              <w:rPr>
                <w:rFonts w:ascii="宋体" w:hAnsi="宋体" w:cs="仿宋_GB2312"/>
                <w:color w:val="000000" w:themeColor="text1"/>
                <w:sz w:val="21"/>
                <w:szCs w:val="21"/>
                <w14:textFill>
                  <w14:solidFill>
                    <w14:schemeClr w14:val="tx1"/>
                  </w14:solidFill>
                </w14:textFill>
              </w:rPr>
              <w:t>4.事后监管责任：建立实施监督检查的运行机制和管理制度，开展定期和不定期检查，依法采取相关处置措施。</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000000" w:themeColor="text1"/>
                <w:sz w:val="21"/>
                <w:szCs w:val="21"/>
                <w14:textFill>
                  <w14:solidFill>
                    <w14:schemeClr w14:val="tx1"/>
                  </w14:solidFill>
                </w14:textFill>
              </w:rPr>
            </w:pPr>
            <w:r>
              <w:rPr>
                <w:rFonts w:ascii="宋体" w:hAnsi="宋体" w:cs="仿宋_GB2312"/>
                <w:color w:val="000000" w:themeColor="text1"/>
                <w:sz w:val="21"/>
                <w:szCs w:val="21"/>
                <w14:textFill>
                  <w14:solidFill>
                    <w14:schemeClr w14:val="tx1"/>
                  </w14:solidFill>
                </w14:textFill>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宋体" w:hAnsi="宋体" w:cs="仿宋_GB2312"/>
                <w:sz w:val="21"/>
                <w:szCs w:val="21"/>
              </w:rPr>
            </w:pP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eastAsia" w:ascii="宋体" w:hAnsi="宋体" w:cs="仿宋_GB2312"/>
                <w:sz w:val="21"/>
                <w:szCs w:val="21"/>
              </w:rPr>
            </w:pP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eastAsia" w:ascii="宋体" w:hAnsi="宋体" w:cs="仿宋_GB2312"/>
                <w:sz w:val="21"/>
                <w:szCs w:val="21"/>
              </w:rPr>
            </w:pP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eastAsia" w:ascii="宋体" w:hAnsi="宋体" w:cs="仿宋_GB2312"/>
                <w:sz w:val="21"/>
                <w:szCs w:val="21"/>
              </w:rPr>
            </w:pP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eastAsia" w:ascii="宋体" w:hAnsi="宋体" w:cs="仿宋_GB2312"/>
                <w:sz w:val="21"/>
                <w:szCs w:val="21"/>
              </w:rPr>
            </w:pP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eastAsia" w:ascii="宋体" w:hAnsi="宋体" w:cs="仿宋_GB2312"/>
                <w:sz w:val="21"/>
                <w:szCs w:val="21"/>
              </w:rPr>
            </w:pP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eastAsia" w:ascii="宋体" w:hAnsi="宋体" w:cs="仿宋_GB2312"/>
                <w:sz w:val="21"/>
                <w:szCs w:val="21"/>
              </w:rPr>
            </w:pP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eastAsia" w:ascii="宋体" w:hAnsi="宋体" w:cs="仿宋_GB2312"/>
                <w:sz w:val="21"/>
                <w:szCs w:val="21"/>
              </w:rPr>
            </w:pP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eastAsia" w:ascii="宋体" w:hAnsi="宋体" w:cs="仿宋_GB2312"/>
                <w:sz w:val="21"/>
                <w:szCs w:val="21"/>
              </w:rPr>
            </w:pP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eastAsia" w:ascii="宋体" w:hAnsi="宋体" w:cs="仿宋_GB2312"/>
                <w:sz w:val="21"/>
                <w:szCs w:val="21"/>
              </w:rPr>
            </w:pP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eastAsia" w:ascii="宋体" w:hAnsi="宋体" w:cs="仿宋_GB2312"/>
                <w:sz w:val="21"/>
                <w:szCs w:val="21"/>
              </w:rPr>
            </w:pP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eastAsia" w:ascii="宋体" w:hAnsi="宋体" w:cs="仿宋_GB2312"/>
                <w:sz w:val="21"/>
                <w:szCs w:val="21"/>
              </w:rPr>
            </w:pP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eastAsia" w:ascii="宋体" w:hAnsi="宋体" w:cs="仿宋_GB2312"/>
                <w:sz w:val="21"/>
                <w:szCs w:val="21"/>
              </w:rPr>
            </w:pP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eastAsia" w:ascii="宋体" w:hAnsi="宋体" w:cs="仿宋_GB2312"/>
                <w:sz w:val="21"/>
                <w:szCs w:val="21"/>
              </w:rPr>
            </w:pPr>
            <w:r>
              <w:rPr>
                <w:rFonts w:hint="eastAsia" w:ascii="宋体" w:hAnsi="宋体" w:cs="仿宋_GB2312"/>
                <w:sz w:val="21"/>
                <w:szCs w:val="21"/>
              </w:rPr>
              <w:t>责任事项依据</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000000" w:themeColor="text1"/>
                <w:sz w:val="21"/>
                <w:szCs w:val="21"/>
                <w14:textFill>
                  <w14:solidFill>
                    <w14:schemeClr w14:val="tx1"/>
                  </w14:solidFill>
                </w14:textFill>
              </w:rPr>
            </w:pPr>
            <w:r>
              <w:rPr>
                <w:rFonts w:ascii="宋体" w:hAnsi="宋体" w:cs="仿宋_GB2312"/>
                <w:color w:val="000000" w:themeColor="text1"/>
                <w:sz w:val="21"/>
                <w:szCs w:val="21"/>
                <w14:textFill>
                  <w14:solidFill>
                    <w14:schemeClr w14:val="tx1"/>
                  </w14:solidFill>
                </w14:textFill>
              </w:rPr>
              <w:t>《行政许可法》</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hint="default" w:ascii="宋体" w:hAnsi="宋体" w:cs="仿宋_GB2312"/>
                <w:color w:val="000000" w:themeColor="text1"/>
                <w:sz w:val="21"/>
                <w:szCs w:val="21"/>
                <w14:textFill>
                  <w14:solidFill>
                    <w14:schemeClr w14:val="tx1"/>
                  </w14:solidFill>
                </w14:textFill>
              </w:rPr>
            </w:pPr>
            <w:r>
              <w:rPr>
                <w:rFonts w:hint="default" w:ascii="宋体" w:hAnsi="宋体" w:cs="仿宋_GB2312"/>
                <w:color w:val="000000" w:themeColor="text1"/>
                <w:sz w:val="21"/>
                <w:szCs w:val="21"/>
                <w14:textFill>
                  <w14:solidFill>
                    <w14:schemeClr w14:val="tx1"/>
                  </w14:solidFill>
                </w14:textFill>
              </w:rPr>
              <w:t>第三十二条</w:t>
            </w:r>
            <w:r>
              <w:rPr>
                <w:rFonts w:hint="eastAsia" w:ascii="宋体" w:hAnsi="宋体" w:cs="仿宋_GB2312"/>
                <w:color w:val="000000" w:themeColor="text1"/>
                <w:sz w:val="21"/>
                <w:szCs w:val="21"/>
                <w:lang w:val="en-US" w:eastAsia="zh-CN"/>
                <w14:textFill>
                  <w14:solidFill>
                    <w14:schemeClr w14:val="tx1"/>
                  </w14:solidFill>
                </w14:textFill>
              </w:rPr>
              <w:t xml:space="preserve">  </w:t>
            </w:r>
            <w:r>
              <w:rPr>
                <w:rFonts w:hint="default" w:ascii="宋体" w:hAnsi="宋体" w:cs="仿宋_GB2312"/>
                <w:color w:val="000000" w:themeColor="text1"/>
                <w:sz w:val="21"/>
                <w:szCs w:val="21"/>
                <w14:textFill>
                  <w14:solidFill>
                    <w14:schemeClr w14:val="tx1"/>
                  </w14:solidFill>
                </w14:textFill>
              </w:rPr>
              <w:t>行政机关对申请人提出的行政许可申请，应当根据下列情况分别作出处理：</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（一）申请事项依法不需要取得行政许可的，应当即时告知申请人不受理；</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（二）申请事项依法不属于本行政机关职权范围的，应当即时作出不予受理的决定，并告知申请人向有关行政机关申请；</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（三）申请材料存在可以当场更正的错误的，应当允许申请人当场更正；</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（四）申请材料不齐全或者不符合法定形式的，应当当场或者在五日内一次告知申请人需要补正的全部内容，逾期不告知的，自收到申请材料之日起即为受理；</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（五）申请事项属于本行政机关职权范围，申请材料齐全、符合法定形式，或者申请人按照本行政机关的要求提交全部补正申请材料的，应当受理行政许可申请。</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行政机关受理或者不予受理行政许可申请，应当出具加盖本行政机关专用印章和注明日期的书面凭证。</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hint="eastAsia" w:ascii="宋体" w:hAnsi="宋体" w:cs="仿宋_GB2312"/>
                <w:color w:val="000000" w:themeColor="text1"/>
                <w:sz w:val="21"/>
                <w:szCs w:val="21"/>
                <w14:textFill>
                  <w14:solidFill>
                    <w14:schemeClr w14:val="tx1"/>
                  </w14:solidFill>
                </w14:textFill>
              </w:rPr>
            </w:pPr>
            <w:r>
              <w:rPr>
                <w:rFonts w:hint="default" w:ascii="宋体" w:hAnsi="宋体" w:cs="仿宋_GB2312"/>
                <w:color w:val="000000" w:themeColor="text1"/>
                <w:sz w:val="21"/>
                <w:szCs w:val="21"/>
                <w14:textFill>
                  <w14:solidFill>
                    <w14:schemeClr w14:val="tx1"/>
                  </w14:solidFill>
                </w14:textFill>
              </w:rPr>
              <w:t>第三十四条</w:t>
            </w:r>
            <w:r>
              <w:rPr>
                <w:rFonts w:hint="eastAsia" w:ascii="宋体" w:hAnsi="宋体" w:cs="仿宋_GB2312"/>
                <w:color w:val="000000" w:themeColor="text1"/>
                <w:sz w:val="21"/>
                <w:szCs w:val="21"/>
                <w:lang w:val="en-US" w:eastAsia="zh-CN"/>
                <w14:textFill>
                  <w14:solidFill>
                    <w14:schemeClr w14:val="tx1"/>
                  </w14:solidFill>
                </w14:textFill>
              </w:rPr>
              <w:t xml:space="preserve">  </w:t>
            </w:r>
            <w:r>
              <w:rPr>
                <w:rFonts w:hint="default" w:ascii="宋体" w:hAnsi="宋体" w:cs="仿宋_GB2312"/>
                <w:color w:val="000000" w:themeColor="text1"/>
                <w:sz w:val="21"/>
                <w:szCs w:val="21"/>
                <w14:textFill>
                  <w14:solidFill>
                    <w14:schemeClr w14:val="tx1"/>
                  </w14:solidFill>
                </w14:textFill>
              </w:rPr>
              <w:t>行政机关应当对申请人提交的申请材料进行审查。</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申请人提交的申请材料齐全、符合法定形式，行政机关能够当场作出决定的，应当当场作出书面的行政许可决定。</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根据法定条件和程序，需要对申请材料的实质内容进行核实的，行政机关应当指派两名以上工作人员进行核查。</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第三十八条</w:t>
            </w:r>
            <w:r>
              <w:rPr>
                <w:rFonts w:hint="eastAsia" w:ascii="宋体" w:hAnsi="宋体" w:cs="仿宋_GB2312"/>
                <w:color w:val="000000" w:themeColor="text1"/>
                <w:sz w:val="21"/>
                <w:szCs w:val="21"/>
                <w:lang w:val="en-US" w:eastAsia="zh-CN"/>
                <w14:textFill>
                  <w14:solidFill>
                    <w14:schemeClr w14:val="tx1"/>
                  </w14:solidFill>
                </w14:textFill>
              </w:rPr>
              <w:t xml:space="preserve">  </w:t>
            </w:r>
            <w:r>
              <w:rPr>
                <w:rFonts w:hint="default" w:ascii="宋体" w:hAnsi="宋体" w:cs="仿宋_GB2312"/>
                <w:color w:val="000000" w:themeColor="text1"/>
                <w:sz w:val="21"/>
                <w:szCs w:val="21"/>
                <w14:textFill>
                  <w14:solidFill>
                    <w14:schemeClr w14:val="tx1"/>
                  </w14:solidFill>
                </w14:textFill>
              </w:rPr>
              <w:t>申请人的申请符合法定条件、标准的，行政机关应当依法作出准予行政许可的书面决定。</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行政机关依法作出不予行政许可的书面决定的，应当说明理由，并告知申请人享有依法申请行政复议或者提起行政诉讼的权利。</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第六十一条</w:t>
            </w:r>
            <w:r>
              <w:rPr>
                <w:rFonts w:hint="eastAsia" w:ascii="宋体" w:hAnsi="宋体" w:cs="仿宋_GB2312"/>
                <w:color w:val="000000" w:themeColor="text1"/>
                <w:sz w:val="21"/>
                <w:szCs w:val="21"/>
                <w:lang w:val="en-US" w:eastAsia="zh-CN"/>
                <w14:textFill>
                  <w14:solidFill>
                    <w14:schemeClr w14:val="tx1"/>
                  </w14:solidFill>
                </w14:textFill>
              </w:rPr>
              <w:t xml:space="preserve">  </w:t>
            </w:r>
            <w:r>
              <w:rPr>
                <w:rFonts w:hint="default" w:ascii="宋体" w:hAnsi="宋体" w:cs="仿宋_GB2312"/>
                <w:color w:val="000000" w:themeColor="text1"/>
                <w:sz w:val="21"/>
                <w:szCs w:val="21"/>
                <w14:textFill>
                  <w14:solidFill>
                    <w14:schemeClr w14:val="tx1"/>
                  </w14:solidFill>
                </w14:textFill>
              </w:rPr>
              <w:t>行政机关应当建立健全监督制度，通过核查反映被许可人从事行政许可事项活动情况的有关材料，履行监督责任。</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行政机关依法对被许可人从事行政许可事项的活动进行监督检查时，应当将监督检查的情况和处理结果予以记录，由监督检查人员签字后归档。公众有权查阅行政机关监督检查记录。</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行政机关应当创造条件，实现与被许可人、其他有关行政机关的计算机档案系统互联，核查被许可人从事行政许可事项活动情况。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追责情形</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000000" w:themeColor="text1"/>
                <w:sz w:val="21"/>
                <w:szCs w:val="21"/>
                <w14:textFill>
                  <w14:solidFill>
                    <w14:schemeClr w14:val="tx1"/>
                  </w14:solidFill>
                </w14:textFill>
              </w:rPr>
            </w:pPr>
            <w:r>
              <w:rPr>
                <w:rFonts w:hint="eastAsia" w:ascii="宋体" w:hAnsi="宋体" w:cs="仿宋_GB2312"/>
                <w:color w:val="000000" w:themeColor="text1"/>
                <w:sz w:val="21"/>
                <w:szCs w:val="21"/>
                <w14:textFill>
                  <w14:solidFill>
                    <w14:schemeClr w14:val="tx1"/>
                  </w14:solidFill>
                </w14:textFill>
              </w:rPr>
              <w:t>对不履行或不正确履行行政职责的行政机关及其工作人员，依据</w:t>
            </w:r>
            <w:r>
              <w:rPr>
                <w:rFonts w:hint="eastAsia" w:ascii="宋体" w:hAnsi="宋体" w:cs="仿宋_GB2312"/>
                <w:color w:val="000000" w:themeColor="text1"/>
                <w:sz w:val="21"/>
                <w:szCs w:val="21"/>
                <w:lang w:eastAsia="zh-CN"/>
                <w14:textFill>
                  <w14:solidFill>
                    <w14:schemeClr w14:val="tx1"/>
                  </w14:solidFill>
                </w14:textFill>
              </w:rPr>
              <w:t>《中华人民共和国监察法》</w:t>
            </w:r>
            <w:r>
              <w:rPr>
                <w:rFonts w:hint="eastAsia" w:ascii="宋体" w:hAnsi="宋体" w:cs="仿宋_GB2312"/>
                <w:color w:val="000000" w:themeColor="text1"/>
                <w:sz w:val="21"/>
                <w:szCs w:val="21"/>
                <w14:textFill>
                  <w14:solidFill>
                    <w14:schemeClr w14:val="tx1"/>
                  </w14:solidFill>
                </w14:textFill>
              </w:rPr>
              <w:t>、《中华人民共和国行政许可法》、《行政机关公务员处分条例》、《四川省行政审批违法违纪行为责任追究办法》等法律法规规章的相关规定追究相应的责任。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监督电话</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FF0000"/>
                <w:sz w:val="21"/>
                <w:szCs w:val="21"/>
              </w:rPr>
            </w:pPr>
            <w:r>
              <w:rPr>
                <w:rFonts w:hint="eastAsia" w:ascii="宋体" w:hAnsi="宋体" w:cs="仿宋_GB2312"/>
                <w:color w:val="000000" w:themeColor="text1"/>
                <w:sz w:val="21"/>
                <w:szCs w:val="21"/>
                <w14:textFill>
                  <w14:solidFill>
                    <w14:schemeClr w14:val="tx1"/>
                  </w14:solidFill>
                </w14:textFill>
              </w:rPr>
              <w:t>0825</w:t>
            </w:r>
            <w:r>
              <w:rPr>
                <w:rFonts w:hint="eastAsia" w:ascii="宋体" w:hAnsi="宋体" w:cs="仿宋_GB2312"/>
                <w:color w:val="000000" w:themeColor="text1"/>
                <w:sz w:val="21"/>
                <w:szCs w:val="21"/>
                <w:lang w:val="en-US" w:eastAsia="zh-CN"/>
                <w14:textFill>
                  <w14:solidFill>
                    <w14:schemeClr w14:val="tx1"/>
                  </w14:solidFill>
                </w14:textFill>
              </w:rPr>
              <w:t>-6807580</w:t>
            </w:r>
          </w:p>
        </w:tc>
      </w:tr>
    </w:tbl>
    <w:p>
      <w:pPr>
        <w:spacing w:line="520" w:lineRule="exact"/>
        <w:rPr>
          <w:rFonts w:hint="eastAsia" w:ascii="仿宋_GB2312" w:hAnsi="仿宋_GB2312" w:eastAsia="仿宋_GB2312" w:cs="仿宋_GB2312"/>
          <w:color w:val="000000"/>
          <w:kern w:val="0"/>
          <w:sz w:val="32"/>
          <w:szCs w:val="32"/>
          <w:u w:val="none" w:color="000000"/>
          <w:lang w:val="en-US" w:eastAsia="zh-CN"/>
        </w:rPr>
      </w:pPr>
      <w:r>
        <w:rPr>
          <w:rFonts w:hint="eastAsia" w:ascii="仿宋_GB2312" w:hAnsi="仿宋_GB2312" w:eastAsia="仿宋_GB2312" w:cs="仿宋_GB2312"/>
          <w:color w:val="000000"/>
          <w:kern w:val="0"/>
          <w:sz w:val="32"/>
          <w:szCs w:val="32"/>
          <w:u w:val="none" w:color="000000"/>
          <w:lang w:val="en-US" w:eastAsia="zh-CN"/>
        </w:rPr>
        <w:t xml:space="preserve"> </w:t>
      </w:r>
    </w:p>
    <w:p>
      <w:pPr>
        <w:spacing w:line="580" w:lineRule="exact"/>
        <w:jc w:val="center"/>
        <w:rPr>
          <w:rFonts w:hint="eastAsia" w:ascii="黑体" w:hAnsi="黑体" w:eastAsia="黑体"/>
          <w:b/>
          <w:sz w:val="32"/>
          <w:szCs w:val="32"/>
          <w:lang w:eastAsia="zh-CN"/>
        </w:rPr>
      </w:pPr>
    </w:p>
    <w:p>
      <w:pPr>
        <w:spacing w:line="580" w:lineRule="exact"/>
        <w:jc w:val="center"/>
        <w:rPr>
          <w:rFonts w:hint="eastAsia" w:ascii="黑体" w:hAnsi="黑体" w:eastAsia="黑体"/>
          <w:b/>
          <w:sz w:val="32"/>
          <w:szCs w:val="32"/>
        </w:rPr>
      </w:pPr>
      <w:r>
        <w:rPr>
          <w:rFonts w:hint="eastAsia" w:ascii="黑体" w:hAnsi="黑体" w:eastAsia="黑体"/>
          <w:b/>
          <w:sz w:val="32"/>
          <w:szCs w:val="32"/>
          <w:lang w:eastAsia="zh-CN"/>
        </w:rPr>
        <w:t>经科局行政权力</w:t>
      </w:r>
      <w:r>
        <w:rPr>
          <w:rFonts w:hint="eastAsia" w:ascii="黑体" w:hAnsi="黑体" w:eastAsia="黑体"/>
          <w:b/>
          <w:sz w:val="32"/>
          <w:szCs w:val="32"/>
        </w:rPr>
        <w:t>责任清单</w:t>
      </w:r>
    </w:p>
    <w:tbl>
      <w:tblPr>
        <w:tblStyle w:val="5"/>
        <w:tblW w:w="91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7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序</w:t>
            </w:r>
            <w:r>
              <w:rPr>
                <w:rFonts w:hint="eastAsia" w:ascii="宋体" w:hAnsi="宋体" w:cs="仿宋_GB2312"/>
                <w:sz w:val="21"/>
                <w:szCs w:val="21"/>
                <w:lang w:val="en-US" w:eastAsia="zh-CN"/>
              </w:rPr>
              <w:t xml:space="preserve">   </w:t>
            </w:r>
            <w:r>
              <w:rPr>
                <w:rFonts w:hint="eastAsia" w:ascii="宋体" w:hAnsi="宋体" w:cs="仿宋_GB2312"/>
                <w:sz w:val="21"/>
                <w:szCs w:val="21"/>
              </w:rPr>
              <w:t>号</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b/>
                <w:bCs/>
                <w:sz w:val="21"/>
                <w:szCs w:val="21"/>
              </w:rPr>
              <w:t>1</w:t>
            </w:r>
            <w:r>
              <w:rPr>
                <w:rFonts w:hint="eastAsia" w:ascii="宋体" w:hAnsi="宋体" w:cs="仿宋_GB2312"/>
                <w:b/>
                <w:bCs/>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权力类型</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权力项目名称</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宋体" w:hAnsi="宋体" w:eastAsia="宋体" w:cs="仿宋_GB2312"/>
                <w:sz w:val="21"/>
                <w:szCs w:val="21"/>
                <w:lang w:eastAsia="zh-CN"/>
              </w:rPr>
            </w:pPr>
            <w:r>
              <w:rPr>
                <w:rFonts w:hint="eastAsia" w:ascii="宋体" w:hAnsi="宋体" w:cs="仿宋_GB2312"/>
                <w:sz w:val="21"/>
                <w:szCs w:val="21"/>
                <w:lang w:eastAsia="zh-CN"/>
              </w:rPr>
              <w:t>民爆物品生产企业安全生产许可监督管理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实施依据</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FF0000"/>
                <w:sz w:val="21"/>
                <w:szCs w:val="21"/>
              </w:rPr>
            </w:pPr>
            <w:r>
              <w:rPr>
                <w:rFonts w:hint="eastAsia" w:ascii="宋体" w:hAnsi="宋体" w:cs="仿宋_GB2312"/>
                <w:color w:val="000000" w:themeColor="text1"/>
                <w:sz w:val="21"/>
                <w:szCs w:val="21"/>
                <w:lang w:val="en-US" w:eastAsia="zh-CN"/>
                <w14:textFill>
                  <w14:solidFill>
                    <w14:schemeClr w14:val="tx1"/>
                  </w14:solidFill>
                </w14:textFill>
              </w:rPr>
              <w:t>《民用爆炸物品安全管理条例》（2006年5月10日中华人民共和国国务院令第466号公布 根据2014年7月29日中华人民共和国国务院令第653号公布的《国务院关于修改部分行政法规的决定》修正）第四条 民用爆炸物品行业主管部门负责民用爆炸物品生产、销售的安全监督管理。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责任主体</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宋体" w:hAnsi="宋体" w:eastAsia="宋体" w:cs="仿宋_GB2312"/>
                <w:color w:val="FF0000"/>
                <w:sz w:val="21"/>
                <w:szCs w:val="21"/>
                <w:lang w:eastAsia="zh-CN"/>
              </w:rPr>
            </w:pPr>
            <w:r>
              <w:rPr>
                <w:rFonts w:hint="eastAsia" w:ascii="宋体" w:hAnsi="宋体" w:cs="仿宋_GB2312"/>
                <w:color w:val="000000" w:themeColor="text1"/>
                <w:sz w:val="21"/>
                <w:szCs w:val="21"/>
                <w:lang w:eastAsia="zh-CN"/>
                <w14:textFill>
                  <w14:solidFill>
                    <w14:schemeClr w14:val="tx1"/>
                  </w14:solidFill>
                </w14:textFill>
              </w:rPr>
              <w:t>船山区经济信息化和科学技术局信息化和运行保障股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责任事项</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000000" w:themeColor="text1"/>
                <w:sz w:val="21"/>
                <w:szCs w:val="21"/>
                <w14:textFill>
                  <w14:solidFill>
                    <w14:schemeClr w14:val="tx1"/>
                  </w14:solidFill>
                </w14:textFill>
              </w:rPr>
            </w:pPr>
            <w:r>
              <w:rPr>
                <w:rFonts w:ascii="宋体" w:hAnsi="宋体" w:cs="仿宋_GB2312"/>
                <w:color w:val="000000" w:themeColor="text1"/>
                <w:sz w:val="21"/>
                <w:szCs w:val="21"/>
                <w14:textFill>
                  <w14:solidFill>
                    <w14:schemeClr w14:val="tx1"/>
                  </w14:solidFill>
                </w14:textFill>
              </w:rPr>
              <w:t>1.受理责任：公示应当提交的材料，一次性告知补正材料，依法受理或不予受理（不予受理应当告知理由）。</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000000" w:themeColor="text1"/>
                <w:sz w:val="21"/>
                <w:szCs w:val="21"/>
                <w14:textFill>
                  <w14:solidFill>
                    <w14:schemeClr w14:val="tx1"/>
                  </w14:solidFill>
                </w14:textFill>
              </w:rPr>
            </w:pPr>
            <w:r>
              <w:rPr>
                <w:rFonts w:ascii="宋体" w:hAnsi="宋体" w:cs="仿宋_GB2312"/>
                <w:color w:val="000000" w:themeColor="text1"/>
                <w:sz w:val="21"/>
                <w:szCs w:val="21"/>
                <w14:textFill>
                  <w14:solidFill>
                    <w14:schemeClr w14:val="tx1"/>
                  </w14:solidFill>
                </w14:textFill>
              </w:rPr>
              <w:t>2.审查责任：审查申请材料，现场踏勘。</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000000" w:themeColor="text1"/>
                <w:sz w:val="21"/>
                <w:szCs w:val="21"/>
                <w14:textFill>
                  <w14:solidFill>
                    <w14:schemeClr w14:val="tx1"/>
                  </w14:solidFill>
                </w14:textFill>
              </w:rPr>
            </w:pPr>
            <w:r>
              <w:rPr>
                <w:rFonts w:ascii="宋体" w:hAnsi="宋体" w:cs="仿宋_GB2312"/>
                <w:color w:val="000000" w:themeColor="text1"/>
                <w:sz w:val="21"/>
                <w:szCs w:val="21"/>
                <w14:textFill>
                  <w14:solidFill>
                    <w14:schemeClr w14:val="tx1"/>
                  </w14:solidFill>
                </w14:textFill>
              </w:rPr>
              <w:t>3.决定责任：作出行政许可或者不予行政许可决定，法定告知（不予许可的应当书面告知理由）。</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000000" w:themeColor="text1"/>
                <w:sz w:val="21"/>
                <w:szCs w:val="21"/>
                <w14:textFill>
                  <w14:solidFill>
                    <w14:schemeClr w14:val="tx1"/>
                  </w14:solidFill>
                </w14:textFill>
              </w:rPr>
            </w:pPr>
            <w:r>
              <w:rPr>
                <w:rFonts w:ascii="宋体" w:hAnsi="宋体" w:cs="仿宋_GB2312"/>
                <w:color w:val="000000" w:themeColor="text1"/>
                <w:sz w:val="21"/>
                <w:szCs w:val="21"/>
                <w14:textFill>
                  <w14:solidFill>
                    <w14:schemeClr w14:val="tx1"/>
                  </w14:solidFill>
                </w14:textFill>
              </w:rPr>
              <w:t>4.事后监管责任：建立实施监督检查的运行机制和管理制度，开展定期和不定期检查，依法采取相关处置措施。</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000000" w:themeColor="text1"/>
                <w:sz w:val="21"/>
                <w:szCs w:val="21"/>
                <w14:textFill>
                  <w14:solidFill>
                    <w14:schemeClr w14:val="tx1"/>
                  </w14:solidFill>
                </w14:textFill>
              </w:rPr>
            </w:pPr>
            <w:r>
              <w:rPr>
                <w:rFonts w:ascii="宋体" w:hAnsi="宋体" w:cs="仿宋_GB2312"/>
                <w:color w:val="000000" w:themeColor="text1"/>
                <w:sz w:val="21"/>
                <w:szCs w:val="21"/>
                <w14:textFill>
                  <w14:solidFill>
                    <w14:schemeClr w14:val="tx1"/>
                  </w14:solidFill>
                </w14:textFill>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宋体" w:hAnsi="宋体" w:cs="仿宋_GB2312"/>
                <w:sz w:val="21"/>
                <w:szCs w:val="21"/>
              </w:rPr>
            </w:pP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eastAsia" w:ascii="宋体" w:hAnsi="宋体" w:cs="仿宋_GB2312"/>
                <w:sz w:val="21"/>
                <w:szCs w:val="21"/>
              </w:rPr>
            </w:pP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eastAsia" w:ascii="宋体" w:hAnsi="宋体" w:cs="仿宋_GB2312"/>
                <w:sz w:val="21"/>
                <w:szCs w:val="21"/>
              </w:rPr>
            </w:pP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eastAsia" w:ascii="宋体" w:hAnsi="宋体" w:cs="仿宋_GB2312"/>
                <w:sz w:val="21"/>
                <w:szCs w:val="21"/>
              </w:rPr>
            </w:pP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eastAsia" w:ascii="宋体" w:hAnsi="宋体" w:cs="仿宋_GB2312"/>
                <w:sz w:val="21"/>
                <w:szCs w:val="21"/>
              </w:rPr>
            </w:pP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eastAsia" w:ascii="宋体" w:hAnsi="宋体" w:cs="仿宋_GB2312"/>
                <w:sz w:val="21"/>
                <w:szCs w:val="21"/>
              </w:rPr>
            </w:pP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eastAsia" w:ascii="宋体" w:hAnsi="宋体" w:cs="仿宋_GB2312"/>
                <w:sz w:val="21"/>
                <w:szCs w:val="21"/>
              </w:rPr>
            </w:pP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eastAsia" w:ascii="宋体" w:hAnsi="宋体" w:cs="仿宋_GB2312"/>
                <w:sz w:val="21"/>
                <w:szCs w:val="21"/>
              </w:rPr>
            </w:pP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eastAsia" w:ascii="宋体" w:hAnsi="宋体" w:cs="仿宋_GB2312"/>
                <w:sz w:val="21"/>
                <w:szCs w:val="21"/>
              </w:rPr>
            </w:pP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eastAsia" w:ascii="宋体" w:hAnsi="宋体" w:cs="仿宋_GB2312"/>
                <w:sz w:val="21"/>
                <w:szCs w:val="21"/>
              </w:rPr>
            </w:pP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eastAsia" w:ascii="宋体" w:hAnsi="宋体" w:cs="仿宋_GB2312"/>
                <w:sz w:val="21"/>
                <w:szCs w:val="21"/>
              </w:rPr>
            </w:pP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eastAsia" w:ascii="宋体" w:hAnsi="宋体" w:cs="仿宋_GB2312"/>
                <w:sz w:val="21"/>
                <w:szCs w:val="21"/>
              </w:rPr>
            </w:pP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eastAsia" w:ascii="宋体" w:hAnsi="宋体" w:cs="仿宋_GB2312"/>
                <w:sz w:val="21"/>
                <w:szCs w:val="21"/>
              </w:rPr>
            </w:pP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eastAsia" w:ascii="宋体" w:hAnsi="宋体" w:cs="仿宋_GB2312"/>
                <w:sz w:val="21"/>
                <w:szCs w:val="21"/>
              </w:rPr>
            </w:pPr>
            <w:r>
              <w:rPr>
                <w:rFonts w:hint="eastAsia" w:ascii="宋体" w:hAnsi="宋体" w:cs="仿宋_GB2312"/>
                <w:sz w:val="21"/>
                <w:szCs w:val="21"/>
              </w:rPr>
              <w:t>责任事项依据</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000000" w:themeColor="text1"/>
                <w:sz w:val="21"/>
                <w:szCs w:val="21"/>
                <w14:textFill>
                  <w14:solidFill>
                    <w14:schemeClr w14:val="tx1"/>
                  </w14:solidFill>
                </w14:textFill>
              </w:rPr>
            </w:pPr>
            <w:r>
              <w:rPr>
                <w:rFonts w:ascii="宋体" w:hAnsi="宋体" w:cs="仿宋_GB2312"/>
                <w:color w:val="000000" w:themeColor="text1"/>
                <w:sz w:val="21"/>
                <w:szCs w:val="21"/>
                <w14:textFill>
                  <w14:solidFill>
                    <w14:schemeClr w14:val="tx1"/>
                  </w14:solidFill>
                </w14:textFill>
              </w:rPr>
              <w:t>《行政许可法》</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hint="default" w:ascii="宋体" w:hAnsi="宋体" w:cs="仿宋_GB2312"/>
                <w:color w:val="000000" w:themeColor="text1"/>
                <w:sz w:val="21"/>
                <w:szCs w:val="21"/>
                <w14:textFill>
                  <w14:solidFill>
                    <w14:schemeClr w14:val="tx1"/>
                  </w14:solidFill>
                </w14:textFill>
              </w:rPr>
            </w:pPr>
            <w:r>
              <w:rPr>
                <w:rFonts w:hint="default" w:ascii="宋体" w:hAnsi="宋体" w:cs="仿宋_GB2312"/>
                <w:color w:val="000000" w:themeColor="text1"/>
                <w:sz w:val="21"/>
                <w:szCs w:val="21"/>
                <w14:textFill>
                  <w14:solidFill>
                    <w14:schemeClr w14:val="tx1"/>
                  </w14:solidFill>
                </w14:textFill>
              </w:rPr>
              <w:t>第三十二条</w:t>
            </w:r>
            <w:r>
              <w:rPr>
                <w:rFonts w:hint="eastAsia" w:ascii="宋体" w:hAnsi="宋体" w:cs="仿宋_GB2312"/>
                <w:color w:val="000000" w:themeColor="text1"/>
                <w:sz w:val="21"/>
                <w:szCs w:val="21"/>
                <w:lang w:val="en-US" w:eastAsia="zh-CN"/>
                <w14:textFill>
                  <w14:solidFill>
                    <w14:schemeClr w14:val="tx1"/>
                  </w14:solidFill>
                </w14:textFill>
              </w:rPr>
              <w:t xml:space="preserve">  </w:t>
            </w:r>
            <w:r>
              <w:rPr>
                <w:rFonts w:hint="default" w:ascii="宋体" w:hAnsi="宋体" w:cs="仿宋_GB2312"/>
                <w:color w:val="000000" w:themeColor="text1"/>
                <w:sz w:val="21"/>
                <w:szCs w:val="21"/>
                <w14:textFill>
                  <w14:solidFill>
                    <w14:schemeClr w14:val="tx1"/>
                  </w14:solidFill>
                </w14:textFill>
              </w:rPr>
              <w:t>行政机关对申请人提出的行政许可申请，应当根据下列情况分别作出处理：</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（一）申请事项依法不需要取得行政许可的，应当即时告知申请人不受理；</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（二）申请事项依法不属于本行政机关职权范围的，应当即时作出不予受理的决定，并告知申请人向有关行政机关申请；</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（三）申请材料存在可以当场更正的错误的，应当允许申请人当场更正；</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（四）申请材料不齐全或者不符合法定形式的，应当当场或者在五日内一次告知申请人需要补正的全部内容，逾期不告知的，自收到申请材料之日起即为受理；</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（五）申请事项属于本行政机关职权范围，申请材料齐全、符合法定形式，或者申请人按照本行政机关的要求提交全部补正申请材料的，应当受理行政许可申请。</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行政机关受理或者不予受理行政许可申请，应当出具加盖本行政机关专用印章和注明日期的书面凭证。</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hint="eastAsia" w:ascii="宋体" w:hAnsi="宋体" w:cs="仿宋_GB2312"/>
                <w:color w:val="000000" w:themeColor="text1"/>
                <w:sz w:val="21"/>
                <w:szCs w:val="21"/>
                <w14:textFill>
                  <w14:solidFill>
                    <w14:schemeClr w14:val="tx1"/>
                  </w14:solidFill>
                </w14:textFill>
              </w:rPr>
            </w:pPr>
            <w:r>
              <w:rPr>
                <w:rFonts w:hint="default" w:ascii="宋体" w:hAnsi="宋体" w:cs="仿宋_GB2312"/>
                <w:color w:val="000000" w:themeColor="text1"/>
                <w:sz w:val="21"/>
                <w:szCs w:val="21"/>
                <w14:textFill>
                  <w14:solidFill>
                    <w14:schemeClr w14:val="tx1"/>
                  </w14:solidFill>
                </w14:textFill>
              </w:rPr>
              <w:t>第三十四条</w:t>
            </w:r>
            <w:r>
              <w:rPr>
                <w:rFonts w:hint="eastAsia" w:ascii="宋体" w:hAnsi="宋体" w:cs="仿宋_GB2312"/>
                <w:color w:val="000000" w:themeColor="text1"/>
                <w:sz w:val="21"/>
                <w:szCs w:val="21"/>
                <w:lang w:val="en-US" w:eastAsia="zh-CN"/>
                <w14:textFill>
                  <w14:solidFill>
                    <w14:schemeClr w14:val="tx1"/>
                  </w14:solidFill>
                </w14:textFill>
              </w:rPr>
              <w:t xml:space="preserve">  </w:t>
            </w:r>
            <w:r>
              <w:rPr>
                <w:rFonts w:hint="default" w:ascii="宋体" w:hAnsi="宋体" w:cs="仿宋_GB2312"/>
                <w:color w:val="000000" w:themeColor="text1"/>
                <w:sz w:val="21"/>
                <w:szCs w:val="21"/>
                <w14:textFill>
                  <w14:solidFill>
                    <w14:schemeClr w14:val="tx1"/>
                  </w14:solidFill>
                </w14:textFill>
              </w:rPr>
              <w:t>行政机关应当对申请人提交的申请材料进行审查。</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申请人提交的申请材料齐全、符合法定形式，行政机关能够当场作出决定的，应当当场作出书面的行政许可决定。</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根据法定条件和程序，需要对申请材料的实质内容进行核实的，行政机关应当指派两名以上工作人员进行核查。</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第三十八条</w:t>
            </w:r>
            <w:r>
              <w:rPr>
                <w:rFonts w:hint="eastAsia" w:ascii="宋体" w:hAnsi="宋体" w:cs="仿宋_GB2312"/>
                <w:color w:val="000000" w:themeColor="text1"/>
                <w:sz w:val="21"/>
                <w:szCs w:val="21"/>
                <w:lang w:val="en-US" w:eastAsia="zh-CN"/>
                <w14:textFill>
                  <w14:solidFill>
                    <w14:schemeClr w14:val="tx1"/>
                  </w14:solidFill>
                </w14:textFill>
              </w:rPr>
              <w:t xml:space="preserve">  </w:t>
            </w:r>
            <w:r>
              <w:rPr>
                <w:rFonts w:hint="default" w:ascii="宋体" w:hAnsi="宋体" w:cs="仿宋_GB2312"/>
                <w:color w:val="000000" w:themeColor="text1"/>
                <w:sz w:val="21"/>
                <w:szCs w:val="21"/>
                <w14:textFill>
                  <w14:solidFill>
                    <w14:schemeClr w14:val="tx1"/>
                  </w14:solidFill>
                </w14:textFill>
              </w:rPr>
              <w:t>申请人的申请符合法定条件、标准的，行政机关应当依法作出准予行政许可的书面决定。</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行政机关依法作出不予行政许可的书面决定的，应当说明理由，并告知申请人享有依法申请行政复议或者提起行政诉讼的权利。</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第六十一条</w:t>
            </w:r>
            <w:r>
              <w:rPr>
                <w:rFonts w:hint="eastAsia" w:ascii="宋体" w:hAnsi="宋体" w:cs="仿宋_GB2312"/>
                <w:color w:val="000000" w:themeColor="text1"/>
                <w:sz w:val="21"/>
                <w:szCs w:val="21"/>
                <w:lang w:val="en-US" w:eastAsia="zh-CN"/>
                <w14:textFill>
                  <w14:solidFill>
                    <w14:schemeClr w14:val="tx1"/>
                  </w14:solidFill>
                </w14:textFill>
              </w:rPr>
              <w:t xml:space="preserve">  </w:t>
            </w:r>
            <w:r>
              <w:rPr>
                <w:rFonts w:hint="default" w:ascii="宋体" w:hAnsi="宋体" w:cs="仿宋_GB2312"/>
                <w:color w:val="000000" w:themeColor="text1"/>
                <w:sz w:val="21"/>
                <w:szCs w:val="21"/>
                <w14:textFill>
                  <w14:solidFill>
                    <w14:schemeClr w14:val="tx1"/>
                  </w14:solidFill>
                </w14:textFill>
              </w:rPr>
              <w:t>行政机关应当建立健全监督制度，通过核查反映被许可人从事行政许可事项活动情况的有关材料，履行监督责任。</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行政机关依法对被许可人从事行政许可事项的活动进行监督检查时，应当将监督检查的情况和处理结果予以记录，由监督检查人员签字后归档。公众有权查阅行政机关监督检查记录。</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行政机关应当创造条件，实现与被许可人、其他有关行政机关的计算机档案系统互联，核查被许可人从事行政许可事项活动情况。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追责情形</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000000" w:themeColor="text1"/>
                <w:sz w:val="21"/>
                <w:szCs w:val="21"/>
                <w14:textFill>
                  <w14:solidFill>
                    <w14:schemeClr w14:val="tx1"/>
                  </w14:solidFill>
                </w14:textFill>
              </w:rPr>
            </w:pPr>
            <w:r>
              <w:rPr>
                <w:rFonts w:hint="eastAsia" w:ascii="宋体" w:hAnsi="宋体" w:cs="仿宋_GB2312"/>
                <w:color w:val="000000" w:themeColor="text1"/>
                <w:sz w:val="21"/>
                <w:szCs w:val="21"/>
                <w14:textFill>
                  <w14:solidFill>
                    <w14:schemeClr w14:val="tx1"/>
                  </w14:solidFill>
                </w14:textFill>
              </w:rPr>
              <w:t>对不履行或不正确履行行政职责的行政机关及其工作人员，依据</w:t>
            </w:r>
            <w:r>
              <w:rPr>
                <w:rFonts w:hint="eastAsia" w:ascii="宋体" w:hAnsi="宋体" w:cs="仿宋_GB2312"/>
                <w:color w:val="000000" w:themeColor="text1"/>
                <w:sz w:val="21"/>
                <w:szCs w:val="21"/>
                <w:lang w:eastAsia="zh-CN"/>
                <w14:textFill>
                  <w14:solidFill>
                    <w14:schemeClr w14:val="tx1"/>
                  </w14:solidFill>
                </w14:textFill>
              </w:rPr>
              <w:t>《中华人民共和国监察法》</w:t>
            </w:r>
            <w:r>
              <w:rPr>
                <w:rFonts w:hint="eastAsia" w:ascii="宋体" w:hAnsi="宋体" w:cs="仿宋_GB2312"/>
                <w:color w:val="000000" w:themeColor="text1"/>
                <w:sz w:val="21"/>
                <w:szCs w:val="21"/>
                <w14:textFill>
                  <w14:solidFill>
                    <w14:schemeClr w14:val="tx1"/>
                  </w14:solidFill>
                </w14:textFill>
              </w:rPr>
              <w:t>、《中华人民共和国行政许可法》、《行政机关公务员处分条例》、《四川省行政审批违法违纪行为责任追究办法》等法律法规规章的相关规定追究相应的责任。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监督电话</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FF0000"/>
                <w:sz w:val="21"/>
                <w:szCs w:val="21"/>
              </w:rPr>
            </w:pPr>
            <w:r>
              <w:rPr>
                <w:rFonts w:hint="eastAsia" w:ascii="宋体" w:hAnsi="宋体" w:cs="仿宋_GB2312"/>
                <w:color w:val="000000" w:themeColor="text1"/>
                <w:sz w:val="21"/>
                <w:szCs w:val="21"/>
                <w14:textFill>
                  <w14:solidFill>
                    <w14:schemeClr w14:val="tx1"/>
                  </w14:solidFill>
                </w14:textFill>
              </w:rPr>
              <w:t>0825</w:t>
            </w:r>
            <w:r>
              <w:rPr>
                <w:rFonts w:hint="eastAsia" w:ascii="宋体" w:hAnsi="宋体" w:cs="仿宋_GB2312"/>
                <w:color w:val="000000" w:themeColor="text1"/>
                <w:sz w:val="21"/>
                <w:szCs w:val="21"/>
                <w:lang w:val="en-US" w:eastAsia="zh-CN"/>
                <w14:textFill>
                  <w14:solidFill>
                    <w14:schemeClr w14:val="tx1"/>
                  </w14:solidFill>
                </w14:textFill>
              </w:rPr>
              <w:t>-6807580</w:t>
            </w:r>
          </w:p>
        </w:tc>
      </w:tr>
    </w:tbl>
    <w:p>
      <w:pPr>
        <w:spacing w:line="520" w:lineRule="exact"/>
        <w:rPr>
          <w:rFonts w:hint="eastAsia" w:ascii="仿宋_GB2312" w:hAnsi="仿宋_GB2312" w:eastAsia="仿宋_GB2312" w:cs="仿宋_GB2312"/>
          <w:color w:val="000000"/>
          <w:kern w:val="0"/>
          <w:sz w:val="32"/>
          <w:szCs w:val="32"/>
          <w:u w:val="none" w:color="000000"/>
          <w:lang w:val="en-US" w:eastAsia="zh-CN"/>
        </w:rPr>
      </w:pPr>
      <w:r>
        <w:rPr>
          <w:rFonts w:hint="eastAsia" w:ascii="仿宋_GB2312" w:hAnsi="仿宋_GB2312" w:eastAsia="仿宋_GB2312" w:cs="仿宋_GB2312"/>
          <w:color w:val="000000"/>
          <w:kern w:val="0"/>
          <w:sz w:val="32"/>
          <w:szCs w:val="32"/>
          <w:u w:val="none" w:color="000000"/>
          <w:lang w:val="en-US" w:eastAsia="zh-CN"/>
        </w:rPr>
        <w:t xml:space="preserve"> </w:t>
      </w:r>
    </w:p>
    <w:p>
      <w:pPr>
        <w:spacing w:line="580" w:lineRule="exact"/>
        <w:jc w:val="center"/>
        <w:rPr>
          <w:rFonts w:hint="eastAsia" w:ascii="黑体" w:hAnsi="黑体" w:eastAsia="黑体"/>
          <w:b/>
          <w:sz w:val="32"/>
          <w:szCs w:val="32"/>
          <w:lang w:eastAsia="zh-CN"/>
        </w:rPr>
      </w:pPr>
    </w:p>
    <w:p>
      <w:pPr>
        <w:spacing w:line="580" w:lineRule="exact"/>
        <w:jc w:val="center"/>
        <w:rPr>
          <w:rFonts w:hint="eastAsia" w:ascii="黑体" w:hAnsi="黑体" w:eastAsia="黑体"/>
          <w:b/>
          <w:sz w:val="32"/>
          <w:szCs w:val="32"/>
          <w:lang w:eastAsia="zh-CN"/>
        </w:rPr>
      </w:pPr>
    </w:p>
    <w:p>
      <w:pPr>
        <w:spacing w:line="580" w:lineRule="exact"/>
        <w:jc w:val="center"/>
        <w:rPr>
          <w:rFonts w:hint="eastAsia" w:ascii="黑体" w:hAnsi="黑体" w:eastAsia="黑体"/>
          <w:b/>
          <w:sz w:val="32"/>
          <w:szCs w:val="32"/>
          <w:lang w:eastAsia="zh-CN"/>
        </w:rPr>
      </w:pPr>
    </w:p>
    <w:p>
      <w:pPr>
        <w:spacing w:line="580" w:lineRule="exact"/>
        <w:jc w:val="center"/>
        <w:rPr>
          <w:rFonts w:hint="eastAsia" w:ascii="黑体" w:hAnsi="黑体" w:eastAsia="黑体"/>
          <w:b/>
          <w:sz w:val="32"/>
          <w:szCs w:val="32"/>
          <w:lang w:eastAsia="zh-CN"/>
        </w:rPr>
      </w:pPr>
    </w:p>
    <w:p>
      <w:pPr>
        <w:spacing w:line="580" w:lineRule="exact"/>
        <w:jc w:val="center"/>
        <w:rPr>
          <w:rFonts w:hint="eastAsia" w:ascii="黑体" w:hAnsi="黑体" w:eastAsia="黑体"/>
          <w:b/>
          <w:sz w:val="32"/>
          <w:szCs w:val="32"/>
          <w:lang w:eastAsia="zh-CN"/>
        </w:rPr>
      </w:pPr>
    </w:p>
    <w:p>
      <w:pPr>
        <w:spacing w:line="580" w:lineRule="exact"/>
        <w:jc w:val="both"/>
        <w:rPr>
          <w:rFonts w:hint="eastAsia" w:ascii="黑体" w:hAnsi="黑体" w:eastAsia="黑体"/>
          <w:b/>
          <w:sz w:val="32"/>
          <w:szCs w:val="32"/>
          <w:lang w:eastAsia="zh-CN"/>
        </w:rPr>
      </w:pPr>
    </w:p>
    <w:p>
      <w:pPr>
        <w:spacing w:line="580" w:lineRule="exact"/>
        <w:jc w:val="center"/>
        <w:rPr>
          <w:rFonts w:hint="eastAsia" w:ascii="黑体" w:hAnsi="黑体" w:eastAsia="黑体"/>
          <w:b/>
          <w:sz w:val="32"/>
          <w:szCs w:val="32"/>
        </w:rPr>
      </w:pPr>
      <w:r>
        <w:rPr>
          <w:rFonts w:hint="eastAsia" w:ascii="黑体" w:hAnsi="黑体" w:eastAsia="黑体"/>
          <w:b/>
          <w:sz w:val="32"/>
          <w:szCs w:val="32"/>
          <w:lang w:eastAsia="zh-CN"/>
        </w:rPr>
        <w:t>经科局行政权力</w:t>
      </w:r>
      <w:r>
        <w:rPr>
          <w:rFonts w:hint="eastAsia" w:ascii="黑体" w:hAnsi="黑体" w:eastAsia="黑体"/>
          <w:b/>
          <w:sz w:val="32"/>
          <w:szCs w:val="32"/>
        </w:rPr>
        <w:t>责任清单</w:t>
      </w:r>
    </w:p>
    <w:tbl>
      <w:tblPr>
        <w:tblStyle w:val="5"/>
        <w:tblW w:w="91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7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序</w:t>
            </w:r>
            <w:r>
              <w:rPr>
                <w:rFonts w:hint="eastAsia" w:ascii="宋体" w:hAnsi="宋体" w:cs="仿宋_GB2312"/>
                <w:sz w:val="21"/>
                <w:szCs w:val="21"/>
                <w:lang w:val="en-US" w:eastAsia="zh-CN"/>
              </w:rPr>
              <w:t xml:space="preserve">   </w:t>
            </w:r>
            <w:r>
              <w:rPr>
                <w:rFonts w:hint="eastAsia" w:ascii="宋体" w:hAnsi="宋体" w:cs="仿宋_GB2312"/>
                <w:sz w:val="21"/>
                <w:szCs w:val="21"/>
              </w:rPr>
              <w:t>号</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b/>
                <w:bCs/>
                <w:sz w:val="21"/>
                <w:szCs w:val="21"/>
              </w:rPr>
              <w:t>1</w:t>
            </w:r>
            <w:r>
              <w:rPr>
                <w:rFonts w:hint="eastAsia" w:ascii="宋体" w:hAnsi="宋体" w:cs="仿宋_GB2312"/>
                <w:b/>
                <w:bCs/>
                <w:sz w:val="21"/>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权力类型</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权力项目名称</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宋体" w:hAnsi="宋体" w:eastAsia="宋体" w:cs="仿宋_GB2312"/>
                <w:sz w:val="21"/>
                <w:szCs w:val="21"/>
                <w:lang w:eastAsia="zh-CN"/>
              </w:rPr>
            </w:pPr>
            <w:r>
              <w:rPr>
                <w:rFonts w:hint="eastAsia" w:ascii="宋体" w:hAnsi="宋体" w:cs="仿宋_GB2312"/>
                <w:sz w:val="21"/>
                <w:szCs w:val="21"/>
                <w:lang w:eastAsia="zh-CN"/>
              </w:rPr>
              <w:t>对维护电力设施安全和反窃电行为的奖励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实施依据</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FF0000"/>
                <w:sz w:val="21"/>
                <w:szCs w:val="21"/>
              </w:rPr>
            </w:pPr>
            <w:r>
              <w:rPr>
                <w:rFonts w:hint="eastAsia" w:ascii="宋体" w:hAnsi="宋体" w:cs="仿宋_GB2312"/>
                <w:color w:val="000000" w:themeColor="text1"/>
                <w:sz w:val="21"/>
                <w:szCs w:val="21"/>
                <w:lang w:val="en-US" w:eastAsia="zh-CN"/>
                <w14:textFill>
                  <w14:solidFill>
                    <w14:schemeClr w14:val="tx1"/>
                  </w14:solidFill>
                </w14:textFill>
              </w:rPr>
              <w:t>《电力设施保护条例》第二十五条　任何单位或个人有下列行为之一，电力管理部门应给予表彰或一次性物质奖励：（一）对破坏电力设施或哄抢、盗窃电力设施器材的行为检举、揭发有功；（二）对破坏电力设施或哄抢、盗窃电力设施器材的行为进行斗争，有效地防止事故发生；（三）为保护电力设施而同自然灾害作斗争，成绩突出；（四）为维护电力设施安全，做出显著成绩。《电力设施保护条例实施细则》第十九条  电力管理部门对检举、揭发破坏电力设施或哄抢、盗窃电力设施器材的行为符合事实的单位或个人，给予2000元以下的奖励；对同破坏电力设施或哄抢、盗窃电力设施器材的行为进行斗争并防止事故发生的单位或个人，给予2000元以上的奖励；对为保护电力设施与自然灾害作斗争，成绩突出或为维护电力设施安全做出显著成绩的单位或个人，根据贡献大小，给予相应物质奖励。对维护、保护电力设施作出重大贡献的单位或个人，除按以上规定给予物质奖励外，还可由电力管理部门、公安部门或当地人民政府根据各自的权限给予表彰或荣誉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责任主体</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宋体" w:hAnsi="宋体" w:eastAsia="宋体" w:cs="仿宋_GB2312"/>
                <w:color w:val="FF0000"/>
                <w:sz w:val="21"/>
                <w:szCs w:val="21"/>
                <w:lang w:eastAsia="zh-CN"/>
              </w:rPr>
            </w:pPr>
            <w:r>
              <w:rPr>
                <w:rFonts w:hint="eastAsia" w:ascii="宋体" w:hAnsi="宋体" w:cs="仿宋_GB2312"/>
                <w:color w:val="000000" w:themeColor="text1"/>
                <w:sz w:val="21"/>
                <w:szCs w:val="21"/>
                <w:lang w:eastAsia="zh-CN"/>
                <w14:textFill>
                  <w14:solidFill>
                    <w14:schemeClr w14:val="tx1"/>
                  </w14:solidFill>
                </w14:textFill>
              </w:rPr>
              <w:t>船山区经济信息化和科学技术局信息化和运行保障股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责任事项</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000000" w:themeColor="text1"/>
                <w:sz w:val="21"/>
                <w:szCs w:val="21"/>
                <w14:textFill>
                  <w14:solidFill>
                    <w14:schemeClr w14:val="tx1"/>
                  </w14:solidFill>
                </w14:textFill>
              </w:rPr>
            </w:pPr>
            <w:r>
              <w:rPr>
                <w:rFonts w:ascii="宋体" w:hAnsi="宋体" w:cs="仿宋_GB2312"/>
                <w:color w:val="000000" w:themeColor="text1"/>
                <w:sz w:val="21"/>
                <w:szCs w:val="21"/>
                <w14:textFill>
                  <w14:solidFill>
                    <w14:schemeClr w14:val="tx1"/>
                  </w14:solidFill>
                </w14:textFill>
              </w:rPr>
              <w:t>1.受理责任：公示应当提交的材料，一次性告知补正材料，依法受理或不予受理（不予受理应当告知理由）。</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000000" w:themeColor="text1"/>
                <w:sz w:val="21"/>
                <w:szCs w:val="21"/>
                <w14:textFill>
                  <w14:solidFill>
                    <w14:schemeClr w14:val="tx1"/>
                  </w14:solidFill>
                </w14:textFill>
              </w:rPr>
            </w:pPr>
            <w:r>
              <w:rPr>
                <w:rFonts w:ascii="宋体" w:hAnsi="宋体" w:cs="仿宋_GB2312"/>
                <w:color w:val="000000" w:themeColor="text1"/>
                <w:sz w:val="21"/>
                <w:szCs w:val="21"/>
                <w14:textFill>
                  <w14:solidFill>
                    <w14:schemeClr w14:val="tx1"/>
                  </w14:solidFill>
                </w14:textFill>
              </w:rPr>
              <w:t>2.审查责任：审查申请材料，现场踏勘。</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000000" w:themeColor="text1"/>
                <w:sz w:val="21"/>
                <w:szCs w:val="21"/>
                <w14:textFill>
                  <w14:solidFill>
                    <w14:schemeClr w14:val="tx1"/>
                  </w14:solidFill>
                </w14:textFill>
              </w:rPr>
            </w:pPr>
            <w:r>
              <w:rPr>
                <w:rFonts w:ascii="宋体" w:hAnsi="宋体" w:cs="仿宋_GB2312"/>
                <w:color w:val="000000" w:themeColor="text1"/>
                <w:sz w:val="21"/>
                <w:szCs w:val="21"/>
                <w14:textFill>
                  <w14:solidFill>
                    <w14:schemeClr w14:val="tx1"/>
                  </w14:solidFill>
                </w14:textFill>
              </w:rPr>
              <w:t>3.决定责任：作出行政许可或者不予行政许可决定，法定告知（不予许可的应当书面告知理由）。</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000000" w:themeColor="text1"/>
                <w:sz w:val="21"/>
                <w:szCs w:val="21"/>
                <w14:textFill>
                  <w14:solidFill>
                    <w14:schemeClr w14:val="tx1"/>
                  </w14:solidFill>
                </w14:textFill>
              </w:rPr>
            </w:pPr>
            <w:r>
              <w:rPr>
                <w:rFonts w:ascii="宋体" w:hAnsi="宋体" w:cs="仿宋_GB2312"/>
                <w:color w:val="000000" w:themeColor="text1"/>
                <w:sz w:val="21"/>
                <w:szCs w:val="21"/>
                <w14:textFill>
                  <w14:solidFill>
                    <w14:schemeClr w14:val="tx1"/>
                  </w14:solidFill>
                </w14:textFill>
              </w:rPr>
              <w:t>4.事后监管责任：建立实施监督检查的运行机制和管理制度，开展定期和不定期检查，依法采取相关处置措施。</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000000" w:themeColor="text1"/>
                <w:sz w:val="21"/>
                <w:szCs w:val="21"/>
                <w14:textFill>
                  <w14:solidFill>
                    <w14:schemeClr w14:val="tx1"/>
                  </w14:solidFill>
                </w14:textFill>
              </w:rPr>
            </w:pPr>
            <w:r>
              <w:rPr>
                <w:rFonts w:ascii="宋体" w:hAnsi="宋体" w:cs="仿宋_GB2312"/>
                <w:color w:val="000000" w:themeColor="text1"/>
                <w:sz w:val="21"/>
                <w:szCs w:val="21"/>
                <w14:textFill>
                  <w14:solidFill>
                    <w14:schemeClr w14:val="tx1"/>
                  </w14:solidFill>
                </w14:textFill>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宋体" w:hAnsi="宋体" w:cs="仿宋_GB2312"/>
                <w:sz w:val="21"/>
                <w:szCs w:val="21"/>
              </w:rPr>
            </w:pP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eastAsia" w:ascii="宋体" w:hAnsi="宋体" w:cs="仿宋_GB2312"/>
                <w:sz w:val="21"/>
                <w:szCs w:val="21"/>
              </w:rPr>
            </w:pP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eastAsia" w:ascii="宋体" w:hAnsi="宋体" w:cs="仿宋_GB2312"/>
                <w:sz w:val="21"/>
                <w:szCs w:val="21"/>
              </w:rPr>
            </w:pP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eastAsia" w:ascii="宋体" w:hAnsi="宋体" w:cs="仿宋_GB2312"/>
                <w:sz w:val="21"/>
                <w:szCs w:val="21"/>
              </w:rPr>
            </w:pP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eastAsia" w:ascii="宋体" w:hAnsi="宋体" w:cs="仿宋_GB2312"/>
                <w:sz w:val="21"/>
                <w:szCs w:val="21"/>
              </w:rPr>
            </w:pP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eastAsia" w:ascii="宋体" w:hAnsi="宋体" w:cs="仿宋_GB2312"/>
                <w:sz w:val="21"/>
                <w:szCs w:val="21"/>
              </w:rPr>
            </w:pP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eastAsia" w:ascii="宋体" w:hAnsi="宋体" w:cs="仿宋_GB2312"/>
                <w:sz w:val="21"/>
                <w:szCs w:val="21"/>
              </w:rPr>
            </w:pP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eastAsia" w:ascii="宋体" w:hAnsi="宋体" w:cs="仿宋_GB2312"/>
                <w:sz w:val="21"/>
                <w:szCs w:val="21"/>
              </w:rPr>
            </w:pP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eastAsia" w:ascii="宋体" w:hAnsi="宋体" w:cs="仿宋_GB2312"/>
                <w:sz w:val="21"/>
                <w:szCs w:val="21"/>
              </w:rPr>
            </w:pP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eastAsia" w:ascii="宋体" w:hAnsi="宋体" w:cs="仿宋_GB2312"/>
                <w:sz w:val="21"/>
                <w:szCs w:val="21"/>
              </w:rPr>
            </w:pP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eastAsia" w:ascii="宋体" w:hAnsi="宋体" w:cs="仿宋_GB2312"/>
                <w:sz w:val="21"/>
                <w:szCs w:val="21"/>
              </w:rPr>
            </w:pP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eastAsia" w:ascii="宋体" w:hAnsi="宋体" w:cs="仿宋_GB2312"/>
                <w:sz w:val="21"/>
                <w:szCs w:val="21"/>
              </w:rPr>
            </w:pP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eastAsia" w:ascii="宋体" w:hAnsi="宋体" w:cs="仿宋_GB2312"/>
                <w:sz w:val="21"/>
                <w:szCs w:val="21"/>
              </w:rPr>
            </w:pP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eastAsia" w:ascii="宋体" w:hAnsi="宋体" w:cs="仿宋_GB2312"/>
                <w:sz w:val="21"/>
                <w:szCs w:val="21"/>
              </w:rPr>
            </w:pPr>
            <w:r>
              <w:rPr>
                <w:rFonts w:hint="eastAsia" w:ascii="宋体" w:hAnsi="宋体" w:cs="仿宋_GB2312"/>
                <w:sz w:val="21"/>
                <w:szCs w:val="21"/>
              </w:rPr>
              <w:t>责任事项依据</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000000" w:themeColor="text1"/>
                <w:sz w:val="21"/>
                <w:szCs w:val="21"/>
                <w14:textFill>
                  <w14:solidFill>
                    <w14:schemeClr w14:val="tx1"/>
                  </w14:solidFill>
                </w14:textFill>
              </w:rPr>
            </w:pPr>
            <w:r>
              <w:rPr>
                <w:rFonts w:ascii="宋体" w:hAnsi="宋体" w:cs="仿宋_GB2312"/>
                <w:color w:val="000000" w:themeColor="text1"/>
                <w:sz w:val="21"/>
                <w:szCs w:val="21"/>
                <w14:textFill>
                  <w14:solidFill>
                    <w14:schemeClr w14:val="tx1"/>
                  </w14:solidFill>
                </w14:textFill>
              </w:rPr>
              <w:t>《行政许可法》</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hint="default" w:ascii="宋体" w:hAnsi="宋体" w:cs="仿宋_GB2312"/>
                <w:color w:val="000000" w:themeColor="text1"/>
                <w:sz w:val="21"/>
                <w:szCs w:val="21"/>
                <w14:textFill>
                  <w14:solidFill>
                    <w14:schemeClr w14:val="tx1"/>
                  </w14:solidFill>
                </w14:textFill>
              </w:rPr>
            </w:pPr>
            <w:r>
              <w:rPr>
                <w:rFonts w:hint="default" w:ascii="宋体" w:hAnsi="宋体" w:cs="仿宋_GB2312"/>
                <w:color w:val="000000" w:themeColor="text1"/>
                <w:sz w:val="21"/>
                <w:szCs w:val="21"/>
                <w14:textFill>
                  <w14:solidFill>
                    <w14:schemeClr w14:val="tx1"/>
                  </w14:solidFill>
                </w14:textFill>
              </w:rPr>
              <w:t>第三十二条</w:t>
            </w:r>
            <w:r>
              <w:rPr>
                <w:rFonts w:hint="eastAsia" w:ascii="宋体" w:hAnsi="宋体" w:cs="仿宋_GB2312"/>
                <w:color w:val="000000" w:themeColor="text1"/>
                <w:sz w:val="21"/>
                <w:szCs w:val="21"/>
                <w:lang w:val="en-US" w:eastAsia="zh-CN"/>
                <w14:textFill>
                  <w14:solidFill>
                    <w14:schemeClr w14:val="tx1"/>
                  </w14:solidFill>
                </w14:textFill>
              </w:rPr>
              <w:t xml:space="preserve">  </w:t>
            </w:r>
            <w:r>
              <w:rPr>
                <w:rFonts w:hint="default" w:ascii="宋体" w:hAnsi="宋体" w:cs="仿宋_GB2312"/>
                <w:color w:val="000000" w:themeColor="text1"/>
                <w:sz w:val="21"/>
                <w:szCs w:val="21"/>
                <w14:textFill>
                  <w14:solidFill>
                    <w14:schemeClr w14:val="tx1"/>
                  </w14:solidFill>
                </w14:textFill>
              </w:rPr>
              <w:t>行政机关对申请人提出的行政许可申请，应当根据下列情况分别作出处理：</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（一）申请事项依法不需要取得行政许可的，应当即时告知申请人不受理；</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（二）申请事项依法不属于本行政机关职权范围的，应当即时作出不予受理的决定，并告知申请人向有关行政机关申请；</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（三）申请材料存在可以当场更正的错误的，应当允许申请人当场更正；</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（四）申请材料不齐全或者不符合法定形式的，应当当场或者在五日内一次告知申请人需要补正的全部内容，逾期不告知的，自收到申请材料之日起即为受理；</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（五）申请事项属于本行政机关职权范围，申请材料齐全、符合法定形式，或者申请人按照本行政机关的要求提交全部补正申请材料的，应当受理行政许可申请。</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行政机关受理或者不予受理行政许可申请，应当出具加盖本行政机关专用印章和注明日期的书面凭证。</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hint="eastAsia" w:ascii="宋体" w:hAnsi="宋体" w:cs="仿宋_GB2312"/>
                <w:color w:val="000000" w:themeColor="text1"/>
                <w:sz w:val="21"/>
                <w:szCs w:val="21"/>
                <w14:textFill>
                  <w14:solidFill>
                    <w14:schemeClr w14:val="tx1"/>
                  </w14:solidFill>
                </w14:textFill>
              </w:rPr>
            </w:pPr>
            <w:r>
              <w:rPr>
                <w:rFonts w:hint="default" w:ascii="宋体" w:hAnsi="宋体" w:cs="仿宋_GB2312"/>
                <w:color w:val="000000" w:themeColor="text1"/>
                <w:sz w:val="21"/>
                <w:szCs w:val="21"/>
                <w14:textFill>
                  <w14:solidFill>
                    <w14:schemeClr w14:val="tx1"/>
                  </w14:solidFill>
                </w14:textFill>
              </w:rPr>
              <w:t>第三十四条</w:t>
            </w:r>
            <w:r>
              <w:rPr>
                <w:rFonts w:hint="eastAsia" w:ascii="宋体" w:hAnsi="宋体" w:cs="仿宋_GB2312"/>
                <w:color w:val="000000" w:themeColor="text1"/>
                <w:sz w:val="21"/>
                <w:szCs w:val="21"/>
                <w:lang w:val="en-US" w:eastAsia="zh-CN"/>
                <w14:textFill>
                  <w14:solidFill>
                    <w14:schemeClr w14:val="tx1"/>
                  </w14:solidFill>
                </w14:textFill>
              </w:rPr>
              <w:t xml:space="preserve">  </w:t>
            </w:r>
            <w:r>
              <w:rPr>
                <w:rFonts w:hint="default" w:ascii="宋体" w:hAnsi="宋体" w:cs="仿宋_GB2312"/>
                <w:color w:val="000000" w:themeColor="text1"/>
                <w:sz w:val="21"/>
                <w:szCs w:val="21"/>
                <w14:textFill>
                  <w14:solidFill>
                    <w14:schemeClr w14:val="tx1"/>
                  </w14:solidFill>
                </w14:textFill>
              </w:rPr>
              <w:t>行政机关应当对申请人提交的申请材料进行审查。</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申请人提交的申请材料齐全、符合法定形式，行政机关能够当场作出决定的，应当当场作出书面的行政许可决定。</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根据法定条件和程序，需要对申请材料的实质内容进行核实的，行政机关应当指派两名以上工作人员进行核查。</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第三十八条</w:t>
            </w:r>
            <w:r>
              <w:rPr>
                <w:rFonts w:hint="eastAsia" w:ascii="宋体" w:hAnsi="宋体" w:cs="仿宋_GB2312"/>
                <w:color w:val="000000" w:themeColor="text1"/>
                <w:sz w:val="21"/>
                <w:szCs w:val="21"/>
                <w:lang w:val="en-US" w:eastAsia="zh-CN"/>
                <w14:textFill>
                  <w14:solidFill>
                    <w14:schemeClr w14:val="tx1"/>
                  </w14:solidFill>
                </w14:textFill>
              </w:rPr>
              <w:t xml:space="preserve">  </w:t>
            </w:r>
            <w:r>
              <w:rPr>
                <w:rFonts w:hint="default" w:ascii="宋体" w:hAnsi="宋体" w:cs="仿宋_GB2312"/>
                <w:color w:val="000000" w:themeColor="text1"/>
                <w:sz w:val="21"/>
                <w:szCs w:val="21"/>
                <w14:textFill>
                  <w14:solidFill>
                    <w14:schemeClr w14:val="tx1"/>
                  </w14:solidFill>
                </w14:textFill>
              </w:rPr>
              <w:t>申请人的申请符合法定条件、标准的，行政机关应当依法作出准予行政许可的书面决定。</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行政机关依法作出不予行政许可的书面决定的，应当说明理由，并告知申请人享有依法申请行政复议或者提起行政诉讼的权利。</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第六十一条</w:t>
            </w:r>
            <w:r>
              <w:rPr>
                <w:rFonts w:hint="eastAsia" w:ascii="宋体" w:hAnsi="宋体" w:cs="仿宋_GB2312"/>
                <w:color w:val="000000" w:themeColor="text1"/>
                <w:sz w:val="21"/>
                <w:szCs w:val="21"/>
                <w:lang w:val="en-US" w:eastAsia="zh-CN"/>
                <w14:textFill>
                  <w14:solidFill>
                    <w14:schemeClr w14:val="tx1"/>
                  </w14:solidFill>
                </w14:textFill>
              </w:rPr>
              <w:t xml:space="preserve">  </w:t>
            </w:r>
            <w:r>
              <w:rPr>
                <w:rFonts w:hint="default" w:ascii="宋体" w:hAnsi="宋体" w:cs="仿宋_GB2312"/>
                <w:color w:val="000000" w:themeColor="text1"/>
                <w:sz w:val="21"/>
                <w:szCs w:val="21"/>
                <w14:textFill>
                  <w14:solidFill>
                    <w14:schemeClr w14:val="tx1"/>
                  </w14:solidFill>
                </w14:textFill>
              </w:rPr>
              <w:t>行政机关应当建立健全监督制度，通过核查反映被许可人从事行政许可事项活动情况的有关材料，履行监督责任。</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行政机关依法对被许可人从事行政许可事项的活动进行监督检查时，应当将监督检查的情况和处理结果予以记录，由监督检查人员签字后归档。公众有权查阅行政机关监督检查记录。</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行政机关应当创造条件，实现与被许可人、其他有关行政机关的计算机档案系统互联，核查被许可人从事行政许可事项活动情况。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追责情形</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000000" w:themeColor="text1"/>
                <w:sz w:val="21"/>
                <w:szCs w:val="21"/>
                <w14:textFill>
                  <w14:solidFill>
                    <w14:schemeClr w14:val="tx1"/>
                  </w14:solidFill>
                </w14:textFill>
              </w:rPr>
            </w:pPr>
            <w:r>
              <w:rPr>
                <w:rFonts w:hint="eastAsia" w:ascii="宋体" w:hAnsi="宋体" w:cs="仿宋_GB2312"/>
                <w:color w:val="000000" w:themeColor="text1"/>
                <w:sz w:val="21"/>
                <w:szCs w:val="21"/>
                <w14:textFill>
                  <w14:solidFill>
                    <w14:schemeClr w14:val="tx1"/>
                  </w14:solidFill>
                </w14:textFill>
              </w:rPr>
              <w:t>对不履行或不正确履行行政职责的行政机关及其工作人员，依据</w:t>
            </w:r>
            <w:r>
              <w:rPr>
                <w:rFonts w:hint="eastAsia" w:ascii="宋体" w:hAnsi="宋体" w:cs="仿宋_GB2312"/>
                <w:color w:val="000000" w:themeColor="text1"/>
                <w:sz w:val="21"/>
                <w:szCs w:val="21"/>
                <w:lang w:eastAsia="zh-CN"/>
                <w14:textFill>
                  <w14:solidFill>
                    <w14:schemeClr w14:val="tx1"/>
                  </w14:solidFill>
                </w14:textFill>
              </w:rPr>
              <w:t>《中华人民共和国监察法》</w:t>
            </w:r>
            <w:r>
              <w:rPr>
                <w:rFonts w:hint="eastAsia" w:ascii="宋体" w:hAnsi="宋体" w:cs="仿宋_GB2312"/>
                <w:color w:val="000000" w:themeColor="text1"/>
                <w:sz w:val="21"/>
                <w:szCs w:val="21"/>
                <w14:textFill>
                  <w14:solidFill>
                    <w14:schemeClr w14:val="tx1"/>
                  </w14:solidFill>
                </w14:textFill>
              </w:rPr>
              <w:t>、《中华人民共和国行政许可法》、《行政机关公务员处分条例》、《四川省行政审批违法违纪行为责任追究办法》等法律法规规章的相关规定追究相应的责任。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监督电话</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FF0000"/>
                <w:sz w:val="21"/>
                <w:szCs w:val="21"/>
              </w:rPr>
            </w:pPr>
            <w:r>
              <w:rPr>
                <w:rFonts w:hint="eastAsia" w:ascii="宋体" w:hAnsi="宋体" w:cs="仿宋_GB2312"/>
                <w:color w:val="000000" w:themeColor="text1"/>
                <w:sz w:val="21"/>
                <w:szCs w:val="21"/>
                <w14:textFill>
                  <w14:solidFill>
                    <w14:schemeClr w14:val="tx1"/>
                  </w14:solidFill>
                </w14:textFill>
              </w:rPr>
              <w:t>0825</w:t>
            </w:r>
            <w:r>
              <w:rPr>
                <w:rFonts w:hint="eastAsia" w:ascii="宋体" w:hAnsi="宋体" w:cs="仿宋_GB2312"/>
                <w:color w:val="000000" w:themeColor="text1"/>
                <w:sz w:val="21"/>
                <w:szCs w:val="21"/>
                <w:lang w:val="en-US" w:eastAsia="zh-CN"/>
                <w14:textFill>
                  <w14:solidFill>
                    <w14:schemeClr w14:val="tx1"/>
                  </w14:solidFill>
                </w14:textFill>
              </w:rPr>
              <w:t>-6807580</w:t>
            </w:r>
          </w:p>
        </w:tc>
      </w:tr>
    </w:tbl>
    <w:p>
      <w:pPr>
        <w:spacing w:line="520" w:lineRule="exact"/>
        <w:rPr>
          <w:rFonts w:hint="eastAsia" w:ascii="仿宋_GB2312" w:hAnsi="仿宋_GB2312" w:eastAsia="仿宋_GB2312" w:cs="仿宋_GB2312"/>
          <w:color w:val="000000"/>
          <w:kern w:val="0"/>
          <w:sz w:val="32"/>
          <w:szCs w:val="32"/>
          <w:u w:val="none" w:color="000000"/>
          <w:lang w:val="en-US" w:eastAsia="zh-CN"/>
        </w:rPr>
      </w:pPr>
      <w:r>
        <w:rPr>
          <w:rFonts w:hint="eastAsia" w:ascii="仿宋_GB2312" w:hAnsi="仿宋_GB2312" w:eastAsia="仿宋_GB2312" w:cs="仿宋_GB2312"/>
          <w:color w:val="000000"/>
          <w:kern w:val="0"/>
          <w:sz w:val="32"/>
          <w:szCs w:val="32"/>
          <w:u w:val="none" w:color="000000"/>
          <w:lang w:val="en-US" w:eastAsia="zh-CN"/>
        </w:rPr>
        <w:t xml:space="preserve"> </w:t>
      </w:r>
    </w:p>
    <w:p>
      <w:pPr>
        <w:spacing w:line="580" w:lineRule="exact"/>
        <w:jc w:val="center"/>
        <w:rPr>
          <w:rFonts w:hint="eastAsia" w:ascii="黑体" w:hAnsi="黑体" w:eastAsia="黑体"/>
          <w:b/>
          <w:sz w:val="32"/>
          <w:szCs w:val="32"/>
          <w:lang w:eastAsia="zh-CN"/>
        </w:rPr>
      </w:pPr>
    </w:p>
    <w:p>
      <w:pPr>
        <w:spacing w:line="580" w:lineRule="exact"/>
        <w:jc w:val="center"/>
        <w:rPr>
          <w:rFonts w:hint="eastAsia" w:ascii="黑体" w:hAnsi="黑体" w:eastAsia="黑体"/>
          <w:b/>
          <w:sz w:val="32"/>
          <w:szCs w:val="32"/>
          <w:lang w:eastAsia="zh-CN"/>
        </w:rPr>
      </w:pPr>
    </w:p>
    <w:p>
      <w:pPr>
        <w:spacing w:line="580" w:lineRule="exact"/>
        <w:jc w:val="center"/>
        <w:rPr>
          <w:rFonts w:hint="eastAsia" w:ascii="黑体" w:hAnsi="黑体" w:eastAsia="黑体"/>
          <w:b/>
          <w:sz w:val="32"/>
          <w:szCs w:val="32"/>
          <w:lang w:eastAsia="zh-CN"/>
        </w:rPr>
      </w:pPr>
    </w:p>
    <w:p>
      <w:pPr>
        <w:spacing w:line="580" w:lineRule="exact"/>
        <w:jc w:val="center"/>
        <w:rPr>
          <w:rFonts w:hint="eastAsia" w:ascii="黑体" w:hAnsi="黑体" w:eastAsia="黑体"/>
          <w:b/>
          <w:sz w:val="32"/>
          <w:szCs w:val="32"/>
          <w:lang w:eastAsia="zh-CN"/>
        </w:rPr>
      </w:pPr>
    </w:p>
    <w:p>
      <w:pPr>
        <w:spacing w:line="580" w:lineRule="exact"/>
        <w:jc w:val="center"/>
        <w:rPr>
          <w:rFonts w:hint="eastAsia" w:ascii="黑体" w:hAnsi="黑体" w:eastAsia="黑体"/>
          <w:b/>
          <w:sz w:val="32"/>
          <w:szCs w:val="32"/>
          <w:lang w:eastAsia="zh-CN"/>
        </w:rPr>
      </w:pPr>
    </w:p>
    <w:p>
      <w:pPr>
        <w:spacing w:line="580" w:lineRule="exact"/>
        <w:jc w:val="center"/>
        <w:rPr>
          <w:rFonts w:hint="eastAsia" w:ascii="黑体" w:hAnsi="黑体" w:eastAsia="黑体"/>
          <w:b/>
          <w:sz w:val="32"/>
          <w:szCs w:val="32"/>
          <w:lang w:eastAsia="zh-CN"/>
        </w:rPr>
      </w:pPr>
    </w:p>
    <w:p>
      <w:pPr>
        <w:spacing w:line="580" w:lineRule="exact"/>
        <w:jc w:val="center"/>
        <w:rPr>
          <w:rFonts w:hint="eastAsia" w:ascii="黑体" w:hAnsi="黑体" w:eastAsia="黑体"/>
          <w:b/>
          <w:sz w:val="32"/>
          <w:szCs w:val="32"/>
          <w:lang w:eastAsia="zh-CN"/>
        </w:rPr>
      </w:pPr>
    </w:p>
    <w:p>
      <w:pPr>
        <w:spacing w:line="580" w:lineRule="exact"/>
        <w:jc w:val="center"/>
        <w:rPr>
          <w:rFonts w:hint="eastAsia" w:ascii="黑体" w:hAnsi="黑体" w:eastAsia="黑体"/>
          <w:b/>
          <w:sz w:val="32"/>
          <w:szCs w:val="32"/>
          <w:lang w:eastAsia="zh-CN"/>
        </w:rPr>
      </w:pPr>
    </w:p>
    <w:p>
      <w:pPr>
        <w:spacing w:line="580" w:lineRule="exact"/>
        <w:jc w:val="center"/>
        <w:rPr>
          <w:rFonts w:hint="eastAsia" w:ascii="黑体" w:hAnsi="黑体" w:eastAsia="黑体"/>
          <w:b/>
          <w:sz w:val="32"/>
          <w:szCs w:val="32"/>
          <w:lang w:eastAsia="zh-CN"/>
        </w:rPr>
      </w:pPr>
    </w:p>
    <w:p>
      <w:pPr>
        <w:spacing w:line="580" w:lineRule="exact"/>
        <w:jc w:val="center"/>
        <w:rPr>
          <w:rFonts w:hint="eastAsia" w:ascii="黑体" w:hAnsi="黑体" w:eastAsia="黑体"/>
          <w:b/>
          <w:sz w:val="32"/>
          <w:szCs w:val="32"/>
          <w:lang w:eastAsia="zh-CN"/>
        </w:rPr>
      </w:pPr>
    </w:p>
    <w:p>
      <w:pPr>
        <w:spacing w:line="580" w:lineRule="exact"/>
        <w:jc w:val="center"/>
        <w:rPr>
          <w:rFonts w:hint="eastAsia" w:ascii="黑体" w:hAnsi="黑体" w:eastAsia="黑体"/>
          <w:b/>
          <w:sz w:val="32"/>
          <w:szCs w:val="32"/>
        </w:rPr>
      </w:pPr>
      <w:r>
        <w:rPr>
          <w:rFonts w:hint="eastAsia" w:ascii="黑体" w:hAnsi="黑体" w:eastAsia="黑体"/>
          <w:b/>
          <w:sz w:val="32"/>
          <w:szCs w:val="32"/>
          <w:lang w:eastAsia="zh-CN"/>
        </w:rPr>
        <w:t>经科局行政权力</w:t>
      </w:r>
      <w:r>
        <w:rPr>
          <w:rFonts w:hint="eastAsia" w:ascii="黑体" w:hAnsi="黑体" w:eastAsia="黑体"/>
          <w:b/>
          <w:sz w:val="32"/>
          <w:szCs w:val="32"/>
        </w:rPr>
        <w:t>责任清单</w:t>
      </w:r>
    </w:p>
    <w:tbl>
      <w:tblPr>
        <w:tblStyle w:val="5"/>
        <w:tblW w:w="91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7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序</w:t>
            </w:r>
            <w:r>
              <w:rPr>
                <w:rFonts w:hint="eastAsia" w:ascii="宋体" w:hAnsi="宋体" w:cs="仿宋_GB2312"/>
                <w:sz w:val="21"/>
                <w:szCs w:val="21"/>
                <w:lang w:val="en-US" w:eastAsia="zh-CN"/>
              </w:rPr>
              <w:t xml:space="preserve">   </w:t>
            </w:r>
            <w:r>
              <w:rPr>
                <w:rFonts w:hint="eastAsia" w:ascii="宋体" w:hAnsi="宋体" w:cs="仿宋_GB2312"/>
                <w:sz w:val="21"/>
                <w:szCs w:val="21"/>
              </w:rPr>
              <w:t>号</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b/>
                <w:bCs/>
                <w:sz w:val="21"/>
                <w:szCs w:val="21"/>
              </w:rPr>
              <w:t>1</w:t>
            </w:r>
            <w:r>
              <w:rPr>
                <w:rFonts w:hint="eastAsia" w:ascii="宋体" w:hAnsi="宋体" w:cs="仿宋_GB2312"/>
                <w:b/>
                <w:bCs/>
                <w:sz w:val="21"/>
                <w:szCs w:val="21"/>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权力类型</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权力项目名称</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宋体" w:hAnsi="宋体" w:eastAsia="宋体" w:cs="仿宋_GB2312"/>
                <w:sz w:val="21"/>
                <w:szCs w:val="21"/>
                <w:lang w:eastAsia="zh-CN"/>
              </w:rPr>
            </w:pPr>
            <w:r>
              <w:rPr>
                <w:rFonts w:hint="eastAsia" w:ascii="宋体" w:hAnsi="宋体" w:cs="仿宋_GB2312"/>
                <w:sz w:val="21"/>
                <w:szCs w:val="21"/>
                <w:lang w:eastAsia="zh-CN"/>
              </w:rPr>
              <w:t>对工业用盐等非食用盐的管理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实施依据</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FF0000"/>
                <w:sz w:val="21"/>
                <w:szCs w:val="21"/>
              </w:rPr>
            </w:pPr>
            <w:r>
              <w:rPr>
                <w:rFonts w:hint="eastAsia" w:ascii="宋体" w:hAnsi="宋体" w:cs="仿宋_GB2312"/>
                <w:color w:val="000000" w:themeColor="text1"/>
                <w:sz w:val="21"/>
                <w:szCs w:val="21"/>
                <w:lang w:val="en-US" w:eastAsia="zh-CN"/>
                <w14:textFill>
                  <w14:solidFill>
                    <w14:schemeClr w14:val="tx1"/>
                  </w14:solidFill>
                </w14:textFill>
              </w:rPr>
              <w:t>《四川省工业盐运销管理暂行办法》第十四条  工业盐生产企业、经营企业及个人违反本办法规定，由盐业主管机构或食盐质量安全监管部门根据职责，按照相关法律法规的规定和程序予以书面警告，责令限期整改；导致工业盐流入食盐市场，情节严重的，由盐业主管机构或食盐质量安全监管部门提请工商部门依据相关法律法规的规定和程序吊销其营业执照；食盐定点生产企业、食盐批发企业涉及使用工业盐制贩假盐或参与制贩假盐的，由省级盐业主管机构按照相关法律法规的规定和程序，吊销其食盐定点生产企业许可证、食盐批发许可证；涉嫌犯罪的，由相关监管部门移送司法机关依法追究其刑事责任。加强部门间的协同、配合及信息共享，形成工业盐运销管理合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责任主体</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宋体" w:hAnsi="宋体" w:eastAsia="宋体" w:cs="仿宋_GB2312"/>
                <w:color w:val="FF0000"/>
                <w:sz w:val="21"/>
                <w:szCs w:val="21"/>
                <w:lang w:eastAsia="zh-CN"/>
              </w:rPr>
            </w:pPr>
            <w:r>
              <w:rPr>
                <w:rFonts w:hint="eastAsia" w:ascii="宋体" w:hAnsi="宋体" w:cs="仿宋_GB2312"/>
                <w:color w:val="000000" w:themeColor="text1"/>
                <w:sz w:val="21"/>
                <w:szCs w:val="21"/>
                <w:lang w:eastAsia="zh-CN"/>
                <w14:textFill>
                  <w14:solidFill>
                    <w14:schemeClr w14:val="tx1"/>
                  </w14:solidFill>
                </w14:textFill>
              </w:rPr>
              <w:t>船山区经济信息化和科学技术局信息化和运行保障股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责任事项</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000000" w:themeColor="text1"/>
                <w:sz w:val="21"/>
                <w:szCs w:val="21"/>
                <w14:textFill>
                  <w14:solidFill>
                    <w14:schemeClr w14:val="tx1"/>
                  </w14:solidFill>
                </w14:textFill>
              </w:rPr>
            </w:pPr>
            <w:r>
              <w:rPr>
                <w:rFonts w:ascii="宋体" w:hAnsi="宋体" w:cs="仿宋_GB2312"/>
                <w:color w:val="000000" w:themeColor="text1"/>
                <w:sz w:val="21"/>
                <w:szCs w:val="21"/>
                <w14:textFill>
                  <w14:solidFill>
                    <w14:schemeClr w14:val="tx1"/>
                  </w14:solidFill>
                </w14:textFill>
              </w:rPr>
              <w:t>1.受理责任：公示应当提交的材料，一次性告知补正材料，依法受理或不予受理（不予受理应当告知理由）。</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000000" w:themeColor="text1"/>
                <w:sz w:val="21"/>
                <w:szCs w:val="21"/>
                <w14:textFill>
                  <w14:solidFill>
                    <w14:schemeClr w14:val="tx1"/>
                  </w14:solidFill>
                </w14:textFill>
              </w:rPr>
            </w:pPr>
            <w:r>
              <w:rPr>
                <w:rFonts w:ascii="宋体" w:hAnsi="宋体" w:cs="仿宋_GB2312"/>
                <w:color w:val="000000" w:themeColor="text1"/>
                <w:sz w:val="21"/>
                <w:szCs w:val="21"/>
                <w14:textFill>
                  <w14:solidFill>
                    <w14:schemeClr w14:val="tx1"/>
                  </w14:solidFill>
                </w14:textFill>
              </w:rPr>
              <w:t>2.审查责任：审查申请材料，现场踏勘。</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000000" w:themeColor="text1"/>
                <w:sz w:val="21"/>
                <w:szCs w:val="21"/>
                <w14:textFill>
                  <w14:solidFill>
                    <w14:schemeClr w14:val="tx1"/>
                  </w14:solidFill>
                </w14:textFill>
              </w:rPr>
            </w:pPr>
            <w:r>
              <w:rPr>
                <w:rFonts w:ascii="宋体" w:hAnsi="宋体" w:cs="仿宋_GB2312"/>
                <w:color w:val="000000" w:themeColor="text1"/>
                <w:sz w:val="21"/>
                <w:szCs w:val="21"/>
                <w14:textFill>
                  <w14:solidFill>
                    <w14:schemeClr w14:val="tx1"/>
                  </w14:solidFill>
                </w14:textFill>
              </w:rPr>
              <w:t>3.决定责任：作出行政许可或者不予行政许可决定，法定告知（不予许可的应当书面告知理由）。</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000000" w:themeColor="text1"/>
                <w:sz w:val="21"/>
                <w:szCs w:val="21"/>
                <w14:textFill>
                  <w14:solidFill>
                    <w14:schemeClr w14:val="tx1"/>
                  </w14:solidFill>
                </w14:textFill>
              </w:rPr>
            </w:pPr>
            <w:r>
              <w:rPr>
                <w:rFonts w:ascii="宋体" w:hAnsi="宋体" w:cs="仿宋_GB2312"/>
                <w:color w:val="000000" w:themeColor="text1"/>
                <w:sz w:val="21"/>
                <w:szCs w:val="21"/>
                <w14:textFill>
                  <w14:solidFill>
                    <w14:schemeClr w14:val="tx1"/>
                  </w14:solidFill>
                </w14:textFill>
              </w:rPr>
              <w:t>4.事后监管责任：建立实施监督检查的运行机制和管理制度，开展定期和不定期检查，依法采取相关处置措施。</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000000" w:themeColor="text1"/>
                <w:sz w:val="21"/>
                <w:szCs w:val="21"/>
                <w14:textFill>
                  <w14:solidFill>
                    <w14:schemeClr w14:val="tx1"/>
                  </w14:solidFill>
                </w14:textFill>
              </w:rPr>
            </w:pPr>
            <w:r>
              <w:rPr>
                <w:rFonts w:ascii="宋体" w:hAnsi="宋体" w:cs="仿宋_GB2312"/>
                <w:color w:val="000000" w:themeColor="text1"/>
                <w:sz w:val="21"/>
                <w:szCs w:val="21"/>
                <w14:textFill>
                  <w14:solidFill>
                    <w14:schemeClr w14:val="tx1"/>
                  </w14:solidFill>
                </w14:textFill>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宋体" w:hAnsi="宋体" w:cs="仿宋_GB2312"/>
                <w:sz w:val="21"/>
                <w:szCs w:val="21"/>
              </w:rPr>
            </w:pP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eastAsia" w:ascii="宋体" w:hAnsi="宋体" w:cs="仿宋_GB2312"/>
                <w:sz w:val="21"/>
                <w:szCs w:val="21"/>
              </w:rPr>
            </w:pP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eastAsia" w:ascii="宋体" w:hAnsi="宋体" w:cs="仿宋_GB2312"/>
                <w:sz w:val="21"/>
                <w:szCs w:val="21"/>
              </w:rPr>
            </w:pP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eastAsia" w:ascii="宋体" w:hAnsi="宋体" w:cs="仿宋_GB2312"/>
                <w:sz w:val="21"/>
                <w:szCs w:val="21"/>
              </w:rPr>
            </w:pP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eastAsia" w:ascii="宋体" w:hAnsi="宋体" w:cs="仿宋_GB2312"/>
                <w:sz w:val="21"/>
                <w:szCs w:val="21"/>
              </w:rPr>
            </w:pP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eastAsia" w:ascii="宋体" w:hAnsi="宋体" w:cs="仿宋_GB2312"/>
                <w:sz w:val="21"/>
                <w:szCs w:val="21"/>
              </w:rPr>
            </w:pP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eastAsia" w:ascii="宋体" w:hAnsi="宋体" w:cs="仿宋_GB2312"/>
                <w:sz w:val="21"/>
                <w:szCs w:val="21"/>
              </w:rPr>
            </w:pP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eastAsia" w:ascii="宋体" w:hAnsi="宋体" w:cs="仿宋_GB2312"/>
                <w:sz w:val="21"/>
                <w:szCs w:val="21"/>
              </w:rPr>
            </w:pP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eastAsia" w:ascii="宋体" w:hAnsi="宋体" w:cs="仿宋_GB2312"/>
                <w:sz w:val="21"/>
                <w:szCs w:val="21"/>
              </w:rPr>
            </w:pP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eastAsia" w:ascii="宋体" w:hAnsi="宋体" w:cs="仿宋_GB2312"/>
                <w:sz w:val="21"/>
                <w:szCs w:val="21"/>
              </w:rPr>
            </w:pP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eastAsia" w:ascii="宋体" w:hAnsi="宋体" w:cs="仿宋_GB2312"/>
                <w:sz w:val="21"/>
                <w:szCs w:val="21"/>
              </w:rPr>
            </w:pP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eastAsia" w:ascii="宋体" w:hAnsi="宋体" w:cs="仿宋_GB2312"/>
                <w:sz w:val="21"/>
                <w:szCs w:val="21"/>
              </w:rPr>
            </w:pP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eastAsia" w:ascii="宋体" w:hAnsi="宋体" w:cs="仿宋_GB2312"/>
                <w:sz w:val="21"/>
                <w:szCs w:val="21"/>
              </w:rPr>
            </w:pP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eastAsia" w:ascii="宋体" w:hAnsi="宋体" w:cs="仿宋_GB2312"/>
                <w:sz w:val="21"/>
                <w:szCs w:val="21"/>
              </w:rPr>
            </w:pPr>
            <w:r>
              <w:rPr>
                <w:rFonts w:hint="eastAsia" w:ascii="宋体" w:hAnsi="宋体" w:cs="仿宋_GB2312"/>
                <w:sz w:val="21"/>
                <w:szCs w:val="21"/>
              </w:rPr>
              <w:t>责任事项依据</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000000" w:themeColor="text1"/>
                <w:sz w:val="21"/>
                <w:szCs w:val="21"/>
                <w14:textFill>
                  <w14:solidFill>
                    <w14:schemeClr w14:val="tx1"/>
                  </w14:solidFill>
                </w14:textFill>
              </w:rPr>
            </w:pPr>
            <w:r>
              <w:rPr>
                <w:rFonts w:ascii="宋体" w:hAnsi="宋体" w:cs="仿宋_GB2312"/>
                <w:color w:val="000000" w:themeColor="text1"/>
                <w:sz w:val="21"/>
                <w:szCs w:val="21"/>
                <w14:textFill>
                  <w14:solidFill>
                    <w14:schemeClr w14:val="tx1"/>
                  </w14:solidFill>
                </w14:textFill>
              </w:rPr>
              <w:t>《行政许可法》</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hint="default" w:ascii="宋体" w:hAnsi="宋体" w:cs="仿宋_GB2312"/>
                <w:color w:val="000000" w:themeColor="text1"/>
                <w:sz w:val="21"/>
                <w:szCs w:val="21"/>
                <w14:textFill>
                  <w14:solidFill>
                    <w14:schemeClr w14:val="tx1"/>
                  </w14:solidFill>
                </w14:textFill>
              </w:rPr>
            </w:pPr>
            <w:r>
              <w:rPr>
                <w:rFonts w:hint="default" w:ascii="宋体" w:hAnsi="宋体" w:cs="仿宋_GB2312"/>
                <w:color w:val="000000" w:themeColor="text1"/>
                <w:sz w:val="21"/>
                <w:szCs w:val="21"/>
                <w14:textFill>
                  <w14:solidFill>
                    <w14:schemeClr w14:val="tx1"/>
                  </w14:solidFill>
                </w14:textFill>
              </w:rPr>
              <w:t>第三十二条</w:t>
            </w:r>
            <w:r>
              <w:rPr>
                <w:rFonts w:hint="eastAsia" w:ascii="宋体" w:hAnsi="宋体" w:cs="仿宋_GB2312"/>
                <w:color w:val="000000" w:themeColor="text1"/>
                <w:sz w:val="21"/>
                <w:szCs w:val="21"/>
                <w:lang w:val="en-US" w:eastAsia="zh-CN"/>
                <w14:textFill>
                  <w14:solidFill>
                    <w14:schemeClr w14:val="tx1"/>
                  </w14:solidFill>
                </w14:textFill>
              </w:rPr>
              <w:t xml:space="preserve">  </w:t>
            </w:r>
            <w:r>
              <w:rPr>
                <w:rFonts w:hint="default" w:ascii="宋体" w:hAnsi="宋体" w:cs="仿宋_GB2312"/>
                <w:color w:val="000000" w:themeColor="text1"/>
                <w:sz w:val="21"/>
                <w:szCs w:val="21"/>
                <w14:textFill>
                  <w14:solidFill>
                    <w14:schemeClr w14:val="tx1"/>
                  </w14:solidFill>
                </w14:textFill>
              </w:rPr>
              <w:t>行政机关对申请人提出的行政许可申请，应当根据下列情况分别作出处理：</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（一）申请事项依法不需要取得行政许可的，应当即时告知申请人不受理；</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（二）申请事项依法不属于本行政机关职权范围的，应当即时作出不予受理的决定，并告知申请人向有关行政机关申请；</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（三）申请材料存在可以当场更正的错误的，应当允许申请人当场更正；</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（四）申请材料不齐全或者不符合法定形式的，应当当场或者在五日内一次告知申请人需要补正的全部内容，逾期不告知的，自收到申请材料之日起即为受理；</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（五）申请事项属于本行政机关职权范围，申请材料齐全、符合法定形式，或者申请人按照本行政机关的要求提交全部补正申请材料的，应当受理行政许可申请。</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行政机关受理或者不予受理行政许可申请，应当出具加盖本行政机关专用印章和注明日期的书面凭证。</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hint="eastAsia" w:ascii="宋体" w:hAnsi="宋体" w:cs="仿宋_GB2312"/>
                <w:color w:val="000000" w:themeColor="text1"/>
                <w:sz w:val="21"/>
                <w:szCs w:val="21"/>
                <w14:textFill>
                  <w14:solidFill>
                    <w14:schemeClr w14:val="tx1"/>
                  </w14:solidFill>
                </w14:textFill>
              </w:rPr>
            </w:pPr>
            <w:r>
              <w:rPr>
                <w:rFonts w:hint="default" w:ascii="宋体" w:hAnsi="宋体" w:cs="仿宋_GB2312"/>
                <w:color w:val="000000" w:themeColor="text1"/>
                <w:sz w:val="21"/>
                <w:szCs w:val="21"/>
                <w14:textFill>
                  <w14:solidFill>
                    <w14:schemeClr w14:val="tx1"/>
                  </w14:solidFill>
                </w14:textFill>
              </w:rPr>
              <w:t>第三十四条</w:t>
            </w:r>
            <w:r>
              <w:rPr>
                <w:rFonts w:hint="eastAsia" w:ascii="宋体" w:hAnsi="宋体" w:cs="仿宋_GB2312"/>
                <w:color w:val="000000" w:themeColor="text1"/>
                <w:sz w:val="21"/>
                <w:szCs w:val="21"/>
                <w:lang w:val="en-US" w:eastAsia="zh-CN"/>
                <w14:textFill>
                  <w14:solidFill>
                    <w14:schemeClr w14:val="tx1"/>
                  </w14:solidFill>
                </w14:textFill>
              </w:rPr>
              <w:t xml:space="preserve">  </w:t>
            </w:r>
            <w:r>
              <w:rPr>
                <w:rFonts w:hint="default" w:ascii="宋体" w:hAnsi="宋体" w:cs="仿宋_GB2312"/>
                <w:color w:val="000000" w:themeColor="text1"/>
                <w:sz w:val="21"/>
                <w:szCs w:val="21"/>
                <w14:textFill>
                  <w14:solidFill>
                    <w14:schemeClr w14:val="tx1"/>
                  </w14:solidFill>
                </w14:textFill>
              </w:rPr>
              <w:t>行政机关应当对申请人提交的申请材料进行审查。</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申请人提交的申请材料齐全、符合法定形式，行政机关能够当场作出决定的，应当当场作出书面的行政许可决定。</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根据法定条件和程序，需要对申请材料的实质内容进行核实的，行政机关应当指派两名以上工作人员进行核查。</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第三十八条</w:t>
            </w:r>
            <w:r>
              <w:rPr>
                <w:rFonts w:hint="eastAsia" w:ascii="宋体" w:hAnsi="宋体" w:cs="仿宋_GB2312"/>
                <w:color w:val="000000" w:themeColor="text1"/>
                <w:sz w:val="21"/>
                <w:szCs w:val="21"/>
                <w:lang w:val="en-US" w:eastAsia="zh-CN"/>
                <w14:textFill>
                  <w14:solidFill>
                    <w14:schemeClr w14:val="tx1"/>
                  </w14:solidFill>
                </w14:textFill>
              </w:rPr>
              <w:t xml:space="preserve">  </w:t>
            </w:r>
            <w:r>
              <w:rPr>
                <w:rFonts w:hint="default" w:ascii="宋体" w:hAnsi="宋体" w:cs="仿宋_GB2312"/>
                <w:color w:val="000000" w:themeColor="text1"/>
                <w:sz w:val="21"/>
                <w:szCs w:val="21"/>
                <w14:textFill>
                  <w14:solidFill>
                    <w14:schemeClr w14:val="tx1"/>
                  </w14:solidFill>
                </w14:textFill>
              </w:rPr>
              <w:t>申请人的申请符合法定条件、标准的，行政机关应当依法作出准予行政许可的书面决定。</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行政机关依法作出不予行政许可的书面决定的，应当说明理由，并告知申请人享有依法申请行政复议或者提起行政诉讼的权利。</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第六十一条</w:t>
            </w:r>
            <w:r>
              <w:rPr>
                <w:rFonts w:hint="eastAsia" w:ascii="宋体" w:hAnsi="宋体" w:cs="仿宋_GB2312"/>
                <w:color w:val="000000" w:themeColor="text1"/>
                <w:sz w:val="21"/>
                <w:szCs w:val="21"/>
                <w:lang w:val="en-US" w:eastAsia="zh-CN"/>
                <w14:textFill>
                  <w14:solidFill>
                    <w14:schemeClr w14:val="tx1"/>
                  </w14:solidFill>
                </w14:textFill>
              </w:rPr>
              <w:t xml:space="preserve">  </w:t>
            </w:r>
            <w:r>
              <w:rPr>
                <w:rFonts w:hint="default" w:ascii="宋体" w:hAnsi="宋体" w:cs="仿宋_GB2312"/>
                <w:color w:val="000000" w:themeColor="text1"/>
                <w:sz w:val="21"/>
                <w:szCs w:val="21"/>
                <w14:textFill>
                  <w14:solidFill>
                    <w14:schemeClr w14:val="tx1"/>
                  </w14:solidFill>
                </w14:textFill>
              </w:rPr>
              <w:t>行政机关应当建立健全监督制度，通过核查反映被许可人从事行政许可事项活动情况的有关材料，履行监督责任。</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行政机关依法对被许可人从事行政许可事项的活动进行监督检查时，应当将监督检查的情况和处理结果予以记录，由监督检查人员签字后归档。公众有权查阅行政机关监督检查记录。</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行政机关应当创造条件，实现与被许可人、其他有关行政机关的计算机档案系统互联，核查被许可人从事行政许可事项活动情况。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追责情形</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000000" w:themeColor="text1"/>
                <w:sz w:val="21"/>
                <w:szCs w:val="21"/>
                <w14:textFill>
                  <w14:solidFill>
                    <w14:schemeClr w14:val="tx1"/>
                  </w14:solidFill>
                </w14:textFill>
              </w:rPr>
            </w:pPr>
            <w:r>
              <w:rPr>
                <w:rFonts w:hint="eastAsia" w:ascii="宋体" w:hAnsi="宋体" w:cs="仿宋_GB2312"/>
                <w:color w:val="000000" w:themeColor="text1"/>
                <w:sz w:val="21"/>
                <w:szCs w:val="21"/>
                <w14:textFill>
                  <w14:solidFill>
                    <w14:schemeClr w14:val="tx1"/>
                  </w14:solidFill>
                </w14:textFill>
              </w:rPr>
              <w:t>对不履行或不正确履行行政职责的行政机关及其工作人员，依据</w:t>
            </w:r>
            <w:r>
              <w:rPr>
                <w:rFonts w:hint="eastAsia" w:ascii="宋体" w:hAnsi="宋体" w:cs="仿宋_GB2312"/>
                <w:color w:val="000000" w:themeColor="text1"/>
                <w:sz w:val="21"/>
                <w:szCs w:val="21"/>
                <w:lang w:eastAsia="zh-CN"/>
                <w14:textFill>
                  <w14:solidFill>
                    <w14:schemeClr w14:val="tx1"/>
                  </w14:solidFill>
                </w14:textFill>
              </w:rPr>
              <w:t>《中华人民共和国监察法》</w:t>
            </w:r>
            <w:r>
              <w:rPr>
                <w:rFonts w:hint="eastAsia" w:ascii="宋体" w:hAnsi="宋体" w:cs="仿宋_GB2312"/>
                <w:color w:val="000000" w:themeColor="text1"/>
                <w:sz w:val="21"/>
                <w:szCs w:val="21"/>
                <w14:textFill>
                  <w14:solidFill>
                    <w14:schemeClr w14:val="tx1"/>
                  </w14:solidFill>
                </w14:textFill>
              </w:rPr>
              <w:t>、《中华人民共和国行政许可法》、《行政机关公务员处分条例》、《四川省行政审批违法违纪行为责任追究办法》等法律法规规章的相关规定追究相应的责任。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监督电话</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FF0000"/>
                <w:sz w:val="21"/>
                <w:szCs w:val="21"/>
              </w:rPr>
            </w:pPr>
            <w:r>
              <w:rPr>
                <w:rFonts w:hint="eastAsia" w:ascii="宋体" w:hAnsi="宋体" w:cs="仿宋_GB2312"/>
                <w:color w:val="000000" w:themeColor="text1"/>
                <w:sz w:val="21"/>
                <w:szCs w:val="21"/>
                <w14:textFill>
                  <w14:solidFill>
                    <w14:schemeClr w14:val="tx1"/>
                  </w14:solidFill>
                </w14:textFill>
              </w:rPr>
              <w:t>0825</w:t>
            </w:r>
            <w:r>
              <w:rPr>
                <w:rFonts w:hint="eastAsia" w:ascii="宋体" w:hAnsi="宋体" w:cs="仿宋_GB2312"/>
                <w:color w:val="000000" w:themeColor="text1"/>
                <w:sz w:val="21"/>
                <w:szCs w:val="21"/>
                <w:lang w:val="en-US" w:eastAsia="zh-CN"/>
                <w14:textFill>
                  <w14:solidFill>
                    <w14:schemeClr w14:val="tx1"/>
                  </w14:solidFill>
                </w14:textFill>
              </w:rPr>
              <w:t>-6807580</w:t>
            </w:r>
          </w:p>
        </w:tc>
      </w:tr>
    </w:tbl>
    <w:p>
      <w:pPr>
        <w:spacing w:line="520" w:lineRule="exact"/>
        <w:rPr>
          <w:rFonts w:hint="eastAsia" w:ascii="仿宋_GB2312" w:hAnsi="仿宋_GB2312" w:eastAsia="仿宋_GB2312" w:cs="仿宋_GB2312"/>
          <w:color w:val="000000"/>
          <w:kern w:val="0"/>
          <w:sz w:val="32"/>
          <w:szCs w:val="32"/>
          <w:u w:val="none" w:color="000000"/>
          <w:lang w:val="en-US" w:eastAsia="zh-CN"/>
        </w:rPr>
      </w:pPr>
      <w:r>
        <w:rPr>
          <w:rFonts w:hint="eastAsia" w:ascii="仿宋_GB2312" w:hAnsi="仿宋_GB2312" w:eastAsia="仿宋_GB2312" w:cs="仿宋_GB2312"/>
          <w:color w:val="000000"/>
          <w:kern w:val="0"/>
          <w:sz w:val="32"/>
          <w:szCs w:val="32"/>
          <w:u w:val="none" w:color="000000"/>
          <w:lang w:val="en-US" w:eastAsia="zh-CN"/>
        </w:rPr>
        <w:t xml:space="preserve"> </w:t>
      </w:r>
    </w:p>
    <w:p>
      <w:pPr>
        <w:spacing w:line="580" w:lineRule="exact"/>
        <w:jc w:val="center"/>
        <w:rPr>
          <w:rFonts w:hint="eastAsia" w:ascii="黑体" w:hAnsi="黑体" w:eastAsia="黑体"/>
          <w:b/>
          <w:sz w:val="32"/>
          <w:szCs w:val="32"/>
          <w:lang w:eastAsia="zh-CN"/>
        </w:rPr>
      </w:pPr>
    </w:p>
    <w:p>
      <w:pPr>
        <w:spacing w:line="580" w:lineRule="exact"/>
        <w:jc w:val="center"/>
        <w:rPr>
          <w:rFonts w:hint="eastAsia" w:ascii="黑体" w:hAnsi="黑体" w:eastAsia="黑体"/>
          <w:b/>
          <w:sz w:val="32"/>
          <w:szCs w:val="32"/>
          <w:lang w:eastAsia="zh-CN"/>
        </w:rPr>
      </w:pPr>
    </w:p>
    <w:p>
      <w:pPr>
        <w:spacing w:line="580" w:lineRule="exact"/>
        <w:jc w:val="center"/>
        <w:rPr>
          <w:rFonts w:hint="eastAsia" w:ascii="黑体" w:hAnsi="黑体" w:eastAsia="黑体"/>
          <w:b/>
          <w:sz w:val="32"/>
          <w:szCs w:val="32"/>
          <w:lang w:eastAsia="zh-CN"/>
        </w:rPr>
      </w:pPr>
    </w:p>
    <w:p>
      <w:pPr>
        <w:spacing w:line="580" w:lineRule="exact"/>
        <w:jc w:val="center"/>
        <w:rPr>
          <w:rFonts w:hint="eastAsia" w:ascii="黑体" w:hAnsi="黑体" w:eastAsia="黑体"/>
          <w:b/>
          <w:sz w:val="32"/>
          <w:szCs w:val="32"/>
          <w:lang w:eastAsia="zh-CN"/>
        </w:rPr>
      </w:pPr>
    </w:p>
    <w:p>
      <w:pPr>
        <w:spacing w:line="580" w:lineRule="exact"/>
        <w:jc w:val="center"/>
        <w:rPr>
          <w:rFonts w:hint="eastAsia" w:ascii="黑体" w:hAnsi="黑体" w:eastAsia="黑体"/>
          <w:b/>
          <w:sz w:val="32"/>
          <w:szCs w:val="32"/>
          <w:lang w:eastAsia="zh-CN"/>
        </w:rPr>
      </w:pPr>
    </w:p>
    <w:p>
      <w:pPr>
        <w:spacing w:line="580" w:lineRule="exact"/>
        <w:jc w:val="center"/>
        <w:rPr>
          <w:rFonts w:hint="eastAsia" w:ascii="黑体" w:hAnsi="黑体" w:eastAsia="黑体"/>
          <w:b/>
          <w:sz w:val="32"/>
          <w:szCs w:val="32"/>
          <w:lang w:eastAsia="zh-CN"/>
        </w:rPr>
      </w:pPr>
    </w:p>
    <w:p>
      <w:pPr>
        <w:spacing w:line="580" w:lineRule="exact"/>
        <w:jc w:val="center"/>
        <w:rPr>
          <w:rFonts w:hint="eastAsia" w:ascii="黑体" w:hAnsi="黑体" w:eastAsia="黑体"/>
          <w:b/>
          <w:sz w:val="32"/>
          <w:szCs w:val="32"/>
          <w:lang w:eastAsia="zh-CN"/>
        </w:rPr>
      </w:pPr>
    </w:p>
    <w:p>
      <w:pPr>
        <w:spacing w:line="580" w:lineRule="exact"/>
        <w:jc w:val="center"/>
        <w:rPr>
          <w:rFonts w:hint="eastAsia" w:ascii="黑体" w:hAnsi="黑体" w:eastAsia="黑体"/>
          <w:b/>
          <w:sz w:val="32"/>
          <w:szCs w:val="32"/>
          <w:lang w:eastAsia="zh-CN"/>
        </w:rPr>
      </w:pPr>
    </w:p>
    <w:p>
      <w:pPr>
        <w:spacing w:line="580" w:lineRule="exact"/>
        <w:jc w:val="center"/>
        <w:rPr>
          <w:rFonts w:hint="eastAsia" w:ascii="黑体" w:hAnsi="黑体" w:eastAsia="黑体"/>
          <w:b/>
          <w:sz w:val="32"/>
          <w:szCs w:val="32"/>
          <w:lang w:eastAsia="zh-CN"/>
        </w:rPr>
      </w:pPr>
    </w:p>
    <w:p>
      <w:pPr>
        <w:spacing w:line="580" w:lineRule="exact"/>
        <w:jc w:val="center"/>
        <w:rPr>
          <w:rFonts w:hint="eastAsia" w:ascii="黑体" w:hAnsi="黑体" w:eastAsia="黑体"/>
          <w:b/>
          <w:sz w:val="32"/>
          <w:szCs w:val="32"/>
          <w:lang w:eastAsia="zh-CN"/>
        </w:rPr>
      </w:pPr>
    </w:p>
    <w:p>
      <w:pPr>
        <w:spacing w:line="580" w:lineRule="exact"/>
        <w:jc w:val="center"/>
        <w:rPr>
          <w:rFonts w:hint="eastAsia" w:ascii="黑体" w:hAnsi="黑体" w:eastAsia="黑体"/>
          <w:b/>
          <w:sz w:val="32"/>
          <w:szCs w:val="32"/>
          <w:lang w:eastAsia="zh-CN"/>
        </w:rPr>
      </w:pPr>
    </w:p>
    <w:p>
      <w:pPr>
        <w:spacing w:line="580" w:lineRule="exact"/>
        <w:jc w:val="center"/>
        <w:rPr>
          <w:rFonts w:hint="eastAsia" w:ascii="黑体" w:hAnsi="黑体" w:eastAsia="黑体"/>
          <w:b/>
          <w:sz w:val="32"/>
          <w:szCs w:val="32"/>
          <w:lang w:eastAsia="zh-CN"/>
        </w:rPr>
      </w:pPr>
    </w:p>
    <w:p>
      <w:pPr>
        <w:spacing w:line="580" w:lineRule="exact"/>
        <w:jc w:val="center"/>
        <w:rPr>
          <w:rFonts w:hint="eastAsia" w:ascii="黑体" w:hAnsi="黑体" w:eastAsia="黑体"/>
          <w:b/>
          <w:sz w:val="32"/>
          <w:szCs w:val="32"/>
          <w:lang w:eastAsia="zh-CN"/>
        </w:rPr>
      </w:pPr>
    </w:p>
    <w:p>
      <w:pPr>
        <w:spacing w:line="580" w:lineRule="exact"/>
        <w:jc w:val="center"/>
        <w:rPr>
          <w:rFonts w:hint="eastAsia" w:ascii="黑体" w:hAnsi="黑体" w:eastAsia="黑体"/>
          <w:b/>
          <w:sz w:val="32"/>
          <w:szCs w:val="32"/>
        </w:rPr>
      </w:pPr>
      <w:r>
        <w:rPr>
          <w:rFonts w:hint="eastAsia" w:ascii="黑体" w:hAnsi="黑体" w:eastAsia="黑体"/>
          <w:b/>
          <w:sz w:val="32"/>
          <w:szCs w:val="32"/>
          <w:lang w:eastAsia="zh-CN"/>
        </w:rPr>
        <w:t>经科局行政权力</w:t>
      </w:r>
      <w:r>
        <w:rPr>
          <w:rFonts w:hint="eastAsia" w:ascii="黑体" w:hAnsi="黑体" w:eastAsia="黑体"/>
          <w:b/>
          <w:sz w:val="32"/>
          <w:szCs w:val="32"/>
        </w:rPr>
        <w:t>责任清单</w:t>
      </w:r>
    </w:p>
    <w:tbl>
      <w:tblPr>
        <w:tblStyle w:val="5"/>
        <w:tblW w:w="91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7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序</w:t>
            </w:r>
            <w:r>
              <w:rPr>
                <w:rFonts w:hint="eastAsia" w:ascii="宋体" w:hAnsi="宋体" w:cs="仿宋_GB2312"/>
                <w:sz w:val="21"/>
                <w:szCs w:val="21"/>
                <w:lang w:val="en-US" w:eastAsia="zh-CN"/>
              </w:rPr>
              <w:t xml:space="preserve">   </w:t>
            </w:r>
            <w:r>
              <w:rPr>
                <w:rFonts w:hint="eastAsia" w:ascii="宋体" w:hAnsi="宋体" w:cs="仿宋_GB2312"/>
                <w:sz w:val="21"/>
                <w:szCs w:val="21"/>
              </w:rPr>
              <w:t>号</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b/>
                <w:bCs/>
                <w:sz w:val="21"/>
                <w:szCs w:val="21"/>
              </w:rPr>
              <w:t>1</w:t>
            </w:r>
            <w:r>
              <w:rPr>
                <w:rFonts w:hint="eastAsia" w:ascii="宋体" w:hAnsi="宋体" w:cs="仿宋_GB2312"/>
                <w:b/>
                <w:bCs/>
                <w:sz w:val="21"/>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权力类型</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权力项目名称</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宋体" w:hAnsi="宋体" w:eastAsia="宋体" w:cs="仿宋_GB2312"/>
                <w:sz w:val="21"/>
                <w:szCs w:val="21"/>
                <w:lang w:eastAsia="zh-CN"/>
              </w:rPr>
            </w:pPr>
            <w:r>
              <w:rPr>
                <w:rFonts w:hint="eastAsia" w:ascii="宋体" w:hAnsi="宋体" w:cs="仿宋_GB2312"/>
                <w:sz w:val="21"/>
                <w:szCs w:val="21"/>
                <w:lang w:eastAsia="zh-CN"/>
              </w:rPr>
              <w:t>对食盐储备的管理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color w:val="000000" w:themeColor="text1"/>
                <w:sz w:val="21"/>
                <w:szCs w:val="21"/>
                <w14:textFill>
                  <w14:solidFill>
                    <w14:schemeClr w14:val="tx1"/>
                  </w14:solidFill>
                </w14:textFill>
              </w:rPr>
            </w:pPr>
            <w:r>
              <w:rPr>
                <w:rFonts w:hint="eastAsia" w:ascii="宋体" w:hAnsi="宋体" w:cs="仿宋_GB2312"/>
                <w:color w:val="000000" w:themeColor="text1"/>
                <w:sz w:val="21"/>
                <w:szCs w:val="21"/>
                <w14:textFill>
                  <w14:solidFill>
                    <w14:schemeClr w14:val="tx1"/>
                  </w14:solidFill>
                </w14:textFill>
              </w:rPr>
              <w:t>实施依据</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000000" w:themeColor="text1"/>
                <w:sz w:val="21"/>
                <w:szCs w:val="21"/>
                <w14:textFill>
                  <w14:solidFill>
                    <w14:schemeClr w14:val="tx1"/>
                  </w14:solidFill>
                </w14:textFill>
              </w:rPr>
            </w:pPr>
            <w:r>
              <w:rPr>
                <w:rFonts w:hint="eastAsia" w:ascii="宋体" w:hAnsi="宋体" w:cs="仿宋_GB2312"/>
                <w:color w:val="000000" w:themeColor="text1"/>
                <w:sz w:val="21"/>
                <w:szCs w:val="21"/>
                <w14:textFill>
                  <w14:solidFill>
                    <w14:schemeClr w14:val="tx1"/>
                  </w14:solidFill>
                </w14:textFill>
              </w:rPr>
              <w:t>《食盐专营办法》第二十一条  食盐定点生产企业和食盐定点批发企业应当按照食盐储备制度要求，承担企业食盐储备责任，保持食盐的合理库存。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责任主体</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宋体" w:hAnsi="宋体" w:eastAsia="宋体" w:cs="仿宋_GB2312"/>
                <w:color w:val="FF0000"/>
                <w:sz w:val="21"/>
                <w:szCs w:val="21"/>
                <w:lang w:eastAsia="zh-CN"/>
              </w:rPr>
            </w:pPr>
            <w:r>
              <w:rPr>
                <w:rFonts w:hint="eastAsia" w:ascii="宋体" w:hAnsi="宋体" w:cs="仿宋_GB2312"/>
                <w:color w:val="000000" w:themeColor="text1"/>
                <w:sz w:val="21"/>
                <w:szCs w:val="21"/>
                <w:lang w:eastAsia="zh-CN"/>
                <w14:textFill>
                  <w14:solidFill>
                    <w14:schemeClr w14:val="tx1"/>
                  </w14:solidFill>
                </w14:textFill>
              </w:rPr>
              <w:t>船山区经济信息化和科学技术局信息化和运行保障股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责任事项</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000000" w:themeColor="text1"/>
                <w:sz w:val="21"/>
                <w:szCs w:val="21"/>
                <w14:textFill>
                  <w14:solidFill>
                    <w14:schemeClr w14:val="tx1"/>
                  </w14:solidFill>
                </w14:textFill>
              </w:rPr>
            </w:pPr>
            <w:r>
              <w:rPr>
                <w:rFonts w:ascii="宋体" w:hAnsi="宋体" w:cs="仿宋_GB2312"/>
                <w:color w:val="000000" w:themeColor="text1"/>
                <w:sz w:val="21"/>
                <w:szCs w:val="21"/>
                <w14:textFill>
                  <w14:solidFill>
                    <w14:schemeClr w14:val="tx1"/>
                  </w14:solidFill>
                </w14:textFill>
              </w:rPr>
              <w:t>1.受理责任：公示应当提交的材料，一次性告知补正材料，依法受理或不予受理（不予受理应当告知理由）。</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000000" w:themeColor="text1"/>
                <w:sz w:val="21"/>
                <w:szCs w:val="21"/>
                <w14:textFill>
                  <w14:solidFill>
                    <w14:schemeClr w14:val="tx1"/>
                  </w14:solidFill>
                </w14:textFill>
              </w:rPr>
            </w:pPr>
            <w:r>
              <w:rPr>
                <w:rFonts w:ascii="宋体" w:hAnsi="宋体" w:cs="仿宋_GB2312"/>
                <w:color w:val="000000" w:themeColor="text1"/>
                <w:sz w:val="21"/>
                <w:szCs w:val="21"/>
                <w14:textFill>
                  <w14:solidFill>
                    <w14:schemeClr w14:val="tx1"/>
                  </w14:solidFill>
                </w14:textFill>
              </w:rPr>
              <w:t>2.审查责任：审查申请材料，现场踏勘。</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000000" w:themeColor="text1"/>
                <w:sz w:val="21"/>
                <w:szCs w:val="21"/>
                <w14:textFill>
                  <w14:solidFill>
                    <w14:schemeClr w14:val="tx1"/>
                  </w14:solidFill>
                </w14:textFill>
              </w:rPr>
            </w:pPr>
            <w:r>
              <w:rPr>
                <w:rFonts w:ascii="宋体" w:hAnsi="宋体" w:cs="仿宋_GB2312"/>
                <w:color w:val="000000" w:themeColor="text1"/>
                <w:sz w:val="21"/>
                <w:szCs w:val="21"/>
                <w14:textFill>
                  <w14:solidFill>
                    <w14:schemeClr w14:val="tx1"/>
                  </w14:solidFill>
                </w14:textFill>
              </w:rPr>
              <w:t>3.决定责任：作出行政许可或者不予行政许可决定，法定告知（不予许可的应当书面告知理由）。</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000000" w:themeColor="text1"/>
                <w:sz w:val="21"/>
                <w:szCs w:val="21"/>
                <w14:textFill>
                  <w14:solidFill>
                    <w14:schemeClr w14:val="tx1"/>
                  </w14:solidFill>
                </w14:textFill>
              </w:rPr>
            </w:pPr>
            <w:r>
              <w:rPr>
                <w:rFonts w:ascii="宋体" w:hAnsi="宋体" w:cs="仿宋_GB2312"/>
                <w:color w:val="000000" w:themeColor="text1"/>
                <w:sz w:val="21"/>
                <w:szCs w:val="21"/>
                <w14:textFill>
                  <w14:solidFill>
                    <w14:schemeClr w14:val="tx1"/>
                  </w14:solidFill>
                </w14:textFill>
              </w:rPr>
              <w:t>4.事后监管责任：建立实施监督检查的运行机制和管理制度，开展定期和不定期检查，依法采取相关处置措施。</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000000" w:themeColor="text1"/>
                <w:sz w:val="21"/>
                <w:szCs w:val="21"/>
                <w14:textFill>
                  <w14:solidFill>
                    <w14:schemeClr w14:val="tx1"/>
                  </w14:solidFill>
                </w14:textFill>
              </w:rPr>
            </w:pPr>
            <w:r>
              <w:rPr>
                <w:rFonts w:ascii="宋体" w:hAnsi="宋体" w:cs="仿宋_GB2312"/>
                <w:color w:val="000000" w:themeColor="text1"/>
                <w:sz w:val="21"/>
                <w:szCs w:val="21"/>
                <w14:textFill>
                  <w14:solidFill>
                    <w14:schemeClr w14:val="tx1"/>
                  </w14:solidFill>
                </w14:textFill>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宋体" w:hAnsi="宋体" w:cs="仿宋_GB2312"/>
                <w:sz w:val="21"/>
                <w:szCs w:val="21"/>
              </w:rPr>
            </w:pP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eastAsia" w:ascii="宋体" w:hAnsi="宋体" w:cs="仿宋_GB2312"/>
                <w:sz w:val="21"/>
                <w:szCs w:val="21"/>
              </w:rPr>
            </w:pP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eastAsia" w:ascii="宋体" w:hAnsi="宋体" w:cs="仿宋_GB2312"/>
                <w:sz w:val="21"/>
                <w:szCs w:val="21"/>
              </w:rPr>
            </w:pP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eastAsia" w:ascii="宋体" w:hAnsi="宋体" w:cs="仿宋_GB2312"/>
                <w:sz w:val="21"/>
                <w:szCs w:val="21"/>
              </w:rPr>
            </w:pP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eastAsia" w:ascii="宋体" w:hAnsi="宋体" w:cs="仿宋_GB2312"/>
                <w:sz w:val="21"/>
                <w:szCs w:val="21"/>
              </w:rPr>
            </w:pP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eastAsia" w:ascii="宋体" w:hAnsi="宋体" w:cs="仿宋_GB2312"/>
                <w:sz w:val="21"/>
                <w:szCs w:val="21"/>
              </w:rPr>
            </w:pP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eastAsia" w:ascii="宋体" w:hAnsi="宋体" w:cs="仿宋_GB2312"/>
                <w:sz w:val="21"/>
                <w:szCs w:val="21"/>
              </w:rPr>
            </w:pP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eastAsia" w:ascii="宋体" w:hAnsi="宋体" w:cs="仿宋_GB2312"/>
                <w:sz w:val="21"/>
                <w:szCs w:val="21"/>
              </w:rPr>
            </w:pP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eastAsia" w:ascii="宋体" w:hAnsi="宋体" w:cs="仿宋_GB2312"/>
                <w:sz w:val="21"/>
                <w:szCs w:val="21"/>
              </w:rPr>
            </w:pP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eastAsia" w:ascii="宋体" w:hAnsi="宋体" w:cs="仿宋_GB2312"/>
                <w:sz w:val="21"/>
                <w:szCs w:val="21"/>
              </w:rPr>
            </w:pP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eastAsia" w:ascii="宋体" w:hAnsi="宋体" w:cs="仿宋_GB2312"/>
                <w:sz w:val="21"/>
                <w:szCs w:val="21"/>
              </w:rPr>
            </w:pP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eastAsia" w:ascii="宋体" w:hAnsi="宋体" w:cs="仿宋_GB2312"/>
                <w:sz w:val="21"/>
                <w:szCs w:val="21"/>
              </w:rPr>
            </w:pP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eastAsia" w:ascii="宋体" w:hAnsi="宋体" w:cs="仿宋_GB2312"/>
                <w:sz w:val="21"/>
                <w:szCs w:val="21"/>
              </w:rPr>
            </w:pP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eastAsia" w:ascii="宋体" w:hAnsi="宋体" w:cs="仿宋_GB2312"/>
                <w:sz w:val="21"/>
                <w:szCs w:val="21"/>
              </w:rPr>
            </w:pPr>
            <w:r>
              <w:rPr>
                <w:rFonts w:hint="eastAsia" w:ascii="宋体" w:hAnsi="宋体" w:cs="仿宋_GB2312"/>
                <w:sz w:val="21"/>
                <w:szCs w:val="21"/>
              </w:rPr>
              <w:t>责任事项依据</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000000" w:themeColor="text1"/>
                <w:sz w:val="21"/>
                <w:szCs w:val="21"/>
                <w14:textFill>
                  <w14:solidFill>
                    <w14:schemeClr w14:val="tx1"/>
                  </w14:solidFill>
                </w14:textFill>
              </w:rPr>
            </w:pPr>
            <w:r>
              <w:rPr>
                <w:rFonts w:ascii="宋体" w:hAnsi="宋体" w:cs="仿宋_GB2312"/>
                <w:color w:val="000000" w:themeColor="text1"/>
                <w:sz w:val="21"/>
                <w:szCs w:val="21"/>
                <w14:textFill>
                  <w14:solidFill>
                    <w14:schemeClr w14:val="tx1"/>
                  </w14:solidFill>
                </w14:textFill>
              </w:rPr>
              <w:t>《行政许可法》</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hint="default" w:ascii="宋体" w:hAnsi="宋体" w:cs="仿宋_GB2312"/>
                <w:color w:val="000000" w:themeColor="text1"/>
                <w:sz w:val="21"/>
                <w:szCs w:val="21"/>
                <w14:textFill>
                  <w14:solidFill>
                    <w14:schemeClr w14:val="tx1"/>
                  </w14:solidFill>
                </w14:textFill>
              </w:rPr>
            </w:pPr>
            <w:r>
              <w:rPr>
                <w:rFonts w:hint="default" w:ascii="宋体" w:hAnsi="宋体" w:cs="仿宋_GB2312"/>
                <w:color w:val="000000" w:themeColor="text1"/>
                <w:sz w:val="21"/>
                <w:szCs w:val="21"/>
                <w14:textFill>
                  <w14:solidFill>
                    <w14:schemeClr w14:val="tx1"/>
                  </w14:solidFill>
                </w14:textFill>
              </w:rPr>
              <w:t>第三十二条</w:t>
            </w:r>
            <w:r>
              <w:rPr>
                <w:rFonts w:hint="eastAsia" w:ascii="宋体" w:hAnsi="宋体" w:cs="仿宋_GB2312"/>
                <w:color w:val="000000" w:themeColor="text1"/>
                <w:sz w:val="21"/>
                <w:szCs w:val="21"/>
                <w:lang w:val="en-US" w:eastAsia="zh-CN"/>
                <w14:textFill>
                  <w14:solidFill>
                    <w14:schemeClr w14:val="tx1"/>
                  </w14:solidFill>
                </w14:textFill>
              </w:rPr>
              <w:t xml:space="preserve">  </w:t>
            </w:r>
            <w:r>
              <w:rPr>
                <w:rFonts w:hint="default" w:ascii="宋体" w:hAnsi="宋体" w:cs="仿宋_GB2312"/>
                <w:color w:val="000000" w:themeColor="text1"/>
                <w:sz w:val="21"/>
                <w:szCs w:val="21"/>
                <w14:textFill>
                  <w14:solidFill>
                    <w14:schemeClr w14:val="tx1"/>
                  </w14:solidFill>
                </w14:textFill>
              </w:rPr>
              <w:t>行政机关对申请人提出的行政许可申请，应当根据下列情况分别作出处理：</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（一）申请事项依法不需要取得行政许可的，应当即时告知申请人不受理；</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（二）申请事项依法不属于本行政机关职权范围的，应当即时作出不予受理的决定，并告知申请人向有关行政机关申请；</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（三）申请材料存在可以当场更正的错误的，应当允许申请人当场更正；</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（四）申请材料不齐全或者不符合法定形式的，应当当场或者在五日内一次告知申请人需要补正的全部内容，逾期不告知的，自收到申请材料之日起即为受理；</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（五）申请事项属于本行政机关职权范围，申请材料齐全、符合法定形式，或者申请人按照本行政机关的要求提交全部补正申请材料的，应当受理行政许可申请。</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行政机关受理或者不予受理行政许可申请，应当出具加盖本行政机关专用印章和注明日期的书面凭证。</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hint="eastAsia" w:ascii="宋体" w:hAnsi="宋体" w:cs="仿宋_GB2312"/>
                <w:color w:val="000000" w:themeColor="text1"/>
                <w:sz w:val="21"/>
                <w:szCs w:val="21"/>
                <w14:textFill>
                  <w14:solidFill>
                    <w14:schemeClr w14:val="tx1"/>
                  </w14:solidFill>
                </w14:textFill>
              </w:rPr>
            </w:pPr>
            <w:r>
              <w:rPr>
                <w:rFonts w:hint="default" w:ascii="宋体" w:hAnsi="宋体" w:cs="仿宋_GB2312"/>
                <w:color w:val="000000" w:themeColor="text1"/>
                <w:sz w:val="21"/>
                <w:szCs w:val="21"/>
                <w14:textFill>
                  <w14:solidFill>
                    <w14:schemeClr w14:val="tx1"/>
                  </w14:solidFill>
                </w14:textFill>
              </w:rPr>
              <w:t>第三十四条</w:t>
            </w:r>
            <w:r>
              <w:rPr>
                <w:rFonts w:hint="eastAsia" w:ascii="宋体" w:hAnsi="宋体" w:cs="仿宋_GB2312"/>
                <w:color w:val="000000" w:themeColor="text1"/>
                <w:sz w:val="21"/>
                <w:szCs w:val="21"/>
                <w:lang w:val="en-US" w:eastAsia="zh-CN"/>
                <w14:textFill>
                  <w14:solidFill>
                    <w14:schemeClr w14:val="tx1"/>
                  </w14:solidFill>
                </w14:textFill>
              </w:rPr>
              <w:t xml:space="preserve">  </w:t>
            </w:r>
            <w:r>
              <w:rPr>
                <w:rFonts w:hint="default" w:ascii="宋体" w:hAnsi="宋体" w:cs="仿宋_GB2312"/>
                <w:color w:val="000000" w:themeColor="text1"/>
                <w:sz w:val="21"/>
                <w:szCs w:val="21"/>
                <w14:textFill>
                  <w14:solidFill>
                    <w14:schemeClr w14:val="tx1"/>
                  </w14:solidFill>
                </w14:textFill>
              </w:rPr>
              <w:t>行政机关应当对申请人提交的申请材料进行审查。</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申请人提交的申请材料齐全、符合法定形式，行政机关能够当场作出决定的，应当当场作出书面的行政许可决定。</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根据法定条件和程序，需要对申请材料的实质内容进行核实的，行政机关应当指派两名以上工作人员进行核查。</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第三十八条</w:t>
            </w:r>
            <w:r>
              <w:rPr>
                <w:rFonts w:hint="eastAsia" w:ascii="宋体" w:hAnsi="宋体" w:cs="仿宋_GB2312"/>
                <w:color w:val="000000" w:themeColor="text1"/>
                <w:sz w:val="21"/>
                <w:szCs w:val="21"/>
                <w:lang w:val="en-US" w:eastAsia="zh-CN"/>
                <w14:textFill>
                  <w14:solidFill>
                    <w14:schemeClr w14:val="tx1"/>
                  </w14:solidFill>
                </w14:textFill>
              </w:rPr>
              <w:t xml:space="preserve">  </w:t>
            </w:r>
            <w:r>
              <w:rPr>
                <w:rFonts w:hint="default" w:ascii="宋体" w:hAnsi="宋体" w:cs="仿宋_GB2312"/>
                <w:color w:val="000000" w:themeColor="text1"/>
                <w:sz w:val="21"/>
                <w:szCs w:val="21"/>
                <w14:textFill>
                  <w14:solidFill>
                    <w14:schemeClr w14:val="tx1"/>
                  </w14:solidFill>
                </w14:textFill>
              </w:rPr>
              <w:t>申请人的申请符合法定条件、标准的，行政机关应当依法作出准予行政许可的书面决定。</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行政机关依法作出不予行政许可的书面决定的，应当说明理由，并告知申请人享有依法申请行政复议或者提起行政诉讼的权利。</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第六十一条</w:t>
            </w:r>
            <w:r>
              <w:rPr>
                <w:rFonts w:hint="eastAsia" w:ascii="宋体" w:hAnsi="宋体" w:cs="仿宋_GB2312"/>
                <w:color w:val="000000" w:themeColor="text1"/>
                <w:sz w:val="21"/>
                <w:szCs w:val="21"/>
                <w:lang w:val="en-US" w:eastAsia="zh-CN"/>
                <w14:textFill>
                  <w14:solidFill>
                    <w14:schemeClr w14:val="tx1"/>
                  </w14:solidFill>
                </w14:textFill>
              </w:rPr>
              <w:t xml:space="preserve">  </w:t>
            </w:r>
            <w:r>
              <w:rPr>
                <w:rFonts w:hint="default" w:ascii="宋体" w:hAnsi="宋体" w:cs="仿宋_GB2312"/>
                <w:color w:val="000000" w:themeColor="text1"/>
                <w:sz w:val="21"/>
                <w:szCs w:val="21"/>
                <w14:textFill>
                  <w14:solidFill>
                    <w14:schemeClr w14:val="tx1"/>
                  </w14:solidFill>
                </w14:textFill>
              </w:rPr>
              <w:t>行政机关应当建立健全监督制度，通过核查反映被许可人从事行政许可事项活动情况的有关材料，履行监督责任。</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行政机关依法对被许可人从事行政许可事项的活动进行监督检查时，应当将监督检查的情况和处理结果予以记录，由监督检查人员签字后归档。公众有权查阅行政机关监督检查记录。</w:t>
            </w:r>
            <w:r>
              <w:rPr>
                <w:rFonts w:hint="default" w:ascii="宋体" w:hAnsi="宋体" w:cs="仿宋_GB2312"/>
                <w:color w:val="000000" w:themeColor="text1"/>
                <w:sz w:val="21"/>
                <w:szCs w:val="21"/>
                <w14:textFill>
                  <w14:solidFill>
                    <w14:schemeClr w14:val="tx1"/>
                  </w14:solidFill>
                </w14:textFill>
              </w:rPr>
              <w:br w:type="textWrapping"/>
            </w:r>
            <w:r>
              <w:rPr>
                <w:rFonts w:hint="default" w:ascii="宋体" w:hAnsi="宋体" w:cs="仿宋_GB2312"/>
                <w:color w:val="000000" w:themeColor="text1"/>
                <w:sz w:val="21"/>
                <w:szCs w:val="21"/>
                <w14:textFill>
                  <w14:solidFill>
                    <w14:schemeClr w14:val="tx1"/>
                  </w14:solidFill>
                </w14:textFill>
              </w:rPr>
              <w:t>行政机关应当创造条件，实现与被许可人、其他有关行政机关的计算机档案系统互联，核查被许可人从事行政许可事项活动情况。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追责情形</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000000" w:themeColor="text1"/>
                <w:sz w:val="21"/>
                <w:szCs w:val="21"/>
                <w14:textFill>
                  <w14:solidFill>
                    <w14:schemeClr w14:val="tx1"/>
                  </w14:solidFill>
                </w14:textFill>
              </w:rPr>
            </w:pPr>
            <w:r>
              <w:rPr>
                <w:rFonts w:hint="eastAsia" w:ascii="宋体" w:hAnsi="宋体" w:cs="仿宋_GB2312"/>
                <w:color w:val="000000" w:themeColor="text1"/>
                <w:sz w:val="21"/>
                <w:szCs w:val="21"/>
                <w14:textFill>
                  <w14:solidFill>
                    <w14:schemeClr w14:val="tx1"/>
                  </w14:solidFill>
                </w14:textFill>
              </w:rPr>
              <w:t>对不履行或不正确履行行政职责的行政机关及其工作人员，依据</w:t>
            </w:r>
            <w:r>
              <w:rPr>
                <w:rFonts w:hint="eastAsia" w:ascii="宋体" w:hAnsi="宋体" w:cs="仿宋_GB2312"/>
                <w:color w:val="000000" w:themeColor="text1"/>
                <w:sz w:val="21"/>
                <w:szCs w:val="21"/>
                <w:lang w:eastAsia="zh-CN"/>
                <w14:textFill>
                  <w14:solidFill>
                    <w14:schemeClr w14:val="tx1"/>
                  </w14:solidFill>
                </w14:textFill>
              </w:rPr>
              <w:t>《中华人民共和国监察法》</w:t>
            </w:r>
            <w:r>
              <w:rPr>
                <w:rFonts w:hint="eastAsia" w:ascii="宋体" w:hAnsi="宋体" w:cs="仿宋_GB2312"/>
                <w:color w:val="000000" w:themeColor="text1"/>
                <w:sz w:val="21"/>
                <w:szCs w:val="21"/>
                <w14:textFill>
                  <w14:solidFill>
                    <w14:schemeClr w14:val="tx1"/>
                  </w14:solidFill>
                </w14:textFill>
              </w:rPr>
              <w:t>、《中华人民共和国行政许可法》、《行政机关公务员处分条例》、《四川省行政审批违法违纪行为责任追究办法》等法律法规规章的相关规定追究相应的责任。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ascii="宋体" w:hAnsi="宋体" w:cs="仿宋_GB2312"/>
                <w:sz w:val="21"/>
                <w:szCs w:val="21"/>
              </w:rPr>
            </w:pPr>
            <w:r>
              <w:rPr>
                <w:rFonts w:hint="eastAsia" w:ascii="宋体" w:hAnsi="宋体" w:cs="仿宋_GB2312"/>
                <w:sz w:val="21"/>
                <w:szCs w:val="21"/>
              </w:rPr>
              <w:t>监督电话</w:t>
            </w:r>
          </w:p>
        </w:tc>
        <w:tc>
          <w:tcPr>
            <w:tcW w:w="7561"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仿宋_GB2312"/>
                <w:color w:val="FF0000"/>
                <w:sz w:val="21"/>
                <w:szCs w:val="21"/>
              </w:rPr>
            </w:pPr>
            <w:r>
              <w:rPr>
                <w:rFonts w:hint="eastAsia" w:ascii="宋体" w:hAnsi="宋体" w:cs="仿宋_GB2312"/>
                <w:color w:val="000000" w:themeColor="text1"/>
                <w:sz w:val="21"/>
                <w:szCs w:val="21"/>
                <w14:textFill>
                  <w14:solidFill>
                    <w14:schemeClr w14:val="tx1"/>
                  </w14:solidFill>
                </w14:textFill>
              </w:rPr>
              <w:t>0825</w:t>
            </w:r>
            <w:r>
              <w:rPr>
                <w:rFonts w:hint="eastAsia" w:ascii="宋体" w:hAnsi="宋体" w:cs="仿宋_GB2312"/>
                <w:color w:val="000000" w:themeColor="text1"/>
                <w:sz w:val="21"/>
                <w:szCs w:val="21"/>
                <w:lang w:val="en-US" w:eastAsia="zh-CN"/>
                <w14:textFill>
                  <w14:solidFill>
                    <w14:schemeClr w14:val="tx1"/>
                  </w14:solidFill>
                </w14:textFill>
              </w:rPr>
              <w:t>-6807580</w:t>
            </w:r>
          </w:p>
        </w:tc>
      </w:tr>
    </w:tbl>
    <w:p>
      <w:pPr>
        <w:spacing w:line="520" w:lineRule="exact"/>
        <w:rPr>
          <w:rFonts w:hint="eastAsia" w:ascii="仿宋_GB2312" w:hAnsi="仿宋_GB2312" w:eastAsia="仿宋_GB2312" w:cs="仿宋_GB2312"/>
          <w:color w:val="000000"/>
          <w:kern w:val="0"/>
          <w:sz w:val="32"/>
          <w:szCs w:val="32"/>
          <w:u w:val="none" w:color="000000"/>
          <w:lang w:val="en-US" w:eastAsia="zh-CN"/>
        </w:rPr>
      </w:pPr>
      <w:r>
        <w:rPr>
          <w:rFonts w:hint="eastAsia" w:ascii="仿宋_GB2312" w:hAnsi="仿宋_GB2312" w:eastAsia="仿宋_GB2312" w:cs="仿宋_GB2312"/>
          <w:color w:val="000000"/>
          <w:kern w:val="0"/>
          <w:sz w:val="32"/>
          <w:szCs w:val="32"/>
          <w:u w:val="none" w:color="000000"/>
          <w:lang w:val="en-US" w:eastAsia="zh-CN"/>
        </w:rPr>
        <w:t xml:space="preserve"> </w:t>
      </w:r>
    </w:p>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0" distR="0" simplePos="0" relativeHeight="10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102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uXW5&#10;UtAAAAAFAQAADwAAAAAAAAABACAAAAAiAAAAZHJzL2Rvd25yZXYueG1sUEsBAhQAFAAAAAgAh07i&#10;QAR+Hmm4AQAAUAMAAA4AAAAAAAAAAQAgAAAAHwEAAGRycy9lMm9Eb2MueG1sUEsFBgAAAAAGAAYA&#10;WQEAAEkFAAAAAA==&#10;">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05F67"/>
    <w:rsid w:val="05E37454"/>
    <w:rsid w:val="098455FB"/>
    <w:rsid w:val="0DFB09AE"/>
    <w:rsid w:val="0E41065E"/>
    <w:rsid w:val="0FBD56B2"/>
    <w:rsid w:val="13DE09FC"/>
    <w:rsid w:val="162748FF"/>
    <w:rsid w:val="190E2A6D"/>
    <w:rsid w:val="26B020D6"/>
    <w:rsid w:val="2E014320"/>
    <w:rsid w:val="4591429A"/>
    <w:rsid w:val="49CE6349"/>
    <w:rsid w:val="4F026892"/>
    <w:rsid w:val="53CA0772"/>
    <w:rsid w:val="54F90429"/>
    <w:rsid w:val="5C306C86"/>
    <w:rsid w:val="6D076826"/>
    <w:rsid w:val="73C11913"/>
    <w:rsid w:val="7428284C"/>
    <w:rsid w:val="7685799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qFormat/>
    <w:uiPriority w:val="0"/>
  </w:style>
  <w:style w:type="table" w:default="1" w:styleId="5">
    <w:name w:val="Normal Table"/>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FollowedHyperlink"/>
    <w:basedOn w:val="7"/>
    <w:qFormat/>
    <w:uiPriority w:val="0"/>
    <w:rPr>
      <w:color w:val="333333"/>
      <w:u w:val="none"/>
    </w:rPr>
  </w:style>
  <w:style w:type="character" w:styleId="10">
    <w:name w:val="Hyperlink"/>
    <w:basedOn w:val="7"/>
    <w:qFormat/>
    <w:uiPriority w:val="0"/>
    <w:rPr>
      <w:color w:val="333333"/>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21386</Words>
  <Characters>21684</Characters>
  <Paragraphs>804</Paragraphs>
  <TotalTime>88</TotalTime>
  <ScaleCrop>false</ScaleCrop>
  <LinksUpToDate>false</LinksUpToDate>
  <CharactersWithSpaces>22319</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2018-10-08T05:59:00Z</dcterms:created>
  <dc:creator>yhq</dc:creator>
  <cp:lastModifiedBy>CandyKarry</cp:lastModifiedBy>
  <dcterms:modified xsi:type="dcterms:W3CDTF">2019-12-31T03:45:57Z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