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rPr>
      </w:pPr>
      <w:r>
        <w:rPr>
          <w:rFonts w:hint="eastAsia" w:ascii="黑体" w:hAnsi="黑体" w:eastAsia="黑体" w:cs="黑体"/>
        </w:rPr>
        <w:t>附件</w:t>
      </w:r>
    </w:p>
    <w:tbl>
      <w:tblPr>
        <w:tblStyle w:val="6"/>
        <w:tblW w:w="14474" w:type="dxa"/>
        <w:tblInd w:w="0" w:type="dxa"/>
        <w:tblLayout w:type="fixed"/>
        <w:tblCellMar>
          <w:top w:w="0" w:type="dxa"/>
          <w:left w:w="0" w:type="dxa"/>
          <w:bottom w:w="0" w:type="dxa"/>
          <w:right w:w="0" w:type="dxa"/>
        </w:tblCellMar>
      </w:tblPr>
      <w:tblGrid>
        <w:gridCol w:w="650"/>
        <w:gridCol w:w="2059"/>
        <w:gridCol w:w="1829"/>
        <w:gridCol w:w="4691"/>
        <w:gridCol w:w="2835"/>
        <w:gridCol w:w="2410"/>
      </w:tblGrid>
      <w:tr>
        <w:tblPrEx>
          <w:tblLayout w:type="fixed"/>
          <w:tblCellMar>
            <w:top w:w="0" w:type="dxa"/>
            <w:left w:w="0" w:type="dxa"/>
            <w:bottom w:w="0" w:type="dxa"/>
            <w:right w:w="0" w:type="dxa"/>
          </w:tblCellMar>
        </w:tblPrEx>
        <w:trPr>
          <w:trHeight w:val="580" w:hRule="atLeast"/>
        </w:trPr>
        <w:tc>
          <w:tcPr>
            <w:tcW w:w="14474" w:type="dxa"/>
            <w:gridSpan w:val="6"/>
            <w:tcBorders>
              <w:top w:val="nil"/>
              <w:left w:val="nil"/>
              <w:bottom w:val="nil"/>
              <w:right w:val="nil"/>
            </w:tcBorders>
            <w:tcMar>
              <w:top w:w="15" w:type="dxa"/>
              <w:left w:w="15" w:type="dxa"/>
              <w:right w:w="15" w:type="dxa"/>
            </w:tcMar>
            <w:vAlign w:val="center"/>
          </w:tcPr>
          <w:p>
            <w:pPr>
              <w:widowControl/>
              <w:spacing w:line="580" w:lineRule="exact"/>
              <w:jc w:val="center"/>
              <w:textAlignment w:val="center"/>
              <w:rPr>
                <w:rFonts w:ascii="黑体" w:hAnsi="宋体" w:eastAsia="黑体" w:cs="黑体"/>
                <w:color w:val="000000"/>
              </w:rPr>
            </w:pPr>
            <w:r>
              <w:rPr>
                <w:rFonts w:hint="eastAsia" w:ascii="黑体" w:hAnsi="宋体" w:eastAsia="黑体" w:cs="黑体"/>
                <w:color w:val="000000"/>
                <w:kern w:val="0"/>
              </w:rPr>
              <w:t xml:space="preserve">      四川省政府性基金目录清单（2021)</w:t>
            </w:r>
          </w:p>
        </w:tc>
      </w:tr>
      <w:tr>
        <w:tblPrEx>
          <w:tblLayout w:type="fixed"/>
          <w:tblCellMar>
            <w:top w:w="0" w:type="dxa"/>
            <w:left w:w="0" w:type="dxa"/>
            <w:bottom w:w="0" w:type="dxa"/>
            <w:right w:w="0" w:type="dxa"/>
          </w:tblCellMar>
        </w:tblPrEx>
        <w:trPr>
          <w:trHeight w:val="37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序号</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项目名称</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资金管理方式</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政策依据</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征收方式</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黑体" w:hAnsi="宋体" w:eastAsia="黑体" w:cs="黑体"/>
                <w:color w:val="000000"/>
                <w:sz w:val="24"/>
                <w:szCs w:val="24"/>
              </w:rPr>
            </w:pPr>
            <w:r>
              <w:rPr>
                <w:rFonts w:hint="eastAsia" w:ascii="黑体" w:hAnsi="宋体" w:eastAsia="黑体" w:cs="黑体"/>
                <w:color w:val="000000"/>
                <w:kern w:val="0"/>
                <w:sz w:val="24"/>
                <w:szCs w:val="24"/>
              </w:rPr>
              <w:t>收费标准</w:t>
            </w:r>
          </w:p>
        </w:tc>
      </w:tr>
      <w:tr>
        <w:tblPrEx>
          <w:tblLayout w:type="fixed"/>
          <w:tblCellMar>
            <w:top w:w="0" w:type="dxa"/>
            <w:left w:w="0" w:type="dxa"/>
            <w:bottom w:w="0" w:type="dxa"/>
            <w:right w:w="0" w:type="dxa"/>
          </w:tblCellMar>
        </w:tblPrEx>
        <w:trPr>
          <w:trHeight w:val="954"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农网还贷资金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财企〔2001〕820号,财企〔2002〕266号,财企〔2006〕347号,财综〔2007〕3号,财综〔2012〕7号,财综〔2013〕103号,财税〔2015〕59号,财税〔2018〕147号,川办发〔2002〕24号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按电力用户用电量征收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0.02元∕千瓦时</w:t>
            </w:r>
          </w:p>
        </w:tc>
      </w:tr>
      <w:tr>
        <w:tblPrEx>
          <w:tblLayout w:type="fixed"/>
          <w:tblCellMar>
            <w:top w:w="0" w:type="dxa"/>
            <w:left w:w="0" w:type="dxa"/>
            <w:bottom w:w="0" w:type="dxa"/>
            <w:right w:w="0" w:type="dxa"/>
          </w:tblCellMar>
        </w:tblPrEx>
        <w:trPr>
          <w:trHeight w:val="1366"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国家重大水利工程建设基金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财综〔2009〕90号,财综〔2010〕97号,财税〔2010〕44号,财综〔2013〕103号,财税〔2015〕80号,财办税〔2015〕4号,财税〔2017〕51号,财办税〔2017〕60号,财税〔2018〕39号,财税〔2019〕46号,财税〔2020〕9号，川财综〔2013〕57号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按扣除国家扶贫开发工作重点县农业排灌用电后的全部销售电量征收。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1.96875厘/千瓦时</w:t>
            </w:r>
          </w:p>
        </w:tc>
      </w:tr>
      <w:tr>
        <w:tblPrEx>
          <w:tblLayout w:type="fixed"/>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中央水库移民扶持基金（含大中型水库移民后期扶持基金、跨省大中型水库库区基金）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大中型水利水电工程建设征地补偿和移民安置条例》，《长江三峡工程建设移民条例》，国发〔2006〕17号，财综〔2006〕29号，监察部、人事部、财政部令第13号，财监〔2006〕95号，财综〔2007〕26号，财综〔2007〕69号，财综〔2008〕17号，财综〔2008〕30号,财综〔2009〕51号、59号，财综〔2013〕103号，财税〔2015〕80号，财税〔2016〕11号，财税〔2017〕51号，财办税〔2017〕60号，财农〔2017〕128号,财税〔2018〕147号,川府发〔2006〕24号,川财投〔2006〕123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1.大中型水库移民后期扶持基金：按电力用户用电量征收（扣除农业生产用电）；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2.跨省大中型水库库区基金：按有发电收入的跨省、自治区、直辖市大中型水库实际上网销售电量征收。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1.大中型水库移民后期扶持基金：8.3厘/千瓦时，按照财税〔2017〕51号文件规定，自2017年7月1日起按征收标准降低25%执行。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2.跨省大中型水库库区基金：不高于8厘/千瓦时。</w:t>
            </w:r>
          </w:p>
        </w:tc>
      </w:tr>
      <w:tr>
        <w:tblPrEx>
          <w:tblLayout w:type="fixed"/>
          <w:tblCellMar>
            <w:top w:w="0" w:type="dxa"/>
            <w:left w:w="0" w:type="dxa"/>
            <w:bottom w:w="0" w:type="dxa"/>
            <w:right w:w="0" w:type="dxa"/>
          </w:tblCellMar>
        </w:tblPrEx>
        <w:trPr>
          <w:trHeight w:val="129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地方水库移民扶持基金(省级大中型水库库区基金）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缴入省级国库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大中型水利水电工程建设征地补偿和移民安置条例》,国发〔2006〕17号，财综〔2007〕26号，财综〔2008〕17号，财综〔2008〕30号，财综〔2009〕51号、59号，财税〔2016〕11号，财税〔2016〕13号，财税〔2017〕18号,财税〔2020〕58号,川办发〔2008〕34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按有发电收入的省级辖区内大中型水库实际上网销售电量征收。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8厘/千瓦时</w:t>
            </w:r>
          </w:p>
        </w:tc>
      </w:tr>
      <w:tr>
        <w:tblPrEx>
          <w:tblLayout w:type="fixed"/>
          <w:tblCellMar>
            <w:top w:w="0" w:type="dxa"/>
            <w:left w:w="0" w:type="dxa"/>
            <w:bottom w:w="0" w:type="dxa"/>
            <w:right w:w="0" w:type="dxa"/>
          </w:tblCellMar>
        </w:tblPrEx>
        <w:trPr>
          <w:trHeight w:val="103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0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可再生能源发展基金</w:t>
            </w:r>
          </w:p>
        </w:tc>
        <w:tc>
          <w:tcPr>
            <w:tcW w:w="1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《中华人民共和国可再生能源法》，财综〔2011〕115号，财建〔2012〕102号，财综〔2013〕89号，财综〔2013〕103号，财办税〔2015〕4号，财税〔2016〕4号,财税〔2018〕147号，财建〔2020〕4号，财建〔2020〕5号</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按销售电量（扣除农业生产用电）征收。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居民生活用电8厘/千瓦时，其他用电1.9分/千瓦时。</w:t>
            </w:r>
          </w:p>
        </w:tc>
      </w:tr>
    </w:tbl>
    <w:p>
      <w:pPr>
        <w:widowControl/>
        <w:spacing w:line="280" w:lineRule="exact"/>
        <w:jc w:val="center"/>
        <w:textAlignment w:val="center"/>
        <w:rPr>
          <w:rFonts w:hint="eastAsia" w:ascii="黑体" w:hAnsi="宋体" w:eastAsia="黑体" w:cs="黑体"/>
          <w:color w:val="000000"/>
          <w:kern w:val="0"/>
          <w:sz w:val="24"/>
          <w:szCs w:val="24"/>
        </w:rPr>
        <w:sectPr>
          <w:footerReference r:id="rId3" w:type="default"/>
          <w:pgSz w:w="16838" w:h="11906" w:orient="landscape"/>
          <w:pgMar w:top="1588" w:right="1588" w:bottom="1474" w:left="1588" w:header="851" w:footer="992" w:gutter="0"/>
          <w:pgNumType w:fmt="numberInDash"/>
          <w:cols w:space="720" w:num="1"/>
          <w:docGrid w:type="lines" w:linePitch="312" w:charSpace="0"/>
        </w:sectPr>
      </w:pPr>
    </w:p>
    <w:p>
      <w:pPr>
        <w:widowControl/>
        <w:spacing w:line="2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6"/>
        <w:tblW w:w="14318" w:type="dxa"/>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Layout w:type="fixed"/>
          <w:tblCellMar>
            <w:top w:w="0" w:type="dxa"/>
            <w:left w:w="0" w:type="dxa"/>
            <w:bottom w:w="0" w:type="dxa"/>
            <w:right w:w="0" w:type="dxa"/>
          </w:tblCellMar>
        </w:tblPrEx>
        <w:trPr>
          <w:trHeight w:val="61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Layout w:type="fixed"/>
          <w:tblCellMar>
            <w:top w:w="0" w:type="dxa"/>
            <w:left w:w="0" w:type="dxa"/>
            <w:bottom w:w="0" w:type="dxa"/>
            <w:right w:w="0" w:type="dxa"/>
          </w:tblCellMar>
        </w:tblPrEx>
        <w:trPr>
          <w:trHeight w:val="129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民航发展基金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国发〔2012〕24号，财综〔2012〕17号，财税〔2015〕135号,财税〔2019〕46号,财税〔2020〕72号，财政部公告2021年8号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对航空旅客按人次征收，在航空旅客购买机票时一并征收；对航空公司按飞行航线、飞机最大起飞全重、飞行里程征收。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1.向航空旅客征收部分：国内航班旅客50元/人次、国际和地区航班出境旅客70元/人次；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2.向航空公司征收部分：区分飞行航线、飞机起飞全重、飞行里程0.3-1.84元/公里。</w:t>
            </w:r>
          </w:p>
        </w:tc>
      </w:tr>
      <w:tr>
        <w:tblPrEx>
          <w:tblLayout w:type="fixed"/>
          <w:tblCellMar>
            <w:top w:w="0" w:type="dxa"/>
            <w:left w:w="0" w:type="dxa"/>
            <w:bottom w:w="0" w:type="dxa"/>
            <w:right w:w="0" w:type="dxa"/>
          </w:tblCellMar>
        </w:tblPrEx>
        <w:trPr>
          <w:trHeight w:val="107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船舶油污损害赔偿基金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《中华人民共和国海洋环境保护法》,《防治船舶污染海洋环境管理条例》,财综〔2012〕33号,交财审发〔2014〕96号，财政部 交通运输部公告2020年第14号，财政部 交通运输部公告2020年第30号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按海上运输持久性油类物质重量征收。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0.3元/吨</w:t>
            </w:r>
          </w:p>
        </w:tc>
      </w:tr>
      <w:tr>
        <w:tblPrEx>
          <w:tblLayout w:type="fixed"/>
          <w:tblCellMar>
            <w:top w:w="0" w:type="dxa"/>
            <w:left w:w="0" w:type="dxa"/>
            <w:bottom w:w="0" w:type="dxa"/>
            <w:right w:w="0" w:type="dxa"/>
          </w:tblCellMar>
        </w:tblPrEx>
        <w:trPr>
          <w:trHeight w:val="197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铁路建设基金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国发〔1992〕37号，财工字〔1996〕371号，财工〔1997〕543号，财综〔2007〕3号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按铁路运输货物的种类、重量、运输距离等征收，与铁路货运运费一并征收。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1.整车货物：区分货物种类0.019-0.033元/吨.公里；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2.零担货物：区分货物种类0.00019-0.00033元/10千克.公里；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3.自轮运装货物：0.099元/轴.公里；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4.集装箱：区分集装箱尺寸0.264-1.122元/箱.公里。</w:t>
            </w:r>
          </w:p>
        </w:tc>
      </w:tr>
      <w:tr>
        <w:tblPrEx>
          <w:tblLayout w:type="fixed"/>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旅游发展基金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旅办发〔1991〕124号,财综〔2007〕3号,财综〔2010〕123号,财综〔2012〕17号,财税〔2015〕135号,财税〔2020〕72号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按乘坐国际和地区航班出境的旅客人次在票价上征收。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20元∕人次。</w:t>
            </w:r>
          </w:p>
        </w:tc>
      </w:tr>
      <w:tr>
        <w:tblPrEx>
          <w:tblLayout w:type="fixed"/>
          <w:tblCellMar>
            <w:top w:w="0" w:type="dxa"/>
            <w:left w:w="0" w:type="dxa"/>
            <w:bottom w:w="0" w:type="dxa"/>
            <w:right w:w="0" w:type="dxa"/>
          </w:tblCellMar>
        </w:tblPrEx>
        <w:trPr>
          <w:trHeight w:val="77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国家电影事业发展专项资金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缴入中央和省级国库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《电影管理条例》,国办发〔2006〕43号,财税〔2015〕91号,财教〔2016〕4号,财税〔2018〕67号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按经营性电影放映单位票房收入征收。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5%</w:t>
            </w:r>
          </w:p>
        </w:tc>
      </w:tr>
    </w:tbl>
    <w:p>
      <w:pPr>
        <w:widowControl/>
        <w:spacing w:line="280" w:lineRule="exact"/>
        <w:jc w:val="center"/>
        <w:textAlignment w:val="center"/>
        <w:rPr>
          <w:rFonts w:hint="eastAsia" w:ascii="黑体" w:hAnsi="宋体" w:eastAsia="黑体" w:cs="黑体"/>
          <w:color w:val="000000"/>
          <w:kern w:val="0"/>
          <w:sz w:val="24"/>
          <w:szCs w:val="24"/>
        </w:rPr>
        <w:sectPr>
          <w:pgSz w:w="16838" w:h="11906" w:orient="landscape"/>
          <w:pgMar w:top="1587" w:right="2098" w:bottom="1474" w:left="1984" w:header="851" w:footer="992" w:gutter="0"/>
          <w:pgNumType w:fmt="numberInDash"/>
          <w:cols w:space="720" w:num="1"/>
          <w:docGrid w:type="lines" w:linePitch="312" w:charSpace="0"/>
        </w:sectPr>
      </w:pPr>
    </w:p>
    <w:p>
      <w:pPr>
        <w:widowControl/>
        <w:spacing w:line="2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6"/>
        <w:tblW w:w="14318" w:type="dxa"/>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Layout w:type="fixed"/>
          <w:tblCellMar>
            <w:top w:w="0" w:type="dxa"/>
            <w:left w:w="0" w:type="dxa"/>
            <w:bottom w:w="0" w:type="dxa"/>
            <w:right w:w="0" w:type="dxa"/>
          </w:tblCellMar>
        </w:tblPrEx>
        <w:trPr>
          <w:trHeight w:val="61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Layout w:type="fixed"/>
          <w:tblCellMar>
            <w:top w:w="0" w:type="dxa"/>
            <w:left w:w="0" w:type="dxa"/>
            <w:bottom w:w="0" w:type="dxa"/>
            <w:right w:w="0" w:type="dxa"/>
          </w:tblCellMar>
        </w:tblPrEx>
        <w:trPr>
          <w:trHeight w:val="156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11</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废弃电器电子产品处理基金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废弃电器电子产品回收处理管理条例》，财综〔2012〕34号，财综〔2012〕48号，财综〔2012〕80号，财综〔2013〕32号，财综〔2013〕109号，财综〔2013〕110号，财综〔2014〕45号、财税〔2015〕81号，国家税务总局公告2012年第41号，海关总署公告2012年第33号，财政部公告2014年第29号，财政部公告2015年第91号，财税〔2021〕10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按电器电子产品生产者销售、进口电器电子产品的收货人或其代理人进口的电器电子产品数量征收。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电视机征收标准13元/台，电冰箱征收标准12元/台，洗衣机征收标准7元/台，房间空调器征收标准7元/台，微型计算机征收标准10元/台。</w:t>
            </w:r>
          </w:p>
        </w:tc>
      </w:tr>
      <w:tr>
        <w:tblPrEx>
          <w:tblLayout w:type="fixed"/>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文化事业建设费</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国发〔1996〕37号,国办发〔2006〕43号,财预字〔1996〕469号，财文字〔1997〕243号,财综〔2013〕102号,财税〔2016〕25号,财税〔2016〕60号,财税〔2019〕46号,财政部 国家税务总局公告2020年第25号，财政部 税务总局公告2021年第7号，川财规〔2019〕7号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按提供娱乐服务、广告服务的相关单位和个人的计费销售额征收。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r>
      <w:tr>
        <w:tblPrEx>
          <w:tblLayout w:type="fixed"/>
          <w:tblCellMar>
            <w:top w:w="0" w:type="dxa"/>
            <w:left w:w="0" w:type="dxa"/>
            <w:bottom w:w="0" w:type="dxa"/>
            <w:right w:w="0" w:type="dxa"/>
          </w:tblCellMar>
        </w:tblPrEx>
        <w:trPr>
          <w:trHeight w:val="29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13</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森林植被恢复费</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《中华人民共和国森林法》,《中华人民共和国森林法实施条例》,财综〔2002〕73号,财税〔2015〕122号,川财综〔2003〕26号,川财综〔2016〕3号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按用地单位占用林地面积征收。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1.郁闭度0.2以上的乔木林地（含采伐迹地、火烧迹地）、竹林地、苗圃地，每平方米10元；灌木林地、疏林地、未成林造林地，每平方米6元；宜林地，每平方米3元。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2.国家和省级公益林林地，按照第一款规定征收标准2倍征收。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3.城市规划区的林地，按照第一、二款规定征收标准2倍征收。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城市规划区外的林地，按占用征收林地建设项目性质实行不同征收标准。属于公共基础设施、公共事业和国防建设项目的，按照第一、二款规定征收标准征收；属于经营性建设项目的，按照第一、二款规定征收标准2倍征收。</w:t>
            </w:r>
          </w:p>
        </w:tc>
      </w:tr>
    </w:tbl>
    <w:p>
      <w:pPr>
        <w:widowControl/>
        <w:spacing w:line="280" w:lineRule="exact"/>
        <w:jc w:val="center"/>
        <w:textAlignment w:val="center"/>
        <w:rPr>
          <w:rFonts w:hint="eastAsia" w:ascii="黑体" w:hAnsi="宋体" w:eastAsia="黑体" w:cs="黑体"/>
          <w:color w:val="000000"/>
          <w:kern w:val="0"/>
          <w:sz w:val="24"/>
          <w:szCs w:val="24"/>
        </w:rPr>
        <w:sectPr>
          <w:pgSz w:w="16838" w:h="11906" w:orient="landscape"/>
          <w:pgMar w:top="1587" w:right="2098" w:bottom="1474" w:left="1984" w:header="851" w:footer="992" w:gutter="0"/>
          <w:pgNumType w:fmt="numberInDash"/>
          <w:cols w:space="720" w:num="1"/>
          <w:docGrid w:type="lines" w:linePitch="312" w:charSpace="0"/>
        </w:sectPr>
      </w:pPr>
    </w:p>
    <w:p>
      <w:pPr>
        <w:widowControl/>
        <w:spacing w:line="580" w:lineRule="exact"/>
        <w:jc w:val="center"/>
        <w:textAlignment w:val="center"/>
        <w:rPr>
          <w:rFonts w:hint="eastAsia" w:ascii="黑体" w:hAnsi="宋体" w:eastAsia="黑体" w:cs="黑体"/>
          <w:color w:val="000000"/>
          <w:kern w:val="0"/>
        </w:rPr>
      </w:pPr>
      <w:r>
        <w:rPr>
          <w:rFonts w:hint="eastAsia" w:ascii="黑体" w:hAnsi="宋体" w:eastAsia="黑体" w:cs="黑体"/>
          <w:color w:val="000000"/>
          <w:kern w:val="0"/>
        </w:rPr>
        <w:t>四川省政府性基金目录清单（2021)</w:t>
      </w:r>
    </w:p>
    <w:tbl>
      <w:tblPr>
        <w:tblStyle w:val="6"/>
        <w:tblW w:w="14318" w:type="dxa"/>
        <w:tblInd w:w="0" w:type="dxa"/>
        <w:tblLayout w:type="fixed"/>
        <w:tblCellMar>
          <w:top w:w="0" w:type="dxa"/>
          <w:left w:w="0" w:type="dxa"/>
          <w:bottom w:w="0" w:type="dxa"/>
          <w:right w:w="0" w:type="dxa"/>
        </w:tblCellMar>
      </w:tblPr>
      <w:tblGrid>
        <w:gridCol w:w="650"/>
        <w:gridCol w:w="2328"/>
        <w:gridCol w:w="1560"/>
        <w:gridCol w:w="4485"/>
        <w:gridCol w:w="2760"/>
        <w:gridCol w:w="2535"/>
      </w:tblGrid>
      <w:tr>
        <w:tblPrEx>
          <w:tblLayout w:type="fixed"/>
          <w:tblCellMar>
            <w:top w:w="0" w:type="dxa"/>
            <w:left w:w="0" w:type="dxa"/>
            <w:bottom w:w="0" w:type="dxa"/>
            <w:right w:w="0" w:type="dxa"/>
          </w:tblCellMar>
        </w:tblPrEx>
        <w:trPr>
          <w:trHeight w:val="68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szCs w:val="24"/>
              </w:rPr>
            </w:pPr>
            <w:r>
              <w:rPr>
                <w:rFonts w:hint="eastAsia" w:ascii="黑体" w:hAnsi="宋体" w:eastAsia="黑体" w:cs="黑体"/>
                <w:color w:val="000000"/>
                <w:kern w:val="0"/>
                <w:sz w:val="24"/>
                <w:szCs w:val="24"/>
              </w:rPr>
              <w:t>序号</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项目名称</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资金管理方式</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政策依据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征收方式</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18"/>
                <w:szCs w:val="18"/>
              </w:rPr>
            </w:pPr>
            <w:r>
              <w:rPr>
                <w:rFonts w:hint="eastAsia" w:ascii="黑体" w:hAnsi="宋体" w:eastAsia="黑体" w:cs="黑体"/>
                <w:color w:val="000000"/>
                <w:kern w:val="0"/>
                <w:sz w:val="24"/>
                <w:szCs w:val="24"/>
              </w:rPr>
              <w:t>收费标准</w:t>
            </w:r>
          </w:p>
        </w:tc>
      </w:tr>
      <w:tr>
        <w:tblPrEx>
          <w:tblLayout w:type="fixed"/>
          <w:tblCellMar>
            <w:top w:w="0" w:type="dxa"/>
            <w:left w:w="0" w:type="dxa"/>
            <w:bottom w:w="0" w:type="dxa"/>
            <w:right w:w="0" w:type="dxa"/>
          </w:tblCellMar>
        </w:tblPrEx>
        <w:trPr>
          <w:trHeight w:val="154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14</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教育费附加</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缴入中央和地方国库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教育法》,国发〔1986〕50号(国务院令第60号修改发布),国发明电〔1994〕2号、23号，国发〔2010〕35号,财综〔2007〕53号，财税〔2010〕44号，财税〔2010〕103号,财税〔2016〕12号,财税〔2019〕13号，财税〔2019〕21号，财税〔2019〕22号，财税〔2019〕46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按单位和个人实际缴纳增值税、消费税税额计征。</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w:t>
            </w:r>
          </w:p>
        </w:tc>
      </w:tr>
      <w:tr>
        <w:tblPrEx>
          <w:tblLayout w:type="fixed"/>
          <w:tblCellMar>
            <w:top w:w="0" w:type="dxa"/>
            <w:left w:w="0" w:type="dxa"/>
            <w:bottom w:w="0" w:type="dxa"/>
            <w:right w:w="0" w:type="dxa"/>
          </w:tblCellMar>
        </w:tblPrEx>
        <w:trPr>
          <w:trHeight w:val="153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地方教育附加</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中华人民共和国教育法》,财综〔2001〕58号,财综函〔2003〕10号,财综〔2004〕73号,财综〔2007〕53号，财综〔2010〕98号,财综函〔2011〕3号,财税〔2016〕12号,财税〔2018〕70号，财税〔2019〕13号，财税〔2019〕21号，财税〔2019〕22号，财税〔2019〕46号,川府函〔2011〕68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按单位和个人实际缴纳增值税、消费税税额计征。</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2%</w:t>
            </w:r>
          </w:p>
        </w:tc>
      </w:tr>
      <w:tr>
        <w:tblPrEx>
          <w:tblLayout w:type="fixed"/>
          <w:tblCellMar>
            <w:top w:w="0" w:type="dxa"/>
            <w:left w:w="0" w:type="dxa"/>
            <w:bottom w:w="0" w:type="dxa"/>
            <w:right w:w="0" w:type="dxa"/>
          </w:tblCellMar>
        </w:tblPrEx>
        <w:trPr>
          <w:trHeight w:val="1185"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16</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残疾人就业保障金</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《残疾人就业条例》，财综〔2001〕16号，财税〔2015〕72号，财税〔2017〕18号，财税〔2018〕39号,财政部公告2019年第98号，川财综〔2015〕2号,川财规〔2021〕5号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按上年用人单位安排残疾人就业未达到规定比例的差额人数征收。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用人单位在职职工平均工资未超过当地社会平均工资2倍（含）的，征收标准为用人单位在职职工年平均工资；超过当地社会平均工资2倍的，征收标准为当地社会平均工资2倍。</w:t>
            </w:r>
          </w:p>
        </w:tc>
      </w:tr>
      <w:tr>
        <w:tblPrEx>
          <w:tblLayout w:type="fixed"/>
          <w:tblCellMar>
            <w:top w:w="0" w:type="dxa"/>
            <w:left w:w="0" w:type="dxa"/>
            <w:bottom w:w="0" w:type="dxa"/>
            <w:right w:w="0" w:type="dxa"/>
          </w:tblCellMar>
        </w:tblPrEx>
        <w:trPr>
          <w:trHeight w:val="2610" w:hRule="atLeast"/>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17</w:t>
            </w:r>
          </w:p>
        </w:tc>
        <w:tc>
          <w:tcPr>
            <w:tcW w:w="23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城市基础设施配套费</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缴入地方国库</w:t>
            </w:r>
          </w:p>
        </w:tc>
        <w:tc>
          <w:tcPr>
            <w:tcW w:w="4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国发〔1998〕34号，财综函〔2002〕3号,财综〔2007〕53号，财税〔2019〕53号，财政部 税务总局 发展改革委 民政部 商务部 卫生健康委公告2019年第76号，川价费〔2001〕157号,川发改价格〔2012〕1387号，川财规〔2019〕13号，成财综发〔2020〕8号</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按房屋建筑面积征收。</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按房屋建筑面积每平方米为：特大城市112元，大城市65-85元，中等城市30-45元，小城市12-35元。其中，成都市征收标准详见文件。</w:t>
            </w:r>
          </w:p>
        </w:tc>
      </w:tr>
    </w:tbl>
    <w:p>
      <w:pPr>
        <w:spacing w:line="240" w:lineRule="exact"/>
        <w:sectPr>
          <w:pgSz w:w="16838" w:h="11906" w:orient="landscape"/>
          <w:pgMar w:top="1587" w:right="2098" w:bottom="1474" w:left="1984" w:header="851" w:footer="992" w:gutter="0"/>
          <w:pgNumType w:fmt="numberInDash"/>
          <w:cols w:space="720" w:num="1"/>
          <w:docGrid w:type="lines" w:linePitch="312" w:charSpace="0"/>
        </w:sect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pPr>
        <w:spacing w:line="520" w:lineRule="exact"/>
        <w:ind w:firstLine="140" w:firstLineChars="50"/>
        <w:rPr>
          <w:rFonts w:hint="eastAsia" w:ascii="仿宋_GB2312"/>
          <w:sz w:val="28"/>
          <w:szCs w:val="28"/>
        </w:rPr>
      </w:pPr>
    </w:p>
    <w:p>
      <w:bookmarkStart w:id="0" w:name="_GoBack"/>
      <w:bookmarkEnd w:id="0"/>
    </w:p>
    <w:sectPr>
      <w:footerReference r:id="rId4" w:type="default"/>
      <w:pgSz w:w="11906" w:h="16838"/>
      <w:pgMar w:top="2098" w:right="1474" w:bottom="1985"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8.15pt;width:35.05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9316F"/>
    <w:rsid w:val="00897D03"/>
    <w:rsid w:val="00A9316F"/>
    <w:rsid w:val="0A6F4C85"/>
    <w:rsid w:val="75D8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C6ED9F-390F-4F50-8B31-BAE5EEAAA51C}">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730</Words>
  <Characters>4166</Characters>
  <Lines>34</Lines>
  <Paragraphs>9</Paragraphs>
  <TotalTime>0</TotalTime>
  <ScaleCrop>false</ScaleCrop>
  <LinksUpToDate>false</LinksUpToDate>
  <CharactersWithSpaces>4887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2021-11-29T06:35:00Z</dcterms:created>
  <dc:creator>办公室</dc:creator>
  <cp:lastModifiedBy>000</cp:lastModifiedBy>
  <dcterms:modified xsi:type="dcterms:W3CDTF">2021-12-10T02:51:31Z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