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44"/>
        <w:jc w:val="center"/>
        <w:rPr>
          <w:rFonts w:ascii="黑体" w:hAnsi="黑体" w:eastAsia="黑体"/>
          <w:b/>
          <w:sz w:val="52"/>
          <w:szCs w:val="52"/>
        </w:rPr>
      </w:pPr>
    </w:p>
    <w:p>
      <w:pPr>
        <w:adjustRightInd w:val="0"/>
        <w:snapToGrid w:val="0"/>
        <w:ind w:firstLine="0" w:firstLineChars="0"/>
        <w:jc w:val="center"/>
        <w:rPr>
          <w:rFonts w:ascii="黑体" w:hAnsi="黑体" w:eastAsia="黑体"/>
          <w:b/>
          <w:sz w:val="52"/>
          <w:szCs w:val="52"/>
        </w:rPr>
      </w:pPr>
      <w:r>
        <w:rPr>
          <w:rFonts w:hint="eastAsia" w:ascii="黑体" w:hAnsi="黑体" w:eastAsia="黑体"/>
          <w:b/>
          <w:sz w:val="52"/>
          <w:szCs w:val="52"/>
        </w:rPr>
        <w:t>2</w:t>
      </w:r>
      <w:r>
        <w:rPr>
          <w:rFonts w:ascii="黑体" w:hAnsi="黑体" w:eastAsia="黑体"/>
          <w:b/>
          <w:sz w:val="52"/>
          <w:szCs w:val="52"/>
        </w:rPr>
        <w:t>021</w:t>
      </w:r>
      <w:r>
        <w:rPr>
          <w:rFonts w:hint="eastAsia" w:ascii="黑体" w:hAnsi="黑体" w:eastAsia="黑体"/>
          <w:b/>
          <w:sz w:val="52"/>
          <w:szCs w:val="52"/>
        </w:rPr>
        <w:t>年度船山区种粮大户补贴政策</w:t>
      </w:r>
      <w:r>
        <w:rPr>
          <w:rFonts w:ascii="黑体" w:hAnsi="黑体" w:eastAsia="黑体"/>
          <w:b/>
          <w:sz w:val="52"/>
          <w:szCs w:val="52"/>
        </w:rPr>
        <w:t>绩效评价</w:t>
      </w:r>
      <w:r>
        <w:rPr>
          <w:rFonts w:hint="eastAsia" w:ascii="黑体" w:hAnsi="黑体" w:eastAsia="黑体"/>
          <w:b/>
          <w:sz w:val="52"/>
          <w:szCs w:val="52"/>
        </w:rPr>
        <w:t>报告</w:t>
      </w:r>
    </w:p>
    <w:p>
      <w:pPr>
        <w:widowControl/>
        <w:adjustRightInd w:val="0"/>
        <w:snapToGrid w:val="0"/>
        <w:spacing w:before="120" w:after="120"/>
        <w:ind w:firstLine="723"/>
        <w:jc w:val="center"/>
        <w:rPr>
          <w:rFonts w:eastAsia="仿宋_GB2312"/>
          <w:b/>
          <w:sz w:val="36"/>
          <w:szCs w:val="36"/>
        </w:rPr>
      </w:pPr>
    </w:p>
    <w:p>
      <w:pPr>
        <w:widowControl/>
        <w:adjustRightInd w:val="0"/>
        <w:snapToGrid w:val="0"/>
        <w:spacing w:before="120" w:after="120"/>
        <w:ind w:firstLine="723"/>
        <w:jc w:val="center"/>
        <w:rPr>
          <w:rFonts w:eastAsia="仿宋_GB2312"/>
          <w:b/>
          <w:sz w:val="36"/>
          <w:szCs w:val="36"/>
        </w:rPr>
      </w:pPr>
    </w:p>
    <w:p>
      <w:pPr>
        <w:widowControl/>
        <w:adjustRightInd w:val="0"/>
        <w:snapToGrid w:val="0"/>
        <w:spacing w:before="120" w:after="120"/>
        <w:ind w:firstLine="723"/>
        <w:jc w:val="center"/>
        <w:rPr>
          <w:rFonts w:eastAsia="仿宋_GB2312"/>
          <w:b/>
          <w:sz w:val="36"/>
          <w:szCs w:val="36"/>
        </w:rPr>
      </w:pPr>
    </w:p>
    <w:p>
      <w:pPr>
        <w:widowControl/>
        <w:adjustRightInd w:val="0"/>
        <w:snapToGrid w:val="0"/>
        <w:ind w:firstLine="723"/>
        <w:jc w:val="center"/>
        <w:rPr>
          <w:rFonts w:eastAsia="仿宋_GB2312"/>
          <w:b/>
          <w:kern w:val="0"/>
          <w:sz w:val="36"/>
          <w:szCs w:val="35"/>
        </w:rPr>
      </w:pPr>
    </w:p>
    <w:p>
      <w:pPr>
        <w:pStyle w:val="6"/>
        <w:ind w:firstLine="640"/>
      </w:pPr>
    </w:p>
    <w:p>
      <w:pPr>
        <w:pStyle w:val="6"/>
        <w:ind w:firstLine="640"/>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firstLine="1280" w:firstLineChars="400"/>
        <w:rPr>
          <w:rFonts w:eastAsia="黑体"/>
          <w:bCs/>
          <w:szCs w:val="32"/>
        </w:rPr>
      </w:pPr>
      <w:r>
        <w:rPr>
          <w:rFonts w:eastAsia="黑体"/>
          <w:bCs/>
          <w:szCs w:val="32"/>
        </w:rPr>
        <w:t>项目名称：</w:t>
      </w:r>
      <w:r>
        <w:rPr>
          <w:rFonts w:hint="eastAsia" w:eastAsia="黑体"/>
          <w:bCs/>
          <w:szCs w:val="32"/>
        </w:rPr>
        <w:t>种粮大户补贴政策</w:t>
      </w:r>
    </w:p>
    <w:p>
      <w:pPr>
        <w:adjustRightInd w:val="0"/>
        <w:snapToGrid w:val="0"/>
        <w:ind w:firstLine="1280" w:firstLineChars="400"/>
        <w:rPr>
          <w:rFonts w:eastAsia="黑体"/>
          <w:bCs/>
          <w:szCs w:val="32"/>
        </w:rPr>
      </w:pPr>
      <w:r>
        <w:rPr>
          <w:rFonts w:eastAsia="黑体"/>
          <w:bCs/>
          <w:szCs w:val="32"/>
        </w:rPr>
        <w:t>项目单位：</w:t>
      </w:r>
      <w:r>
        <w:rPr>
          <w:rFonts w:hint="eastAsia" w:eastAsia="黑体"/>
          <w:bCs/>
          <w:szCs w:val="32"/>
        </w:rPr>
        <w:t>船山区农业农村局、船山区各乡镇</w:t>
      </w:r>
    </w:p>
    <w:p>
      <w:pPr>
        <w:adjustRightInd w:val="0"/>
        <w:snapToGrid w:val="0"/>
        <w:ind w:firstLine="1280" w:firstLineChars="400"/>
        <w:rPr>
          <w:rFonts w:eastAsia="黑体"/>
          <w:bCs/>
          <w:szCs w:val="32"/>
        </w:rPr>
      </w:pPr>
      <w:r>
        <w:rPr>
          <w:rFonts w:eastAsia="黑体"/>
          <w:bCs/>
          <w:szCs w:val="32"/>
        </w:rPr>
        <w:t>主管部门：</w:t>
      </w:r>
      <w:r>
        <w:rPr>
          <w:rFonts w:hint="eastAsia" w:eastAsia="黑体"/>
          <w:bCs/>
          <w:szCs w:val="32"/>
        </w:rPr>
        <w:t>船山区农业农村局</w:t>
      </w:r>
    </w:p>
    <w:p>
      <w:pPr>
        <w:adjustRightInd w:val="0"/>
        <w:snapToGrid w:val="0"/>
        <w:ind w:firstLine="1280" w:firstLineChars="400"/>
        <w:rPr>
          <w:rFonts w:eastAsia="黑体"/>
          <w:bCs/>
          <w:szCs w:val="32"/>
        </w:rPr>
      </w:pPr>
      <w:r>
        <w:rPr>
          <w:rFonts w:eastAsia="黑体"/>
          <w:bCs/>
          <w:szCs w:val="32"/>
        </w:rPr>
        <w:t>委托单位：</w:t>
      </w:r>
      <w:r>
        <w:rPr>
          <w:rFonts w:hint="eastAsia" w:eastAsia="黑体"/>
          <w:bCs/>
          <w:szCs w:val="32"/>
        </w:rPr>
        <w:t>船山区财政局</w:t>
      </w:r>
    </w:p>
    <w:p>
      <w:pPr>
        <w:adjustRightInd w:val="0"/>
        <w:snapToGrid w:val="0"/>
        <w:ind w:firstLine="1280" w:firstLineChars="400"/>
        <w:rPr>
          <w:rFonts w:eastAsia="黑体"/>
          <w:bCs/>
          <w:szCs w:val="32"/>
        </w:rPr>
      </w:pPr>
      <w:r>
        <w:rPr>
          <w:rFonts w:eastAsia="黑体"/>
          <w:bCs/>
          <w:szCs w:val="32"/>
        </w:rPr>
        <w:t>咨询机构：</w:t>
      </w:r>
      <w:bookmarkStart w:id="0" w:name="_Hlk119591439"/>
      <w:r>
        <w:rPr>
          <w:rFonts w:hint="eastAsia" w:eastAsia="黑体"/>
          <w:bCs/>
          <w:szCs w:val="32"/>
        </w:rPr>
        <w:t>四川中政致诚商务信息咨询有限公司</w:t>
      </w:r>
      <w:bookmarkEnd w:id="0"/>
    </w:p>
    <w:p>
      <w:pPr>
        <w:adjustRightInd w:val="0"/>
        <w:snapToGrid w:val="0"/>
        <w:ind w:firstLine="640"/>
        <w:jc w:val="center"/>
        <w:rPr>
          <w:rFonts w:eastAsia="黑体"/>
          <w:bCs/>
          <w:szCs w:val="32"/>
        </w:rPr>
      </w:pPr>
    </w:p>
    <w:p>
      <w:pPr>
        <w:adjustRightInd w:val="0"/>
        <w:snapToGrid w:val="0"/>
        <w:ind w:firstLine="640"/>
        <w:jc w:val="center"/>
        <w:rPr>
          <w:rFonts w:eastAsia="黑体"/>
          <w:bCs/>
          <w:szCs w:val="32"/>
        </w:rPr>
      </w:pPr>
      <w:r>
        <w:rPr>
          <w:rFonts w:eastAsia="黑体"/>
          <w:bCs/>
          <w:szCs w:val="32"/>
        </w:rPr>
        <w:t>二〇</w:t>
      </w:r>
      <w:r>
        <w:rPr>
          <w:rFonts w:hint="eastAsia" w:eastAsia="黑体"/>
          <w:bCs/>
          <w:szCs w:val="32"/>
        </w:rPr>
        <w:t>二二</w:t>
      </w:r>
      <w:r>
        <w:rPr>
          <w:rFonts w:eastAsia="黑体"/>
          <w:bCs/>
          <w:szCs w:val="32"/>
        </w:rPr>
        <w:t>年</w:t>
      </w:r>
      <w:r>
        <w:rPr>
          <w:rFonts w:hint="eastAsia" w:eastAsia="黑体"/>
          <w:bCs/>
          <w:szCs w:val="32"/>
        </w:rPr>
        <w:t>十一</w:t>
      </w:r>
      <w:r>
        <w:rPr>
          <w:rFonts w:eastAsia="黑体"/>
          <w:bCs/>
          <w:szCs w:val="32"/>
        </w:rPr>
        <w:t>月</w:t>
      </w:r>
    </w:p>
    <w:p>
      <w:pPr>
        <w:adjustRightInd w:val="0"/>
        <w:snapToGrid w:val="0"/>
        <w:ind w:firstLine="640"/>
        <w:rPr>
          <w:rFonts w:eastAsia="黑体"/>
          <w:bCs/>
          <w:szCs w:val="32"/>
        </w:rPr>
      </w:pPr>
    </w:p>
    <w:p>
      <w:pPr>
        <w:adjustRightInd w:val="0"/>
        <w:snapToGrid w:val="0"/>
        <w:ind w:firstLine="640"/>
        <w:rPr>
          <w:rFonts w:eastAsia="黑体"/>
          <w:bCs/>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sdt>
      <w:sdtPr>
        <w:rPr>
          <w:rFonts w:ascii="Times New Roman" w:hAnsi="Times New Roman" w:eastAsia="仿宋" w:cs="Times New Roman"/>
          <w:color w:val="auto"/>
          <w:kern w:val="2"/>
          <w:szCs w:val="24"/>
          <w:lang w:val="zh-CN"/>
        </w:rPr>
        <w:id w:val="296965029"/>
        <w:docPartObj>
          <w:docPartGallery w:val="Table of Contents"/>
          <w:docPartUnique/>
        </w:docPartObj>
      </w:sdtPr>
      <w:sdtEndPr>
        <w:rPr>
          <w:rFonts w:ascii="Times New Roman" w:hAnsi="Times New Roman" w:eastAsia="仿宋" w:cs="Times New Roman"/>
          <w:b/>
          <w:bCs/>
          <w:color w:val="auto"/>
          <w:kern w:val="2"/>
          <w:szCs w:val="24"/>
          <w:lang w:val="zh-CN"/>
        </w:rPr>
      </w:sdtEndPr>
      <w:sdtContent>
        <w:p>
          <w:pPr>
            <w:pStyle w:val="44"/>
            <w:spacing w:before="0" w:line="360" w:lineRule="auto"/>
            <w:ind w:firstLine="640"/>
            <w:jc w:val="center"/>
            <w:rPr>
              <w:rFonts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录</w:t>
          </w:r>
        </w:p>
        <w:p>
          <w:pPr>
            <w:pStyle w:val="10"/>
            <w:tabs>
              <w:tab w:val="right" w:leader="dot" w:pos="8302"/>
            </w:tabs>
            <w:ind w:firstLine="640"/>
            <w:rPr>
              <w:rFonts w:asciiTheme="minorHAnsi" w:hAnsiTheme="minorHAnsi" w:eastAsiaTheme="minorEastAsia" w:cstheme="minorBidi"/>
              <w:sz w:val="21"/>
              <w:szCs w:val="22"/>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"_Toc119581810" </w:instrText>
          </w:r>
          <w:r>
            <w:fldChar w:fldCharType="separate"/>
          </w:r>
          <w:r>
            <w:rPr>
              <w:rStyle w:val="19"/>
              <w:color w:val="auto"/>
            </w:rPr>
            <w:t>一、政策基本情况</w:t>
          </w:r>
          <w:r>
            <w:tab/>
          </w:r>
          <w:r>
            <w:fldChar w:fldCharType="begin"/>
          </w:r>
          <w:r>
            <w:instrText xml:space="preserve"> PAGEREF _Toc119581810 \h </w:instrText>
          </w:r>
          <w:r>
            <w:fldChar w:fldCharType="separate"/>
          </w:r>
          <w:r>
            <w:t>- 1 -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"_Toc119581811" </w:instrText>
          </w:r>
          <w:r>
            <w:fldChar w:fldCharType="separate"/>
          </w:r>
          <w:r>
            <w:rPr>
              <w:rStyle w:val="19"/>
              <w:color w:val="auto"/>
            </w:rPr>
            <w:t>（一）政策背景及立项依据</w:t>
          </w:r>
          <w:r>
            <w:tab/>
          </w:r>
          <w:r>
            <w:fldChar w:fldCharType="begin"/>
          </w:r>
          <w:r>
            <w:instrText xml:space="preserve"> PAGEREF _Toc119581811 \h </w:instrText>
          </w:r>
          <w:r>
            <w:fldChar w:fldCharType="separate"/>
          </w:r>
          <w:r>
            <w:t>- 1 -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"_Toc119581814" </w:instrText>
          </w:r>
          <w:r>
            <w:fldChar w:fldCharType="separate"/>
          </w:r>
          <w:r>
            <w:rPr>
              <w:rStyle w:val="19"/>
              <w:color w:val="auto"/>
            </w:rPr>
            <w:t>（二）政策制定内容</w:t>
          </w:r>
          <w:r>
            <w:tab/>
          </w:r>
          <w:r>
            <w:fldChar w:fldCharType="begin"/>
          </w:r>
          <w:r>
            <w:instrText xml:space="preserve"> PAGEREF _Toc119581814 \h </w:instrText>
          </w:r>
          <w:r>
            <w:fldChar w:fldCharType="separate"/>
          </w:r>
          <w:r>
            <w:t>- 2 -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"_Toc119581815" </w:instrText>
          </w:r>
          <w:r>
            <w:fldChar w:fldCharType="separate"/>
          </w:r>
          <w:r>
            <w:rPr>
              <w:rStyle w:val="19"/>
              <w:color w:val="auto"/>
            </w:rPr>
            <w:t>（三）政策资金情况</w:t>
          </w:r>
          <w:r>
            <w:tab/>
          </w:r>
          <w:r>
            <w:fldChar w:fldCharType="begin"/>
          </w:r>
          <w:r>
            <w:instrText xml:space="preserve"> PAGEREF _Toc119581815 \h </w:instrText>
          </w:r>
          <w:r>
            <w:fldChar w:fldCharType="separate"/>
          </w:r>
          <w:r>
            <w:t>- 4 -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"_Toc119581818" </w:instrText>
          </w:r>
          <w:r>
            <w:fldChar w:fldCharType="separate"/>
          </w:r>
          <w:r>
            <w:rPr>
              <w:rStyle w:val="19"/>
              <w:color w:val="auto"/>
            </w:rPr>
            <w:t>（三）政策组织情况</w:t>
          </w:r>
          <w:r>
            <w:tab/>
          </w:r>
          <w:r>
            <w:fldChar w:fldCharType="begin"/>
          </w:r>
          <w:r>
            <w:instrText xml:space="preserve"> PAGEREF _Toc119581818 \h </w:instrText>
          </w:r>
          <w:r>
            <w:fldChar w:fldCharType="separate"/>
          </w:r>
          <w:r>
            <w:t>- 13 -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"_Toc119581819" </w:instrText>
          </w:r>
          <w:r>
            <w:fldChar w:fldCharType="separate"/>
          </w:r>
          <w:r>
            <w:rPr>
              <w:rStyle w:val="19"/>
              <w:color w:val="auto"/>
            </w:rPr>
            <w:t>（四）政策绩效目标</w:t>
          </w:r>
          <w:r>
            <w:tab/>
          </w:r>
          <w:r>
            <w:fldChar w:fldCharType="begin"/>
          </w:r>
          <w:r>
            <w:instrText xml:space="preserve"> PAGEREF _Toc119581819 \h </w:instrText>
          </w:r>
          <w:r>
            <w:fldChar w:fldCharType="separate"/>
          </w:r>
          <w:r>
            <w:t>- 14 -</w:t>
          </w:r>
          <w:r>
            <w:fldChar w:fldCharType="end"/>
          </w:r>
          <w:r>
            <w:fldChar w:fldCharType="end"/>
          </w:r>
        </w:p>
        <w:p>
          <w:pPr>
            <w:pStyle w:val="10"/>
            <w:tabs>
              <w:tab w:val="right" w:leader="dot" w:pos="8302"/>
            </w:tabs>
            <w:ind w:firstLine="640"/>
            <w:rPr>
              <w:rFonts w:asciiTheme="minorHAnsi" w:hAnsiTheme="minorHAnsi" w:eastAsiaTheme="minorEastAsia" w:cstheme="minorBidi"/>
              <w:sz w:val="21"/>
              <w:szCs w:val="22"/>
            </w:rPr>
          </w:pPr>
          <w:r>
            <w:fldChar w:fldCharType="begin"/>
          </w:r>
          <w:r>
            <w:instrText xml:space="preserve"> HYPERLINK \l "_Toc119581820" </w:instrText>
          </w:r>
          <w:r>
            <w:fldChar w:fldCharType="separate"/>
          </w:r>
          <w:r>
            <w:rPr>
              <w:rStyle w:val="19"/>
              <w:color w:val="auto"/>
            </w:rPr>
            <w:t>二、绩效评价工作情况</w:t>
          </w:r>
          <w:r>
            <w:tab/>
          </w:r>
          <w:r>
            <w:fldChar w:fldCharType="begin"/>
          </w:r>
          <w:r>
            <w:instrText xml:space="preserve"> PAGEREF _Toc119581820 \h </w:instrText>
          </w:r>
          <w:r>
            <w:fldChar w:fldCharType="separate"/>
          </w:r>
          <w:r>
            <w:t>- 15 -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"_Toc119581821" </w:instrText>
          </w:r>
          <w:r>
            <w:fldChar w:fldCharType="separate"/>
          </w:r>
          <w:r>
            <w:rPr>
              <w:rStyle w:val="19"/>
              <w:color w:val="auto"/>
            </w:rPr>
            <w:t>（一）评价方法</w:t>
          </w:r>
          <w:r>
            <w:tab/>
          </w:r>
          <w:r>
            <w:fldChar w:fldCharType="begin"/>
          </w:r>
          <w:r>
            <w:instrText xml:space="preserve"> PAGEREF _Toc119581821 \h </w:instrText>
          </w:r>
          <w:r>
            <w:fldChar w:fldCharType="separate"/>
          </w:r>
          <w:r>
            <w:t>- 15 -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"_Toc119581822" </w:instrText>
          </w:r>
          <w:r>
            <w:fldChar w:fldCharType="separate"/>
          </w:r>
          <w:r>
            <w:rPr>
              <w:rStyle w:val="19"/>
              <w:color w:val="auto"/>
            </w:rPr>
            <w:t>（二）评价指标</w:t>
          </w:r>
          <w:r>
            <w:tab/>
          </w:r>
          <w:r>
            <w:fldChar w:fldCharType="begin"/>
          </w:r>
          <w:r>
            <w:instrText xml:space="preserve"> PAGEREF _Toc119581822 \h </w:instrText>
          </w:r>
          <w:r>
            <w:fldChar w:fldCharType="separate"/>
          </w:r>
          <w:r>
            <w:t>- 15 -</w:t>
          </w:r>
          <w:r>
            <w:fldChar w:fldCharType="end"/>
          </w:r>
          <w:r>
            <w:fldChar w:fldCharType="end"/>
          </w:r>
        </w:p>
        <w:p>
          <w:pPr>
            <w:pStyle w:val="10"/>
            <w:tabs>
              <w:tab w:val="right" w:leader="dot" w:pos="8302"/>
            </w:tabs>
            <w:ind w:firstLine="640"/>
            <w:rPr>
              <w:rFonts w:asciiTheme="minorHAnsi" w:hAnsiTheme="minorHAnsi" w:eastAsiaTheme="minorEastAsia" w:cstheme="minorBidi"/>
              <w:sz w:val="21"/>
              <w:szCs w:val="22"/>
            </w:rPr>
          </w:pPr>
          <w:r>
            <w:fldChar w:fldCharType="begin"/>
          </w:r>
          <w:r>
            <w:instrText xml:space="preserve"> HYPERLINK \l "_Toc119581827" </w:instrText>
          </w:r>
          <w:r>
            <w:fldChar w:fldCharType="separate"/>
          </w:r>
          <w:r>
            <w:rPr>
              <w:rStyle w:val="19"/>
              <w:color w:val="auto"/>
            </w:rPr>
            <w:t>三、评价结论和绩效分析</w:t>
          </w:r>
          <w:r>
            <w:tab/>
          </w:r>
          <w:r>
            <w:fldChar w:fldCharType="begin"/>
          </w:r>
          <w:r>
            <w:instrText xml:space="preserve"> PAGEREF _Toc119581827 \h </w:instrText>
          </w:r>
          <w:r>
            <w:fldChar w:fldCharType="separate"/>
          </w:r>
          <w:r>
            <w:t>- 18 -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"_Toc119581828" </w:instrText>
          </w:r>
          <w:r>
            <w:fldChar w:fldCharType="separate"/>
          </w:r>
          <w:r>
            <w:rPr>
              <w:rStyle w:val="19"/>
              <w:color w:val="auto"/>
            </w:rPr>
            <w:t>（一）评价结论</w:t>
          </w:r>
          <w:r>
            <w:tab/>
          </w:r>
          <w:r>
            <w:fldChar w:fldCharType="begin"/>
          </w:r>
          <w:r>
            <w:instrText xml:space="preserve"> PAGEREF _Toc119581828 \h </w:instrText>
          </w:r>
          <w:r>
            <w:fldChar w:fldCharType="separate"/>
          </w:r>
          <w:r>
            <w:t>- 18 -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"_Toc119581829" </w:instrText>
          </w:r>
          <w:r>
            <w:fldChar w:fldCharType="separate"/>
          </w:r>
          <w:r>
            <w:rPr>
              <w:rStyle w:val="19"/>
              <w:color w:val="auto"/>
            </w:rPr>
            <w:t>（二）绩效分析</w:t>
          </w:r>
          <w:r>
            <w:tab/>
          </w:r>
          <w:r>
            <w:fldChar w:fldCharType="begin"/>
          </w:r>
          <w:r>
            <w:instrText xml:space="preserve"> PAGEREF _Toc119581829 \h </w:instrText>
          </w:r>
          <w:r>
            <w:fldChar w:fldCharType="separate"/>
          </w:r>
          <w:r>
            <w:t>- 19 -</w:t>
          </w:r>
          <w:r>
            <w:fldChar w:fldCharType="end"/>
          </w:r>
          <w:r>
            <w:fldChar w:fldCharType="end"/>
          </w:r>
        </w:p>
        <w:p>
          <w:pPr>
            <w:pStyle w:val="10"/>
            <w:tabs>
              <w:tab w:val="right" w:leader="dot" w:pos="8302"/>
            </w:tabs>
            <w:ind w:firstLine="640"/>
            <w:rPr>
              <w:rFonts w:asciiTheme="minorHAnsi" w:hAnsiTheme="minorHAnsi" w:eastAsiaTheme="minorEastAsia" w:cstheme="minorBidi"/>
              <w:sz w:val="21"/>
              <w:szCs w:val="22"/>
            </w:rPr>
          </w:pPr>
          <w:r>
            <w:fldChar w:fldCharType="begin"/>
          </w:r>
          <w:r>
            <w:instrText xml:space="preserve"> HYPERLINK \l "_Toc119581833" </w:instrText>
          </w:r>
          <w:r>
            <w:fldChar w:fldCharType="separate"/>
          </w:r>
          <w:r>
            <w:rPr>
              <w:rStyle w:val="19"/>
              <w:color w:val="auto"/>
            </w:rPr>
            <w:t>四、存在的问题及建议</w:t>
          </w:r>
          <w:r>
            <w:tab/>
          </w:r>
          <w:r>
            <w:fldChar w:fldCharType="begin"/>
          </w:r>
          <w:r>
            <w:instrText xml:space="preserve"> PAGEREF _Toc119581833 \h </w:instrText>
          </w:r>
          <w:r>
            <w:fldChar w:fldCharType="separate"/>
          </w:r>
          <w:r>
            <w:t>- 25 -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"_Toc119581834" </w:instrText>
          </w:r>
          <w:r>
            <w:fldChar w:fldCharType="separate"/>
          </w:r>
          <w:r>
            <w:rPr>
              <w:rStyle w:val="19"/>
              <w:color w:val="auto"/>
            </w:rPr>
            <w:t>（一）存在问题</w:t>
          </w:r>
          <w:r>
            <w:tab/>
          </w:r>
          <w:r>
            <w:fldChar w:fldCharType="begin"/>
          </w:r>
          <w:r>
            <w:instrText xml:space="preserve"> PAGEREF _Toc119581834 \h </w:instrText>
          </w:r>
          <w:r>
            <w:fldChar w:fldCharType="separate"/>
          </w:r>
          <w:r>
            <w:t>- 25 -</w:t>
          </w:r>
          <w:r>
            <w:fldChar w:fldCharType="end"/>
          </w:r>
          <w:r>
            <w:fldChar w:fldCharType="end"/>
          </w:r>
        </w:p>
        <w:p>
          <w:pPr>
            <w:pStyle w:val="12"/>
            <w:tabs>
              <w:tab w:val="right" w:leader="dot" w:pos="8302"/>
            </w:tabs>
            <w:ind w:left="640" w:firstLine="640"/>
            <w:rPr>
              <w:rFonts w:asciiTheme="minorHAnsi" w:hAnsiTheme="minorHAnsi" w:eastAsiaTheme="minorEastAsia" w:cstheme="minorBidi"/>
              <w:sz w:val="21"/>
              <w:szCs w:val="22"/>
            </w:rPr>
          </w:pPr>
          <w:r>
            <w:fldChar w:fldCharType="begin"/>
          </w:r>
          <w:r>
            <w:instrText xml:space="preserve"> HYPERLINK \l "_Toc119581839" </w:instrText>
          </w:r>
          <w:r>
            <w:fldChar w:fldCharType="separate"/>
          </w:r>
          <w:r>
            <w:rPr>
              <w:rStyle w:val="19"/>
              <w:rFonts w:ascii="仿宋_GB2312"/>
              <w:color w:val="auto"/>
            </w:rPr>
            <w:t>（</w:t>
          </w:r>
          <w:r>
            <w:rPr>
              <w:rStyle w:val="19"/>
              <w:color w:val="auto"/>
            </w:rPr>
            <w:t>二）相关建议</w:t>
          </w:r>
          <w:r>
            <w:tab/>
          </w:r>
          <w:r>
            <w:fldChar w:fldCharType="begin"/>
          </w:r>
          <w:r>
            <w:instrText xml:space="preserve"> PAGEREF _Toc119581839 \h </w:instrText>
          </w:r>
          <w:r>
            <w:fldChar w:fldCharType="separate"/>
          </w:r>
          <w:r>
            <w:t>- 26 -</w:t>
          </w:r>
          <w:r>
            <w:fldChar w:fldCharType="end"/>
          </w:r>
          <w:r>
            <w:fldChar w:fldCharType="end"/>
          </w:r>
        </w:p>
        <w:p>
          <w:pPr>
            <w:pStyle w:val="10"/>
            <w:tabs>
              <w:tab w:val="right" w:leader="dot" w:pos="8302"/>
            </w:tabs>
            <w:ind w:firstLine="640"/>
            <w:rPr>
              <w:rFonts w:asciiTheme="minorHAnsi" w:hAnsiTheme="minorHAnsi" w:eastAsiaTheme="minorEastAsia" w:cstheme="minorBidi"/>
              <w:sz w:val="21"/>
              <w:szCs w:val="22"/>
            </w:rPr>
          </w:pPr>
          <w:r>
            <w:fldChar w:fldCharType="begin"/>
          </w:r>
          <w:r>
            <w:instrText xml:space="preserve"> HYPERLINK \l "_Toc119581844" </w:instrText>
          </w:r>
          <w:r>
            <w:fldChar w:fldCharType="separate"/>
          </w:r>
          <w:r>
            <w:rPr>
              <w:rStyle w:val="19"/>
              <w:color w:val="auto"/>
            </w:rPr>
            <w:t>五、附件</w:t>
          </w:r>
          <w:r>
            <w:tab/>
          </w:r>
          <w:r>
            <w:fldChar w:fldCharType="begin"/>
          </w:r>
          <w:r>
            <w:instrText xml:space="preserve"> PAGEREF _Toc119581844 \h </w:instrText>
          </w:r>
          <w:r>
            <w:fldChar w:fldCharType="separate"/>
          </w:r>
          <w:r>
            <w:t>- 27 -</w:t>
          </w:r>
          <w:r>
            <w:fldChar w:fldCharType="end"/>
          </w:r>
          <w:r>
            <w:fldChar w:fldCharType="end"/>
          </w:r>
        </w:p>
        <w:p>
          <w:pPr>
            <w:pStyle w:val="10"/>
            <w:tabs>
              <w:tab w:val="right" w:leader="dot" w:pos="8302"/>
            </w:tabs>
            <w:ind w:firstLine="640"/>
            <w:rPr>
              <w:rFonts w:asciiTheme="minorHAnsi" w:hAnsiTheme="minorHAnsi" w:eastAsiaTheme="minorEastAsia" w:cstheme="minorBidi"/>
              <w:sz w:val="21"/>
              <w:szCs w:val="22"/>
            </w:rPr>
          </w:pPr>
          <w:r>
            <w:fldChar w:fldCharType="begin"/>
          </w:r>
          <w:r>
            <w:instrText xml:space="preserve"> HYPERLINK \l "_Toc119581845" </w:instrText>
          </w:r>
          <w:r>
            <w:fldChar w:fldCharType="separate"/>
          </w:r>
          <w:r>
            <w:rPr>
              <w:rStyle w:val="19"/>
              <w:color w:val="auto"/>
            </w:rPr>
            <w:t>附件1：政策支出绩效评价指标体系打分表</w:t>
          </w:r>
          <w:r>
            <w:tab/>
          </w:r>
          <w:r>
            <w:fldChar w:fldCharType="begin"/>
          </w:r>
          <w:r>
            <w:instrText xml:space="preserve"> PAGEREF _Toc119581845 \h </w:instrText>
          </w:r>
          <w:r>
            <w:fldChar w:fldCharType="separate"/>
          </w:r>
          <w:r>
            <w:t>- 28 -</w:t>
          </w:r>
          <w:r>
            <w:fldChar w:fldCharType="end"/>
          </w:r>
          <w:r>
            <w:fldChar w:fldCharType="end"/>
          </w:r>
        </w:p>
        <w:p>
          <w:pPr>
            <w:ind w:firstLine="643"/>
            <w:rPr>
              <w:b/>
              <w:bCs/>
              <w:lang w:val="zh-CN"/>
            </w:rPr>
            <w:sectPr>
              <w:footerReference r:id="rId11" w:type="default"/>
              <w:footerReference r:id="rId12" w:type="even"/>
              <w:pgSz w:w="11906" w:h="16838"/>
              <w:pgMar w:top="1440" w:right="1797" w:bottom="1247" w:left="1797" w:header="851" w:footer="992" w:gutter="0"/>
              <w:pgNumType w:fmt="numberInDash"/>
              <w:cols w:space="425" w:num="1"/>
              <w:docGrid w:type="lines" w:linePitch="312" w:charSpace="0"/>
            </w:sectPr>
          </w:pPr>
          <w:r>
            <w:rPr>
              <w:rFonts w:ascii="仿宋" w:hAnsi="仿宋"/>
              <w:b/>
              <w:bCs/>
              <w:lang w:val="zh-CN"/>
            </w:rPr>
            <w:fldChar w:fldCharType="end"/>
          </w:r>
        </w:p>
        <w:p>
          <w:pPr>
            <w:ind w:firstLine="0" w:firstLineChars="0"/>
          </w:pPr>
        </w:p>
      </w:sdtContent>
    </w:sdt>
    <w:p>
      <w:pPr>
        <w:ind w:firstLine="0" w:firstLineChars="0"/>
        <w:jc w:val="center"/>
        <w:rPr>
          <w:rFonts w:eastAsia="方正小标宋简体" w:cs="方正小标宋简体"/>
          <w:sz w:val="44"/>
          <w:szCs w:val="44"/>
        </w:rPr>
      </w:pPr>
      <w:r>
        <w:rPr>
          <w:rFonts w:hint="eastAsia" w:eastAsia="方正小标宋简体" w:cs="方正小标宋简体"/>
          <w:sz w:val="44"/>
          <w:szCs w:val="44"/>
        </w:rPr>
        <w:t>2021年度船山区种粮大户补贴政策支出绩效评价报告</w:t>
      </w:r>
    </w:p>
    <w:p>
      <w:pPr>
        <w:spacing w:line="460" w:lineRule="exact"/>
        <w:ind w:firstLine="640"/>
        <w:jc w:val="center"/>
        <w:rPr>
          <w:rFonts w:ascii="仿宋_GB2312"/>
          <w:szCs w:val="32"/>
        </w:rPr>
      </w:pPr>
    </w:p>
    <w:p>
      <w:pPr>
        <w:pStyle w:val="2"/>
        <w:ind w:firstLine="640"/>
      </w:pPr>
      <w:bookmarkStart w:id="1" w:name="_Toc119581810"/>
      <w:r>
        <w:rPr>
          <w:rFonts w:hint="eastAsia"/>
        </w:rPr>
        <w:t>一、政策基本情况</w:t>
      </w:r>
      <w:bookmarkEnd w:id="1"/>
    </w:p>
    <w:p>
      <w:pPr>
        <w:pStyle w:val="3"/>
        <w:ind w:firstLine="640"/>
      </w:pPr>
      <w:bookmarkStart w:id="2" w:name="_Toc119581811"/>
      <w:r>
        <w:rPr>
          <w:rFonts w:hint="eastAsia"/>
        </w:rPr>
        <w:t>（一）政策背景及立项依据</w:t>
      </w:r>
      <w:bookmarkEnd w:id="2"/>
    </w:p>
    <w:p>
      <w:pPr>
        <w:pStyle w:val="4"/>
        <w:ind w:firstLine="643"/>
      </w:pPr>
      <w:bookmarkStart w:id="3" w:name="_Toc119581812"/>
      <w:r>
        <w:rPr>
          <w:rFonts w:hint="eastAsia"/>
        </w:rPr>
        <w:t>1</w:t>
      </w:r>
      <w:r>
        <w:t>.</w:t>
      </w:r>
      <w:r>
        <w:rPr>
          <w:rFonts w:hint="eastAsia"/>
        </w:rPr>
        <w:t xml:space="preserve"> 政策制定背景</w:t>
      </w:r>
      <w:bookmarkEnd w:id="3"/>
    </w:p>
    <w:p>
      <w:pPr>
        <w:ind w:firstLine="640"/>
      </w:pPr>
      <w:r>
        <w:rPr>
          <w:rFonts w:hint="eastAsia"/>
        </w:rPr>
        <w:t>为进一步稳定粮食生产，坚决遏制耕地“非农化”和防止耕地“非粮化”，有力提升农民种粮积极性，根据四川省农业农村厅</w:t>
      </w:r>
      <w:bookmarkStart w:id="4" w:name="_Hlk119585984"/>
      <w:r>
        <w:rPr>
          <w:rFonts w:hint="eastAsia"/>
        </w:rPr>
        <w:t>《关于印发〈2021年四川省种粮大户补贴实施方案〉的通知》（川农发〔2021〕145号）和四川省财政厅 四川省农业农村厅《关于下达中央财政农业生产发展和省级财政现代农业发展工程资金支持开展种粮大户补贴》（川财农〔2021〕133号）</w:t>
      </w:r>
      <w:bookmarkEnd w:id="4"/>
      <w:r>
        <w:rPr>
          <w:rFonts w:hint="eastAsia"/>
        </w:rPr>
        <w:t>的要求，结合船山区实际，遂宁市船山区农业农村局（以下简称区农业农村局）制定了《船山区2</w:t>
      </w:r>
      <w:r>
        <w:t>021</w:t>
      </w:r>
      <w:r>
        <w:rPr>
          <w:rFonts w:hint="eastAsia"/>
        </w:rPr>
        <w:t>年种粮大户补贴实施方案》，方案明确了补贴对象、基本条件、资金概算及补贴分配标准、实施方式以及资金拨付方式。</w:t>
      </w:r>
    </w:p>
    <w:p>
      <w:pPr>
        <w:ind w:firstLine="640"/>
      </w:pPr>
      <w:r>
        <w:rPr>
          <w:rFonts w:hint="eastAsia"/>
        </w:rPr>
        <w:t>该政策实施旨在做好船山区种粮大户补贴工作，充分发挥财政支农资金的支持引导作用，以粮食规模经营主体为载体，提升粮食生产质量和效益，促进船山区粮食生产持续稳定发展。</w:t>
      </w:r>
    </w:p>
    <w:p>
      <w:pPr>
        <w:pStyle w:val="4"/>
        <w:ind w:firstLine="643"/>
      </w:pPr>
      <w:bookmarkStart w:id="5" w:name="_Toc119581813"/>
      <w:r>
        <w:rPr>
          <w:rFonts w:hint="eastAsia"/>
        </w:rPr>
        <w:t>2</w:t>
      </w:r>
      <w:r>
        <w:t>.</w:t>
      </w:r>
      <w:r>
        <w:rPr>
          <w:rFonts w:hint="eastAsia"/>
        </w:rPr>
        <w:t xml:space="preserve"> 政策立项依据</w:t>
      </w:r>
      <w:bookmarkEnd w:id="5"/>
    </w:p>
    <w:p>
      <w:pPr>
        <w:spacing w:line="560" w:lineRule="exact"/>
        <w:ind w:firstLine="707" w:firstLineChars="221"/>
        <w:rPr>
          <w:rFonts w:ascii="仿宋" w:hAnsi="仿宋"/>
          <w:szCs w:val="32"/>
        </w:rPr>
      </w:pPr>
      <w:r>
        <w:rPr>
          <w:rFonts w:hint="eastAsia" w:ascii="仿宋" w:hAnsi="仿宋"/>
          <w:szCs w:val="32"/>
        </w:rPr>
        <w:t>（1）《关于印发〈2021年四川省种粮大户补贴实施方案〉的通知》（川农发〔2021〕145号）；</w:t>
      </w:r>
    </w:p>
    <w:p>
      <w:pPr>
        <w:spacing w:line="560" w:lineRule="exact"/>
        <w:ind w:firstLine="707" w:firstLineChars="221"/>
        <w:rPr>
          <w:rFonts w:ascii="仿宋" w:hAnsi="仿宋"/>
          <w:szCs w:val="32"/>
        </w:rPr>
      </w:pPr>
      <w:r>
        <w:rPr>
          <w:rFonts w:hint="eastAsia" w:ascii="仿宋" w:hAnsi="仿宋"/>
          <w:szCs w:val="32"/>
        </w:rPr>
        <w:t>（2）四川省财政厅 四川省农业农村厅《关于下达中央财政农业生产发展和省级财政现代农业发展工程资金支持开展种粮大户补贴》（川财农〔2021〕133号）；</w:t>
      </w:r>
    </w:p>
    <w:p>
      <w:pPr>
        <w:spacing w:line="560" w:lineRule="exact"/>
        <w:ind w:firstLine="707" w:firstLineChars="221"/>
        <w:rPr>
          <w:rFonts w:ascii="仿宋" w:hAnsi="仿宋"/>
          <w:szCs w:val="32"/>
        </w:rPr>
      </w:pPr>
      <w:r>
        <w:rPr>
          <w:rFonts w:hint="eastAsia" w:ascii="仿宋" w:hAnsi="仿宋"/>
          <w:szCs w:val="32"/>
        </w:rPr>
        <w:t>（3）遂宁市船山区人民政府《关于同意〈船山区2021年种粮大户补贴实施方案〉的批复》；</w:t>
      </w:r>
    </w:p>
    <w:p>
      <w:pPr>
        <w:spacing w:line="560" w:lineRule="exact"/>
        <w:ind w:firstLine="707" w:firstLineChars="221"/>
        <w:rPr>
          <w:rFonts w:ascii="仿宋" w:hAnsi="仿宋"/>
          <w:szCs w:val="32"/>
        </w:rPr>
      </w:pPr>
      <w:r>
        <w:rPr>
          <w:rFonts w:hint="eastAsia" w:ascii="仿宋" w:hAnsi="仿宋"/>
          <w:szCs w:val="32"/>
        </w:rPr>
        <w:t>（4）《遂宁市财政局遂宁市农业农村局〈关于下达省级财政现代农业发展工程资金支持开展种粮大户补贴〉的通知》。</w:t>
      </w:r>
    </w:p>
    <w:p>
      <w:pPr>
        <w:pStyle w:val="3"/>
        <w:ind w:firstLine="640"/>
      </w:pPr>
      <w:bookmarkStart w:id="6" w:name="_Toc119581814"/>
      <w:r>
        <w:rPr>
          <w:rFonts w:hint="eastAsia"/>
        </w:rPr>
        <w:t>（二）政策制定内容</w:t>
      </w:r>
      <w:bookmarkEnd w:id="6"/>
    </w:p>
    <w:p>
      <w:pPr>
        <w:ind w:firstLine="640"/>
      </w:pPr>
      <w:r>
        <w:rPr>
          <w:rFonts w:hint="eastAsia"/>
        </w:rPr>
        <w:t>本次评价的政策为《船山区2021年种粮大户补贴实施方案》，其主要内容包括政策实施内容、资金概算及补贴分配标准、实施方式以及资金拨付方式等，具体内容如下：</w:t>
      </w:r>
    </w:p>
    <w:p>
      <w:pPr>
        <w:pStyle w:val="4"/>
        <w:ind w:firstLine="643"/>
      </w:pPr>
      <w:r>
        <w:rPr>
          <w:rFonts w:hint="eastAsia"/>
        </w:rPr>
        <w:t>1</w:t>
      </w:r>
      <w:r>
        <w:t>.</w:t>
      </w:r>
      <w:r>
        <w:rPr>
          <w:rFonts w:hint="eastAsia"/>
        </w:rPr>
        <w:t>实施内容</w:t>
      </w:r>
    </w:p>
    <w:p>
      <w:pPr>
        <w:ind w:firstLine="643"/>
        <w:rPr>
          <w:b/>
          <w:bCs/>
        </w:rPr>
      </w:pPr>
      <w:r>
        <w:rPr>
          <w:rFonts w:hint="eastAsia"/>
          <w:b/>
          <w:bCs/>
        </w:rPr>
        <w:t>（1）补贴对象</w:t>
      </w:r>
    </w:p>
    <w:p>
      <w:pPr>
        <w:ind w:firstLine="640"/>
      </w:pPr>
      <w:r>
        <w:rPr>
          <w:rFonts w:hint="eastAsia"/>
        </w:rPr>
        <w:t>大小春种植水稻、玉米和小麦的适度规模生产经营者，重点向种粮农户、家庭农场、土地股份合作社、农民专业合作社、农业社会化服务组织、龙头企业等新型经营主体倾斜。</w:t>
      </w:r>
    </w:p>
    <w:p>
      <w:pPr>
        <w:ind w:firstLine="643"/>
        <w:rPr>
          <w:b/>
          <w:bCs/>
        </w:rPr>
      </w:pPr>
      <w:r>
        <w:rPr>
          <w:rFonts w:hint="eastAsia"/>
          <w:b/>
          <w:bCs/>
        </w:rPr>
        <w:t>（2）基本条件</w:t>
      </w:r>
    </w:p>
    <w:p>
      <w:pPr>
        <w:ind w:firstLine="640"/>
      </w:pPr>
      <w:r>
        <w:t>1</w:t>
      </w:r>
      <w:r>
        <w:rPr>
          <w:rFonts w:hint="eastAsia"/>
        </w:rPr>
        <w:t>）在全区内新型经营主体作为补贴对象需达到的主要粮食作物种植面积（不含复种面积）门槛为:适度规模生产经营者30亩（含30亩）以上。</w:t>
      </w:r>
    </w:p>
    <w:p>
      <w:pPr>
        <w:ind w:firstLine="640"/>
      </w:pPr>
      <w:r>
        <w:t>2</w:t>
      </w:r>
      <w:r>
        <w:rPr>
          <w:rFonts w:hint="eastAsia"/>
        </w:rPr>
        <w:t>）依法登记的农业社会化服务组织:种植、农机等社会化服务组织。</w:t>
      </w:r>
    </w:p>
    <w:p>
      <w:pPr>
        <w:pStyle w:val="4"/>
        <w:ind w:firstLine="643"/>
      </w:pPr>
      <w:r>
        <w:rPr>
          <w:rFonts w:hint="eastAsia"/>
        </w:rPr>
        <w:t>2</w:t>
      </w:r>
      <w:r>
        <w:t>.</w:t>
      </w:r>
      <w:r>
        <w:rPr>
          <w:rFonts w:hint="eastAsia"/>
        </w:rPr>
        <w:t>资金概算及补贴分配标准</w:t>
      </w:r>
    </w:p>
    <w:p>
      <w:pPr>
        <w:ind w:firstLine="643"/>
        <w:rPr>
          <w:b/>
          <w:bCs/>
        </w:rPr>
      </w:pPr>
      <w:r>
        <w:rPr>
          <w:rFonts w:hint="eastAsia"/>
          <w:b/>
          <w:bCs/>
        </w:rPr>
        <w:t>（1）资金概算</w:t>
      </w:r>
    </w:p>
    <w:p>
      <w:pPr>
        <w:ind w:firstLine="640"/>
      </w:pPr>
      <w:r>
        <w:rPr>
          <w:rFonts w:hint="eastAsia"/>
        </w:rPr>
        <w:t>现金直补概算资金112.99万元。</w:t>
      </w:r>
    </w:p>
    <w:p>
      <w:pPr>
        <w:ind w:firstLine="643"/>
        <w:rPr>
          <w:b/>
          <w:bCs/>
        </w:rPr>
      </w:pPr>
      <w:r>
        <w:rPr>
          <w:rFonts w:hint="eastAsia"/>
          <w:b/>
          <w:bCs/>
        </w:rPr>
        <w:t>（2）申报上限</w:t>
      </w:r>
    </w:p>
    <w:p>
      <w:pPr>
        <w:ind w:firstLine="640"/>
      </w:pPr>
      <w:r>
        <w:rPr>
          <w:rFonts w:hint="eastAsia"/>
        </w:rPr>
        <w:t>补贴作物水稻、玉米、小麦，大小春两季补贴面积不重复计算，按种植面积大的一季进行申报、补贴，单个申报主体补贴规模上限为1000亩。</w:t>
      </w:r>
    </w:p>
    <w:p>
      <w:pPr>
        <w:ind w:firstLine="643"/>
        <w:rPr>
          <w:b/>
          <w:bCs/>
        </w:rPr>
      </w:pPr>
      <w:r>
        <w:rPr>
          <w:rFonts w:hint="eastAsia"/>
          <w:b/>
          <w:bCs/>
        </w:rPr>
        <w:t>（3）补贴标准</w:t>
      </w:r>
    </w:p>
    <w:p>
      <w:pPr>
        <w:ind w:firstLine="640"/>
      </w:pPr>
      <w:r>
        <w:rPr>
          <w:rFonts w:hint="eastAsia"/>
        </w:rPr>
        <w:t>补贴标准按照下达资金总额/核实的补贴总面积来进行计算。按《遂宁市财政局遂宁市农业农村局关于下达省级财政现代农业发展工程资金支持开展种粮大户补贴的通知》（遂财农〔2021〕52号）要求，补贴标准上限为107.58元/亩。结余资金用于下一年度种粮大户补贴。</w:t>
      </w:r>
    </w:p>
    <w:p>
      <w:pPr>
        <w:pStyle w:val="4"/>
        <w:ind w:firstLine="643"/>
      </w:pPr>
      <w:r>
        <w:rPr>
          <w:rFonts w:hint="eastAsia"/>
        </w:rPr>
        <w:t>3</w:t>
      </w:r>
      <w:r>
        <w:t>.</w:t>
      </w:r>
      <w:r>
        <w:rPr>
          <w:rFonts w:hint="eastAsia"/>
        </w:rPr>
        <w:t>实施方式</w:t>
      </w:r>
    </w:p>
    <w:p>
      <w:pPr>
        <w:ind w:firstLine="643"/>
        <w:rPr>
          <w:b/>
          <w:bCs/>
        </w:rPr>
      </w:pPr>
      <w:r>
        <w:rPr>
          <w:rFonts w:hint="eastAsia"/>
          <w:b/>
          <w:bCs/>
        </w:rPr>
        <w:t>（1）组织申报</w:t>
      </w:r>
    </w:p>
    <w:p>
      <w:pPr>
        <w:ind w:firstLine="640"/>
      </w:pPr>
      <w:r>
        <w:rPr>
          <w:rFonts w:hint="eastAsia"/>
        </w:rPr>
        <w:t>由乡镇人民政府、村民委员会组织符合补贴条件的种粮对象自行向耕地所在村民委员会和乡镇人民政府申报，提交的申报资料包括种粮大户申报表（经耕地所在村委会签字盖章）、土地来源证明材料（经耕地所在村委会签字盖章）及生产图片。乡镇政府组织镇村干部对种植的小麦、玉米和水稻单季粮食作物面积达到30亩以上（含30亩）的种植大户进行核实登记汇总。</w:t>
      </w:r>
    </w:p>
    <w:p>
      <w:pPr>
        <w:ind w:firstLine="643"/>
        <w:rPr>
          <w:b/>
          <w:bCs/>
        </w:rPr>
      </w:pPr>
      <w:r>
        <w:rPr>
          <w:rFonts w:hint="eastAsia"/>
          <w:b/>
          <w:bCs/>
        </w:rPr>
        <w:t>（2）核实确认</w:t>
      </w:r>
    </w:p>
    <w:p>
      <w:pPr>
        <w:ind w:firstLine="640"/>
      </w:pPr>
      <w:r>
        <w:rPr>
          <w:rFonts w:hint="eastAsia"/>
        </w:rPr>
        <w:t>各乡镇政府组织镇村干部对申报的资料及面积开展核实，核实无误后在镇村两级同步公示，公示期不少于7天。公示无异议后，由村民委员会、乡镇人民政府主要负责人签字，并加盖公章后报区农业农村局。</w:t>
      </w:r>
    </w:p>
    <w:p>
      <w:pPr>
        <w:ind w:firstLine="643"/>
        <w:rPr>
          <w:b/>
          <w:bCs/>
        </w:rPr>
      </w:pPr>
      <w:r>
        <w:rPr>
          <w:rFonts w:hint="eastAsia"/>
          <w:b/>
          <w:bCs/>
        </w:rPr>
        <w:t>（3）抽查核实</w:t>
      </w:r>
    </w:p>
    <w:p>
      <w:pPr>
        <w:ind w:firstLine="640"/>
      </w:pPr>
      <w:r>
        <w:rPr>
          <w:rFonts w:hint="eastAsia"/>
        </w:rPr>
        <w:t>区农业农村局根据上报的资料，会同区财政局一起，采取聘用第三方公司（测绘）的方式，对各乡镇上报的种粮大户申报补贴面积开展抽查核实，以乡镇为单位，抽查面积和户数比例不低于30%。</w:t>
      </w:r>
    </w:p>
    <w:p>
      <w:pPr>
        <w:pStyle w:val="4"/>
        <w:ind w:firstLine="643"/>
      </w:pPr>
      <w:r>
        <w:rPr>
          <w:rFonts w:hint="eastAsia"/>
        </w:rPr>
        <w:t>4</w:t>
      </w:r>
      <w:r>
        <w:t>.</w:t>
      </w:r>
      <w:r>
        <w:rPr>
          <w:rFonts w:hint="eastAsia"/>
        </w:rPr>
        <w:t>资金拨付方式</w:t>
      </w:r>
    </w:p>
    <w:p>
      <w:pPr>
        <w:ind w:firstLine="640"/>
      </w:pPr>
      <w:r>
        <w:rPr>
          <w:rFonts w:hint="eastAsia"/>
        </w:rPr>
        <w:t>根据乡镇人民政府核实确认面积、抽查复核情况和实施方案，确认补贴金额后以现金直补的方式发放。</w:t>
      </w:r>
    </w:p>
    <w:p>
      <w:pPr>
        <w:pStyle w:val="3"/>
        <w:ind w:firstLine="640"/>
      </w:pPr>
      <w:bookmarkStart w:id="7" w:name="_Toc119581815"/>
      <w:r>
        <w:rPr>
          <w:rFonts w:hint="eastAsia"/>
        </w:rPr>
        <w:t>（三）政策资金情况</w:t>
      </w:r>
      <w:bookmarkEnd w:id="7"/>
    </w:p>
    <w:p>
      <w:pPr>
        <w:pStyle w:val="4"/>
        <w:ind w:firstLine="643"/>
      </w:pPr>
      <w:bookmarkStart w:id="8" w:name="_Toc119581816"/>
      <w:bookmarkStart w:id="9" w:name="_Toc118908449"/>
      <w:r>
        <w:t>1.资金到位情况</w:t>
      </w:r>
      <w:bookmarkEnd w:id="8"/>
      <w:bookmarkEnd w:id="9"/>
    </w:p>
    <w:p>
      <w:pPr>
        <w:pStyle w:val="35"/>
        <w:tabs>
          <w:tab w:val="left" w:pos="1440"/>
        </w:tabs>
        <w:ind w:firstLine="560" w:firstLineChars="0"/>
        <w:rPr>
          <w:rFonts w:ascii="仿宋" w:hAnsi="仿宋" w:eastAsia="仿宋"/>
          <w:sz w:val="32"/>
          <w:szCs w:val="32"/>
          <w:lang w:val="en-US"/>
        </w:rPr>
      </w:pPr>
      <w:r>
        <w:rPr>
          <w:rFonts w:hint="eastAsia" w:ascii="仿宋" w:hAnsi="仿宋" w:eastAsia="仿宋"/>
          <w:sz w:val="32"/>
          <w:szCs w:val="32"/>
          <w:lang w:val="en-US"/>
        </w:rPr>
        <w:t>根据《遂宁市财政局 遂宁市农业农村局关于下达省级财政现代农业发展工程资金支持开展种粮大户补贴的通知》（遂财农</w:t>
      </w:r>
      <w:r>
        <w:rPr>
          <w:rFonts w:hint="eastAsia"/>
        </w:rPr>
        <w:t>〔2021〕</w:t>
      </w:r>
      <w:r>
        <w:t>83</w:t>
      </w:r>
      <w:r>
        <w:rPr>
          <w:rFonts w:hint="eastAsia"/>
        </w:rPr>
        <w:t>号</w:t>
      </w:r>
      <w:r>
        <w:rPr>
          <w:rFonts w:hint="eastAsia" w:ascii="仿宋" w:hAnsi="仿宋" w:eastAsia="仿宋"/>
          <w:sz w:val="32"/>
          <w:szCs w:val="32"/>
          <w:lang w:val="en-US"/>
        </w:rPr>
        <w:t>）,该项目资金来源为中央财政农业生产发展和省级财政现代农业发展工程资金，共计1</w:t>
      </w:r>
      <w:r>
        <w:rPr>
          <w:rFonts w:ascii="仿宋" w:hAnsi="仿宋" w:eastAsia="仿宋"/>
          <w:sz w:val="32"/>
          <w:szCs w:val="32"/>
          <w:lang w:val="en-US"/>
        </w:rPr>
        <w:t>12.99</w:t>
      </w:r>
      <w:r>
        <w:rPr>
          <w:rFonts w:hint="eastAsia" w:ascii="仿宋" w:hAnsi="仿宋" w:eastAsia="仿宋"/>
          <w:sz w:val="32"/>
          <w:szCs w:val="32"/>
          <w:lang w:val="en-US"/>
        </w:rPr>
        <w:t>万元。</w:t>
      </w:r>
    </w:p>
    <w:p>
      <w:pPr>
        <w:pStyle w:val="4"/>
        <w:ind w:firstLine="643"/>
      </w:pPr>
      <w:bookmarkStart w:id="10" w:name="_Toc118908450"/>
      <w:bookmarkStart w:id="11" w:name="_Toc119581817"/>
      <w:r>
        <w:t>2.实际支出情况</w:t>
      </w:r>
      <w:bookmarkEnd w:id="10"/>
      <w:bookmarkEnd w:id="11"/>
    </w:p>
    <w:p>
      <w:pPr>
        <w:adjustRightInd w:val="0"/>
        <w:snapToGrid w:val="0"/>
        <w:ind w:firstLine="640"/>
        <w:rPr>
          <w:rFonts w:ascii="仿宋" w:hAnsi="仿宋"/>
          <w:szCs w:val="32"/>
        </w:rPr>
      </w:pPr>
      <w:r>
        <w:rPr>
          <w:rFonts w:hint="eastAsia" w:ascii="仿宋" w:hAnsi="仿宋"/>
          <w:szCs w:val="32"/>
        </w:rPr>
        <w:t>根据《遂宁市财政局 遂宁市农业农村局关于下达省级财政现代农业发展工程资金支持开展种粮大户补贴的通知》（遂财农</w:t>
      </w:r>
      <w:r>
        <w:rPr>
          <w:rFonts w:hint="eastAsia"/>
        </w:rPr>
        <w:t>〔2021〕</w:t>
      </w:r>
      <w:r>
        <w:t>83</w:t>
      </w:r>
      <w:r>
        <w:rPr>
          <w:rFonts w:hint="eastAsia"/>
        </w:rPr>
        <w:t>号</w:t>
      </w:r>
      <w:r>
        <w:rPr>
          <w:rFonts w:hint="eastAsia" w:ascii="仿宋" w:hAnsi="仿宋"/>
          <w:szCs w:val="32"/>
        </w:rPr>
        <w:t>），资金下达时间为2</w:t>
      </w:r>
      <w:r>
        <w:rPr>
          <w:rFonts w:ascii="仿宋" w:hAnsi="仿宋"/>
          <w:szCs w:val="32"/>
        </w:rPr>
        <w:t>021</w:t>
      </w:r>
      <w:r>
        <w:rPr>
          <w:rFonts w:hint="eastAsia" w:ascii="仿宋" w:hAnsi="仿宋"/>
          <w:szCs w:val="32"/>
        </w:rPr>
        <w:t>年1</w:t>
      </w:r>
      <w:r>
        <w:rPr>
          <w:rFonts w:ascii="仿宋" w:hAnsi="仿宋"/>
          <w:szCs w:val="32"/>
        </w:rPr>
        <w:t>1</w:t>
      </w:r>
      <w:r>
        <w:rPr>
          <w:rFonts w:hint="eastAsia" w:ascii="仿宋" w:hAnsi="仿宋"/>
          <w:szCs w:val="32"/>
        </w:rPr>
        <w:t>月；根据《船山区财政资金分配情况审批表》，区委区政府领导审批完成时间为2</w:t>
      </w:r>
      <w:r>
        <w:rPr>
          <w:rFonts w:ascii="仿宋" w:hAnsi="仿宋"/>
          <w:szCs w:val="32"/>
        </w:rPr>
        <w:t>021</w:t>
      </w:r>
      <w:r>
        <w:rPr>
          <w:rFonts w:hint="eastAsia" w:ascii="仿宋" w:hAnsi="仿宋"/>
          <w:szCs w:val="32"/>
        </w:rPr>
        <w:t>年1</w:t>
      </w:r>
      <w:r>
        <w:rPr>
          <w:rFonts w:ascii="仿宋" w:hAnsi="仿宋"/>
          <w:szCs w:val="32"/>
        </w:rPr>
        <w:t>2</w:t>
      </w:r>
      <w:r>
        <w:rPr>
          <w:rFonts w:hint="eastAsia" w:ascii="仿宋" w:hAnsi="仿宋"/>
          <w:szCs w:val="32"/>
        </w:rPr>
        <w:t>月3</w:t>
      </w:r>
      <w:r>
        <w:rPr>
          <w:rFonts w:ascii="仿宋" w:hAnsi="仿宋"/>
          <w:szCs w:val="32"/>
        </w:rPr>
        <w:t>1</w:t>
      </w:r>
      <w:r>
        <w:rPr>
          <w:rFonts w:hint="eastAsia" w:ascii="仿宋" w:hAnsi="仿宋"/>
          <w:szCs w:val="32"/>
        </w:rPr>
        <w:t>日，故截至2</w:t>
      </w:r>
      <w:r>
        <w:rPr>
          <w:rFonts w:ascii="仿宋" w:hAnsi="仿宋"/>
          <w:szCs w:val="32"/>
        </w:rPr>
        <w:t>021</w:t>
      </w:r>
      <w:r>
        <w:rPr>
          <w:rFonts w:hint="eastAsia" w:ascii="仿宋" w:hAnsi="仿宋"/>
          <w:szCs w:val="32"/>
        </w:rPr>
        <w:t>年1</w:t>
      </w:r>
      <w:r>
        <w:rPr>
          <w:rFonts w:ascii="仿宋" w:hAnsi="仿宋"/>
          <w:szCs w:val="32"/>
        </w:rPr>
        <w:t>2</w:t>
      </w:r>
      <w:r>
        <w:rPr>
          <w:rFonts w:hint="eastAsia" w:ascii="仿宋" w:hAnsi="仿宋"/>
          <w:szCs w:val="32"/>
        </w:rPr>
        <w:t>月3</w:t>
      </w:r>
      <w:r>
        <w:rPr>
          <w:rFonts w:ascii="仿宋" w:hAnsi="仿宋"/>
          <w:szCs w:val="32"/>
        </w:rPr>
        <w:t>1</w:t>
      </w:r>
      <w:r>
        <w:rPr>
          <w:rFonts w:hint="eastAsia" w:ascii="仿宋" w:hAnsi="仿宋"/>
          <w:szCs w:val="32"/>
        </w:rPr>
        <w:t>日政策资金无支出。</w:t>
      </w:r>
    </w:p>
    <w:p>
      <w:pPr>
        <w:adjustRightInd w:val="0"/>
        <w:snapToGrid w:val="0"/>
        <w:ind w:firstLine="640"/>
        <w:rPr>
          <w:rFonts w:ascii="仿宋" w:hAnsi="仿宋"/>
          <w:szCs w:val="32"/>
        </w:rPr>
      </w:pPr>
      <w:r>
        <w:rPr>
          <w:rFonts w:hint="eastAsia" w:ascii="仿宋" w:hAnsi="仿宋"/>
          <w:szCs w:val="32"/>
        </w:rPr>
        <w:t>通过申报核实确认后，受补贴种粮大户共计1</w:t>
      </w:r>
      <w:r>
        <w:rPr>
          <w:rFonts w:ascii="仿宋" w:hAnsi="仿宋"/>
          <w:szCs w:val="32"/>
        </w:rPr>
        <w:t>07</w:t>
      </w:r>
      <w:r>
        <w:rPr>
          <w:rFonts w:hint="eastAsia" w:ascii="仿宋" w:hAnsi="仿宋"/>
          <w:szCs w:val="32"/>
        </w:rPr>
        <w:t>户。截至绩效评价日（2</w:t>
      </w:r>
      <w:r>
        <w:rPr>
          <w:rFonts w:ascii="仿宋" w:hAnsi="仿宋"/>
          <w:szCs w:val="32"/>
        </w:rPr>
        <w:t>022</w:t>
      </w:r>
      <w:r>
        <w:rPr>
          <w:rFonts w:hint="eastAsia" w:ascii="仿宋" w:hAnsi="仿宋"/>
          <w:szCs w:val="32"/>
        </w:rPr>
        <w:t>年1</w:t>
      </w:r>
      <w:r>
        <w:rPr>
          <w:rFonts w:ascii="仿宋" w:hAnsi="仿宋"/>
          <w:szCs w:val="32"/>
        </w:rPr>
        <w:t>0</w:t>
      </w:r>
      <w:r>
        <w:rPr>
          <w:rFonts w:hint="eastAsia" w:ascii="仿宋" w:hAnsi="仿宋"/>
          <w:szCs w:val="32"/>
        </w:rPr>
        <w:t>月1</w:t>
      </w:r>
      <w:r>
        <w:rPr>
          <w:rFonts w:ascii="仿宋" w:hAnsi="仿宋"/>
          <w:szCs w:val="32"/>
        </w:rPr>
        <w:t>2</w:t>
      </w:r>
      <w:r>
        <w:rPr>
          <w:rFonts w:hint="eastAsia" w:ascii="仿宋" w:hAnsi="仿宋"/>
          <w:szCs w:val="32"/>
        </w:rPr>
        <w:t>日），实际支出1</w:t>
      </w:r>
      <w:r>
        <w:rPr>
          <w:rFonts w:ascii="仿宋" w:hAnsi="仿宋"/>
          <w:szCs w:val="32"/>
        </w:rPr>
        <w:t>12.97</w:t>
      </w:r>
      <w:r>
        <w:rPr>
          <w:rFonts w:hint="eastAsia" w:ascii="仿宋" w:hAnsi="仿宋"/>
          <w:szCs w:val="32"/>
        </w:rPr>
        <w:t>万元，预算执行率为9</w:t>
      </w:r>
      <w:r>
        <w:rPr>
          <w:rFonts w:ascii="仿宋" w:hAnsi="仿宋"/>
          <w:szCs w:val="32"/>
        </w:rPr>
        <w:t>9.99</w:t>
      </w:r>
      <w:r>
        <w:rPr>
          <w:rFonts w:hint="eastAsia" w:ascii="仿宋" w:hAnsi="仿宋"/>
          <w:szCs w:val="32"/>
        </w:rPr>
        <w:t>%</w:t>
      </w:r>
      <w:r>
        <w:rPr>
          <w:rStyle w:val="21"/>
          <w:rFonts w:ascii="仿宋" w:hAnsi="仿宋"/>
          <w:szCs w:val="32"/>
        </w:rPr>
        <w:footnoteReference w:id="0"/>
      </w:r>
      <w:r>
        <w:rPr>
          <w:rFonts w:hint="eastAsia" w:ascii="仿宋" w:hAnsi="仿宋"/>
          <w:szCs w:val="32"/>
        </w:rPr>
        <w:t>。具体支出情况如下表：</w:t>
      </w:r>
    </w:p>
    <w:p>
      <w:pPr>
        <w:adjustRightInd w:val="0"/>
        <w:snapToGrid w:val="0"/>
        <w:ind w:firstLine="562"/>
        <w:jc w:val="center"/>
        <w:rPr>
          <w:rFonts w:ascii="仿宋" w:hAnsi="仿宋"/>
          <w:b/>
          <w:bCs/>
          <w:sz w:val="28"/>
          <w:szCs w:val="28"/>
        </w:rPr>
      </w:pPr>
      <w:r>
        <w:rPr>
          <w:rFonts w:ascii="仿宋" w:hAnsi="仿宋"/>
          <w:b/>
          <w:bCs/>
          <w:sz w:val="28"/>
          <w:szCs w:val="28"/>
        </w:rPr>
        <w:t>表1-</w:t>
      </w:r>
      <w:r>
        <w:rPr>
          <w:rFonts w:hint="eastAsia" w:ascii="仿宋" w:hAnsi="仿宋"/>
          <w:b/>
          <w:bCs/>
          <w:sz w:val="28"/>
          <w:szCs w:val="28"/>
        </w:rPr>
        <w:t>1</w:t>
      </w:r>
      <w:r>
        <w:rPr>
          <w:rFonts w:ascii="仿宋" w:hAnsi="仿宋"/>
          <w:b/>
          <w:bCs/>
          <w:sz w:val="28"/>
          <w:szCs w:val="28"/>
        </w:rPr>
        <w:t xml:space="preserve"> </w:t>
      </w:r>
      <w:r>
        <w:rPr>
          <w:rFonts w:hint="eastAsia" w:ascii="仿宋" w:hAnsi="仿宋"/>
          <w:b/>
          <w:bCs/>
          <w:sz w:val="28"/>
          <w:szCs w:val="28"/>
        </w:rPr>
        <w:t>政策</w:t>
      </w:r>
      <w:r>
        <w:rPr>
          <w:rFonts w:ascii="仿宋" w:hAnsi="仿宋"/>
          <w:b/>
          <w:bCs/>
          <w:sz w:val="28"/>
          <w:szCs w:val="28"/>
        </w:rPr>
        <w:t>资金支出明细表</w:t>
      </w:r>
    </w:p>
    <w:p>
      <w:pPr>
        <w:pStyle w:val="39"/>
        <w:adjustRightInd w:val="0"/>
        <w:snapToGrid w:val="0"/>
        <w:spacing w:before="0" w:after="0"/>
        <w:ind w:firstLine="640"/>
        <w:jc w:val="right"/>
        <w:rPr>
          <w:rFonts w:ascii="仿宋" w:hAnsi="仿宋" w:eastAsia="仿宋"/>
          <w:bCs/>
          <w:kern w:val="2"/>
          <w:sz w:val="28"/>
        </w:rPr>
      </w:pPr>
      <w:r>
        <w:rPr>
          <w:rFonts w:ascii="仿宋" w:hAnsi="仿宋" w:eastAsia="仿宋"/>
          <w:bCs/>
          <w:kern w:val="2"/>
          <w:sz w:val="28"/>
        </w:rPr>
        <w:t>单位：元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38"/>
        <w:gridCol w:w="2174"/>
        <w:gridCol w:w="1526"/>
        <w:gridCol w:w="160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333" w:type="pct"/>
            <w:shd w:val="clear" w:color="auto" w:fill="auto"/>
            <w:vAlign w:val="center"/>
          </w:tcPr>
          <w:p>
            <w:pPr>
              <w:widowControl/>
              <w:ind w:firstLine="0" w:firstLineChars="0"/>
              <w:jc w:val="center"/>
              <w:rPr>
                <w:rFonts w:ascii="仿宋" w:hAnsi="仿宋"/>
                <w:b/>
                <w:bCs/>
                <w:kern w:val="0"/>
                <w:sz w:val="24"/>
              </w:rPr>
            </w:pPr>
            <w:bookmarkStart w:id="12" w:name="_Hlk119616569"/>
            <w:r>
              <w:rPr>
                <w:rFonts w:hint="eastAsia" w:ascii="仿宋" w:hAnsi="仿宋"/>
                <w:b/>
                <w:bCs/>
                <w:kern w:val="0"/>
                <w:sz w:val="24"/>
              </w:rPr>
              <w:t>序号</w:t>
            </w:r>
          </w:p>
        </w:tc>
        <w:tc>
          <w:tcPr>
            <w:tcW w:w="610"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乡镇</w:t>
            </w: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申报主体</w:t>
            </w:r>
          </w:p>
        </w:tc>
        <w:tc>
          <w:tcPr>
            <w:tcW w:w="895"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认定面积（亩）</w:t>
            </w:r>
          </w:p>
        </w:tc>
        <w:tc>
          <w:tcPr>
            <w:tcW w:w="943"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补贴标准（元/亩）</w:t>
            </w:r>
          </w:p>
        </w:tc>
        <w:tc>
          <w:tcPr>
            <w:tcW w:w="943"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兰桂村股份经济合作联合社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270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17755.2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姚洪龙</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198.27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13038.23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银桂村股份经济合格联合社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216.75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14253.48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吕红章</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2630.4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黄龙村股份经济合作联合社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392.32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25798.96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金井村股份经济合作联合社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115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7562.4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遂宁市桂香农业开发有限公司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623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40968.48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何东</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响堂村股份经济合作联合社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134.4</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8838.14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翰林村股份经济合作联合社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增辉种植家庭农场</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107.75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7085.64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林奉春</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67.93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4467.07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桂郪村股份经济合作联合社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68.22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4486.14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杉树村股份经济合作</w:t>
            </w:r>
            <w:r>
              <w:rPr>
                <w:rFonts w:hint="eastAsia" w:ascii="仿宋" w:hAnsi="仿宋"/>
                <w:kern w:val="0"/>
                <w:sz w:val="24"/>
              </w:rPr>
              <w:br w:type="textWrapping"/>
            </w:r>
            <w:r>
              <w:rPr>
                <w:rFonts w:hint="eastAsia" w:ascii="仿宋" w:hAnsi="仿宋"/>
                <w:kern w:val="0"/>
                <w:sz w:val="24"/>
              </w:rPr>
              <w:t>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503.03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33079.25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三圣村股份经济合作</w:t>
            </w:r>
            <w:r>
              <w:rPr>
                <w:rFonts w:hint="eastAsia" w:ascii="仿宋" w:hAnsi="仿宋"/>
                <w:kern w:val="0"/>
                <w:sz w:val="24"/>
              </w:rPr>
              <w:br w:type="textWrapping"/>
            </w:r>
            <w:r>
              <w:rPr>
                <w:rFonts w:hint="eastAsia" w:ascii="仿宋" w:hAnsi="仿宋"/>
                <w:kern w:val="0"/>
                <w:sz w:val="24"/>
              </w:rPr>
              <w:t>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射洪百果盛世水果种植有限公司</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119.86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7881.99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石景村股份经济合作联合社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304.9</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20050.22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桂花镇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熊兵</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85.09</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5595.51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3496.13</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229931.12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文笔山村股份经济合作联合社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205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卧龙庵村股份经济合作联合社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梁国庆</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2301.60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向东</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2498.88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常林村股份经济合作联合社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5721.12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袁志红</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36.74</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2416.02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李静</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187.03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12299.09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龙炳火</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300.05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19731.28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亿禾村股份经济合作联合社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32.9</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骆光辉</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1972.80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仁里镇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姚敏</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7891.20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1136.72</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74750.70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赖仁富</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858.27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56439.83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晓赖鲜（赖光胜）</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394.88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25967.3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胜强农场（余强）</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575.93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37873.15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源卉蔬菜种植专业合作社（徐明胜）</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430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28276.80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兴和润蔬菜专业合作社（朱席武）</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177.37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11663.85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唐家乡</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友兴农业开发有限公司（王生明）</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124.62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8195.01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2561.07</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noWrap/>
            <w:vAlign w:val="center"/>
          </w:tcPr>
          <w:p>
            <w:pPr>
              <w:widowControl/>
              <w:ind w:firstLine="0" w:firstLineChars="0"/>
              <w:jc w:val="center"/>
              <w:rPr>
                <w:rFonts w:ascii="仿宋" w:hAnsi="仿宋"/>
                <w:b/>
                <w:bCs/>
                <w:kern w:val="0"/>
                <w:sz w:val="24"/>
              </w:rPr>
            </w:pPr>
            <w:r>
              <w:rPr>
                <w:rFonts w:ascii="仿宋" w:hAnsi="仿宋"/>
                <w:b/>
                <w:bCs/>
                <w:kern w:val="0"/>
                <w:sz w:val="24"/>
              </w:rPr>
              <w:t>168415.94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大白塔村股份经济合作联合社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3419.52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建豪种植专业合作社（陈爱民）</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79.05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5198.32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龙风镇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清河村股份经济合作联合社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4274.40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川宏种植专业合作社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龙宝村股份经济合作联合社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71.58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4707.10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石桥村股份经济合作联合社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5260.80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寨子村股份经济合作联合社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219.75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14450.76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佳合天盛种植专业合作社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3945.60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龙风镇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室塔村股份经济合作联合社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龙凤镇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定室村股份经济合作联合社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229.92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15119.53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noWrap/>
            <w:vAlign w:val="center"/>
          </w:tcPr>
          <w:p>
            <w:pPr>
              <w:widowControl/>
              <w:ind w:firstLine="0" w:firstLineChars="0"/>
              <w:jc w:val="center"/>
              <w:rPr>
                <w:rFonts w:ascii="仿宋" w:hAnsi="仿宋"/>
                <w:b/>
                <w:bCs/>
                <w:kern w:val="0"/>
                <w:sz w:val="24"/>
              </w:rPr>
            </w:pPr>
            <w:r>
              <w:rPr>
                <w:rFonts w:ascii="仿宋" w:hAnsi="仿宋"/>
                <w:b/>
                <w:bCs/>
                <w:kern w:val="0"/>
                <w:sz w:val="24"/>
              </w:rPr>
              <w:t>1007.3</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noWrap/>
            <w:vAlign w:val="center"/>
          </w:tcPr>
          <w:p>
            <w:pPr>
              <w:widowControl/>
              <w:ind w:firstLine="0" w:firstLineChars="0"/>
              <w:jc w:val="center"/>
              <w:rPr>
                <w:rFonts w:ascii="仿宋" w:hAnsi="仿宋"/>
                <w:b/>
                <w:bCs/>
                <w:kern w:val="0"/>
                <w:sz w:val="24"/>
              </w:rPr>
            </w:pPr>
            <w:r>
              <w:rPr>
                <w:rFonts w:ascii="仿宋" w:hAnsi="仿宋"/>
                <w:b/>
                <w:bCs/>
                <w:kern w:val="0"/>
                <w:sz w:val="24"/>
              </w:rPr>
              <w:t>66240.03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小红根农业开发有限公司（苟永强）</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97.39</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6404.36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景峰村股份经济合作联合社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598.41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39351.44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道然农业科技发展有限公司（衡载磊）</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431.6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28382.01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云灵村股份经济合作联合社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61.86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4067.91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佳域农业有限公司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180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11836.80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天浪公司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1000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刘显高</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3024.96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杨礼光</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36.34</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2389.71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遂宁市秋丰农业开发有限力公司（谢环）</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四川德林达农业开发有限公司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5260.80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致康生态农业开发有限公司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谷村股份经济合作联合社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21569.28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瑞峰劳务专业合作社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114.76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7546.61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宏林昊生态农业开发有限公司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5984.16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河沙镇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唐武</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3322.36</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noWrap/>
            <w:vAlign w:val="center"/>
          </w:tcPr>
          <w:p>
            <w:pPr>
              <w:widowControl/>
              <w:ind w:firstLine="0" w:firstLineChars="0"/>
              <w:jc w:val="center"/>
              <w:rPr>
                <w:rFonts w:ascii="仿宋" w:hAnsi="仿宋"/>
                <w:b/>
                <w:bCs/>
                <w:kern w:val="0"/>
                <w:sz w:val="24"/>
              </w:rPr>
            </w:pPr>
            <w:r>
              <w:rPr>
                <w:rFonts w:ascii="仿宋" w:hAnsi="仿宋"/>
                <w:b/>
                <w:bCs/>
                <w:kern w:val="0"/>
                <w:sz w:val="24"/>
              </w:rPr>
              <w:t>218478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遂宁市船山区昌茂种棺家庭农场</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273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17952.48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遂宁市耕耘农机专业合作社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260.98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17162.04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遂宁市船山区国春种植家庭穴扬</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92.71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6096.60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遂宁市船山区兴祥盛农机专业合作社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375.03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24661.97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遂宁市船山区耀振种植家庭农扬</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213.78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14058.17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遂宁市船山区志华种植家庭农场</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138.83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9129.46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遂宁市船山区勇胜养</w:t>
            </w:r>
            <w:r>
              <w:rPr>
                <w:rFonts w:hint="eastAsia" w:ascii="仿宋" w:hAnsi="仿宋"/>
                <w:kern w:val="0"/>
                <w:sz w:val="24"/>
              </w:rPr>
              <w:br w:type="textWrapping"/>
            </w:r>
            <w:r>
              <w:rPr>
                <w:rFonts w:hint="eastAsia" w:ascii="仿宋" w:hAnsi="仿宋"/>
                <w:kern w:val="0"/>
                <w:sz w:val="24"/>
              </w:rPr>
              <w:t>殖家庭农场</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2498.88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遂宁市船山区华青种植专业合作社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688.96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四川荷旭农业开发有限公司（吴洪皓）</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54.32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3572.08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蒋中永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3945.60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船山区珍秀家庭农场</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30.1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1979.37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遂宁市船山区君鑫养殖专业合作社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45.06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2693.14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遂宁市船山区惹萱养殖专业合作社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157.53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10359.17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遂宁市勋睿农业有限公司</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139.34</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9162.99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舒加华</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30.82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2026.72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魏厚辉</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45.62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2999.97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龙泉村股份经济合作联合社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91.61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6024.27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遂宁市睿曦生态农业有限公司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6115.68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遂宁市船山区晓兵养苑家庭农场</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遂宁市船山区陆玖种种植家庭农场</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133.87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8803.29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遂宁市船山区佳稼旺种植专业合作社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67.78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4457.21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铜锣村股份经济合作联合社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54.71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3597.72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魏春</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1972.80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遂宁市船山区鑫艺种植专业合作社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55.53</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3651.65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陈洪</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78.91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5189.12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金凤村股份经济合作联合社</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62.31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4097.50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刘宇</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42.86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2818.47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老池镇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何绍文</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136.4</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8969.66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3541.06</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232590.05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四川三东生态农业开发有限公司</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4603.20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孔园</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1972.80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罗俊烨</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170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11179.20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贺永洪</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68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4471.68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遂宁市源三源生态农</w:t>
            </w:r>
            <w:r>
              <w:rPr>
                <w:rFonts w:hint="eastAsia" w:ascii="仿宋" w:hAnsi="仿宋" w:cs="Arial"/>
                <w:kern w:val="0"/>
                <w:sz w:val="24"/>
              </w:rPr>
              <w:t>业开发有限公司</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41.78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2747.45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米永兰</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38.47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2529.78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柏湾村股份经济合作联合社</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91.12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5992.05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任光友</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590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38798.40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刘维</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2367.36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98</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黄一勇</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7891.20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99</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康易种植家庭农场</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167.68</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11026.63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100</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刘海林</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127.2</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8364.67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101</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唐帅</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200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13152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102</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四川灵草中药材有公司（袁政委）</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45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2959.20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103</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蒲天高（新开村、联盟村）</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50</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104</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吴贵明</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33.87</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2227.29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105</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王兵</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125</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106</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郑毅</w:t>
            </w:r>
          </w:p>
        </w:tc>
        <w:tc>
          <w:tcPr>
            <w:tcW w:w="895"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79</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5195.04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3" w:type="pct"/>
            <w:shd w:val="clear" w:color="auto" w:fill="auto"/>
            <w:noWrap/>
            <w:vAlign w:val="center"/>
          </w:tcPr>
          <w:p>
            <w:pPr>
              <w:widowControl/>
              <w:ind w:firstLine="0" w:firstLineChars="0"/>
              <w:jc w:val="center"/>
              <w:rPr>
                <w:rFonts w:ascii="仿宋" w:hAnsi="仿宋"/>
                <w:kern w:val="0"/>
                <w:sz w:val="24"/>
              </w:rPr>
            </w:pPr>
            <w:r>
              <w:rPr>
                <w:rFonts w:ascii="仿宋" w:hAnsi="仿宋"/>
                <w:kern w:val="0"/>
                <w:sz w:val="24"/>
              </w:rPr>
              <w:t>107</w:t>
            </w:r>
          </w:p>
        </w:tc>
        <w:tc>
          <w:tcPr>
            <w:tcW w:w="610"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永兴镇</w:t>
            </w:r>
          </w:p>
        </w:tc>
        <w:tc>
          <w:tcPr>
            <w:tcW w:w="1276" w:type="pct"/>
            <w:shd w:val="clear" w:color="auto" w:fill="auto"/>
            <w:vAlign w:val="center"/>
          </w:tcPr>
          <w:p>
            <w:pPr>
              <w:widowControl/>
              <w:ind w:firstLine="0" w:firstLineChars="0"/>
              <w:jc w:val="center"/>
              <w:rPr>
                <w:rFonts w:ascii="仿宋" w:hAnsi="仿宋"/>
                <w:kern w:val="0"/>
                <w:sz w:val="24"/>
              </w:rPr>
            </w:pPr>
            <w:r>
              <w:rPr>
                <w:rFonts w:hint="eastAsia" w:ascii="仿宋" w:hAnsi="仿宋"/>
                <w:kern w:val="0"/>
                <w:sz w:val="24"/>
              </w:rPr>
              <w:t>唐昌友</w:t>
            </w:r>
          </w:p>
        </w:tc>
        <w:tc>
          <w:tcPr>
            <w:tcW w:w="895"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34.41</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65.76</w:t>
            </w:r>
          </w:p>
        </w:tc>
        <w:tc>
          <w:tcPr>
            <w:tcW w:w="943" w:type="pct"/>
            <w:shd w:val="clear" w:color="auto" w:fill="auto"/>
            <w:vAlign w:val="center"/>
          </w:tcPr>
          <w:p>
            <w:pPr>
              <w:widowControl/>
              <w:ind w:firstLine="0" w:firstLineChars="0"/>
              <w:jc w:val="center"/>
              <w:rPr>
                <w:rFonts w:ascii="仿宋" w:hAnsi="仿宋"/>
                <w:kern w:val="0"/>
                <w:sz w:val="24"/>
              </w:rPr>
            </w:pPr>
            <w:r>
              <w:rPr>
                <w:rFonts w:ascii="仿宋" w:hAnsi="仿宋"/>
                <w:kern w:val="0"/>
                <w:sz w:val="24"/>
              </w:rPr>
              <w:t>2262.80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2117.53</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139248.76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 w:type="pct"/>
            <w:shd w:val="clear" w:color="auto" w:fill="auto"/>
            <w:vAlign w:val="center"/>
          </w:tcPr>
          <w:p>
            <w:pPr>
              <w:widowControl/>
              <w:ind w:firstLine="0" w:firstLineChars="0"/>
              <w:jc w:val="center"/>
              <w:rPr>
                <w:rFonts w:ascii="仿宋" w:hAnsi="仿宋"/>
                <w:kern w:val="0"/>
                <w:sz w:val="24"/>
              </w:rPr>
            </w:pPr>
          </w:p>
        </w:tc>
        <w:tc>
          <w:tcPr>
            <w:tcW w:w="610" w:type="pct"/>
            <w:shd w:val="clear" w:color="auto" w:fill="auto"/>
            <w:vAlign w:val="center"/>
          </w:tcPr>
          <w:p>
            <w:pPr>
              <w:widowControl/>
              <w:ind w:firstLine="0" w:firstLineChars="0"/>
              <w:jc w:val="center"/>
              <w:rPr>
                <w:rFonts w:ascii="仿宋" w:hAnsi="仿宋"/>
                <w:kern w:val="0"/>
                <w:sz w:val="24"/>
              </w:rPr>
            </w:pPr>
          </w:p>
        </w:tc>
        <w:tc>
          <w:tcPr>
            <w:tcW w:w="1276" w:type="pct"/>
            <w:shd w:val="clear" w:color="auto" w:fill="auto"/>
            <w:vAlign w:val="center"/>
          </w:tcPr>
          <w:p>
            <w:pPr>
              <w:widowControl/>
              <w:ind w:firstLine="0" w:firstLineChars="0"/>
              <w:jc w:val="center"/>
              <w:rPr>
                <w:rFonts w:ascii="仿宋" w:hAnsi="仿宋"/>
                <w:b/>
                <w:bCs/>
                <w:kern w:val="0"/>
                <w:sz w:val="24"/>
              </w:rPr>
            </w:pPr>
            <w:r>
              <w:rPr>
                <w:rFonts w:hint="eastAsia" w:ascii="仿宋" w:hAnsi="仿宋"/>
                <w:b/>
                <w:bCs/>
                <w:kern w:val="0"/>
                <w:sz w:val="24"/>
              </w:rPr>
              <w:t>总合计</w:t>
            </w:r>
          </w:p>
        </w:tc>
        <w:tc>
          <w:tcPr>
            <w:tcW w:w="895"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17182.17</w:t>
            </w:r>
          </w:p>
        </w:tc>
        <w:tc>
          <w:tcPr>
            <w:tcW w:w="943" w:type="pct"/>
            <w:shd w:val="clear" w:color="auto" w:fill="auto"/>
            <w:vAlign w:val="center"/>
          </w:tcPr>
          <w:p>
            <w:pPr>
              <w:widowControl/>
              <w:ind w:firstLine="0" w:firstLineChars="0"/>
              <w:jc w:val="center"/>
              <w:rPr>
                <w:rFonts w:ascii="仿宋" w:hAnsi="仿宋"/>
                <w:b/>
                <w:bCs/>
                <w:kern w:val="0"/>
                <w:sz w:val="24"/>
              </w:rPr>
            </w:pPr>
          </w:p>
        </w:tc>
        <w:tc>
          <w:tcPr>
            <w:tcW w:w="943" w:type="pct"/>
            <w:shd w:val="clear" w:color="auto" w:fill="auto"/>
            <w:vAlign w:val="center"/>
          </w:tcPr>
          <w:p>
            <w:pPr>
              <w:widowControl/>
              <w:ind w:firstLine="0" w:firstLineChars="0"/>
              <w:jc w:val="center"/>
              <w:rPr>
                <w:rFonts w:ascii="仿宋" w:hAnsi="仿宋"/>
                <w:b/>
                <w:bCs/>
                <w:kern w:val="0"/>
                <w:sz w:val="24"/>
              </w:rPr>
            </w:pPr>
            <w:r>
              <w:rPr>
                <w:rFonts w:ascii="仿宋" w:hAnsi="仿宋"/>
                <w:b/>
                <w:bCs/>
                <w:kern w:val="0"/>
                <w:sz w:val="24"/>
              </w:rPr>
              <w:t>1129654.599</w:t>
            </w:r>
          </w:p>
        </w:tc>
      </w:tr>
      <w:bookmarkEnd w:id="12"/>
    </w:tbl>
    <w:p>
      <w:pPr>
        <w:spacing w:line="560" w:lineRule="exact"/>
        <w:ind w:firstLine="0" w:firstLineChars="0"/>
        <w:rPr>
          <w:rFonts w:ascii="楷体_GB2312" w:eastAsia="楷体_GB2312"/>
          <w:szCs w:val="32"/>
        </w:rPr>
      </w:pPr>
    </w:p>
    <w:p>
      <w:pPr>
        <w:pStyle w:val="3"/>
        <w:ind w:firstLine="640"/>
      </w:pPr>
      <w:bookmarkStart w:id="13" w:name="_Toc119581818"/>
      <w:r>
        <w:rPr>
          <w:rFonts w:hint="eastAsia"/>
        </w:rPr>
        <w:t>（三）政策组织情况</w:t>
      </w:r>
      <w:bookmarkEnd w:id="13"/>
    </w:p>
    <w:p>
      <w:pPr>
        <w:pStyle w:val="35"/>
        <w:ind w:firstLine="643"/>
        <w:rPr>
          <w:rFonts w:ascii="仿宋" w:hAnsi="仿宋" w:eastAsia="仿宋"/>
          <w:sz w:val="32"/>
          <w:szCs w:val="32"/>
        </w:rPr>
      </w:pPr>
      <w:r>
        <w:rPr>
          <w:rFonts w:hint="eastAsia" w:ascii="仿宋" w:hAnsi="仿宋" w:eastAsia="仿宋"/>
          <w:b/>
          <w:bCs/>
          <w:sz w:val="32"/>
          <w:szCs w:val="32"/>
        </w:rPr>
        <w:t>船山区财政局（以下简称区财政局）：</w:t>
      </w:r>
      <w:r>
        <w:rPr>
          <w:rFonts w:ascii="仿宋" w:hAnsi="仿宋" w:eastAsia="仿宋"/>
          <w:sz w:val="32"/>
          <w:szCs w:val="32"/>
        </w:rPr>
        <w:t>作为本项目的</w:t>
      </w:r>
      <w:r>
        <w:rPr>
          <w:rFonts w:hint="eastAsia" w:ascii="仿宋" w:hAnsi="仿宋" w:eastAsia="仿宋"/>
          <w:sz w:val="32"/>
          <w:szCs w:val="32"/>
        </w:rPr>
        <w:t>资金拨付单位，负责转移支付上级资金，为项目提供资金保障；对资金使用进行监管以及绩效考核</w:t>
      </w:r>
      <w:r>
        <w:rPr>
          <w:rFonts w:ascii="仿宋" w:hAnsi="仿宋" w:eastAsia="仿宋"/>
          <w:sz w:val="32"/>
          <w:szCs w:val="32"/>
        </w:rPr>
        <w:t>。</w:t>
      </w:r>
    </w:p>
    <w:p>
      <w:pPr>
        <w:pStyle w:val="35"/>
        <w:ind w:firstLine="643"/>
        <w:rPr>
          <w:rFonts w:ascii="仿宋" w:hAnsi="仿宋" w:eastAsia="仿宋"/>
          <w:sz w:val="32"/>
          <w:szCs w:val="32"/>
        </w:rPr>
      </w:pPr>
      <w:r>
        <w:rPr>
          <w:rFonts w:hint="eastAsia" w:ascii="仿宋" w:hAnsi="仿宋" w:eastAsia="仿宋"/>
          <w:b/>
          <w:bCs/>
          <w:sz w:val="32"/>
          <w:szCs w:val="32"/>
        </w:rPr>
        <w:t>区农业农村局：</w:t>
      </w:r>
      <w:r>
        <w:rPr>
          <w:rFonts w:hint="eastAsia" w:ascii="仿宋" w:hAnsi="仿宋" w:eastAsia="仿宋"/>
          <w:sz w:val="32"/>
          <w:szCs w:val="32"/>
        </w:rPr>
        <w:t>作为本项目的主管部门和项目单位，主要负责统筹整个项目，根据上报的资料，会同区财政局一起，采取聘用第三方公司(测绘)的方式，对各乡镇上报的种粮大户申报补贴面积开展抽查核实，以乡镇为单位，抽查面积和户数比例不低于30%。</w:t>
      </w:r>
    </w:p>
    <w:p>
      <w:pPr>
        <w:pStyle w:val="35"/>
        <w:ind w:firstLine="643"/>
      </w:pPr>
      <w:r>
        <w:rPr>
          <w:rFonts w:hint="eastAsia" w:ascii="仿宋" w:hAnsi="仿宋" w:eastAsia="仿宋"/>
          <w:b/>
          <w:bCs/>
          <w:sz w:val="32"/>
          <w:szCs w:val="32"/>
        </w:rPr>
        <w:t>船山区各乡镇人民政府、村民委员会：</w:t>
      </w:r>
      <w:r>
        <w:rPr>
          <w:rFonts w:hint="eastAsia" w:ascii="仿宋" w:hAnsi="仿宋" w:eastAsia="仿宋"/>
          <w:sz w:val="32"/>
          <w:szCs w:val="32"/>
        </w:rPr>
        <w:t>组织符合补贴条件的种粮对象自行向耕地所在村民委员会和乡镇人民政府申报，提交的申报资料包括种粮大户申报表(经耕地所在村委会签字盖章)、土地来源证明材料(经耕地所在村委会签字盖章)及生产图片。乡镇政府组织镇村干部对种植的小麦、玉米和水稻单季粮食作物面积达到30亩以上(含30亩)的种植大户进行核实登记汇总。各乡镇政府组织镇村干部对申报的资料及面积开展核实，核实无误后在镇村两级同步公示，。公示无异议后，由村民委员会、乡镇人民政府主要负责人签字，并加盖公章后报区农业农村局。</w:t>
      </w:r>
    </w:p>
    <w:p>
      <w:pPr>
        <w:pStyle w:val="3"/>
        <w:ind w:firstLine="640"/>
      </w:pPr>
      <w:bookmarkStart w:id="14" w:name="_Toc119581819"/>
      <w:r>
        <w:rPr>
          <w:rFonts w:hint="eastAsia"/>
        </w:rPr>
        <w:t>（四）政策绩效目标</w:t>
      </w:r>
      <w:bookmarkEnd w:id="14"/>
    </w:p>
    <w:p>
      <w:pPr>
        <w:ind w:firstLine="640"/>
      </w:pPr>
      <w:r>
        <w:rPr>
          <w:rFonts w:hint="eastAsia"/>
        </w:rPr>
        <w:t>按照稳粮增收、提质增效、创新驱动的总要求，充分发挥财政资金的导向作用，以粮食规模经营主体为载体，通过种粮大户现金补贴，确保种粮大户及撂荒地复耕工作顺利推进，提升粮食生产质量和效益，促进船山区粮食生产持续稳定发展。</w:t>
      </w:r>
    </w:p>
    <w:p>
      <w:pPr>
        <w:pStyle w:val="2"/>
        <w:ind w:firstLine="640"/>
      </w:pPr>
      <w:bookmarkStart w:id="15" w:name="_Toc119581820"/>
      <w:r>
        <w:rPr>
          <w:rFonts w:hint="eastAsia"/>
        </w:rPr>
        <w:t>二、绩效评价工作情况</w:t>
      </w:r>
      <w:bookmarkEnd w:id="15"/>
    </w:p>
    <w:p>
      <w:pPr>
        <w:pStyle w:val="3"/>
        <w:ind w:firstLine="640"/>
      </w:pPr>
      <w:bookmarkStart w:id="16" w:name="_Toc119581821"/>
      <w:r>
        <w:rPr>
          <w:rFonts w:hint="eastAsia"/>
        </w:rPr>
        <w:t>（一）评价方法</w:t>
      </w:r>
      <w:bookmarkEnd w:id="16"/>
    </w:p>
    <w:p>
      <w:pPr>
        <w:adjustRightInd w:val="0"/>
        <w:snapToGrid w:val="0"/>
        <w:ind w:firstLine="640"/>
        <w:rPr>
          <w:rFonts w:ascii="仿宋" w:hAnsi="仿宋"/>
          <w:szCs w:val="32"/>
        </w:rPr>
      </w:pPr>
      <w:bookmarkStart w:id="17" w:name="_Hlk73882276"/>
      <w:r>
        <w:rPr>
          <w:rFonts w:ascii="仿宋" w:hAnsi="仿宋"/>
          <w:szCs w:val="32"/>
        </w:rPr>
        <w:t>本次项目评价将运用社会调查法、比较法、因素分析法、专家咨询等多种方法从多个角度对项目进行分析。</w:t>
      </w:r>
    </w:p>
    <w:p>
      <w:pPr>
        <w:adjustRightInd w:val="0"/>
        <w:snapToGrid w:val="0"/>
        <w:ind w:firstLine="643"/>
        <w:rPr>
          <w:rFonts w:ascii="仿宋" w:hAnsi="仿宋"/>
          <w:szCs w:val="32"/>
        </w:rPr>
      </w:pPr>
      <w:r>
        <w:rPr>
          <w:rFonts w:ascii="仿宋" w:hAnsi="仿宋"/>
          <w:b/>
          <w:bCs/>
          <w:szCs w:val="32"/>
        </w:rPr>
        <w:t>1.社会调查法。</w:t>
      </w:r>
      <w:r>
        <w:rPr>
          <w:rFonts w:ascii="仿宋" w:hAnsi="仿宋"/>
          <w:szCs w:val="32"/>
        </w:rPr>
        <w:t>通过公众问卷、访谈方式等对项目内容的公众评价情况以及项目绩效目标的实现程度进行调查，并对项目资金的使用效果进行分析。</w:t>
      </w:r>
    </w:p>
    <w:p>
      <w:pPr>
        <w:adjustRightInd w:val="0"/>
        <w:snapToGrid w:val="0"/>
        <w:ind w:firstLine="643"/>
        <w:rPr>
          <w:rFonts w:ascii="仿宋" w:hAnsi="仿宋"/>
          <w:szCs w:val="32"/>
        </w:rPr>
      </w:pPr>
      <w:r>
        <w:rPr>
          <w:rFonts w:ascii="仿宋" w:hAnsi="仿宋"/>
          <w:b/>
          <w:bCs/>
          <w:szCs w:val="32"/>
        </w:rPr>
        <w:t>2.比较法。</w:t>
      </w:r>
      <w:r>
        <w:rPr>
          <w:rFonts w:ascii="仿宋" w:hAnsi="仿宋"/>
          <w:szCs w:val="32"/>
        </w:rPr>
        <w:t>通过对项目绩效目标与实施效果的比较，综合分析绩效目标实现程度。</w:t>
      </w:r>
    </w:p>
    <w:p>
      <w:pPr>
        <w:adjustRightInd w:val="0"/>
        <w:snapToGrid w:val="0"/>
        <w:ind w:firstLine="643"/>
        <w:rPr>
          <w:rFonts w:ascii="仿宋" w:hAnsi="仿宋"/>
          <w:szCs w:val="32"/>
        </w:rPr>
      </w:pPr>
      <w:r>
        <w:rPr>
          <w:rFonts w:ascii="仿宋" w:hAnsi="仿宋"/>
          <w:b/>
          <w:bCs/>
          <w:szCs w:val="32"/>
        </w:rPr>
        <w:t>3.因素分析法。</w:t>
      </w:r>
      <w:r>
        <w:rPr>
          <w:rFonts w:ascii="仿宋" w:hAnsi="仿宋"/>
          <w:szCs w:val="32"/>
        </w:rPr>
        <w:t>通过梳理影响绩效目标实现的内外因素，以及项目绩效目标的实现程度，分析这些因素对目标实现的影响力，从而进一步分析如何通过改善影响因素来提高项目实施效果，达到项目绩效目标。</w:t>
      </w:r>
    </w:p>
    <w:p>
      <w:pPr>
        <w:adjustRightInd w:val="0"/>
        <w:snapToGrid w:val="0"/>
        <w:ind w:firstLine="643"/>
        <w:rPr>
          <w:rFonts w:ascii="仿宋" w:hAnsi="仿宋"/>
          <w:szCs w:val="32"/>
        </w:rPr>
      </w:pPr>
      <w:r>
        <w:rPr>
          <w:rFonts w:ascii="仿宋" w:hAnsi="仿宋"/>
          <w:b/>
          <w:bCs/>
          <w:szCs w:val="32"/>
        </w:rPr>
        <w:t>4.专家咨询法。</w:t>
      </w:r>
      <w:r>
        <w:rPr>
          <w:rFonts w:ascii="仿宋" w:hAnsi="仿宋"/>
          <w:szCs w:val="32"/>
        </w:rPr>
        <w:t>主要是利用专家在专业方面的经验和知识，用征询意见和其他形式向专家请教而获得信息的方法。主要包括评价的实施路径、项目评价的思路以及具体指标的分析方法等估。</w:t>
      </w:r>
      <w:bookmarkEnd w:id="17"/>
    </w:p>
    <w:p>
      <w:pPr>
        <w:pStyle w:val="3"/>
        <w:ind w:firstLine="640"/>
      </w:pPr>
      <w:bookmarkStart w:id="18" w:name="_Toc119581822"/>
      <w:r>
        <w:rPr>
          <w:rFonts w:hint="eastAsia"/>
        </w:rPr>
        <w:t>（二）评价指标</w:t>
      </w:r>
      <w:bookmarkEnd w:id="18"/>
    </w:p>
    <w:p>
      <w:pPr>
        <w:pStyle w:val="41"/>
        <w:numPr>
          <w:ilvl w:val="0"/>
          <w:numId w:val="0"/>
        </w:numPr>
        <w:ind w:firstLine="643" w:firstLineChars="200"/>
        <w:jc w:val="both"/>
        <w:rPr>
          <w:rFonts w:ascii="仿宋" w:hAnsi="仿宋" w:eastAsia="仿宋" w:cs="Times New Roman"/>
          <w:bCs/>
          <w:sz w:val="32"/>
          <w:szCs w:val="32"/>
        </w:rPr>
      </w:pPr>
      <w:bookmarkStart w:id="19" w:name="_Toc119581823"/>
      <w:bookmarkStart w:id="20" w:name="_Toc118908458"/>
      <w:bookmarkStart w:id="21" w:name="_Hlk72409964"/>
      <w:r>
        <w:rPr>
          <w:rFonts w:ascii="仿宋" w:hAnsi="仿宋" w:eastAsia="仿宋" w:cs="Times New Roman"/>
          <w:bCs/>
          <w:sz w:val="32"/>
          <w:szCs w:val="32"/>
        </w:rPr>
        <w:t>1.</w:t>
      </w:r>
      <w:r>
        <w:rPr>
          <w:rFonts w:hint="eastAsia" w:ascii="仿宋" w:hAnsi="仿宋" w:eastAsia="仿宋" w:cs="Times New Roman"/>
          <w:bCs/>
          <w:sz w:val="32"/>
          <w:szCs w:val="32"/>
        </w:rPr>
        <w:t>指标设计思路</w:t>
      </w:r>
      <w:bookmarkEnd w:id="19"/>
      <w:bookmarkEnd w:id="20"/>
    </w:p>
    <w:p>
      <w:pPr>
        <w:pStyle w:val="35"/>
        <w:ind w:firstLine="640"/>
        <w:rPr>
          <w:rFonts w:ascii="仿宋" w:hAnsi="仿宋" w:eastAsia="仿宋"/>
          <w:sz w:val="32"/>
          <w:szCs w:val="32"/>
        </w:rPr>
      </w:pPr>
      <w:r>
        <w:rPr>
          <w:rFonts w:hint="eastAsia" w:ascii="仿宋" w:hAnsi="仿宋" w:eastAsia="仿宋"/>
          <w:sz w:val="32"/>
          <w:szCs w:val="32"/>
        </w:rPr>
        <w:t>根据绩效评价的基本原理、原则和项目特点，结合政策绩效目标，评价组结合《中共中央国务院关于</w:t>
      </w:r>
      <w:bookmarkStart w:id="56" w:name="_GoBack"/>
      <w:bookmarkEnd w:id="56"/>
      <w:r>
        <w:rPr>
          <w:rFonts w:hint="eastAsia" w:ascii="仿宋" w:hAnsi="仿宋" w:eastAsia="仿宋"/>
          <w:sz w:val="32"/>
          <w:szCs w:val="32"/>
        </w:rPr>
        <w:t>全面实施预算绩效管理的实施意见》（中发〔2018〕34号）等文件要求，按照逻辑分析法制定本次2021年种粮大户补贴政策绩效评价指标体系。</w:t>
      </w:r>
    </w:p>
    <w:p>
      <w:pPr>
        <w:pStyle w:val="35"/>
        <w:ind w:firstLine="640"/>
        <w:rPr>
          <w:rFonts w:ascii="仿宋" w:hAnsi="仿宋" w:eastAsia="仿宋"/>
          <w:sz w:val="32"/>
          <w:szCs w:val="32"/>
        </w:rPr>
      </w:pPr>
      <w:r>
        <w:rPr>
          <w:rFonts w:hint="eastAsia" w:ascii="仿宋" w:hAnsi="仿宋" w:eastAsia="仿宋"/>
          <w:sz w:val="32"/>
          <w:szCs w:val="32"/>
        </w:rPr>
        <w:t>评价组在制定指标体系时，主要是从政策制定、政策执行、政策效益等三个维度来确定指标体系框架。</w:t>
      </w:r>
    </w:p>
    <w:bookmarkEnd w:id="21"/>
    <w:p>
      <w:pPr>
        <w:pStyle w:val="41"/>
        <w:numPr>
          <w:ilvl w:val="0"/>
          <w:numId w:val="0"/>
        </w:numPr>
        <w:ind w:firstLine="643" w:firstLineChars="200"/>
        <w:jc w:val="both"/>
        <w:rPr>
          <w:rFonts w:ascii="仿宋" w:hAnsi="仿宋" w:eastAsia="仿宋" w:cs="Times New Roman"/>
          <w:bCs/>
          <w:sz w:val="32"/>
          <w:szCs w:val="32"/>
        </w:rPr>
      </w:pPr>
      <w:bookmarkStart w:id="22" w:name="_Toc119581824"/>
      <w:bookmarkStart w:id="23" w:name="_Toc118908459"/>
      <w:r>
        <w:rPr>
          <w:rFonts w:ascii="仿宋" w:hAnsi="仿宋" w:eastAsia="仿宋" w:cs="Times New Roman"/>
          <w:bCs/>
          <w:sz w:val="32"/>
          <w:szCs w:val="32"/>
        </w:rPr>
        <w:t>2.</w:t>
      </w:r>
      <w:r>
        <w:rPr>
          <w:rFonts w:hint="eastAsia" w:ascii="仿宋" w:hAnsi="仿宋" w:eastAsia="仿宋" w:cs="Times New Roman"/>
          <w:bCs/>
          <w:sz w:val="32"/>
          <w:szCs w:val="32"/>
        </w:rPr>
        <w:t>指标体系框架说明</w:t>
      </w:r>
      <w:bookmarkEnd w:id="22"/>
      <w:bookmarkEnd w:id="23"/>
    </w:p>
    <w:p>
      <w:pPr>
        <w:adjustRightInd w:val="0"/>
        <w:snapToGrid w:val="0"/>
        <w:ind w:firstLine="640"/>
        <w:rPr>
          <w:rFonts w:ascii="仿宋" w:hAnsi="仿宋"/>
          <w:szCs w:val="32"/>
          <w:lang w:val="zh-CN"/>
        </w:rPr>
      </w:pPr>
      <w:r>
        <w:rPr>
          <w:rFonts w:hint="eastAsia" w:ascii="仿宋" w:hAnsi="仿宋"/>
          <w:szCs w:val="32"/>
          <w:lang w:val="zh-CN"/>
        </w:rPr>
        <w:t>2021年种粮大户补贴政策绩效评价指标体系整体框架由</w:t>
      </w:r>
      <w:r>
        <w:rPr>
          <w:rFonts w:ascii="仿宋" w:hAnsi="仿宋"/>
          <w:szCs w:val="32"/>
          <w:lang w:val="zh-CN"/>
        </w:rPr>
        <w:t>3</w:t>
      </w:r>
      <w:r>
        <w:rPr>
          <w:rFonts w:hint="eastAsia" w:ascii="仿宋" w:hAnsi="仿宋"/>
          <w:szCs w:val="32"/>
          <w:lang w:val="zh-CN"/>
        </w:rPr>
        <w:t>项一级指标、</w:t>
      </w:r>
      <w:r>
        <w:rPr>
          <w:rFonts w:ascii="仿宋" w:hAnsi="仿宋"/>
          <w:szCs w:val="32"/>
          <w:lang w:val="zh-CN"/>
        </w:rPr>
        <w:t>16</w:t>
      </w:r>
      <w:r>
        <w:rPr>
          <w:rFonts w:hint="eastAsia" w:ascii="仿宋" w:hAnsi="仿宋"/>
          <w:szCs w:val="32"/>
          <w:lang w:val="zh-CN"/>
        </w:rPr>
        <w:t>项二级指标组成。指标数据来源于政府文件、基础表、问卷调查、访谈等。具体各类指标内容如下：</w:t>
      </w:r>
    </w:p>
    <w:p>
      <w:pPr>
        <w:adjustRightInd w:val="0"/>
        <w:snapToGrid w:val="0"/>
        <w:ind w:firstLine="640"/>
        <w:rPr>
          <w:rFonts w:ascii="仿宋" w:hAnsi="仿宋"/>
          <w:szCs w:val="32"/>
          <w:lang w:val="zh-CN"/>
        </w:rPr>
      </w:pPr>
      <w:r>
        <w:rPr>
          <w:rFonts w:hint="eastAsia" w:ascii="仿宋" w:hAnsi="仿宋"/>
          <w:szCs w:val="32"/>
          <w:lang w:val="zh-CN"/>
        </w:rPr>
        <w:t>（</w:t>
      </w:r>
      <w:r>
        <w:rPr>
          <w:rFonts w:ascii="仿宋" w:hAnsi="仿宋"/>
          <w:szCs w:val="32"/>
          <w:lang w:val="zh-CN"/>
        </w:rPr>
        <w:t>1</w:t>
      </w:r>
      <w:r>
        <w:rPr>
          <w:rFonts w:hint="eastAsia" w:ascii="仿宋" w:hAnsi="仿宋"/>
          <w:szCs w:val="32"/>
          <w:lang w:val="zh-CN"/>
        </w:rPr>
        <w:t>）政策制定指标：占权重分</w:t>
      </w:r>
      <w:r>
        <w:rPr>
          <w:rFonts w:ascii="仿宋" w:hAnsi="仿宋"/>
          <w:szCs w:val="32"/>
          <w:lang w:val="zh-CN"/>
        </w:rPr>
        <w:t>3</w:t>
      </w:r>
      <w:r>
        <w:rPr>
          <w:rFonts w:hint="eastAsia" w:ascii="仿宋" w:hAnsi="仿宋"/>
          <w:szCs w:val="32"/>
          <w:lang w:val="zh-CN"/>
        </w:rPr>
        <w:t>0分，主要包括目标科学、项目协同、对象全面、标准合理等指标。</w:t>
      </w:r>
    </w:p>
    <w:p>
      <w:pPr>
        <w:adjustRightInd w:val="0"/>
        <w:snapToGrid w:val="0"/>
        <w:ind w:firstLine="640"/>
        <w:rPr>
          <w:rFonts w:ascii="仿宋" w:hAnsi="仿宋"/>
          <w:szCs w:val="32"/>
          <w:lang w:val="zh-CN"/>
        </w:rPr>
      </w:pPr>
      <w:r>
        <w:rPr>
          <w:rFonts w:hint="eastAsia" w:ascii="仿宋" w:hAnsi="仿宋"/>
          <w:szCs w:val="32"/>
          <w:lang w:val="zh-CN"/>
        </w:rPr>
        <w:t>（</w:t>
      </w:r>
      <w:r>
        <w:rPr>
          <w:rFonts w:ascii="仿宋" w:hAnsi="仿宋"/>
          <w:szCs w:val="32"/>
          <w:lang w:val="zh-CN"/>
        </w:rPr>
        <w:t>2</w:t>
      </w:r>
      <w:r>
        <w:rPr>
          <w:rFonts w:hint="eastAsia" w:ascii="仿宋" w:hAnsi="仿宋"/>
          <w:szCs w:val="32"/>
          <w:lang w:val="zh-CN"/>
        </w:rPr>
        <w:t>）政策执行指标：占权重分30分，主要包括实施对象精准、组织保障合理、政策宣传实施、项目申报管理、资金使用合规、预算执行率等指标。</w:t>
      </w:r>
    </w:p>
    <w:p>
      <w:pPr>
        <w:adjustRightInd w:val="0"/>
        <w:snapToGrid w:val="0"/>
        <w:ind w:firstLine="640"/>
        <w:rPr>
          <w:rFonts w:ascii="仿宋" w:hAnsi="仿宋"/>
          <w:szCs w:val="32"/>
          <w:lang w:val="zh-CN"/>
        </w:rPr>
      </w:pPr>
      <w:r>
        <w:rPr>
          <w:rFonts w:hint="eastAsia" w:ascii="仿宋" w:hAnsi="仿宋"/>
          <w:szCs w:val="32"/>
          <w:lang w:val="zh-CN"/>
        </w:rPr>
        <w:t>（</w:t>
      </w:r>
      <w:r>
        <w:rPr>
          <w:rFonts w:ascii="仿宋" w:hAnsi="仿宋"/>
          <w:szCs w:val="32"/>
          <w:lang w:val="zh-CN"/>
        </w:rPr>
        <w:t>3</w:t>
      </w:r>
      <w:r>
        <w:rPr>
          <w:rFonts w:hint="eastAsia" w:ascii="仿宋" w:hAnsi="仿宋"/>
          <w:szCs w:val="32"/>
          <w:lang w:val="zh-CN"/>
        </w:rPr>
        <w:t>）政策效益指标：占权重分</w:t>
      </w:r>
      <w:r>
        <w:rPr>
          <w:rFonts w:ascii="仿宋" w:hAnsi="仿宋"/>
          <w:szCs w:val="32"/>
          <w:lang w:val="zh-CN"/>
        </w:rPr>
        <w:t>4</w:t>
      </w:r>
      <w:r>
        <w:rPr>
          <w:rFonts w:hint="eastAsia" w:ascii="仿宋" w:hAnsi="仿宋"/>
          <w:szCs w:val="32"/>
          <w:lang w:val="zh-CN"/>
        </w:rPr>
        <w:t>0分，主要包括政策目标完成、符合性、引导性、区域均衡性、对象公平性、长效管理等指标。</w:t>
      </w:r>
    </w:p>
    <w:p>
      <w:pPr>
        <w:pStyle w:val="41"/>
        <w:numPr>
          <w:ilvl w:val="0"/>
          <w:numId w:val="0"/>
        </w:numPr>
        <w:ind w:firstLine="643" w:firstLineChars="200"/>
        <w:jc w:val="both"/>
        <w:rPr>
          <w:rFonts w:ascii="仿宋" w:hAnsi="仿宋" w:eastAsia="仿宋" w:cs="Times New Roman"/>
          <w:bCs/>
          <w:sz w:val="32"/>
          <w:szCs w:val="32"/>
        </w:rPr>
      </w:pPr>
      <w:bookmarkStart w:id="24" w:name="_Toc119581825"/>
      <w:bookmarkStart w:id="25" w:name="_Hlk72409985"/>
      <w:r>
        <w:rPr>
          <w:rFonts w:ascii="仿宋" w:hAnsi="仿宋" w:eastAsia="仿宋" w:cs="Times New Roman"/>
          <w:bCs/>
          <w:sz w:val="32"/>
          <w:szCs w:val="32"/>
        </w:rPr>
        <w:t>3.</w:t>
      </w:r>
      <w:r>
        <w:rPr>
          <w:rFonts w:hint="eastAsia" w:ascii="仿宋" w:hAnsi="仿宋" w:eastAsia="仿宋" w:cs="Times New Roman"/>
          <w:bCs/>
          <w:sz w:val="32"/>
          <w:szCs w:val="32"/>
        </w:rPr>
        <w:t>指标解释相关说明</w:t>
      </w:r>
      <w:bookmarkEnd w:id="24"/>
    </w:p>
    <w:p>
      <w:pPr>
        <w:ind w:firstLine="643"/>
        <w:outlineLvl w:val="3"/>
        <w:rPr>
          <w:rFonts w:ascii="仿宋" w:hAnsi="仿宋"/>
          <w:b/>
          <w:bCs/>
          <w:szCs w:val="32"/>
        </w:rPr>
      </w:pPr>
      <w:r>
        <w:rPr>
          <w:rFonts w:hint="eastAsia" w:ascii="仿宋" w:hAnsi="仿宋"/>
          <w:b/>
          <w:bCs/>
          <w:szCs w:val="32"/>
        </w:rPr>
        <w:t>（</w:t>
      </w:r>
      <w:r>
        <w:rPr>
          <w:rFonts w:ascii="仿宋" w:hAnsi="仿宋"/>
          <w:b/>
          <w:bCs/>
          <w:szCs w:val="32"/>
        </w:rPr>
        <w:t>1</w:t>
      </w:r>
      <w:r>
        <w:rPr>
          <w:rFonts w:hint="eastAsia" w:ascii="仿宋" w:hAnsi="仿宋"/>
          <w:b/>
          <w:bCs/>
          <w:szCs w:val="32"/>
        </w:rPr>
        <w:t>）权重</w:t>
      </w:r>
    </w:p>
    <w:p>
      <w:pPr>
        <w:adjustRightInd w:val="0"/>
        <w:snapToGrid w:val="0"/>
        <w:ind w:firstLine="640"/>
        <w:rPr>
          <w:rFonts w:ascii="仿宋" w:hAnsi="仿宋"/>
          <w:szCs w:val="32"/>
          <w:lang w:val="zh-CN"/>
        </w:rPr>
      </w:pPr>
      <w:r>
        <w:rPr>
          <w:rFonts w:hint="eastAsia" w:ascii="仿宋" w:hAnsi="仿宋"/>
          <w:szCs w:val="32"/>
          <w:lang w:val="zh-CN"/>
        </w:rPr>
        <w:t>本方案综合评价表中各指标的权重由评价组根据绩效评价原理和评价需求，在调研基础上依据指标的重要性产生。</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2</w:t>
      </w:r>
      <w:r>
        <w:rPr>
          <w:rFonts w:hint="eastAsia" w:ascii="仿宋" w:hAnsi="仿宋"/>
          <w:b/>
          <w:bCs/>
          <w:szCs w:val="32"/>
        </w:rPr>
        <w:t>）评价标准</w:t>
      </w:r>
    </w:p>
    <w:p>
      <w:pPr>
        <w:adjustRightInd w:val="0"/>
        <w:snapToGrid w:val="0"/>
        <w:ind w:firstLine="640"/>
        <w:rPr>
          <w:rFonts w:ascii="仿宋" w:hAnsi="仿宋"/>
          <w:szCs w:val="32"/>
          <w:lang w:val="zh-CN"/>
        </w:rPr>
      </w:pPr>
      <w:r>
        <w:rPr>
          <w:rFonts w:hint="eastAsia" w:ascii="仿宋" w:hAnsi="仿宋"/>
          <w:szCs w:val="32"/>
          <w:lang w:val="zh-CN"/>
        </w:rPr>
        <w:t>本方案的评价标准是依据绩效评价基本原理，分别按照计划标准、行业标准、历史标准等制定。</w:t>
      </w:r>
    </w:p>
    <w:p>
      <w:pPr>
        <w:adjustRightInd w:val="0"/>
        <w:snapToGrid w:val="0"/>
        <w:ind w:firstLine="640"/>
        <w:rPr>
          <w:rFonts w:ascii="仿宋" w:hAnsi="仿宋"/>
          <w:szCs w:val="32"/>
          <w:lang w:val="zh-CN"/>
        </w:rPr>
      </w:pPr>
      <w:r>
        <w:rPr>
          <w:rFonts w:hint="eastAsia" w:ascii="仿宋" w:hAnsi="仿宋"/>
          <w:szCs w:val="32"/>
          <w:lang w:val="zh-CN"/>
        </w:rPr>
        <w:t>对于定性指标，一般通过问卷及访谈采集相关数据，在实施过程中运用等级描述法进行考核，通过设置相应标准来显示该指标认可程度的差异。</w:t>
      </w:r>
    </w:p>
    <w:p>
      <w:pPr>
        <w:adjustRightInd w:val="0"/>
        <w:snapToGrid w:val="0"/>
        <w:ind w:firstLine="640"/>
        <w:rPr>
          <w:rFonts w:ascii="仿宋" w:hAnsi="仿宋"/>
          <w:szCs w:val="32"/>
          <w:lang w:val="zh-CN"/>
        </w:rPr>
      </w:pPr>
      <w:r>
        <w:rPr>
          <w:rFonts w:hint="eastAsia" w:ascii="仿宋" w:hAnsi="仿宋" w:cs="宋体"/>
          <w:szCs w:val="32"/>
          <w:lang w:val="zh-CN"/>
        </w:rPr>
        <w:t>①</w:t>
      </w:r>
      <w:r>
        <w:rPr>
          <w:rFonts w:hint="eastAsia" w:ascii="仿宋" w:hAnsi="仿宋"/>
          <w:szCs w:val="32"/>
          <w:lang w:val="zh-CN"/>
        </w:rPr>
        <w:t>计划标准，以预先制定的目标、计划、预算、定额等作为评价标准，一般以</w:t>
      </w:r>
      <w:r>
        <w:rPr>
          <w:rFonts w:ascii="仿宋" w:hAnsi="仿宋"/>
          <w:szCs w:val="32"/>
          <w:lang w:val="zh-CN"/>
        </w:rPr>
        <w:t>100%</w:t>
      </w:r>
      <w:r>
        <w:rPr>
          <w:rFonts w:hint="eastAsia" w:ascii="仿宋" w:hAnsi="仿宋"/>
          <w:szCs w:val="32"/>
          <w:lang w:val="zh-CN"/>
        </w:rPr>
        <w:t>为满分，按照线性函数，等距增减。</w:t>
      </w:r>
    </w:p>
    <w:p>
      <w:pPr>
        <w:adjustRightInd w:val="0"/>
        <w:snapToGrid w:val="0"/>
        <w:ind w:firstLine="640"/>
        <w:rPr>
          <w:rFonts w:ascii="仿宋" w:hAnsi="仿宋"/>
          <w:szCs w:val="32"/>
          <w:lang w:val="zh-CN"/>
        </w:rPr>
      </w:pPr>
      <w:r>
        <w:rPr>
          <w:rFonts w:hint="eastAsia" w:ascii="仿宋" w:hAnsi="仿宋" w:cs="宋体"/>
          <w:szCs w:val="32"/>
          <w:lang w:val="zh-CN"/>
        </w:rPr>
        <w:t>②</w:t>
      </w:r>
      <w:r>
        <w:rPr>
          <w:rFonts w:hint="eastAsia" w:ascii="仿宋" w:hAnsi="仿宋"/>
          <w:szCs w:val="32"/>
          <w:lang w:val="zh-CN"/>
        </w:rPr>
        <w:t>行业标准，参照国家公布的行业指标数据制定的评价标准，符合标准则得相应权重分，不符合则不得分。</w:t>
      </w:r>
    </w:p>
    <w:p>
      <w:pPr>
        <w:adjustRightInd w:val="0"/>
        <w:snapToGrid w:val="0"/>
        <w:ind w:firstLine="640"/>
        <w:rPr>
          <w:rFonts w:ascii="仿宋" w:hAnsi="仿宋"/>
          <w:szCs w:val="32"/>
          <w:lang w:val="zh-CN"/>
        </w:rPr>
      </w:pPr>
      <w:r>
        <w:rPr>
          <w:rFonts w:hint="eastAsia" w:ascii="仿宋" w:hAnsi="仿宋" w:cs="宋体"/>
          <w:szCs w:val="32"/>
          <w:lang w:val="zh-CN"/>
        </w:rPr>
        <w:t>③</w:t>
      </w:r>
      <w:r>
        <w:rPr>
          <w:rFonts w:hint="eastAsia" w:ascii="仿宋" w:hAnsi="仿宋"/>
          <w:szCs w:val="32"/>
          <w:lang w:val="zh-CN"/>
        </w:rPr>
        <w:t>历史标准，参照历史数据制定的评价标准，一般达到均值即得到权重分的</w:t>
      </w:r>
      <w:r>
        <w:rPr>
          <w:rFonts w:ascii="仿宋" w:hAnsi="仿宋"/>
          <w:szCs w:val="32"/>
          <w:lang w:val="zh-CN"/>
        </w:rPr>
        <w:t>80%</w:t>
      </w:r>
      <w:r>
        <w:rPr>
          <w:rFonts w:hint="eastAsia" w:ascii="仿宋" w:hAnsi="仿宋"/>
          <w:szCs w:val="32"/>
          <w:lang w:val="zh-CN"/>
        </w:rPr>
        <w:t>，超过或减少的即按照线性函数增减计算。</w:t>
      </w:r>
    </w:p>
    <w:p>
      <w:pPr>
        <w:adjustRightInd w:val="0"/>
        <w:snapToGrid w:val="0"/>
        <w:ind w:firstLine="640"/>
        <w:rPr>
          <w:rFonts w:ascii="仿宋" w:hAnsi="仿宋"/>
          <w:szCs w:val="32"/>
          <w:lang w:val="zh-CN"/>
        </w:rPr>
      </w:pPr>
      <w:r>
        <w:rPr>
          <w:rFonts w:hint="eastAsia" w:ascii="仿宋" w:hAnsi="仿宋"/>
          <w:szCs w:val="32"/>
          <w:lang w:val="zh-CN"/>
        </w:rPr>
        <w:t>其他指标，依据其特征给予增减计分。</w:t>
      </w:r>
    </w:p>
    <w:bookmarkEnd w:id="25"/>
    <w:p>
      <w:pPr>
        <w:pStyle w:val="41"/>
        <w:numPr>
          <w:ilvl w:val="0"/>
          <w:numId w:val="0"/>
        </w:numPr>
        <w:ind w:firstLine="643" w:firstLineChars="200"/>
        <w:jc w:val="both"/>
        <w:rPr>
          <w:rFonts w:ascii="仿宋" w:hAnsi="仿宋" w:eastAsia="仿宋" w:cs="Times New Roman"/>
          <w:bCs/>
          <w:sz w:val="32"/>
          <w:szCs w:val="32"/>
        </w:rPr>
      </w:pPr>
      <w:bookmarkStart w:id="26" w:name="_Toc119581826"/>
      <w:bookmarkStart w:id="27" w:name="_Toc79419321"/>
      <w:bookmarkStart w:id="28" w:name="_Toc31441"/>
      <w:bookmarkStart w:id="29" w:name="_Toc6022"/>
      <w:bookmarkStart w:id="30" w:name="_Toc14522"/>
      <w:bookmarkStart w:id="31" w:name="_Toc10683"/>
      <w:bookmarkStart w:id="32" w:name="_Hlk72409822"/>
      <w:r>
        <w:rPr>
          <w:rFonts w:hint="eastAsia" w:ascii="仿宋" w:hAnsi="仿宋" w:eastAsia="仿宋" w:cs="Times New Roman"/>
          <w:bCs/>
          <w:sz w:val="32"/>
          <w:szCs w:val="32"/>
        </w:rPr>
        <w:t>4.评分标准及等级设计</w:t>
      </w:r>
      <w:bookmarkEnd w:id="26"/>
      <w:bookmarkEnd w:id="27"/>
      <w:bookmarkEnd w:id="28"/>
      <w:bookmarkEnd w:id="29"/>
      <w:bookmarkEnd w:id="30"/>
      <w:bookmarkEnd w:id="31"/>
    </w:p>
    <w:p>
      <w:pPr>
        <w:adjustRightInd w:val="0"/>
        <w:snapToGrid w:val="0"/>
        <w:ind w:firstLine="640"/>
        <w:rPr>
          <w:rFonts w:ascii="仿宋" w:hAnsi="仿宋"/>
          <w:szCs w:val="32"/>
          <w:lang w:val="zh-CN"/>
        </w:rPr>
      </w:pPr>
      <w:r>
        <w:rPr>
          <w:rFonts w:hint="eastAsia" w:ascii="仿宋" w:hAnsi="仿宋"/>
          <w:szCs w:val="32"/>
          <w:lang w:val="zh-CN"/>
        </w:rPr>
        <w:t>本着科学、规范、独立、客观、公正的原则，评价组采用集中评议和独立评分相结合的方法，对决策、过程、产出和效益四个方面进行评价，综合绩效评价总分值为</w:t>
      </w:r>
      <w:r>
        <w:rPr>
          <w:rFonts w:ascii="仿宋" w:hAnsi="仿宋"/>
          <w:szCs w:val="32"/>
          <w:lang w:val="zh-CN"/>
        </w:rPr>
        <w:t>100</w:t>
      </w:r>
      <w:r>
        <w:rPr>
          <w:rFonts w:hint="eastAsia" w:ascii="仿宋" w:hAnsi="仿宋"/>
          <w:szCs w:val="32"/>
          <w:lang w:val="zh-CN"/>
        </w:rPr>
        <w:t>分。评价组根据项目实施具体情况得出绩效评价得分，并计算出项目综合评价得分。根据《关于印发</w:t>
      </w:r>
      <w:r>
        <w:rPr>
          <w:rFonts w:ascii="仿宋" w:hAnsi="仿宋"/>
          <w:szCs w:val="32"/>
          <w:lang w:val="zh-CN"/>
        </w:rPr>
        <w:t>&lt;</w:t>
      </w:r>
      <w:r>
        <w:rPr>
          <w:rFonts w:hint="eastAsia" w:ascii="仿宋" w:hAnsi="仿宋"/>
          <w:szCs w:val="32"/>
          <w:lang w:val="zh-CN"/>
        </w:rPr>
        <w:t>项目支出绩效评价管理办法</w:t>
      </w:r>
      <w:r>
        <w:rPr>
          <w:rFonts w:ascii="仿宋" w:hAnsi="仿宋"/>
          <w:szCs w:val="32"/>
          <w:lang w:val="zh-CN"/>
        </w:rPr>
        <w:t>&gt;</w:t>
      </w:r>
      <w:r>
        <w:rPr>
          <w:rFonts w:hint="eastAsia" w:ascii="仿宋" w:hAnsi="仿宋"/>
          <w:szCs w:val="32"/>
          <w:lang w:val="zh-CN"/>
        </w:rPr>
        <w:t>的通知》（财预〔</w:t>
      </w:r>
      <w:r>
        <w:rPr>
          <w:rFonts w:ascii="仿宋" w:hAnsi="仿宋"/>
          <w:szCs w:val="32"/>
          <w:lang w:val="zh-CN"/>
        </w:rPr>
        <w:t>2020</w:t>
      </w:r>
      <w:r>
        <w:rPr>
          <w:rFonts w:hint="eastAsia" w:ascii="仿宋" w:hAnsi="仿宋"/>
          <w:szCs w:val="32"/>
          <w:lang w:val="zh-CN"/>
        </w:rPr>
        <w:t>〕</w:t>
      </w:r>
      <w:r>
        <w:rPr>
          <w:rFonts w:ascii="仿宋" w:hAnsi="仿宋"/>
          <w:szCs w:val="32"/>
          <w:lang w:val="zh-CN"/>
        </w:rPr>
        <w:t>10</w:t>
      </w:r>
      <w:r>
        <w:rPr>
          <w:rFonts w:hint="eastAsia" w:ascii="仿宋" w:hAnsi="仿宋"/>
          <w:szCs w:val="32"/>
          <w:lang w:val="zh-CN"/>
        </w:rPr>
        <w:t>号）相关要求，评价等级一般划分为四档：</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90（含）-100分为优；</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80（含）-90分为良；</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60（含）-80分为中；</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60分以下为差。</w:t>
      </w:r>
      <w:bookmarkEnd w:id="32"/>
    </w:p>
    <w:p>
      <w:pPr>
        <w:pStyle w:val="2"/>
        <w:ind w:firstLine="640"/>
      </w:pPr>
      <w:bookmarkStart w:id="33" w:name="_Toc119581827"/>
      <w:r>
        <w:rPr>
          <w:rFonts w:hint="eastAsia"/>
        </w:rPr>
        <w:t>三、评价结论和绩效分析</w:t>
      </w:r>
      <w:bookmarkEnd w:id="33"/>
    </w:p>
    <w:p>
      <w:pPr>
        <w:pStyle w:val="3"/>
        <w:ind w:firstLine="640"/>
      </w:pPr>
      <w:bookmarkStart w:id="34" w:name="_Toc119581828"/>
      <w:r>
        <w:rPr>
          <w:rFonts w:hint="eastAsia"/>
        </w:rPr>
        <w:t>（一）评价结论</w:t>
      </w:r>
      <w:bookmarkEnd w:id="34"/>
    </w:p>
    <w:p>
      <w:pPr>
        <w:pStyle w:val="35"/>
        <w:overflowPunct w:val="0"/>
        <w:ind w:firstLine="640"/>
        <w:rPr>
          <w:rFonts w:ascii="仿宋" w:hAnsi="仿宋" w:eastAsia="仿宋"/>
          <w:sz w:val="32"/>
          <w:szCs w:val="32"/>
        </w:rPr>
      </w:pPr>
      <w:r>
        <w:rPr>
          <w:rFonts w:hint="eastAsia" w:ascii="仿宋" w:hAnsi="仿宋" w:eastAsia="仿宋"/>
          <w:sz w:val="32"/>
          <w:szCs w:val="32"/>
        </w:rPr>
        <w:t>评价组运用设计的评价指标体系及评分标准，通过数据采集、访谈、问卷调查，对</w:t>
      </w:r>
      <w:r>
        <w:rPr>
          <w:rFonts w:ascii="仿宋" w:hAnsi="仿宋" w:eastAsia="仿宋"/>
          <w:sz w:val="32"/>
          <w:szCs w:val="32"/>
        </w:rPr>
        <w:t>2021</w:t>
      </w:r>
      <w:r>
        <w:rPr>
          <w:rFonts w:hint="eastAsia" w:ascii="仿宋" w:hAnsi="仿宋" w:eastAsia="仿宋"/>
          <w:sz w:val="32"/>
          <w:szCs w:val="32"/>
        </w:rPr>
        <w:t>年种粮大户补贴政策进行客观评价，得到最终评分结果为</w:t>
      </w:r>
      <w:r>
        <w:rPr>
          <w:rFonts w:ascii="仿宋" w:hAnsi="仿宋" w:eastAsia="仿宋"/>
          <w:sz w:val="32"/>
          <w:szCs w:val="32"/>
        </w:rPr>
        <w:t>95.5</w:t>
      </w:r>
      <w:r>
        <w:rPr>
          <w:rFonts w:hint="eastAsia" w:ascii="仿宋" w:hAnsi="仿宋" w:eastAsia="仿宋"/>
          <w:sz w:val="32"/>
          <w:szCs w:val="32"/>
        </w:rPr>
        <w:t>分，绩效评级为</w:t>
      </w:r>
      <w:r>
        <w:rPr>
          <w:rFonts w:ascii="仿宋" w:hAnsi="仿宋" w:eastAsia="仿宋"/>
          <w:sz w:val="32"/>
          <w:szCs w:val="32"/>
        </w:rPr>
        <w:t>“</w:t>
      </w:r>
      <w:r>
        <w:rPr>
          <w:rFonts w:hint="eastAsia" w:ascii="仿宋" w:hAnsi="仿宋" w:eastAsia="仿宋"/>
          <w:sz w:val="32"/>
          <w:szCs w:val="32"/>
        </w:rPr>
        <w:t>优</w:t>
      </w:r>
      <w:r>
        <w:rPr>
          <w:rFonts w:ascii="仿宋" w:hAnsi="仿宋" w:eastAsia="仿宋"/>
          <w:sz w:val="32"/>
          <w:szCs w:val="32"/>
        </w:rPr>
        <w:t>”</w:t>
      </w:r>
      <w:r>
        <w:rPr>
          <w:rFonts w:hint="eastAsia" w:ascii="仿宋" w:hAnsi="仿宋" w:eastAsia="仿宋"/>
          <w:sz w:val="32"/>
          <w:szCs w:val="32"/>
        </w:rPr>
        <w:t>。具体打分情况见附件</w:t>
      </w:r>
      <w:r>
        <w:rPr>
          <w:rFonts w:ascii="仿宋" w:hAnsi="仿宋" w:eastAsia="仿宋"/>
          <w:sz w:val="32"/>
          <w:szCs w:val="32"/>
        </w:rPr>
        <w:t>1</w:t>
      </w:r>
      <w:r>
        <w:rPr>
          <w:rFonts w:hint="eastAsia" w:ascii="仿宋" w:hAnsi="仿宋" w:eastAsia="仿宋"/>
          <w:sz w:val="32"/>
          <w:szCs w:val="32"/>
        </w:rPr>
        <w:t>。具体得分如表3</w:t>
      </w:r>
      <w:r>
        <w:rPr>
          <w:rFonts w:ascii="仿宋" w:hAnsi="仿宋" w:eastAsia="仿宋"/>
          <w:sz w:val="32"/>
          <w:szCs w:val="32"/>
        </w:rPr>
        <w:t>-1</w:t>
      </w:r>
      <w:r>
        <w:rPr>
          <w:rFonts w:hint="eastAsia" w:ascii="仿宋" w:hAnsi="仿宋" w:eastAsia="仿宋"/>
          <w:sz w:val="32"/>
          <w:szCs w:val="32"/>
        </w:rPr>
        <w:t>所示。</w:t>
      </w:r>
    </w:p>
    <w:p>
      <w:pPr>
        <w:pStyle w:val="39"/>
        <w:overflowPunct w:val="0"/>
        <w:adjustRightInd w:val="0"/>
        <w:snapToGrid w:val="0"/>
        <w:spacing w:line="320" w:lineRule="exact"/>
        <w:ind w:firstLine="640"/>
        <w:rPr>
          <w:rFonts w:ascii="仿宋" w:hAnsi="仿宋" w:eastAsia="仿宋"/>
          <w:szCs w:val="24"/>
        </w:rPr>
      </w:pPr>
      <w:r>
        <w:rPr>
          <w:rFonts w:hint="eastAsia" w:ascii="仿宋" w:hAnsi="仿宋" w:eastAsia="仿宋"/>
          <w:szCs w:val="24"/>
        </w:rPr>
        <w:t>表3</w:t>
      </w:r>
      <w:r>
        <w:rPr>
          <w:rFonts w:ascii="仿宋" w:hAnsi="仿宋" w:eastAsia="仿宋"/>
          <w:szCs w:val="24"/>
        </w:rPr>
        <w:t xml:space="preserve">-1   </w:t>
      </w:r>
      <w:r>
        <w:rPr>
          <w:rFonts w:hint="eastAsia" w:ascii="仿宋" w:hAnsi="仿宋" w:eastAsia="仿宋"/>
          <w:szCs w:val="24"/>
        </w:rPr>
        <w:t>种粮大户补贴政策绩效评分汇总表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649"/>
        <w:gridCol w:w="168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1" w:type="pct"/>
            <w:gridSpan w:val="3"/>
            <w:tcBorders>
              <w:bottom w:val="single" w:color="auto" w:sz="4" w:space="0"/>
            </w:tcBorders>
            <w:noWrap/>
            <w:vAlign w:val="center"/>
          </w:tcPr>
          <w:p>
            <w:pPr>
              <w:pStyle w:val="45"/>
              <w:rPr>
                <w:rFonts w:ascii="仿宋" w:hAnsi="仿宋" w:eastAsia="仿宋"/>
                <w:b/>
                <w:bCs/>
                <w:kern w:val="0"/>
                <w:sz w:val="24"/>
              </w:rPr>
            </w:pPr>
            <w:r>
              <w:rPr>
                <w:rFonts w:hint="eastAsia" w:ascii="仿宋" w:hAnsi="仿宋" w:eastAsia="仿宋"/>
                <w:b/>
                <w:bCs/>
                <w:kern w:val="0"/>
                <w:sz w:val="24"/>
              </w:rPr>
              <w:t>分层</w:t>
            </w:r>
          </w:p>
        </w:tc>
        <w:tc>
          <w:tcPr>
            <w:tcW w:w="839" w:type="pct"/>
            <w:vMerge w:val="restart"/>
            <w:vAlign w:val="center"/>
          </w:tcPr>
          <w:p>
            <w:pPr>
              <w:pStyle w:val="45"/>
              <w:rPr>
                <w:rFonts w:ascii="仿宋" w:hAnsi="仿宋" w:eastAsia="仿宋"/>
                <w:b/>
                <w:bCs/>
                <w:kern w:val="0"/>
                <w:sz w:val="24"/>
              </w:rPr>
            </w:pPr>
            <w:r>
              <w:rPr>
                <w:rFonts w:hint="eastAsia" w:ascii="仿宋" w:hAnsi="仿宋" w:eastAsia="仿宋"/>
                <w:b/>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bottom w:val="single" w:color="auto" w:sz="4" w:space="0"/>
            </w:tcBorders>
            <w:noWrap/>
            <w:vAlign w:val="center"/>
          </w:tcPr>
          <w:p>
            <w:pPr>
              <w:pStyle w:val="45"/>
              <w:rPr>
                <w:rFonts w:ascii="仿宋" w:hAnsi="仿宋" w:eastAsia="仿宋"/>
                <w:b/>
                <w:bCs/>
                <w:kern w:val="0"/>
                <w:sz w:val="24"/>
              </w:rPr>
            </w:pPr>
            <w:r>
              <w:rPr>
                <w:rFonts w:hint="eastAsia" w:ascii="仿宋" w:hAnsi="仿宋" w:eastAsia="仿宋"/>
                <w:b/>
                <w:bCs/>
                <w:kern w:val="0"/>
                <w:sz w:val="24"/>
              </w:rPr>
              <w:t>一级指标</w:t>
            </w:r>
          </w:p>
        </w:tc>
        <w:tc>
          <w:tcPr>
            <w:tcW w:w="1553" w:type="pct"/>
            <w:tcBorders>
              <w:bottom w:val="single" w:color="auto" w:sz="4" w:space="0"/>
            </w:tcBorders>
            <w:vAlign w:val="center"/>
          </w:tcPr>
          <w:p>
            <w:pPr>
              <w:pStyle w:val="45"/>
              <w:rPr>
                <w:rFonts w:ascii="仿宋" w:hAnsi="仿宋" w:eastAsia="仿宋"/>
                <w:b/>
                <w:bCs/>
                <w:kern w:val="0"/>
                <w:sz w:val="24"/>
              </w:rPr>
            </w:pPr>
            <w:r>
              <w:rPr>
                <w:rFonts w:hint="eastAsia" w:ascii="仿宋" w:hAnsi="仿宋" w:eastAsia="仿宋"/>
                <w:b/>
                <w:bCs/>
                <w:kern w:val="0"/>
                <w:sz w:val="24"/>
              </w:rPr>
              <w:t>二级指标</w:t>
            </w:r>
          </w:p>
        </w:tc>
        <w:tc>
          <w:tcPr>
            <w:tcW w:w="989" w:type="pct"/>
            <w:tcBorders>
              <w:bottom w:val="single" w:color="auto" w:sz="4" w:space="0"/>
            </w:tcBorders>
            <w:vAlign w:val="center"/>
          </w:tcPr>
          <w:p>
            <w:pPr>
              <w:pStyle w:val="45"/>
              <w:rPr>
                <w:rFonts w:ascii="仿宋" w:hAnsi="仿宋" w:eastAsia="仿宋"/>
                <w:b/>
                <w:bCs/>
                <w:kern w:val="0"/>
                <w:sz w:val="24"/>
              </w:rPr>
            </w:pPr>
            <w:r>
              <w:rPr>
                <w:rFonts w:hint="eastAsia" w:ascii="仿宋" w:hAnsi="仿宋" w:eastAsia="仿宋"/>
                <w:b/>
                <w:bCs/>
                <w:kern w:val="0"/>
                <w:sz w:val="24"/>
              </w:rPr>
              <w:t>分值</w:t>
            </w:r>
          </w:p>
        </w:tc>
        <w:tc>
          <w:tcPr>
            <w:tcW w:w="839" w:type="pct"/>
            <w:vMerge w:val="continue"/>
            <w:tcBorders>
              <w:bottom w:val="single" w:color="auto" w:sz="4" w:space="0"/>
            </w:tcBorders>
            <w:vAlign w:val="center"/>
          </w:tcPr>
          <w:p>
            <w:pPr>
              <w:pStyle w:val="45"/>
              <w:rPr>
                <w:rFonts w:ascii="仿宋" w:hAnsi="仿宋"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restart"/>
            <w:vAlign w:val="center"/>
          </w:tcPr>
          <w:p>
            <w:pPr>
              <w:pStyle w:val="45"/>
              <w:rPr>
                <w:rFonts w:ascii="仿宋" w:hAnsi="仿宋" w:eastAsia="仿宋"/>
                <w:kern w:val="0"/>
                <w:sz w:val="24"/>
              </w:rPr>
            </w:pPr>
            <w:r>
              <w:rPr>
                <w:rFonts w:hint="eastAsia" w:ascii="仿宋" w:hAnsi="仿宋" w:eastAsia="仿宋"/>
                <w:kern w:val="0"/>
                <w:sz w:val="24"/>
              </w:rPr>
              <w:t>政策制定（</w:t>
            </w:r>
            <w:r>
              <w:rPr>
                <w:rFonts w:ascii="仿宋" w:hAnsi="仿宋" w:eastAsia="仿宋"/>
                <w:kern w:val="0"/>
                <w:sz w:val="24"/>
              </w:rPr>
              <w:t>30</w:t>
            </w:r>
            <w:r>
              <w:rPr>
                <w:rFonts w:hint="eastAsia" w:ascii="仿宋" w:hAnsi="仿宋" w:eastAsia="仿宋"/>
                <w:kern w:val="0"/>
                <w:sz w:val="24"/>
              </w:rPr>
              <w:t>分）</w:t>
            </w:r>
          </w:p>
        </w:tc>
        <w:tc>
          <w:tcPr>
            <w:tcW w:w="1553" w:type="pct"/>
            <w:vAlign w:val="center"/>
          </w:tcPr>
          <w:p>
            <w:pPr>
              <w:pStyle w:val="45"/>
              <w:rPr>
                <w:rFonts w:ascii="仿宋" w:hAnsi="仿宋" w:eastAsia="仿宋"/>
                <w:kern w:val="0"/>
                <w:sz w:val="24"/>
              </w:rPr>
            </w:pPr>
            <w:r>
              <w:rPr>
                <w:rFonts w:hint="eastAsia" w:ascii="仿宋" w:hAnsi="仿宋" w:eastAsia="仿宋"/>
                <w:kern w:val="0"/>
                <w:sz w:val="24"/>
              </w:rPr>
              <w:t>目标科学</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7</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项目协同</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7</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对象全面</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8</w:t>
            </w:r>
          </w:p>
        </w:tc>
        <w:tc>
          <w:tcPr>
            <w:tcW w:w="839" w:type="pct"/>
            <w:vAlign w:val="center"/>
          </w:tcPr>
          <w:p>
            <w:pPr>
              <w:pStyle w:val="45"/>
              <w:rPr>
                <w:rFonts w:ascii="仿宋" w:hAnsi="仿宋" w:eastAsia="仿宋"/>
                <w:kern w:val="0"/>
                <w:sz w:val="24"/>
              </w:rPr>
            </w:pPr>
            <w:r>
              <w:rPr>
                <w:rFonts w:ascii="仿宋" w:hAnsi="仿宋" w:eastAsia="仿宋"/>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标准合理</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8</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restart"/>
            <w:vAlign w:val="center"/>
          </w:tcPr>
          <w:p>
            <w:pPr>
              <w:pStyle w:val="45"/>
              <w:rPr>
                <w:rFonts w:ascii="仿宋" w:hAnsi="仿宋" w:eastAsia="仿宋"/>
                <w:kern w:val="0"/>
                <w:sz w:val="24"/>
              </w:rPr>
            </w:pPr>
            <w:r>
              <w:rPr>
                <w:rFonts w:hint="eastAsia" w:ascii="仿宋" w:hAnsi="仿宋" w:eastAsia="仿宋"/>
                <w:kern w:val="0"/>
                <w:sz w:val="24"/>
              </w:rPr>
              <w:t>政策执行（</w:t>
            </w:r>
            <w:r>
              <w:rPr>
                <w:rFonts w:ascii="仿宋" w:hAnsi="仿宋" w:eastAsia="仿宋"/>
                <w:kern w:val="0"/>
                <w:sz w:val="24"/>
              </w:rPr>
              <w:t>30</w:t>
            </w:r>
            <w:r>
              <w:rPr>
                <w:rFonts w:hint="eastAsia" w:ascii="仿宋" w:hAnsi="仿宋" w:eastAsia="仿宋"/>
                <w:kern w:val="0"/>
                <w:sz w:val="24"/>
              </w:rPr>
              <w:t>分）</w:t>
            </w:r>
          </w:p>
        </w:tc>
        <w:tc>
          <w:tcPr>
            <w:tcW w:w="1553" w:type="pct"/>
            <w:vAlign w:val="center"/>
          </w:tcPr>
          <w:p>
            <w:pPr>
              <w:pStyle w:val="45"/>
              <w:rPr>
                <w:rFonts w:ascii="仿宋" w:hAnsi="仿宋" w:eastAsia="仿宋"/>
                <w:kern w:val="0"/>
                <w:sz w:val="24"/>
              </w:rPr>
            </w:pPr>
            <w:r>
              <w:rPr>
                <w:rFonts w:hint="eastAsia" w:ascii="仿宋" w:hAnsi="仿宋" w:eastAsia="仿宋"/>
                <w:kern w:val="0"/>
                <w:sz w:val="24"/>
              </w:rPr>
              <w:t>实施对象精准</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组织保障合理</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政策宣传实施</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4</w:t>
            </w:r>
            <w:r>
              <w:rPr>
                <w:rFonts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项目申报管理</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资金使用合规</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预算执行率</w:t>
            </w:r>
          </w:p>
        </w:tc>
        <w:tc>
          <w:tcPr>
            <w:tcW w:w="989" w:type="pct"/>
            <w:vAlign w:val="center"/>
          </w:tcPr>
          <w:p>
            <w:pPr>
              <w:pStyle w:val="45"/>
              <w:rPr>
                <w:rFonts w:ascii="仿宋" w:hAnsi="仿宋" w:eastAsia="仿宋" w:cs="Times New Roman"/>
                <w:kern w:val="0"/>
                <w:sz w:val="24"/>
              </w:rPr>
            </w:pPr>
            <w:r>
              <w:rPr>
                <w:rFonts w:ascii="仿宋" w:hAnsi="仿宋" w:eastAsia="仿宋" w:cs="Times New Roman"/>
                <w:kern w:val="0"/>
                <w:sz w:val="24"/>
              </w:rPr>
              <w:t>5</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restart"/>
            <w:vAlign w:val="center"/>
          </w:tcPr>
          <w:p>
            <w:pPr>
              <w:pStyle w:val="45"/>
              <w:rPr>
                <w:rFonts w:ascii="仿宋" w:hAnsi="仿宋" w:eastAsia="仿宋"/>
                <w:kern w:val="0"/>
                <w:sz w:val="24"/>
              </w:rPr>
            </w:pPr>
            <w:r>
              <w:rPr>
                <w:rFonts w:hint="eastAsia" w:ascii="仿宋" w:hAnsi="仿宋" w:eastAsia="仿宋"/>
                <w:kern w:val="0"/>
                <w:sz w:val="24"/>
              </w:rPr>
              <w:t>政策效果（</w:t>
            </w:r>
            <w:r>
              <w:rPr>
                <w:rFonts w:ascii="仿宋" w:hAnsi="仿宋" w:eastAsia="仿宋"/>
                <w:kern w:val="0"/>
                <w:sz w:val="24"/>
              </w:rPr>
              <w:t>40</w:t>
            </w:r>
            <w:r>
              <w:rPr>
                <w:rFonts w:hint="eastAsia" w:ascii="仿宋" w:hAnsi="仿宋" w:eastAsia="仿宋"/>
                <w:kern w:val="0"/>
                <w:sz w:val="24"/>
              </w:rPr>
              <w:t>分）</w:t>
            </w:r>
          </w:p>
        </w:tc>
        <w:tc>
          <w:tcPr>
            <w:tcW w:w="1553" w:type="pct"/>
            <w:vAlign w:val="center"/>
          </w:tcPr>
          <w:p>
            <w:pPr>
              <w:pStyle w:val="45"/>
              <w:rPr>
                <w:rFonts w:ascii="仿宋" w:hAnsi="仿宋" w:eastAsia="仿宋"/>
                <w:kern w:val="0"/>
                <w:sz w:val="24"/>
              </w:rPr>
            </w:pPr>
            <w:r>
              <w:rPr>
                <w:rFonts w:hint="eastAsia" w:ascii="仿宋" w:hAnsi="仿宋" w:eastAsia="仿宋"/>
                <w:kern w:val="0"/>
                <w:sz w:val="24"/>
              </w:rPr>
              <w:t>政策目标完成</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8</w:t>
            </w:r>
          </w:p>
        </w:tc>
        <w:tc>
          <w:tcPr>
            <w:tcW w:w="839" w:type="pct"/>
            <w:vAlign w:val="center"/>
          </w:tcPr>
          <w:p>
            <w:pPr>
              <w:pStyle w:val="45"/>
              <w:rPr>
                <w:rFonts w:ascii="仿宋" w:hAnsi="仿宋" w:eastAsia="仿宋"/>
                <w:kern w:val="0"/>
                <w:sz w:val="24"/>
              </w:rPr>
            </w:pPr>
            <w:r>
              <w:rPr>
                <w:rFonts w:ascii="仿宋" w:hAnsi="仿宋" w:eastAsia="仿宋"/>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符合性</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7</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引导性</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7</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区域均衡性</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8</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对象公平性</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8</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Merge w:val="continue"/>
            <w:vAlign w:val="center"/>
          </w:tcPr>
          <w:p>
            <w:pPr>
              <w:pStyle w:val="45"/>
              <w:rPr>
                <w:rFonts w:ascii="仿宋" w:hAnsi="仿宋" w:eastAsia="仿宋"/>
                <w:kern w:val="0"/>
                <w:sz w:val="24"/>
              </w:rPr>
            </w:pPr>
          </w:p>
        </w:tc>
        <w:tc>
          <w:tcPr>
            <w:tcW w:w="1553" w:type="pct"/>
            <w:vAlign w:val="center"/>
          </w:tcPr>
          <w:p>
            <w:pPr>
              <w:pStyle w:val="45"/>
              <w:rPr>
                <w:rFonts w:ascii="仿宋" w:hAnsi="仿宋" w:eastAsia="仿宋"/>
                <w:kern w:val="0"/>
                <w:sz w:val="24"/>
              </w:rPr>
            </w:pPr>
            <w:r>
              <w:rPr>
                <w:rFonts w:hint="eastAsia" w:ascii="仿宋" w:hAnsi="仿宋" w:eastAsia="仿宋"/>
                <w:kern w:val="0"/>
                <w:sz w:val="24"/>
              </w:rPr>
              <w:t>长效管理</w:t>
            </w:r>
          </w:p>
        </w:tc>
        <w:tc>
          <w:tcPr>
            <w:tcW w:w="989" w:type="pct"/>
            <w:shd w:val="clear" w:color="auto" w:fill="auto"/>
            <w:vAlign w:val="center"/>
          </w:tcPr>
          <w:p>
            <w:pPr>
              <w:pStyle w:val="45"/>
              <w:rPr>
                <w:rFonts w:ascii="仿宋" w:hAnsi="仿宋" w:eastAsia="仿宋" w:cs="Times New Roman"/>
                <w:kern w:val="0"/>
                <w:sz w:val="24"/>
              </w:rPr>
            </w:pPr>
            <w:r>
              <w:rPr>
                <w:rFonts w:ascii="仿宋" w:hAnsi="仿宋" w:eastAsia="仿宋" w:cs="Times New Roman"/>
                <w:kern w:val="0"/>
                <w:sz w:val="24"/>
              </w:rPr>
              <w:t>2</w:t>
            </w:r>
          </w:p>
        </w:tc>
        <w:tc>
          <w:tcPr>
            <w:tcW w:w="839" w:type="pct"/>
            <w:vAlign w:val="center"/>
          </w:tcPr>
          <w:p>
            <w:pPr>
              <w:pStyle w:val="45"/>
              <w:rPr>
                <w:rFonts w:ascii="仿宋" w:hAnsi="仿宋" w:eastAsia="仿宋"/>
                <w:kern w:val="0"/>
                <w:sz w:val="24"/>
              </w:rPr>
            </w:pPr>
            <w:r>
              <w:rPr>
                <w:rFonts w:hint="eastAsia" w:ascii="仿宋" w:hAnsi="仿宋" w:eastAsia="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pct"/>
            <w:gridSpan w:val="2"/>
            <w:vAlign w:val="center"/>
          </w:tcPr>
          <w:p>
            <w:pPr>
              <w:pStyle w:val="45"/>
              <w:rPr>
                <w:rFonts w:ascii="仿宋" w:hAnsi="仿宋" w:eastAsia="仿宋"/>
                <w:b/>
                <w:bCs/>
                <w:kern w:val="0"/>
                <w:sz w:val="24"/>
              </w:rPr>
            </w:pPr>
            <w:r>
              <w:rPr>
                <w:rFonts w:hint="eastAsia" w:ascii="仿宋" w:hAnsi="仿宋" w:eastAsia="仿宋"/>
                <w:b/>
                <w:bCs/>
                <w:kern w:val="0"/>
                <w:sz w:val="24"/>
              </w:rPr>
              <w:t>合计</w:t>
            </w:r>
          </w:p>
        </w:tc>
        <w:tc>
          <w:tcPr>
            <w:tcW w:w="989" w:type="pct"/>
            <w:vAlign w:val="center"/>
          </w:tcPr>
          <w:p>
            <w:pPr>
              <w:pStyle w:val="45"/>
              <w:rPr>
                <w:rFonts w:ascii="仿宋" w:hAnsi="仿宋" w:eastAsia="仿宋" w:cs="Times New Roman"/>
                <w:b/>
                <w:bCs/>
                <w:kern w:val="0"/>
                <w:sz w:val="24"/>
              </w:rPr>
            </w:pPr>
            <w:r>
              <w:rPr>
                <w:rFonts w:ascii="仿宋" w:hAnsi="仿宋" w:eastAsia="仿宋" w:cs="Times New Roman"/>
                <w:b/>
                <w:bCs/>
                <w:kern w:val="0"/>
                <w:sz w:val="24"/>
              </w:rPr>
              <w:fldChar w:fldCharType="begin"/>
            </w:r>
            <w:r>
              <w:rPr>
                <w:rFonts w:ascii="仿宋" w:hAnsi="仿宋" w:eastAsia="仿宋" w:cs="Times New Roman"/>
                <w:b/>
                <w:bCs/>
                <w:kern w:val="0"/>
                <w:sz w:val="24"/>
              </w:rPr>
              <w:instrText xml:space="preserve"> =SUM(ABOVE) </w:instrText>
            </w:r>
            <w:r>
              <w:rPr>
                <w:rFonts w:ascii="仿宋" w:hAnsi="仿宋" w:eastAsia="仿宋" w:cs="Times New Roman"/>
                <w:b/>
                <w:bCs/>
                <w:kern w:val="0"/>
                <w:sz w:val="24"/>
              </w:rPr>
              <w:fldChar w:fldCharType="separate"/>
            </w:r>
            <w:r>
              <w:rPr>
                <w:rFonts w:ascii="仿宋" w:hAnsi="仿宋" w:eastAsia="仿宋" w:cs="Times New Roman"/>
                <w:b/>
                <w:bCs/>
                <w:kern w:val="0"/>
                <w:sz w:val="24"/>
              </w:rPr>
              <w:t>100</w:t>
            </w:r>
            <w:r>
              <w:rPr>
                <w:rFonts w:ascii="仿宋" w:hAnsi="仿宋" w:eastAsia="仿宋" w:cs="Times New Roman"/>
                <w:b/>
                <w:bCs/>
                <w:kern w:val="0"/>
                <w:sz w:val="24"/>
              </w:rPr>
              <w:fldChar w:fldCharType="end"/>
            </w:r>
          </w:p>
        </w:tc>
        <w:tc>
          <w:tcPr>
            <w:tcW w:w="839" w:type="pct"/>
            <w:vAlign w:val="center"/>
          </w:tcPr>
          <w:p>
            <w:pPr>
              <w:pStyle w:val="45"/>
              <w:rPr>
                <w:rFonts w:ascii="仿宋" w:hAnsi="仿宋" w:eastAsia="仿宋"/>
                <w:b/>
                <w:bCs/>
                <w:kern w:val="0"/>
                <w:sz w:val="24"/>
              </w:rPr>
            </w:pPr>
            <w:r>
              <w:rPr>
                <w:rFonts w:ascii="仿宋" w:hAnsi="仿宋" w:eastAsia="仿宋"/>
                <w:b/>
                <w:bCs/>
                <w:kern w:val="0"/>
                <w:sz w:val="24"/>
              </w:rPr>
              <w:fldChar w:fldCharType="begin"/>
            </w:r>
            <w:r>
              <w:rPr>
                <w:rFonts w:ascii="仿宋" w:hAnsi="仿宋" w:eastAsia="仿宋"/>
                <w:b/>
                <w:bCs/>
                <w:kern w:val="0"/>
                <w:sz w:val="24"/>
              </w:rPr>
              <w:instrText xml:space="preserve"> =SUM(ABOVE) </w:instrText>
            </w:r>
            <w:r>
              <w:rPr>
                <w:rFonts w:ascii="仿宋" w:hAnsi="仿宋" w:eastAsia="仿宋"/>
                <w:b/>
                <w:bCs/>
                <w:kern w:val="0"/>
                <w:sz w:val="24"/>
              </w:rPr>
              <w:fldChar w:fldCharType="separate"/>
            </w:r>
            <w:r>
              <w:rPr>
                <w:rFonts w:ascii="仿宋" w:hAnsi="仿宋" w:eastAsia="仿宋"/>
                <w:b/>
                <w:bCs/>
                <w:kern w:val="0"/>
                <w:sz w:val="24"/>
              </w:rPr>
              <w:t>95.5</w:t>
            </w:r>
            <w:r>
              <w:rPr>
                <w:rFonts w:ascii="仿宋" w:hAnsi="仿宋" w:eastAsia="仿宋"/>
                <w:b/>
                <w:bCs/>
                <w:kern w:val="0"/>
                <w:sz w:val="24"/>
              </w:rPr>
              <w:fldChar w:fldCharType="end"/>
            </w:r>
          </w:p>
        </w:tc>
      </w:tr>
    </w:tbl>
    <w:p>
      <w:pPr>
        <w:spacing w:line="560" w:lineRule="exact"/>
        <w:ind w:firstLine="707" w:firstLineChars="221"/>
        <w:rPr>
          <w:rFonts w:ascii="仿宋_GB2312"/>
          <w:szCs w:val="32"/>
        </w:rPr>
      </w:pPr>
    </w:p>
    <w:p>
      <w:pPr>
        <w:pStyle w:val="3"/>
        <w:ind w:firstLine="640"/>
      </w:pPr>
      <w:bookmarkStart w:id="35" w:name="_Toc119581829"/>
      <w:r>
        <w:rPr>
          <w:rFonts w:hint="eastAsia"/>
        </w:rPr>
        <w:t>（二）绩效分析</w:t>
      </w:r>
      <w:bookmarkEnd w:id="35"/>
    </w:p>
    <w:p>
      <w:pPr>
        <w:pStyle w:val="4"/>
        <w:ind w:firstLine="643"/>
      </w:pPr>
      <w:bookmarkStart w:id="36" w:name="_Toc119581830"/>
      <w:bookmarkStart w:id="37" w:name="_Toc118908463"/>
      <w:r>
        <w:rPr>
          <w:rFonts w:hint="eastAsia"/>
        </w:rPr>
        <w:t>1.政策制定指标分析</w:t>
      </w:r>
      <w:bookmarkEnd w:id="36"/>
      <w:bookmarkEnd w:id="37"/>
    </w:p>
    <w:p>
      <w:pPr>
        <w:ind w:firstLine="643"/>
        <w:outlineLvl w:val="3"/>
        <w:rPr>
          <w:rFonts w:ascii="仿宋" w:hAnsi="仿宋"/>
          <w:b/>
          <w:bCs/>
          <w:szCs w:val="32"/>
        </w:rPr>
      </w:pPr>
      <w:r>
        <w:rPr>
          <w:rFonts w:hint="eastAsia" w:ascii="仿宋" w:hAnsi="仿宋"/>
          <w:b/>
          <w:bCs/>
          <w:szCs w:val="32"/>
        </w:rPr>
        <w:t>（1）目标科学</w:t>
      </w:r>
    </w:p>
    <w:p>
      <w:pPr>
        <w:spacing w:line="560" w:lineRule="exact"/>
        <w:ind w:firstLine="707" w:firstLineChars="221"/>
        <w:rPr>
          <w:rFonts w:ascii="仿宋" w:hAnsi="仿宋"/>
          <w:szCs w:val="32"/>
        </w:rPr>
      </w:pPr>
      <w:r>
        <w:rPr>
          <w:rFonts w:hint="eastAsia" w:ascii="仿宋" w:hAnsi="仿宋"/>
          <w:szCs w:val="32"/>
        </w:rPr>
        <w:t>一是根据《遂宁市船山区2021年种粮大户补贴项目绩效目标申报表》，该政策目标为“按照稳粮增收、提质增效、创新驱动的总要求，充分发挥财政资金铁导向作用，以粮食规模经营主体为载体，通过种粮大户补贴，提升粮食生产质量和效益，促进我区粮食生产持续稳定发展”，政策目标明确合理，但绩效指标设置不够全面，未涉及补贴资金发放准确性、补贴资金发放及时性等方面，扣1分。二是根据《船山区2021年种粮大户补贴实施方案》，补贴对象为大小春种植水稻、玉米和小麦的适度规模生产经营者，重点向种粮农户、家庭农场、土地股份合作社、农民专业合作社、农业社会化服务组织、龙头企业等新型经营主体倾斜。绩效目标支持范围与政策规划匹配。综上，此项7分，得6分。</w:t>
      </w:r>
    </w:p>
    <w:p>
      <w:pPr>
        <w:ind w:firstLine="643"/>
        <w:outlineLvl w:val="3"/>
        <w:rPr>
          <w:rFonts w:ascii="仿宋" w:hAnsi="仿宋"/>
          <w:b/>
          <w:bCs/>
          <w:szCs w:val="32"/>
        </w:rPr>
      </w:pPr>
      <w:r>
        <w:rPr>
          <w:rFonts w:hint="eastAsia" w:ascii="仿宋" w:hAnsi="仿宋"/>
          <w:b/>
          <w:bCs/>
          <w:szCs w:val="32"/>
        </w:rPr>
        <w:t>（2）项目协同</w:t>
      </w:r>
    </w:p>
    <w:p>
      <w:pPr>
        <w:spacing w:line="560" w:lineRule="exact"/>
        <w:ind w:firstLine="707" w:firstLineChars="221"/>
        <w:rPr>
          <w:rFonts w:ascii="仿宋" w:hAnsi="仿宋"/>
          <w:szCs w:val="32"/>
        </w:rPr>
      </w:pPr>
      <w:r>
        <w:rPr>
          <w:rFonts w:hint="eastAsia" w:ascii="仿宋" w:hAnsi="仿宋"/>
          <w:szCs w:val="32"/>
        </w:rPr>
        <w:t>该项政策专项间制度机制顶层设计不存在缺陷，专项间机制统筹协调、互为补充，不存在交叉重复的情况。综上，此项7分，得满分。</w:t>
      </w:r>
    </w:p>
    <w:p>
      <w:pPr>
        <w:ind w:firstLine="643"/>
        <w:outlineLvl w:val="3"/>
        <w:rPr>
          <w:rFonts w:ascii="仿宋" w:hAnsi="仿宋"/>
          <w:b/>
          <w:bCs/>
          <w:szCs w:val="32"/>
        </w:rPr>
      </w:pPr>
      <w:r>
        <w:rPr>
          <w:rFonts w:hint="eastAsia" w:ascii="仿宋" w:hAnsi="仿宋"/>
          <w:b/>
          <w:bCs/>
          <w:szCs w:val="32"/>
        </w:rPr>
        <w:t>（3）对象全面</w:t>
      </w:r>
    </w:p>
    <w:p>
      <w:pPr>
        <w:spacing w:line="560" w:lineRule="exact"/>
        <w:ind w:firstLine="707" w:firstLineChars="221"/>
        <w:rPr>
          <w:rFonts w:ascii="仿宋" w:hAnsi="仿宋"/>
          <w:szCs w:val="32"/>
        </w:rPr>
      </w:pPr>
      <w:r>
        <w:rPr>
          <w:rFonts w:hint="eastAsia" w:ascii="仿宋" w:hAnsi="仿宋"/>
          <w:szCs w:val="32"/>
        </w:rPr>
        <w:t>根据《船山区2021年种粮大户补贴实施方案》，补贴对象为大小春种植水稻、玉米和小麦的适度规模生产经营者，重点向种粮农户、家庭农场、土地股份合作社、农民专业合作社、农业社会化服务组织、龙头企业等新型经营主体倾斜；需满足的基本条件一是在全区内新型经营主体作为补贴对象需达到的主要粮食作物种植面积（不含复种面积）门槛为:适度规模生产经营者30亩（含30亩）以上；二是依法登记的农业社会化服务组织:种植、农机等社会化服务组织。区农业农村局根据乡镇人民政府核实确认面积、抽查复核情况和实施方案，确认补贴金额后以现金直补的方式发放。政策实施对象覆盖全面。综上，此项8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4</w:t>
      </w:r>
      <w:r>
        <w:rPr>
          <w:rFonts w:hint="eastAsia" w:ascii="仿宋" w:hAnsi="仿宋"/>
          <w:b/>
          <w:bCs/>
          <w:szCs w:val="32"/>
        </w:rPr>
        <w:t>）标准合理</w:t>
      </w:r>
    </w:p>
    <w:p>
      <w:pPr>
        <w:ind w:firstLine="640"/>
      </w:pPr>
      <w:r>
        <w:rPr>
          <w:rFonts w:hint="eastAsia"/>
        </w:rPr>
        <w:t>该政策的补贴标准根据当年种粮大户补贴资金总量以及核实的补贴总面积，测算确定年度亩均补贴标准，且根据《遂宁市财政局 遂宁市农业农村局关于下达省级次啊真现代农业发展工程资金支持开展种粮大户补贴的通知》（遂财农〔2021〕52号）要求，补贴上限为107.58元/亩，充分考虑政策补贴对象、补贴区域、种植环境、经济发展等因素设定政策标准。综上，此项8分，得满分。</w:t>
      </w:r>
    </w:p>
    <w:p>
      <w:pPr>
        <w:pStyle w:val="4"/>
        <w:ind w:firstLine="643"/>
      </w:pPr>
      <w:bookmarkStart w:id="38" w:name="_Toc118908464"/>
      <w:bookmarkStart w:id="39" w:name="_Toc119581831"/>
      <w:r>
        <w:rPr>
          <w:rFonts w:hint="eastAsia"/>
        </w:rPr>
        <w:t>2.政策执行指标分析</w:t>
      </w:r>
      <w:bookmarkEnd w:id="38"/>
      <w:bookmarkEnd w:id="39"/>
    </w:p>
    <w:p>
      <w:pPr>
        <w:ind w:firstLine="643"/>
        <w:outlineLvl w:val="3"/>
        <w:rPr>
          <w:rFonts w:ascii="仿宋" w:hAnsi="仿宋"/>
          <w:b/>
          <w:bCs/>
          <w:szCs w:val="32"/>
        </w:rPr>
      </w:pPr>
      <w:r>
        <w:rPr>
          <w:rFonts w:hint="eastAsia" w:ascii="仿宋" w:hAnsi="仿宋"/>
          <w:b/>
          <w:bCs/>
          <w:szCs w:val="32"/>
        </w:rPr>
        <w:t>（1）实施对象精准</w:t>
      </w:r>
    </w:p>
    <w:p>
      <w:pPr>
        <w:spacing w:line="560" w:lineRule="exact"/>
        <w:ind w:firstLine="707" w:firstLineChars="221"/>
        <w:rPr>
          <w:rFonts w:ascii="仿宋" w:hAnsi="仿宋"/>
          <w:szCs w:val="32"/>
        </w:rPr>
      </w:pPr>
      <w:r>
        <w:rPr>
          <w:rFonts w:hint="eastAsia" w:ascii="仿宋" w:hAnsi="仿宋"/>
          <w:szCs w:val="32"/>
        </w:rPr>
        <w:t>经核查乡镇面积汇总表、乡镇核查表、区县抽查核实表、种粮大户补贴名单等相关资料，政策实施对象识别精准，未发现有实施对象与政策预期不匹配的情况。综上此项5分，得满分。</w:t>
      </w:r>
    </w:p>
    <w:p>
      <w:pPr>
        <w:ind w:firstLine="643"/>
        <w:outlineLvl w:val="3"/>
        <w:rPr>
          <w:rFonts w:ascii="仿宋" w:hAnsi="仿宋"/>
          <w:b/>
          <w:bCs/>
          <w:szCs w:val="32"/>
        </w:rPr>
      </w:pPr>
      <w:r>
        <w:rPr>
          <w:rFonts w:hint="eastAsia" w:ascii="仿宋" w:hAnsi="仿宋"/>
          <w:b/>
          <w:bCs/>
          <w:szCs w:val="32"/>
        </w:rPr>
        <w:t>（2）组织保障合理</w:t>
      </w:r>
    </w:p>
    <w:p>
      <w:pPr>
        <w:spacing w:line="560" w:lineRule="exact"/>
        <w:ind w:firstLine="707" w:firstLineChars="221"/>
        <w:rPr>
          <w:rFonts w:ascii="仿宋" w:hAnsi="仿宋"/>
          <w:szCs w:val="32"/>
        </w:rPr>
      </w:pPr>
      <w:r>
        <w:rPr>
          <w:rFonts w:hint="eastAsia" w:ascii="仿宋" w:hAnsi="仿宋"/>
          <w:szCs w:val="32"/>
        </w:rPr>
        <w:t>《船山区2021年种粮大户补贴实施方案》明确政策实施相关方包括区农业农村局、各乡镇人民政府、村民委员会，其中区农业农村局为政策实施主管部门，负责会同区财政局一起，采取聘用第三方公司（测绘）的方式，对各乡镇上报的种粮大户申报补贴面积开展抽查核实；各乡镇人民政府及村民委员会负责组织符合补贴条件的种粮对象申报、核实登记汇总、开展面积核实、公示等工作。政策实施具有明确的组织保障。在实施过程中，各项工作匹配相关工作人员，并明确分工。综上，此项5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3</w:t>
      </w:r>
      <w:r>
        <w:rPr>
          <w:rFonts w:hint="eastAsia" w:ascii="仿宋" w:hAnsi="仿宋"/>
          <w:b/>
          <w:bCs/>
          <w:szCs w:val="32"/>
        </w:rPr>
        <w:t>）政策宣传实施</w:t>
      </w:r>
    </w:p>
    <w:p>
      <w:pPr>
        <w:ind w:firstLine="640"/>
      </w:pPr>
      <w:r>
        <w:rPr>
          <w:rFonts w:hint="eastAsia"/>
        </w:rPr>
        <w:t>根据四川省农业农村厅《关于印发〈2021年四川省种粮大户补贴实施方案〉的通知》（川农发〔2021〕145号）要求：加强宣传引导。各地要按程序做好补助对象、补助资金等信息公开公示工作，强化社会监督，要采取报刊杂志、广播电视、网络等多种方式，把政策广泛宣传到基层、宣传到农户，使广大农民群众、新型农业经营主体和基层干部准确理解掌握政策内容，积极营造有利于政策落实的良好氛围。根据《船山区2021年种粮大户补贴实施方案》要求：各乡镇及相关责任部门要按程序做好补助对象、补助资金等信息公开公示工作，要采取广播、入户宣传等形式进行宣传。经核查公示照片、现场宣传照片等相关资料，区农业农村局、各乡镇均按要求完成公开公示工作，并进行了入户宣传，但宣传方式不够多样化，一定程度影响政策的宣传效果和农户对政策内容的知晓程度。酌情扣</w:t>
      </w:r>
      <w:r>
        <w:t>0.5</w:t>
      </w:r>
      <w:r>
        <w:rPr>
          <w:rFonts w:hint="eastAsia"/>
        </w:rPr>
        <w:t>分。综上，此项5分，得</w:t>
      </w:r>
      <w:r>
        <w:t>4.5</w:t>
      </w:r>
      <w:r>
        <w:rPr>
          <w:rFonts w:hint="eastAsia"/>
        </w:rPr>
        <w:t>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4</w:t>
      </w:r>
      <w:r>
        <w:rPr>
          <w:rFonts w:hint="eastAsia" w:ascii="仿宋" w:hAnsi="仿宋"/>
          <w:b/>
          <w:bCs/>
          <w:szCs w:val="32"/>
        </w:rPr>
        <w:t>）项目申报管理</w:t>
      </w:r>
    </w:p>
    <w:p>
      <w:pPr>
        <w:ind w:firstLine="640"/>
      </w:pPr>
      <w:r>
        <w:rPr>
          <w:rFonts w:hint="eastAsia"/>
        </w:rPr>
        <w:t>《船山区2021年种粮大户补贴实施方案》规定补贴申报程序为;（1）组织申报。乡镇人民政府、村民委员会组织符合补贴条件的种粮对象自行向耕地所在村民委员会和乡镇人民政府申报，提交的申报资料包括种粮大户申报表（经耕地所在村委会签字盖章）、土地来源证明材料（经耕地所在村委会签字盖章）及生产图片。乡镇政府组织镇村干部对种植的小麦、玉米和水稻单季粮食作物面积达到30亩以上（含30亩）的种植大户进行核实登记汇总。（2）核实确认。各乡镇政府组织镇村干部对申报的资料及面积开展核实，核实无误后在镇村两级同步公示，公示期不少于7天。公示无异议后，由村民委员会、乡镇人民政府主要负责人签字，并加盖公章后报区农业农村局。（3）抽查核实。区农业农村局根据上报的资料，会同区财政局一起，采取聘用第三方公司（测绘）的方式，对各乡镇上报的种粮大户申报补贴面积开展抽查核实，以乡镇为单位，抽查面积和户数比例不低于30%。经核查申报资料，包括乡镇面积汇总表、乡镇核查表、区县抽查核实表、种粮大户补贴名单、公示照片、第三方测绘公司测绘面积汇总表、各乡镇补贴申报函等，申报材料完备，符合政策规定的程序。综上，此项5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5</w:t>
      </w:r>
      <w:r>
        <w:rPr>
          <w:rFonts w:hint="eastAsia" w:ascii="仿宋" w:hAnsi="仿宋"/>
          <w:b/>
          <w:bCs/>
          <w:szCs w:val="32"/>
        </w:rPr>
        <w:t>）资金使用合规</w:t>
      </w:r>
    </w:p>
    <w:p>
      <w:pPr>
        <w:ind w:firstLine="640"/>
      </w:pPr>
      <w:r>
        <w:rPr>
          <w:rFonts w:hint="eastAsia"/>
        </w:rPr>
        <w:t>经核查国库集中支付凭证，比对种粮大户补贴名单、补贴资金分配表等，该政策资金支出符合财政部《基本建设财务管理规定》《行政单位会计制度》和区农业农村局制定的《财务管理制度》。综上，此项5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6</w:t>
      </w:r>
      <w:r>
        <w:rPr>
          <w:rFonts w:hint="eastAsia" w:ascii="仿宋" w:hAnsi="仿宋"/>
          <w:b/>
          <w:bCs/>
          <w:szCs w:val="32"/>
        </w:rPr>
        <w:t>）预算执行率</w:t>
      </w:r>
    </w:p>
    <w:p>
      <w:pPr>
        <w:ind w:firstLine="640"/>
      </w:pPr>
      <w:r>
        <w:rPr>
          <w:rFonts w:hint="eastAsia"/>
        </w:rPr>
        <w:t>该项目资金来源为中央财政农业生产发展和省级财政现代农业发展工程资金，共计112.99万元。因资金下达时间晚，且区委区政府领导审批资金分配方案完成时间为2021年12月31日，故截至2021年12月31日无支出。截至绩效评价日（2022年10月12日），实际支出112.97万元，预算执行率为99.99%。指标得分=112.97万元/112.99万元*100%*5=5。综上，此项5分，得满分。</w:t>
      </w:r>
    </w:p>
    <w:p>
      <w:pPr>
        <w:pStyle w:val="4"/>
        <w:ind w:firstLine="643"/>
      </w:pPr>
      <w:bookmarkStart w:id="40" w:name="_Toc118908465"/>
      <w:bookmarkStart w:id="41" w:name="_Toc119581832"/>
      <w:r>
        <w:rPr>
          <w:rFonts w:hint="eastAsia"/>
        </w:rPr>
        <w:t>3</w:t>
      </w:r>
      <w:r>
        <w:t>.</w:t>
      </w:r>
      <w:r>
        <w:rPr>
          <w:rFonts w:hint="eastAsia"/>
        </w:rPr>
        <w:t>政策效益指标分析</w:t>
      </w:r>
      <w:bookmarkEnd w:id="40"/>
      <w:bookmarkEnd w:id="41"/>
    </w:p>
    <w:p>
      <w:pPr>
        <w:ind w:firstLine="643"/>
        <w:outlineLvl w:val="3"/>
        <w:rPr>
          <w:rFonts w:ascii="仿宋" w:hAnsi="仿宋"/>
          <w:b/>
          <w:bCs/>
          <w:szCs w:val="32"/>
        </w:rPr>
      </w:pPr>
      <w:r>
        <w:rPr>
          <w:rFonts w:hint="eastAsia" w:ascii="仿宋" w:hAnsi="仿宋"/>
          <w:b/>
          <w:bCs/>
          <w:szCs w:val="32"/>
        </w:rPr>
        <w:t>（1）政策目标完成</w:t>
      </w:r>
    </w:p>
    <w:p>
      <w:pPr>
        <w:spacing w:line="560" w:lineRule="exact"/>
        <w:ind w:firstLine="707" w:firstLineChars="221"/>
        <w:rPr>
          <w:rFonts w:ascii="仿宋" w:hAnsi="仿宋"/>
          <w:szCs w:val="32"/>
        </w:rPr>
      </w:pPr>
      <w:r>
        <w:rPr>
          <w:rFonts w:hint="eastAsia" w:ascii="仿宋" w:hAnsi="仿宋"/>
          <w:szCs w:val="32"/>
        </w:rPr>
        <w:t>根据《遂宁市财政局 遂宁市农业农村局关于下达省级财政现代农业发展工程资金支持开展种粮大户补贴的通知》（遂财农〔2021〕83号）,该项目资金来源为中央财政农业生产发展和省级财政现代农业发展工程资金，共计112.99万元。根据《遂宁市财政局 遂宁市农业农村局关于下达省级财政现代农业发展工程资金支持开展种粮大户补贴的通知》（遂财农〔2021〕83号），资金下达时间为2021年11月；根据《船山区财政资金分配情况审批表》，区委区政府领导审批完成时间为2021年12月31日，故截至2021年12月31日政策资金无支出。通过申报核实确认后，受补贴种粮大户共计107户，申报面积共17182.17亩，平均每亩补贴65.76元，共计补贴资金为112.97万元。截至绩效评价日（2022年10月12日），实际支出112.97万元。指标得分=112.97万元/112.97万元*100%*5=5。完成政策补贴目标。综上，此项8分，得满分。</w:t>
      </w:r>
    </w:p>
    <w:p>
      <w:pPr>
        <w:ind w:firstLine="643"/>
        <w:outlineLvl w:val="3"/>
        <w:rPr>
          <w:rFonts w:ascii="仿宋" w:hAnsi="仿宋"/>
          <w:b/>
          <w:bCs/>
          <w:szCs w:val="32"/>
        </w:rPr>
      </w:pPr>
      <w:r>
        <w:rPr>
          <w:rFonts w:hint="eastAsia" w:ascii="仿宋" w:hAnsi="仿宋"/>
          <w:b/>
          <w:bCs/>
          <w:szCs w:val="32"/>
        </w:rPr>
        <w:t>（2）符合性</w:t>
      </w:r>
    </w:p>
    <w:p>
      <w:pPr>
        <w:spacing w:line="560" w:lineRule="exact"/>
        <w:ind w:firstLine="707" w:firstLineChars="221"/>
        <w:rPr>
          <w:rFonts w:ascii="仿宋" w:hAnsi="仿宋"/>
          <w:szCs w:val="32"/>
        </w:rPr>
      </w:pPr>
      <w:r>
        <w:rPr>
          <w:rFonts w:hint="eastAsia" w:ascii="仿宋" w:hAnsi="仿宋"/>
          <w:szCs w:val="32"/>
        </w:rPr>
        <w:t>该政策以粮食规模经营主体为载体，通过种粮大户补贴，提升粮食生产质量和效益，促进船山区粮食生产持续稳定发展。可助力水稻种植户实现亩均增收65.76元以上，有效带动当地种植业的产量提升。其效果符合中央、省和市规划布局，与资金投向匹配吻合。综上，此项7分，得满分。</w:t>
      </w:r>
    </w:p>
    <w:p>
      <w:pPr>
        <w:ind w:firstLine="643"/>
        <w:outlineLvl w:val="3"/>
        <w:rPr>
          <w:rFonts w:ascii="仿宋" w:hAnsi="仿宋"/>
          <w:b/>
          <w:bCs/>
          <w:szCs w:val="32"/>
        </w:rPr>
      </w:pPr>
      <w:r>
        <w:rPr>
          <w:rFonts w:hint="eastAsia" w:ascii="仿宋" w:hAnsi="仿宋"/>
          <w:b/>
          <w:bCs/>
          <w:szCs w:val="32"/>
        </w:rPr>
        <w:t>（3）引导性</w:t>
      </w:r>
    </w:p>
    <w:p>
      <w:pPr>
        <w:spacing w:line="560" w:lineRule="exact"/>
        <w:ind w:firstLine="707" w:firstLineChars="221"/>
        <w:rPr>
          <w:rFonts w:ascii="仿宋" w:hAnsi="仿宋"/>
          <w:szCs w:val="32"/>
        </w:rPr>
      </w:pPr>
      <w:r>
        <w:rPr>
          <w:rFonts w:hint="eastAsia" w:ascii="仿宋" w:hAnsi="仿宋"/>
          <w:szCs w:val="32"/>
        </w:rPr>
        <w:t>该政策以粮食规模经营主体为载体，通过种粮大户补贴，提升粮食生产质量和效益，促进船山区粮食生产持续稳定发展。可助力水稻种植户实现亩均增收65.76元以上，有效带动当地种植业的产量提升。根据《遂宁市财政局 遂宁市农业农村局关于下达省级财政现代农业发展工程资金支持开展种粮大户补贴的通知》（遂财农〔2021〕83号），下级下达的绩效目标为“粮食规模经营面积比上年提高5%”，但区农业农村局未进行相关数据的统计，无法反映是否实现此项绩效目标，扣1分。综上，此项7分，得6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4</w:t>
      </w:r>
      <w:r>
        <w:rPr>
          <w:rFonts w:hint="eastAsia" w:ascii="仿宋" w:hAnsi="仿宋"/>
          <w:b/>
          <w:bCs/>
          <w:szCs w:val="32"/>
        </w:rPr>
        <w:t>）区域均衡性</w:t>
      </w:r>
    </w:p>
    <w:p>
      <w:pPr>
        <w:spacing w:line="560" w:lineRule="exact"/>
        <w:ind w:firstLine="707" w:firstLineChars="221"/>
        <w:rPr>
          <w:rFonts w:ascii="仿宋" w:hAnsi="仿宋"/>
          <w:szCs w:val="32"/>
        </w:rPr>
      </w:pPr>
      <w:r>
        <w:rPr>
          <w:rFonts w:hint="eastAsia" w:ascii="仿宋" w:hAnsi="仿宋"/>
          <w:szCs w:val="32"/>
        </w:rPr>
        <w:t>根据政策资金分配情况，桂花镇18户，申报面积共3496.13亩，补贴金额为229931.12元;仁里镇11户,申报面积共113672亩，补贴金额为74750.7元;唐家乡6户，申报面积共 2561.07亩，补贴金额为168415.94元;龙凤镇10户，申报面积1007.3亩，补贴金额为66240.03元;河沙镇15户，申报面积3322.36亩，补贴金额为218478元;老池镇28户，申报面积3541.06亩，补贴金额为232590.05元;永兴镇19户，申报面积2117.53亩，补贴金额为139248.76元。政策补贴资金根据实际测算面积进行资金分配，有效保障遂宁市各区域种粮大户补贴的均衡性。综上，此项8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5</w:t>
      </w:r>
      <w:r>
        <w:rPr>
          <w:rFonts w:hint="eastAsia" w:ascii="仿宋" w:hAnsi="仿宋"/>
          <w:b/>
          <w:bCs/>
          <w:szCs w:val="32"/>
        </w:rPr>
        <w:t>）对象公平性</w:t>
      </w:r>
    </w:p>
    <w:p>
      <w:pPr>
        <w:spacing w:line="560" w:lineRule="exact"/>
        <w:ind w:firstLine="707" w:firstLineChars="221"/>
        <w:rPr>
          <w:rFonts w:ascii="仿宋" w:hAnsi="仿宋"/>
          <w:szCs w:val="32"/>
        </w:rPr>
      </w:pPr>
      <w:r>
        <w:rPr>
          <w:rFonts w:hint="eastAsia" w:ascii="仿宋" w:hAnsi="仿宋"/>
          <w:szCs w:val="32"/>
        </w:rPr>
        <w:t>该政策资金分配结果根据船山区桂花镇、仁里镇、唐家乡、龙凤镇、河沙镇、老池镇、永兴镇申报的实际补贴面积进行分配，分配结果公平合理，充分考虑地域条件和经济条件。综上，此项8分，得满分。</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6</w:t>
      </w:r>
      <w:r>
        <w:rPr>
          <w:rFonts w:hint="eastAsia" w:ascii="仿宋" w:hAnsi="仿宋"/>
          <w:b/>
          <w:bCs/>
          <w:szCs w:val="32"/>
        </w:rPr>
        <w:t>）长效管理</w:t>
      </w:r>
    </w:p>
    <w:p>
      <w:pPr>
        <w:spacing w:line="560" w:lineRule="exact"/>
        <w:ind w:firstLine="707" w:firstLineChars="221"/>
        <w:rPr>
          <w:rFonts w:ascii="仿宋" w:hAnsi="仿宋"/>
          <w:szCs w:val="32"/>
        </w:rPr>
      </w:pPr>
      <w:r>
        <w:rPr>
          <w:rFonts w:hint="eastAsia" w:ascii="仿宋" w:hAnsi="仿宋"/>
          <w:szCs w:val="32"/>
        </w:rPr>
        <w:t>经核查，该政策项目实施完成后，未建立长效管理机制，未针对种植的收益、种植结构调整进行长效管理，扣2分。综上，此项2分，得0分。</w:t>
      </w:r>
    </w:p>
    <w:p>
      <w:pPr>
        <w:pStyle w:val="2"/>
        <w:ind w:firstLine="640"/>
      </w:pPr>
      <w:bookmarkStart w:id="42" w:name="_Toc119581833"/>
      <w:r>
        <w:rPr>
          <w:rFonts w:hint="eastAsia"/>
        </w:rPr>
        <w:t>四、存在的问题及建议</w:t>
      </w:r>
      <w:bookmarkEnd w:id="42"/>
    </w:p>
    <w:p>
      <w:pPr>
        <w:pStyle w:val="3"/>
        <w:ind w:firstLine="640"/>
      </w:pPr>
      <w:bookmarkStart w:id="43" w:name="_Toc119581834"/>
      <w:r>
        <w:rPr>
          <w:rFonts w:hint="eastAsia"/>
        </w:rPr>
        <w:t>（一）存在问题</w:t>
      </w:r>
      <w:bookmarkEnd w:id="43"/>
    </w:p>
    <w:p>
      <w:pPr>
        <w:pStyle w:val="4"/>
        <w:ind w:firstLine="643"/>
      </w:pPr>
      <w:bookmarkStart w:id="44" w:name="_Toc118908471"/>
      <w:bookmarkStart w:id="45" w:name="_Toc119581835"/>
      <w:r>
        <w:t>1.</w:t>
      </w:r>
      <w:bookmarkEnd w:id="44"/>
      <w:bookmarkEnd w:id="45"/>
      <w:r>
        <w:rPr>
          <w:rFonts w:hint="eastAsia"/>
        </w:rPr>
        <w:t>绩效指标设置全面性有待进一步提高</w:t>
      </w:r>
    </w:p>
    <w:p>
      <w:pPr>
        <w:pStyle w:val="35"/>
        <w:ind w:firstLine="640"/>
        <w:rPr>
          <w:rFonts w:ascii="仿宋" w:hAnsi="仿宋" w:eastAsia="仿宋"/>
          <w:sz w:val="32"/>
          <w:szCs w:val="32"/>
          <w:lang w:val="en-US"/>
        </w:rPr>
      </w:pPr>
      <w:r>
        <w:rPr>
          <w:rFonts w:hint="eastAsia" w:ascii="仿宋" w:hAnsi="仿宋" w:eastAsia="仿宋"/>
          <w:sz w:val="32"/>
          <w:szCs w:val="32"/>
          <w:lang w:val="en-US"/>
        </w:rPr>
        <w:t>根据《遂宁市船山区2021年种粮大户补贴项目绩效目标申报表》，该政策目标为“按照稳粮增收、提质增效、创新驱动的总要求，充分发挥财政资金铁导向作用，以粮食规模经营主体为载体，通过种粮大户补贴，提升粮食生产质量和效益，促进我区粮食生产持续稳定发展”，政策目标明确合理，但绩效指标设置不够全面，未涉及补贴资金发放准确性、补贴资金发放及时性等方面。</w:t>
      </w:r>
    </w:p>
    <w:p>
      <w:pPr>
        <w:pStyle w:val="4"/>
        <w:ind w:firstLine="643"/>
      </w:pPr>
      <w:bookmarkStart w:id="46" w:name="_Toc118908472"/>
      <w:bookmarkStart w:id="47" w:name="_Toc119581836"/>
      <w:r>
        <w:t>2.</w:t>
      </w:r>
      <w:bookmarkEnd w:id="46"/>
      <w:bookmarkEnd w:id="47"/>
      <w:r>
        <w:rPr>
          <w:rFonts w:hint="eastAsia"/>
        </w:rPr>
        <w:t xml:space="preserve"> 政策实施后续管理有待加强</w:t>
      </w:r>
    </w:p>
    <w:p>
      <w:pPr>
        <w:pStyle w:val="35"/>
        <w:ind w:firstLine="640"/>
        <w:rPr>
          <w:rFonts w:ascii="仿宋" w:hAnsi="仿宋" w:eastAsia="仿宋"/>
          <w:sz w:val="32"/>
          <w:szCs w:val="32"/>
          <w:lang w:val="en-US"/>
        </w:rPr>
      </w:pPr>
      <w:r>
        <w:rPr>
          <w:rFonts w:hint="eastAsia" w:ascii="仿宋" w:hAnsi="仿宋" w:eastAsia="仿宋"/>
          <w:sz w:val="32"/>
          <w:szCs w:val="32"/>
          <w:lang w:val="en-US"/>
        </w:rPr>
        <w:t>一是根据《遂宁市财政局 遂宁市农业农村局关于下达省级财政现代农业发展工程资金支持开展种粮大户补贴的通知》（遂财农〔2021〕83号），下级下达的绩效目标为“粮食规模经营面积比上年提高5%”，但区农业农村局未进行相关数据的统计，无法反映是否实现此项绩效目标。</w:t>
      </w:r>
    </w:p>
    <w:p>
      <w:pPr>
        <w:pStyle w:val="35"/>
        <w:ind w:firstLine="640"/>
        <w:rPr>
          <w:rFonts w:ascii="仿宋" w:hAnsi="仿宋" w:eastAsia="仿宋"/>
          <w:sz w:val="32"/>
          <w:szCs w:val="32"/>
          <w:lang w:val="en-US"/>
        </w:rPr>
      </w:pPr>
      <w:r>
        <w:rPr>
          <w:rFonts w:hint="eastAsia" w:ascii="仿宋" w:hAnsi="仿宋" w:eastAsia="仿宋"/>
          <w:sz w:val="32"/>
          <w:szCs w:val="32"/>
          <w:lang w:val="en-US"/>
        </w:rPr>
        <w:t>二是该政策项目实施完成后，未建立长效管理机制，未针对种植的收益、种植结构调整进行长效管理。</w:t>
      </w:r>
    </w:p>
    <w:p>
      <w:pPr>
        <w:pStyle w:val="3"/>
        <w:ind w:firstLine="640"/>
      </w:pPr>
      <w:bookmarkStart w:id="48" w:name="_Toc119581839"/>
      <w:r>
        <w:rPr>
          <w:rFonts w:hint="eastAsia" w:ascii="仿宋_GB2312"/>
        </w:rPr>
        <w:t>（</w:t>
      </w:r>
      <w:r>
        <w:rPr>
          <w:rFonts w:hint="eastAsia"/>
        </w:rPr>
        <w:t>二）相关建议</w:t>
      </w:r>
      <w:bookmarkEnd w:id="48"/>
    </w:p>
    <w:p>
      <w:pPr>
        <w:pStyle w:val="4"/>
        <w:ind w:firstLine="643"/>
      </w:pPr>
      <w:bookmarkStart w:id="49" w:name="_Toc118908476"/>
      <w:bookmarkStart w:id="50" w:name="_Toc119581840"/>
      <w:r>
        <w:t>1.</w:t>
      </w:r>
      <w:r>
        <w:rPr>
          <w:rFonts w:hint="eastAsia"/>
        </w:rPr>
        <w:t>提高绩效</w:t>
      </w:r>
      <w:bookmarkEnd w:id="49"/>
      <w:bookmarkEnd w:id="50"/>
      <w:r>
        <w:rPr>
          <w:rFonts w:hint="eastAsia"/>
        </w:rPr>
        <w:t>指标设置规范性、科学性</w:t>
      </w:r>
    </w:p>
    <w:p>
      <w:pPr>
        <w:pStyle w:val="35"/>
        <w:ind w:firstLine="640"/>
      </w:pPr>
      <w:r>
        <w:rPr>
          <w:rFonts w:hint="eastAsia" w:ascii="仿宋" w:hAnsi="仿宋" w:eastAsia="仿宋"/>
          <w:sz w:val="32"/>
          <w:szCs w:val="32"/>
          <w:lang w:val="en-US"/>
        </w:rPr>
        <w:t>建议区农业农村局加强预算绩效管理，绩效指标分类方面，将政策支出总体绩效目标进行细化分解，并从中总结提炼出最能反映总体绩效目标实现程度的关键性指标，并将其确定为相应的绩效指标。如增设“补贴资金发放准确率，100%”、“补贴资金发放及时性，及时”等。</w:t>
      </w:r>
    </w:p>
    <w:p>
      <w:pPr>
        <w:pStyle w:val="4"/>
        <w:ind w:firstLine="643"/>
      </w:pPr>
      <w:bookmarkStart w:id="51" w:name="_Toc118908477"/>
      <w:bookmarkStart w:id="52" w:name="_Toc119581841"/>
      <w:r>
        <w:t>2.</w:t>
      </w:r>
      <w:bookmarkEnd w:id="51"/>
      <w:bookmarkEnd w:id="52"/>
      <w:r>
        <w:rPr>
          <w:rFonts w:hint="eastAsia"/>
        </w:rPr>
        <w:t>完成政策后续管理机制，持续发挥政策实施效益</w:t>
      </w:r>
    </w:p>
    <w:p>
      <w:pPr>
        <w:pStyle w:val="35"/>
        <w:ind w:firstLine="640"/>
        <w:rPr>
          <w:rFonts w:ascii="仿宋" w:hAnsi="仿宋" w:eastAsia="仿宋"/>
          <w:sz w:val="32"/>
          <w:szCs w:val="32"/>
          <w:lang w:val="en-US"/>
        </w:rPr>
      </w:pPr>
      <w:r>
        <w:rPr>
          <w:rFonts w:hint="eastAsia" w:ascii="仿宋" w:hAnsi="仿宋" w:eastAsia="仿宋"/>
          <w:sz w:val="32"/>
          <w:szCs w:val="32"/>
          <w:lang w:val="en-US"/>
        </w:rPr>
        <w:t>建议区农业农村局及时对政策实施效果相关数据进行统计核实，以充分反映政策实施效果，为政策制定者提供政策调整的合理、有效的依据。此外，建议区农业农村局针对种植的收益、种植结构调整等相关内容建立健全长效管理机制，以确保政策实施效果能够长久发挥。</w:t>
      </w:r>
    </w:p>
    <w:p>
      <w:pPr>
        <w:pStyle w:val="22"/>
        <w:ind w:firstLine="640"/>
      </w:pPr>
      <w:bookmarkStart w:id="53" w:name="_Toc119581844"/>
      <w:r>
        <w:rPr>
          <w:rFonts w:hint="eastAsia"/>
        </w:rPr>
        <w:t>五、附件</w:t>
      </w:r>
      <w:bookmarkEnd w:id="53"/>
    </w:p>
    <w:p>
      <w:pPr>
        <w:ind w:firstLine="640"/>
      </w:pPr>
      <w:r>
        <w:rPr>
          <w:rFonts w:hint="eastAsia"/>
        </w:rPr>
        <w:t>附件1：政策支出绩效评价指标体系打分表</w:t>
      </w:r>
      <w:r>
        <w:br w:type="page"/>
      </w:r>
    </w:p>
    <w:p>
      <w:pPr>
        <w:ind w:firstLine="640"/>
        <w:sectPr>
          <w:footerReference r:id="rId13" w:type="default"/>
          <w:pgSz w:w="11906" w:h="16838"/>
          <w:pgMar w:top="1440" w:right="1797" w:bottom="1247" w:left="1797" w:header="851" w:footer="992" w:gutter="0"/>
          <w:pgNumType w:fmt="numberInDash" w:start="1"/>
          <w:cols w:space="425" w:num="1"/>
          <w:docGrid w:type="lines" w:linePitch="312" w:charSpace="0"/>
        </w:sectPr>
      </w:pPr>
    </w:p>
    <w:p>
      <w:pPr>
        <w:pStyle w:val="22"/>
        <w:ind w:firstLine="640"/>
      </w:pPr>
      <w:bookmarkStart w:id="54" w:name="_Toc119581845"/>
      <w:r>
        <w:rPr>
          <w:rFonts w:hint="eastAsia"/>
        </w:rPr>
        <w:t>附件1：政策支出绩效评价指标体系打分表</w:t>
      </w:r>
      <w:bookmarkEnd w:id="5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851"/>
        <w:gridCol w:w="2409"/>
        <w:gridCol w:w="2977"/>
        <w:gridCol w:w="4394"/>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0" w:type="auto"/>
            <w:gridSpan w:val="3"/>
            <w:tcBorders>
              <w:bottom w:val="single" w:color="auto" w:sz="4" w:space="0"/>
            </w:tcBorders>
            <w:noWrap/>
            <w:vAlign w:val="center"/>
          </w:tcPr>
          <w:p>
            <w:pPr>
              <w:pStyle w:val="45"/>
              <w:rPr>
                <w:rFonts w:ascii="仿宋" w:hAnsi="仿宋" w:eastAsia="仿宋"/>
                <w:b/>
                <w:bCs/>
                <w:kern w:val="0"/>
                <w:szCs w:val="21"/>
              </w:rPr>
            </w:pPr>
            <w:bookmarkStart w:id="55" w:name="_Hlk82368584"/>
            <w:r>
              <w:rPr>
                <w:rFonts w:hint="eastAsia" w:ascii="仿宋" w:hAnsi="仿宋" w:eastAsia="仿宋"/>
                <w:b/>
                <w:bCs/>
                <w:kern w:val="0"/>
                <w:szCs w:val="21"/>
              </w:rPr>
              <w:t>分层</w:t>
            </w:r>
          </w:p>
        </w:tc>
        <w:tc>
          <w:tcPr>
            <w:tcW w:w="2409" w:type="dxa"/>
            <w:vMerge w:val="restart"/>
            <w:vAlign w:val="center"/>
          </w:tcPr>
          <w:p>
            <w:pPr>
              <w:pStyle w:val="45"/>
              <w:rPr>
                <w:rFonts w:ascii="仿宋" w:hAnsi="仿宋" w:eastAsia="仿宋"/>
                <w:b/>
                <w:bCs/>
                <w:kern w:val="0"/>
                <w:szCs w:val="21"/>
              </w:rPr>
            </w:pPr>
            <w:r>
              <w:rPr>
                <w:rFonts w:hint="eastAsia" w:ascii="仿宋" w:hAnsi="仿宋" w:eastAsia="仿宋"/>
                <w:b/>
                <w:bCs/>
                <w:kern w:val="0"/>
                <w:szCs w:val="21"/>
              </w:rPr>
              <w:t>指标解释</w:t>
            </w:r>
          </w:p>
        </w:tc>
        <w:tc>
          <w:tcPr>
            <w:tcW w:w="2977" w:type="dxa"/>
            <w:vMerge w:val="restart"/>
            <w:vAlign w:val="center"/>
          </w:tcPr>
          <w:p>
            <w:pPr>
              <w:pStyle w:val="45"/>
              <w:rPr>
                <w:rFonts w:ascii="仿宋" w:hAnsi="仿宋" w:eastAsia="仿宋"/>
                <w:b/>
                <w:bCs/>
                <w:kern w:val="0"/>
                <w:szCs w:val="21"/>
              </w:rPr>
            </w:pPr>
            <w:r>
              <w:rPr>
                <w:rFonts w:hint="eastAsia" w:ascii="仿宋" w:hAnsi="仿宋" w:eastAsia="仿宋"/>
                <w:b/>
                <w:bCs/>
                <w:kern w:val="0"/>
                <w:szCs w:val="21"/>
              </w:rPr>
              <w:t>评价标准及说明</w:t>
            </w:r>
          </w:p>
        </w:tc>
        <w:tc>
          <w:tcPr>
            <w:tcW w:w="4394" w:type="dxa"/>
            <w:vMerge w:val="restart"/>
            <w:vAlign w:val="center"/>
          </w:tcPr>
          <w:p>
            <w:pPr>
              <w:pStyle w:val="45"/>
              <w:rPr>
                <w:rFonts w:ascii="仿宋" w:hAnsi="仿宋" w:eastAsia="仿宋"/>
                <w:b/>
                <w:bCs/>
                <w:kern w:val="0"/>
                <w:szCs w:val="21"/>
              </w:rPr>
            </w:pPr>
            <w:r>
              <w:rPr>
                <w:rFonts w:hint="eastAsia" w:ascii="仿宋" w:hAnsi="仿宋" w:eastAsia="仿宋"/>
                <w:b/>
                <w:bCs/>
                <w:kern w:val="0"/>
                <w:szCs w:val="21"/>
              </w:rPr>
              <w:t>评价过程</w:t>
            </w:r>
          </w:p>
        </w:tc>
        <w:tc>
          <w:tcPr>
            <w:tcW w:w="821" w:type="dxa"/>
            <w:vMerge w:val="restart"/>
            <w:vAlign w:val="center"/>
          </w:tcPr>
          <w:p>
            <w:pPr>
              <w:pStyle w:val="45"/>
              <w:rPr>
                <w:rFonts w:ascii="仿宋" w:hAnsi="仿宋" w:eastAsia="仿宋"/>
                <w:b/>
                <w:bCs/>
                <w:kern w:val="0"/>
                <w:szCs w:val="21"/>
              </w:rPr>
            </w:pPr>
            <w:r>
              <w:rPr>
                <w:rFonts w:hint="eastAsia" w:ascii="仿宋" w:hAnsi="仿宋" w:eastAsia="仿宋"/>
                <w:b/>
                <w:bCs/>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1413" w:type="dxa"/>
            <w:tcBorders>
              <w:bottom w:val="single" w:color="auto" w:sz="4" w:space="0"/>
            </w:tcBorders>
            <w:noWrap/>
            <w:vAlign w:val="center"/>
          </w:tcPr>
          <w:p>
            <w:pPr>
              <w:pStyle w:val="45"/>
              <w:rPr>
                <w:rFonts w:ascii="仿宋" w:hAnsi="仿宋" w:eastAsia="仿宋"/>
                <w:b/>
                <w:bCs/>
                <w:kern w:val="0"/>
                <w:szCs w:val="21"/>
              </w:rPr>
            </w:pPr>
            <w:r>
              <w:rPr>
                <w:rFonts w:hint="eastAsia" w:ascii="仿宋" w:hAnsi="仿宋" w:eastAsia="仿宋"/>
                <w:b/>
                <w:bCs/>
                <w:kern w:val="0"/>
                <w:szCs w:val="21"/>
              </w:rPr>
              <w:t>一级指标</w:t>
            </w:r>
          </w:p>
        </w:tc>
        <w:tc>
          <w:tcPr>
            <w:tcW w:w="1276" w:type="dxa"/>
            <w:tcBorders>
              <w:bottom w:val="single" w:color="auto" w:sz="4" w:space="0"/>
            </w:tcBorders>
            <w:vAlign w:val="center"/>
          </w:tcPr>
          <w:p>
            <w:pPr>
              <w:pStyle w:val="45"/>
              <w:rPr>
                <w:rFonts w:ascii="仿宋" w:hAnsi="仿宋" w:eastAsia="仿宋"/>
                <w:b/>
                <w:bCs/>
                <w:kern w:val="0"/>
                <w:szCs w:val="21"/>
              </w:rPr>
            </w:pPr>
            <w:r>
              <w:rPr>
                <w:rFonts w:hint="eastAsia" w:ascii="仿宋" w:hAnsi="仿宋" w:eastAsia="仿宋"/>
                <w:b/>
                <w:bCs/>
                <w:kern w:val="0"/>
                <w:szCs w:val="21"/>
              </w:rPr>
              <w:t>二级指标</w:t>
            </w:r>
          </w:p>
        </w:tc>
        <w:tc>
          <w:tcPr>
            <w:tcW w:w="851" w:type="dxa"/>
            <w:tcBorders>
              <w:bottom w:val="single" w:color="auto" w:sz="4" w:space="0"/>
            </w:tcBorders>
            <w:vAlign w:val="center"/>
          </w:tcPr>
          <w:p>
            <w:pPr>
              <w:pStyle w:val="45"/>
              <w:rPr>
                <w:rFonts w:ascii="仿宋" w:hAnsi="仿宋" w:eastAsia="仿宋"/>
                <w:b/>
                <w:bCs/>
                <w:kern w:val="0"/>
                <w:szCs w:val="21"/>
              </w:rPr>
            </w:pPr>
            <w:r>
              <w:rPr>
                <w:rFonts w:hint="eastAsia" w:ascii="仿宋" w:hAnsi="仿宋" w:eastAsia="仿宋"/>
                <w:b/>
                <w:bCs/>
                <w:kern w:val="0"/>
                <w:szCs w:val="21"/>
              </w:rPr>
              <w:t>分值</w:t>
            </w:r>
          </w:p>
        </w:tc>
        <w:tc>
          <w:tcPr>
            <w:tcW w:w="2409" w:type="dxa"/>
            <w:vMerge w:val="continue"/>
            <w:tcBorders>
              <w:bottom w:val="single" w:color="auto" w:sz="4" w:space="0"/>
            </w:tcBorders>
            <w:vAlign w:val="center"/>
          </w:tcPr>
          <w:p>
            <w:pPr>
              <w:pStyle w:val="45"/>
              <w:rPr>
                <w:rFonts w:ascii="仿宋" w:hAnsi="仿宋" w:eastAsia="仿宋"/>
                <w:b/>
                <w:bCs/>
                <w:kern w:val="0"/>
                <w:szCs w:val="21"/>
              </w:rPr>
            </w:pPr>
          </w:p>
        </w:tc>
        <w:tc>
          <w:tcPr>
            <w:tcW w:w="2977" w:type="dxa"/>
            <w:vMerge w:val="continue"/>
            <w:tcBorders>
              <w:bottom w:val="single" w:color="auto" w:sz="4" w:space="0"/>
            </w:tcBorders>
            <w:vAlign w:val="center"/>
          </w:tcPr>
          <w:p>
            <w:pPr>
              <w:pStyle w:val="45"/>
              <w:rPr>
                <w:rFonts w:ascii="仿宋" w:hAnsi="仿宋" w:eastAsia="仿宋"/>
                <w:b/>
                <w:bCs/>
                <w:kern w:val="0"/>
                <w:szCs w:val="21"/>
              </w:rPr>
            </w:pPr>
          </w:p>
        </w:tc>
        <w:tc>
          <w:tcPr>
            <w:tcW w:w="4394" w:type="dxa"/>
            <w:vMerge w:val="continue"/>
            <w:tcBorders>
              <w:bottom w:val="single" w:color="auto" w:sz="4" w:space="0"/>
            </w:tcBorders>
            <w:vAlign w:val="center"/>
          </w:tcPr>
          <w:p>
            <w:pPr>
              <w:pStyle w:val="45"/>
              <w:rPr>
                <w:rFonts w:ascii="仿宋" w:hAnsi="仿宋" w:eastAsia="仿宋"/>
                <w:b/>
                <w:bCs/>
                <w:kern w:val="0"/>
                <w:szCs w:val="21"/>
              </w:rPr>
            </w:pPr>
          </w:p>
        </w:tc>
        <w:tc>
          <w:tcPr>
            <w:tcW w:w="821" w:type="dxa"/>
            <w:vMerge w:val="continue"/>
            <w:tcBorders>
              <w:bottom w:val="single" w:color="auto" w:sz="4" w:space="0"/>
            </w:tcBorders>
            <w:vAlign w:val="center"/>
          </w:tcPr>
          <w:p>
            <w:pPr>
              <w:pStyle w:val="45"/>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13" w:type="dxa"/>
            <w:vMerge w:val="restart"/>
            <w:vAlign w:val="center"/>
          </w:tcPr>
          <w:p>
            <w:pPr>
              <w:pStyle w:val="45"/>
              <w:rPr>
                <w:rFonts w:ascii="仿宋" w:hAnsi="仿宋" w:eastAsia="仿宋"/>
                <w:kern w:val="0"/>
                <w:szCs w:val="21"/>
              </w:rPr>
            </w:pPr>
            <w:r>
              <w:rPr>
                <w:rFonts w:hint="eastAsia" w:ascii="仿宋" w:hAnsi="仿宋" w:eastAsia="仿宋"/>
                <w:kern w:val="0"/>
                <w:szCs w:val="21"/>
              </w:rPr>
              <w:t>政策制定（</w:t>
            </w:r>
            <w:r>
              <w:rPr>
                <w:rFonts w:ascii="仿宋" w:hAnsi="仿宋" w:eastAsia="仿宋"/>
                <w:kern w:val="0"/>
                <w:szCs w:val="21"/>
              </w:rPr>
              <w:t>30</w:t>
            </w:r>
            <w:r>
              <w:rPr>
                <w:rFonts w:hint="eastAsia" w:ascii="仿宋" w:hAnsi="仿宋" w:eastAsia="仿宋"/>
                <w:kern w:val="0"/>
                <w:szCs w:val="21"/>
              </w:rPr>
              <w:t>分）</w:t>
            </w: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目标科学</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7</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反映政策目标是否明确合理，支持范围与政策规划是否匹配，目标设定与客观需求是否一致</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发现一处不匹配或不一致的扣</w:t>
            </w:r>
            <w:r>
              <w:rPr>
                <w:rFonts w:ascii="仿宋" w:hAnsi="仿宋" w:eastAsia="仿宋"/>
                <w:kern w:val="0"/>
                <w:szCs w:val="21"/>
              </w:rPr>
              <w:t>1</w:t>
            </w:r>
            <w:r>
              <w:rPr>
                <w:rFonts w:hint="eastAsia" w:ascii="仿宋" w:hAnsi="仿宋" w:eastAsia="仿宋"/>
                <w:kern w:val="0"/>
                <w:szCs w:val="21"/>
              </w:rPr>
              <w:t>分，扣完为止。</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一是根据《遂宁市船山区2021年种粮大户补贴项目绩效目标申报表》，该政策目标为“按照稳粮增收、提质增效、创新驱动的总要求，充分发挥财政资金铁导向作用，以粮食规模经营主体为载体，通过种粮大户补贴，提升粮食生产质量和效益，促进我区粮食生产持续稳定发展”，政策目标明确合理，但绩效指标设置不够全面，未涉及补贴资金发放准确性、补贴资金发放及时性等方面，扣1分。二是根据《船山区2021年种粮大户补贴实施方案》，补贴对象为大小春种植水稻、玉米和小麦的适度规模生产经营者，重点向种粮农户、家庭农场、土地股份合作社、农民专业合作社、农业社会化服务组织、龙头企业等新型经营主体倾斜。绩效目标支持范围与政策规划匹配。综上，此项</w:t>
            </w:r>
            <w:r>
              <w:rPr>
                <w:rFonts w:ascii="仿宋" w:hAnsi="仿宋" w:eastAsia="仿宋"/>
                <w:kern w:val="0"/>
                <w:szCs w:val="21"/>
              </w:rPr>
              <w:t>7</w:t>
            </w:r>
            <w:r>
              <w:rPr>
                <w:rFonts w:hint="eastAsia" w:ascii="仿宋" w:hAnsi="仿宋" w:eastAsia="仿宋"/>
                <w:kern w:val="0"/>
                <w:szCs w:val="21"/>
              </w:rPr>
              <w:t>分，得</w:t>
            </w:r>
            <w:r>
              <w:rPr>
                <w:rFonts w:ascii="仿宋" w:hAnsi="仿宋" w:eastAsia="仿宋"/>
                <w:kern w:val="0"/>
                <w:szCs w:val="21"/>
              </w:rPr>
              <w:t>6</w:t>
            </w:r>
            <w:r>
              <w:rPr>
                <w:rFonts w:hint="eastAsia" w:ascii="仿宋" w:hAnsi="仿宋" w:eastAsia="仿宋"/>
                <w:kern w:val="0"/>
                <w:szCs w:val="21"/>
              </w:rPr>
              <w:t>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项目协同</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7</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反映政策专项间制度机制顶层设计是否存在缺陷或缺失，是否统筹协调、互为补充，有无交叉重复的情况</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发现一处交叉重复或政策漏洞扣</w:t>
            </w:r>
            <w:r>
              <w:rPr>
                <w:rFonts w:ascii="仿宋" w:hAnsi="仿宋" w:eastAsia="仿宋"/>
                <w:kern w:val="0"/>
                <w:szCs w:val="21"/>
              </w:rPr>
              <w:t>2</w:t>
            </w:r>
            <w:r>
              <w:rPr>
                <w:rFonts w:hint="eastAsia" w:ascii="仿宋" w:hAnsi="仿宋" w:eastAsia="仿宋"/>
                <w:kern w:val="0"/>
                <w:szCs w:val="21"/>
              </w:rPr>
              <w:t>分，扣完为止。</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该项政策专项间制度机制顶层设计不存在缺陷，专项间机制统筹协调、互为补充，不存在交叉重复的情况。综上，此项7分，得满分。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对象全面</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8</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反映政策实施对象是否覆盖全面</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按照政策覆盖比率计算指标得分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根据《船山区2021年种粮大户补贴实施方案》，补贴对象为大小春种植水稻、玉米和小麦的适度规模生产经营者，重点向种粮农户、家庭农场、土地股份合作社、农民专业合作社、农业社会化服务组织、龙头企业等新型经营主体倾斜；需满足的基本条件一是在全区内新型经营主体作为补贴对象需达到的主要粮食作物种植面积（不含复种面积）门槛为:适度规模生产经营者30亩（含30亩）以上；二是依法登记的农业社会化服务组织:种植、农机等社会化服务组织。区农业农村局根据乡镇人民政府核实确认面积、抽查复核情况和实施方案，确认补贴金额后以现金直补的方式发放。政策实施对象覆盖全面。综上，此项8分，得满分。</w:t>
            </w:r>
          </w:p>
        </w:tc>
        <w:tc>
          <w:tcPr>
            <w:tcW w:w="821" w:type="dxa"/>
            <w:vAlign w:val="center"/>
          </w:tcPr>
          <w:p>
            <w:pPr>
              <w:pStyle w:val="45"/>
              <w:rPr>
                <w:rFonts w:ascii="仿宋" w:hAnsi="仿宋" w:eastAsia="仿宋"/>
                <w:kern w:val="0"/>
                <w:szCs w:val="21"/>
              </w:rPr>
            </w:pPr>
            <w:r>
              <w:rPr>
                <w:rFonts w:ascii="仿宋" w:hAnsi="仿宋"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标准合理</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8</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反映政策标准制定是否合理协调，是否考虑对象、区域、环境、经济发展等因素设定政策标准</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发现一处不合理、不协调、不匹配的扣</w:t>
            </w:r>
            <w:r>
              <w:rPr>
                <w:rFonts w:ascii="仿宋" w:hAnsi="仿宋" w:eastAsia="仿宋"/>
                <w:kern w:val="0"/>
                <w:szCs w:val="21"/>
              </w:rPr>
              <w:t>1</w:t>
            </w:r>
            <w:r>
              <w:rPr>
                <w:rFonts w:hint="eastAsia" w:ascii="仿宋" w:hAnsi="仿宋" w:eastAsia="仿宋"/>
                <w:kern w:val="0"/>
                <w:szCs w:val="21"/>
              </w:rPr>
              <w:t>分，扣完为止。</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该政策的补贴标准根据当年种粮大户补贴资金总量以及核实的补贴总面积，测算确定年度亩均补贴标准，且根据《遂宁市财政局 遂宁市农业农村局关于下达省级次啊真现代农业发展工程资金支持开展种粮大户补贴的通知》（遂财农〔202</w:t>
            </w:r>
            <w:r>
              <w:rPr>
                <w:rFonts w:ascii="仿宋" w:hAnsi="仿宋" w:eastAsia="仿宋"/>
                <w:kern w:val="0"/>
                <w:szCs w:val="21"/>
              </w:rPr>
              <w:t>1</w:t>
            </w:r>
            <w:r>
              <w:rPr>
                <w:rFonts w:hint="eastAsia" w:ascii="仿宋" w:hAnsi="仿宋" w:eastAsia="仿宋"/>
                <w:kern w:val="0"/>
                <w:szCs w:val="21"/>
              </w:rPr>
              <w:t>〕</w:t>
            </w:r>
            <w:r>
              <w:rPr>
                <w:rFonts w:ascii="仿宋" w:hAnsi="仿宋" w:eastAsia="仿宋"/>
                <w:kern w:val="0"/>
                <w:szCs w:val="21"/>
              </w:rPr>
              <w:t>52</w:t>
            </w:r>
            <w:r>
              <w:rPr>
                <w:rFonts w:hint="eastAsia" w:ascii="仿宋" w:hAnsi="仿宋" w:eastAsia="仿宋"/>
                <w:kern w:val="0"/>
                <w:szCs w:val="21"/>
              </w:rPr>
              <w:t>号）要求，补贴上限为1</w:t>
            </w:r>
            <w:r>
              <w:rPr>
                <w:rFonts w:ascii="仿宋" w:hAnsi="仿宋" w:eastAsia="仿宋"/>
                <w:kern w:val="0"/>
                <w:szCs w:val="21"/>
              </w:rPr>
              <w:t>07.58</w:t>
            </w:r>
            <w:r>
              <w:rPr>
                <w:rFonts w:hint="eastAsia" w:ascii="仿宋" w:hAnsi="仿宋" w:eastAsia="仿宋"/>
                <w:kern w:val="0"/>
                <w:szCs w:val="21"/>
              </w:rPr>
              <w:t>元/亩，充分考虑政策补贴对象、补贴区域、种植环境、经济发展等因素设定政策标准。综上，此项8分，得满分。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413" w:type="dxa"/>
            <w:vMerge w:val="restart"/>
            <w:vAlign w:val="center"/>
          </w:tcPr>
          <w:p>
            <w:pPr>
              <w:pStyle w:val="45"/>
              <w:rPr>
                <w:rFonts w:ascii="仿宋" w:hAnsi="仿宋" w:eastAsia="仿宋"/>
                <w:kern w:val="0"/>
                <w:szCs w:val="21"/>
              </w:rPr>
            </w:pPr>
            <w:r>
              <w:rPr>
                <w:rFonts w:hint="eastAsia" w:ascii="仿宋" w:hAnsi="仿宋" w:eastAsia="仿宋"/>
                <w:kern w:val="0"/>
                <w:szCs w:val="21"/>
              </w:rPr>
              <w:t>政策执行（</w:t>
            </w:r>
            <w:r>
              <w:rPr>
                <w:rFonts w:ascii="仿宋" w:hAnsi="仿宋" w:eastAsia="仿宋"/>
                <w:kern w:val="0"/>
                <w:szCs w:val="21"/>
              </w:rPr>
              <w:t>30</w:t>
            </w:r>
            <w:r>
              <w:rPr>
                <w:rFonts w:hint="eastAsia" w:ascii="仿宋" w:hAnsi="仿宋" w:eastAsia="仿宋"/>
                <w:kern w:val="0"/>
                <w:szCs w:val="21"/>
              </w:rPr>
              <w:t>分）</w:t>
            </w: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实施对象精准</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反映政策实施对象识别是否精准，不同项目实施对象是否协调衔接，精准契合；实施对象是否与政策预期匹配</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实施对象精准得满分，较精准得6</w:t>
            </w:r>
            <w:r>
              <w:rPr>
                <w:rFonts w:ascii="仿宋" w:hAnsi="仿宋" w:eastAsia="仿宋"/>
                <w:kern w:val="0"/>
                <w:szCs w:val="21"/>
              </w:rPr>
              <w:t>0</w:t>
            </w:r>
            <w:r>
              <w:rPr>
                <w:rFonts w:hint="eastAsia" w:ascii="仿宋" w:hAnsi="仿宋" w:eastAsia="仿宋"/>
                <w:kern w:val="0"/>
                <w:szCs w:val="21"/>
              </w:rPr>
              <w:t>%权重分，不精准则不得分。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经核查乡镇面积汇总表、乡镇核查表、区县抽查核实表、种粮大户补贴名单等相关资料，政策实施对象识别精准，未发现有实施对象与政策预期不匹配的情况。综上此项5分，得满分。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组织保障合理</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考察政策的组织保障情况，包括成立领导机构，有明确的组织保障等；匹配相关工作人员且明确分工合理推进。</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组织保障合理得满分，较合理得6</w:t>
            </w:r>
            <w:r>
              <w:rPr>
                <w:rFonts w:ascii="仿宋" w:hAnsi="仿宋" w:eastAsia="仿宋"/>
                <w:kern w:val="0"/>
                <w:szCs w:val="21"/>
              </w:rPr>
              <w:t>0</w:t>
            </w:r>
            <w:r>
              <w:rPr>
                <w:rFonts w:hint="eastAsia" w:ascii="仿宋" w:hAnsi="仿宋" w:eastAsia="仿宋"/>
                <w:kern w:val="0"/>
                <w:szCs w:val="21"/>
              </w:rPr>
              <w:t>%权重分，不合理则不得分。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船山区2021年种粮大户补贴实施方案》明确政策实施相关方包括区农业农村局、各乡镇人民政府、村民委员会，其中区农业农村局为政策实施主管部门，负责会同区财政局一起，采取聘用第三方公司（测绘）的方式，对各乡镇上报的种粮大户申报补贴面积开展抽查核实；各乡镇人民政府及村民委员会负责组织符合补贴条件的种粮对象申报、核实登记汇总、开展面积核实、公示等工作。政策实施具有明确的组织保障。在实施过程中，各项工作匹配相关工作人员，并明确分工。综上，此项5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政策宣传实施</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考察政策实施过程中是否充分利用广播、电视字屏、手机短信等多种形式进行宣传</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政策宣传全部实施得满分，部分实施得6</w:t>
            </w:r>
            <w:r>
              <w:rPr>
                <w:rFonts w:ascii="仿宋" w:hAnsi="仿宋" w:eastAsia="仿宋"/>
                <w:kern w:val="0"/>
                <w:szCs w:val="21"/>
              </w:rPr>
              <w:t>0</w:t>
            </w:r>
            <w:r>
              <w:rPr>
                <w:rFonts w:hint="eastAsia" w:ascii="仿宋" w:hAnsi="仿宋" w:eastAsia="仿宋"/>
                <w:kern w:val="0"/>
                <w:szCs w:val="21"/>
              </w:rPr>
              <w:t>%权重分，未实施则不得分。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根据四川省农业农村厅《关于印发〈2021年四川省种粮大户补贴实施方案〉的通知》（川农发〔2021〕145号）要求：加强宣传引导。各地要按程序做好补助对象、补助资金等信息公开公示工作，强化社会监督，要采取报刊杂志、广播电视、网络等多种方式，把政策广泛宣传到基层、宣传到农户，使广大农民群众、新型农业经营主体和基层干部准确理解掌握政策内容，积极营造有利于政策落实的良好氛围。根据《船山区2021年种粮大户补贴实施方案》要求：各乡镇及相关责任部门要按程序做好补助对象、补助资金等信息公开公示工作，要采取广播、入户宣传等形式进行宣传。经核查公示照片、现场宣传照片等相关资料，区农业农村局、各乡镇均按要求完成公开公示工作，并进行了入户宣传，但宣传方式不够多样化，一定程度影响政策的宣传效果和农户对政策内容的知晓程度。酌情扣</w:t>
            </w:r>
            <w:r>
              <w:rPr>
                <w:rFonts w:ascii="仿宋" w:hAnsi="仿宋" w:eastAsia="仿宋"/>
                <w:kern w:val="0"/>
                <w:szCs w:val="21"/>
              </w:rPr>
              <w:t>0.5</w:t>
            </w:r>
            <w:r>
              <w:rPr>
                <w:rFonts w:hint="eastAsia" w:ascii="仿宋" w:hAnsi="仿宋" w:eastAsia="仿宋"/>
                <w:kern w:val="0"/>
                <w:szCs w:val="21"/>
              </w:rPr>
              <w:t>分。综上，此项5分，得</w:t>
            </w:r>
            <w:r>
              <w:rPr>
                <w:rFonts w:ascii="仿宋" w:hAnsi="仿宋" w:eastAsia="仿宋"/>
                <w:kern w:val="0"/>
                <w:szCs w:val="21"/>
              </w:rPr>
              <w:t>4.5</w:t>
            </w:r>
            <w:r>
              <w:rPr>
                <w:rFonts w:hint="eastAsia" w:ascii="仿宋" w:hAnsi="仿宋" w:eastAsia="仿宋"/>
                <w:kern w:val="0"/>
                <w:szCs w:val="21"/>
              </w:rPr>
              <w:t>分。</w:t>
            </w:r>
          </w:p>
        </w:tc>
        <w:tc>
          <w:tcPr>
            <w:tcW w:w="821" w:type="dxa"/>
            <w:vAlign w:val="center"/>
          </w:tcPr>
          <w:p>
            <w:pPr>
              <w:pStyle w:val="45"/>
              <w:rPr>
                <w:rFonts w:ascii="仿宋" w:hAnsi="仿宋" w:eastAsia="仿宋"/>
                <w:kern w:val="0"/>
                <w:szCs w:val="21"/>
              </w:rPr>
            </w:pPr>
            <w:r>
              <w:rPr>
                <w:rFonts w:ascii="仿宋" w:hAnsi="仿宋" w:eastAsia="仿宋"/>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项目申报管理</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考察该政策覆盖的项目申报资料是否完备；申报材料的受理、尽职调查等程序是否符合规范要求</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项目申报管理完备得满分，较完备得6</w:t>
            </w:r>
            <w:r>
              <w:rPr>
                <w:rFonts w:ascii="仿宋" w:hAnsi="仿宋" w:eastAsia="仿宋"/>
                <w:kern w:val="0"/>
                <w:szCs w:val="21"/>
              </w:rPr>
              <w:t>0</w:t>
            </w:r>
            <w:r>
              <w:rPr>
                <w:rFonts w:hint="eastAsia" w:ascii="仿宋" w:hAnsi="仿宋" w:eastAsia="仿宋"/>
                <w:kern w:val="0"/>
                <w:szCs w:val="21"/>
              </w:rPr>
              <w:t>%权重分，不完备则不得分。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船山区2021年种粮大户补贴实施方案》规定补贴申报程序为;（1）组织申报。乡镇人民政府、村民委员会组织符合补贴条件的种粮对象自行向耕地所在村民委员会和乡镇人民政府申报，提交的申报资料包括种粮大户申报表（经耕地所在村委会签字盖章）、土地来源证明材料（经耕地所在村委会签字盖章）及生产图片。乡镇政府组织镇村干部对种植的小麦、玉米和水稻单季粮食作物面积达到30亩以上（含30亩）的种植大户进行核实登记汇总。（2）核实确认。各乡镇政府组织镇村干部对申报的资料及面积开展核实，核实无误后在镇村两级同步公示，公示期不少于7天。公示无异议后，由村民委员会、乡镇人民政府主要负责人签字，并加盖公章后报区农业农村局。（3）抽查核实。区农业农村局根据上报的资料，会同区财政局一起，采取聘用第三方公司（测绘）的方式，对各乡镇上报的种粮大户申报补贴面积开展抽查核实，以乡镇为单位，抽查面积和户数比例不低于30%。经核查申报资料，包括乡镇面积汇总表、乡镇核查表、区县抽查核实表、种粮大户补贴名单、公示照片、第三方测绘公司测绘面积汇总表、各乡镇补贴申报函等，申报材料完备，符合政策规定的程序。综上，此项5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资金使用合规</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项目资金使用是否符合相关的财务管理制度规定</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发现一处扣1分，直至扣完</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经核查国库集中支付凭证，比对种粮大户补贴名单、补贴资金分配表等，该政策资金支出符合财政部《基本建设财务管理规定》《行政单位会计制度》和区农业农村局制定的《财务管理制度》。综上，此项5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预算执行率</w:t>
            </w:r>
          </w:p>
        </w:tc>
        <w:tc>
          <w:tcPr>
            <w:tcW w:w="851" w:type="dxa"/>
            <w:vAlign w:val="center"/>
          </w:tcPr>
          <w:p>
            <w:pPr>
              <w:pStyle w:val="45"/>
              <w:rPr>
                <w:rFonts w:ascii="仿宋" w:hAnsi="仿宋" w:eastAsia="仿宋" w:cs="Times New Roman"/>
                <w:kern w:val="0"/>
                <w:szCs w:val="21"/>
              </w:rPr>
            </w:pPr>
            <w:r>
              <w:rPr>
                <w:rFonts w:ascii="仿宋" w:hAnsi="仿宋" w:eastAsia="仿宋" w:cs="Times New Roman"/>
                <w:kern w:val="0"/>
                <w:szCs w:val="21"/>
              </w:rPr>
              <w:t>5</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项目资金拨付到具体支持对象企业、项目（人）的情况</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指标得分=项目资金到人到户额度/项目资金额度*100%*指标分值</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该项目资金来源为中央财政农业生产发展和省级财政现代农业发展工程资金，共计112.99万元。因资金下达时间晚，且区委区政府领导审批资金分配方案完成时间为2021年12月31日，故截至2</w:t>
            </w:r>
            <w:r>
              <w:rPr>
                <w:rFonts w:ascii="仿宋" w:hAnsi="仿宋" w:eastAsia="仿宋"/>
                <w:kern w:val="0"/>
                <w:szCs w:val="21"/>
              </w:rPr>
              <w:t>021</w:t>
            </w:r>
            <w:r>
              <w:rPr>
                <w:rFonts w:hint="eastAsia" w:ascii="仿宋" w:hAnsi="仿宋" w:eastAsia="仿宋"/>
                <w:kern w:val="0"/>
                <w:szCs w:val="21"/>
              </w:rPr>
              <w:t>年1</w:t>
            </w:r>
            <w:r>
              <w:rPr>
                <w:rFonts w:ascii="仿宋" w:hAnsi="仿宋" w:eastAsia="仿宋"/>
                <w:kern w:val="0"/>
                <w:szCs w:val="21"/>
              </w:rPr>
              <w:t>2</w:t>
            </w:r>
            <w:r>
              <w:rPr>
                <w:rFonts w:hint="eastAsia" w:ascii="仿宋" w:hAnsi="仿宋" w:eastAsia="仿宋"/>
                <w:kern w:val="0"/>
                <w:szCs w:val="21"/>
              </w:rPr>
              <w:t>月3</w:t>
            </w:r>
            <w:r>
              <w:rPr>
                <w:rFonts w:ascii="仿宋" w:hAnsi="仿宋" w:eastAsia="仿宋"/>
                <w:kern w:val="0"/>
                <w:szCs w:val="21"/>
              </w:rPr>
              <w:t>1</w:t>
            </w:r>
            <w:r>
              <w:rPr>
                <w:rFonts w:hint="eastAsia" w:ascii="仿宋" w:hAnsi="仿宋" w:eastAsia="仿宋"/>
                <w:kern w:val="0"/>
                <w:szCs w:val="21"/>
              </w:rPr>
              <w:t>日无支出。截至绩效评价日（2022年10月12日），实际支出112.97万元，预算执行率为99.99%。指标得分=112.97万元/112.99万元*100%*</w:t>
            </w:r>
            <w:r>
              <w:rPr>
                <w:rFonts w:ascii="仿宋" w:hAnsi="仿宋" w:eastAsia="仿宋"/>
                <w:kern w:val="0"/>
                <w:szCs w:val="21"/>
              </w:rPr>
              <w:t>5</w:t>
            </w:r>
            <w:r>
              <w:rPr>
                <w:rFonts w:hint="eastAsia" w:ascii="仿宋" w:hAnsi="仿宋" w:eastAsia="仿宋"/>
                <w:kern w:val="0"/>
                <w:szCs w:val="21"/>
              </w:rPr>
              <w:t>=</w:t>
            </w:r>
            <w:r>
              <w:rPr>
                <w:rFonts w:ascii="仿宋" w:hAnsi="仿宋" w:eastAsia="仿宋"/>
                <w:kern w:val="0"/>
                <w:szCs w:val="21"/>
              </w:rPr>
              <w:t>5</w:t>
            </w:r>
            <w:r>
              <w:rPr>
                <w:rFonts w:hint="eastAsia" w:ascii="仿宋" w:hAnsi="仿宋" w:eastAsia="仿宋"/>
                <w:kern w:val="0"/>
                <w:szCs w:val="21"/>
              </w:rPr>
              <w:t>。综上，此项5分，得满分。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13" w:type="dxa"/>
            <w:vMerge w:val="restart"/>
            <w:vAlign w:val="center"/>
          </w:tcPr>
          <w:p>
            <w:pPr>
              <w:pStyle w:val="45"/>
              <w:rPr>
                <w:rFonts w:ascii="仿宋" w:hAnsi="仿宋" w:eastAsia="仿宋"/>
                <w:kern w:val="0"/>
                <w:szCs w:val="21"/>
              </w:rPr>
            </w:pPr>
            <w:r>
              <w:rPr>
                <w:rFonts w:hint="eastAsia" w:ascii="仿宋" w:hAnsi="仿宋" w:eastAsia="仿宋"/>
                <w:kern w:val="0"/>
                <w:szCs w:val="21"/>
              </w:rPr>
              <w:t>政策效果（</w:t>
            </w:r>
            <w:r>
              <w:rPr>
                <w:rFonts w:ascii="仿宋" w:hAnsi="仿宋" w:eastAsia="仿宋"/>
                <w:kern w:val="0"/>
                <w:szCs w:val="21"/>
              </w:rPr>
              <w:t>40</w:t>
            </w:r>
            <w:r>
              <w:rPr>
                <w:rFonts w:hint="eastAsia" w:ascii="仿宋" w:hAnsi="仿宋" w:eastAsia="仿宋"/>
                <w:kern w:val="0"/>
                <w:szCs w:val="21"/>
              </w:rPr>
              <w:t>分）</w:t>
            </w: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政策目标完成</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8</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政策实施后是否完成预期目标</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指标得分=项目资金到人到户额度/项目资金额度*100%*指标分值</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根据《遂宁市财政局 遂宁市农业农村局关于下达省级财政现代农业发展工程资金支持开展种粮大户补贴的通知》（遂财农〔2021〕83号）,该项目资金来源为中央财政农业生产发展和省级财政现代农业发展工程资金，共计112.99万元。根据《遂宁市财政局 遂宁市农业农村局关于下达省级财政现代农业发展工程资金支持开展种粮大户补贴的通知》（遂财农〔2021〕83号），资金下达时间为2021年11月；根据《船山区财政资金分配情况审批表》，区委区政府领导审批完成时间为2021年12月31日，故截至2021年12月31日政策资金无支出。通过申报核实确认后，受补贴种粮大户共计107户，申报面积共1</w:t>
            </w:r>
            <w:r>
              <w:rPr>
                <w:rFonts w:ascii="仿宋" w:hAnsi="仿宋" w:eastAsia="仿宋"/>
                <w:kern w:val="0"/>
                <w:szCs w:val="21"/>
              </w:rPr>
              <w:t>7182.17</w:t>
            </w:r>
            <w:r>
              <w:rPr>
                <w:rFonts w:hint="eastAsia" w:ascii="仿宋" w:hAnsi="仿宋" w:eastAsia="仿宋"/>
                <w:kern w:val="0"/>
                <w:szCs w:val="21"/>
              </w:rPr>
              <w:t>亩，平均每亩补贴6</w:t>
            </w:r>
            <w:r>
              <w:rPr>
                <w:rFonts w:ascii="仿宋" w:hAnsi="仿宋" w:eastAsia="仿宋"/>
                <w:kern w:val="0"/>
                <w:szCs w:val="21"/>
              </w:rPr>
              <w:t>5.76</w:t>
            </w:r>
            <w:r>
              <w:rPr>
                <w:rFonts w:hint="eastAsia" w:ascii="仿宋" w:hAnsi="仿宋" w:eastAsia="仿宋"/>
                <w:kern w:val="0"/>
                <w:szCs w:val="21"/>
              </w:rPr>
              <w:t>元，共计补贴资金为1</w:t>
            </w:r>
            <w:r>
              <w:rPr>
                <w:rFonts w:ascii="仿宋" w:hAnsi="仿宋" w:eastAsia="仿宋"/>
                <w:kern w:val="0"/>
                <w:szCs w:val="21"/>
              </w:rPr>
              <w:t>12.97</w:t>
            </w:r>
            <w:r>
              <w:rPr>
                <w:rFonts w:hint="eastAsia" w:ascii="仿宋" w:hAnsi="仿宋" w:eastAsia="仿宋"/>
                <w:kern w:val="0"/>
                <w:szCs w:val="21"/>
              </w:rPr>
              <w:t>万元。截至绩效评价日（2022年10月12日），实际支出112.97万元。指标得分=112.97万元/112.9</w:t>
            </w:r>
            <w:r>
              <w:rPr>
                <w:rFonts w:ascii="仿宋" w:hAnsi="仿宋" w:eastAsia="仿宋"/>
                <w:kern w:val="0"/>
                <w:szCs w:val="21"/>
              </w:rPr>
              <w:t>7</w:t>
            </w:r>
            <w:r>
              <w:rPr>
                <w:rFonts w:hint="eastAsia" w:ascii="仿宋" w:hAnsi="仿宋" w:eastAsia="仿宋"/>
                <w:kern w:val="0"/>
                <w:szCs w:val="21"/>
              </w:rPr>
              <w:t>万元*100%*</w:t>
            </w:r>
            <w:r>
              <w:rPr>
                <w:rFonts w:ascii="仿宋" w:hAnsi="仿宋" w:eastAsia="仿宋"/>
                <w:kern w:val="0"/>
                <w:szCs w:val="21"/>
              </w:rPr>
              <w:t>5</w:t>
            </w:r>
            <w:r>
              <w:rPr>
                <w:rFonts w:hint="eastAsia" w:ascii="仿宋" w:hAnsi="仿宋" w:eastAsia="仿宋"/>
                <w:kern w:val="0"/>
                <w:szCs w:val="21"/>
              </w:rPr>
              <w:t>=</w:t>
            </w:r>
            <w:r>
              <w:rPr>
                <w:rFonts w:ascii="仿宋" w:hAnsi="仿宋" w:eastAsia="仿宋"/>
                <w:kern w:val="0"/>
                <w:szCs w:val="21"/>
              </w:rPr>
              <w:t>5</w:t>
            </w:r>
            <w:r>
              <w:rPr>
                <w:rFonts w:hint="eastAsia" w:ascii="仿宋" w:hAnsi="仿宋" w:eastAsia="仿宋"/>
                <w:kern w:val="0"/>
                <w:szCs w:val="21"/>
              </w:rPr>
              <w:t>。完成政策补贴目标。综上，此项</w:t>
            </w:r>
            <w:r>
              <w:rPr>
                <w:rFonts w:ascii="仿宋" w:hAnsi="仿宋" w:eastAsia="仿宋"/>
                <w:kern w:val="0"/>
                <w:szCs w:val="21"/>
              </w:rPr>
              <w:t>8</w:t>
            </w:r>
            <w:r>
              <w:rPr>
                <w:rFonts w:hint="eastAsia" w:ascii="仿宋" w:hAnsi="仿宋" w:eastAsia="仿宋"/>
                <w:kern w:val="0"/>
                <w:szCs w:val="21"/>
              </w:rPr>
              <w:t>分，得满分。</w:t>
            </w:r>
          </w:p>
        </w:tc>
        <w:tc>
          <w:tcPr>
            <w:tcW w:w="821" w:type="dxa"/>
            <w:vAlign w:val="center"/>
          </w:tcPr>
          <w:p>
            <w:pPr>
              <w:pStyle w:val="45"/>
              <w:rPr>
                <w:rFonts w:ascii="仿宋" w:hAnsi="仿宋" w:eastAsia="仿宋"/>
                <w:kern w:val="0"/>
                <w:szCs w:val="21"/>
              </w:rPr>
            </w:pPr>
            <w:r>
              <w:rPr>
                <w:rFonts w:ascii="仿宋" w:hAnsi="仿宋"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符合性</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7</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反映政策实施效果是否与中央、省和市规划布局、资金投向等匹配吻合</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符合得满分，较符合得6</w:t>
            </w:r>
            <w:r>
              <w:rPr>
                <w:rFonts w:ascii="仿宋" w:hAnsi="仿宋" w:eastAsia="仿宋"/>
                <w:kern w:val="0"/>
                <w:szCs w:val="21"/>
              </w:rPr>
              <w:t>0</w:t>
            </w:r>
            <w:r>
              <w:rPr>
                <w:rFonts w:hint="eastAsia" w:ascii="仿宋" w:hAnsi="仿宋" w:eastAsia="仿宋"/>
                <w:kern w:val="0"/>
                <w:szCs w:val="21"/>
              </w:rPr>
              <w:t>%权重分，不符合则不得分。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该政策以粮食规模经营主体为载体，通过种粮大户补贴，提升粮食生产质量和效益，促进船山区粮食生产持续稳定发展。可助力水稻种植户实现亩均增收</w:t>
            </w:r>
            <w:r>
              <w:rPr>
                <w:rFonts w:ascii="仿宋" w:hAnsi="仿宋" w:eastAsia="仿宋"/>
                <w:kern w:val="0"/>
                <w:szCs w:val="21"/>
              </w:rPr>
              <w:t>65.76</w:t>
            </w:r>
            <w:r>
              <w:rPr>
                <w:rFonts w:hint="eastAsia" w:ascii="仿宋" w:hAnsi="仿宋" w:eastAsia="仿宋"/>
                <w:kern w:val="0"/>
                <w:szCs w:val="21"/>
              </w:rPr>
              <w:t>元以上，有效带动当地种植业的产量提升。其效果符合中央、省和市规划布局，与资金投向匹配吻合。综上，此项</w:t>
            </w:r>
            <w:r>
              <w:rPr>
                <w:rFonts w:ascii="仿宋" w:hAnsi="仿宋" w:eastAsia="仿宋"/>
                <w:kern w:val="0"/>
                <w:szCs w:val="21"/>
              </w:rPr>
              <w:t>7</w:t>
            </w:r>
            <w:r>
              <w:rPr>
                <w:rFonts w:hint="eastAsia" w:ascii="仿宋" w:hAnsi="仿宋" w:eastAsia="仿宋"/>
                <w:kern w:val="0"/>
                <w:szCs w:val="21"/>
              </w:rPr>
              <w:t>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引导性</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7</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反映基础条件改善、资金使用效益提升等方面</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提升较大得满分，部分提升得6</w:t>
            </w:r>
            <w:r>
              <w:rPr>
                <w:rFonts w:ascii="仿宋" w:hAnsi="仿宋" w:eastAsia="仿宋"/>
                <w:kern w:val="0"/>
                <w:szCs w:val="21"/>
              </w:rPr>
              <w:t>0</w:t>
            </w:r>
            <w:r>
              <w:rPr>
                <w:rFonts w:hint="eastAsia" w:ascii="仿宋" w:hAnsi="仿宋" w:eastAsia="仿宋"/>
                <w:kern w:val="0"/>
                <w:szCs w:val="21"/>
              </w:rPr>
              <w:t>%权重分，没有提升则不得分。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该政策以粮食规模经营主体为载体，通过种粮大户补贴，提升粮食生产质量和效益，促进船山区粮食生产持续稳定发展。可助力水稻种植户实现亩均增收</w:t>
            </w:r>
            <w:r>
              <w:rPr>
                <w:rFonts w:ascii="仿宋" w:hAnsi="仿宋" w:eastAsia="仿宋"/>
                <w:kern w:val="0"/>
                <w:szCs w:val="21"/>
              </w:rPr>
              <w:t>65.76</w:t>
            </w:r>
            <w:r>
              <w:rPr>
                <w:rFonts w:hint="eastAsia" w:ascii="仿宋" w:hAnsi="仿宋" w:eastAsia="仿宋"/>
                <w:kern w:val="0"/>
                <w:szCs w:val="21"/>
              </w:rPr>
              <w:t>元以上，有效带动当地种植业的产量提升。根据《遂宁市财政局 遂宁市农业农村局关于下达省级财政现代农业发展工程资金支持开展种粮大户补贴的通知》（遂财农〔2021〕83号），下级下达的绩效目标为“粮食规模经营面积比上年提高5%”，但区农业农村局未进行相关数据的统计，无法反映是否实现此项绩效目标，扣1分。综上，此项</w:t>
            </w:r>
            <w:r>
              <w:rPr>
                <w:rFonts w:ascii="仿宋" w:hAnsi="仿宋" w:eastAsia="仿宋"/>
                <w:kern w:val="0"/>
                <w:szCs w:val="21"/>
              </w:rPr>
              <w:t>7</w:t>
            </w:r>
            <w:r>
              <w:rPr>
                <w:rFonts w:hint="eastAsia" w:ascii="仿宋" w:hAnsi="仿宋" w:eastAsia="仿宋"/>
                <w:kern w:val="0"/>
                <w:szCs w:val="21"/>
              </w:rPr>
              <w:t>分，得</w:t>
            </w:r>
            <w:r>
              <w:rPr>
                <w:rFonts w:ascii="仿宋" w:hAnsi="仿宋" w:eastAsia="仿宋"/>
                <w:kern w:val="0"/>
                <w:szCs w:val="21"/>
              </w:rPr>
              <w:t>6</w:t>
            </w:r>
            <w:r>
              <w:rPr>
                <w:rFonts w:hint="eastAsia" w:ascii="仿宋" w:hAnsi="仿宋" w:eastAsia="仿宋"/>
                <w:kern w:val="0"/>
                <w:szCs w:val="21"/>
              </w:rPr>
              <w:t>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区域均衡性</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8</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项目资金分配体现的均衡公平情况</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区域均衡得满分；较均衡得6</w:t>
            </w:r>
            <w:r>
              <w:rPr>
                <w:rFonts w:ascii="仿宋" w:hAnsi="仿宋" w:eastAsia="仿宋"/>
                <w:kern w:val="0"/>
                <w:szCs w:val="21"/>
              </w:rPr>
              <w:t>0</w:t>
            </w:r>
            <w:r>
              <w:rPr>
                <w:rFonts w:hint="eastAsia" w:ascii="仿宋" w:hAnsi="仿宋" w:eastAsia="仿宋"/>
                <w:kern w:val="0"/>
                <w:szCs w:val="21"/>
              </w:rPr>
              <w:t>%权重分，不均衡则不得分。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根据政策资金分配情况，桂花镇18户，申报面积共3496.13亩，补贴金额为229931.12元;仁里镇11户,申报面积共113672亩，补贴金额为74750.7元;唐家乡6户，申报面积共 2561.07亩，补贴金额为168415.94元;龙凤镇10户，申报面积1007.3亩，补贴金额为66240.03元;河沙镇15户，申报面积3322.36亩，补贴金额为218478元;老池镇28户，申报面积3541.06亩，补贴金额为232590.05元;永兴镇19户，申报面积2117.53亩，补贴金额为139248.76元。政策补贴资金根据实际测算面积进行资金分配，有效保障遂宁市各区域种粮大户补贴的均衡性。综上，此项8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对象公平性</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8</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项目资金分配结果是否公平合理，是否充分考虑地域条件、经济条件等</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对象公平得满分，公平性较好得8</w:t>
            </w:r>
            <w:r>
              <w:rPr>
                <w:rFonts w:ascii="仿宋" w:hAnsi="仿宋" w:eastAsia="仿宋"/>
                <w:kern w:val="0"/>
                <w:szCs w:val="21"/>
              </w:rPr>
              <w:t>0</w:t>
            </w:r>
            <w:r>
              <w:rPr>
                <w:rFonts w:hint="eastAsia" w:ascii="仿宋" w:hAnsi="仿宋" w:eastAsia="仿宋"/>
                <w:kern w:val="0"/>
                <w:szCs w:val="21"/>
              </w:rPr>
              <w:t>%权重分，公平性一般得6</w:t>
            </w:r>
            <w:r>
              <w:rPr>
                <w:rFonts w:ascii="仿宋" w:hAnsi="仿宋" w:eastAsia="仿宋"/>
                <w:kern w:val="0"/>
                <w:szCs w:val="21"/>
              </w:rPr>
              <w:t>0</w:t>
            </w:r>
            <w:r>
              <w:rPr>
                <w:rFonts w:hint="eastAsia" w:ascii="仿宋" w:hAnsi="仿宋" w:eastAsia="仿宋"/>
                <w:kern w:val="0"/>
                <w:szCs w:val="21"/>
              </w:rPr>
              <w:t>%权重分，公平性较差得3</w:t>
            </w:r>
            <w:r>
              <w:rPr>
                <w:rFonts w:ascii="仿宋" w:hAnsi="仿宋" w:eastAsia="仿宋"/>
                <w:kern w:val="0"/>
                <w:szCs w:val="21"/>
              </w:rPr>
              <w:t>0</w:t>
            </w:r>
            <w:r>
              <w:rPr>
                <w:rFonts w:hint="eastAsia" w:ascii="仿宋" w:hAnsi="仿宋" w:eastAsia="仿宋"/>
                <w:kern w:val="0"/>
                <w:szCs w:val="21"/>
              </w:rPr>
              <w:t>%权重分，无存在公平性则不得分，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该政策资金分配结果根据船山区桂花镇、仁里镇、唐家乡、龙凤镇、河沙镇、老池镇、永兴镇申报的实际补贴面积进行分配，分配结果公平合理，充分考虑地域条件和经济条件。综上，此项8分，得满分。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3" w:type="dxa"/>
            <w:vMerge w:val="continue"/>
            <w:vAlign w:val="center"/>
          </w:tcPr>
          <w:p>
            <w:pPr>
              <w:pStyle w:val="45"/>
              <w:rPr>
                <w:rFonts w:ascii="仿宋" w:hAnsi="仿宋" w:eastAsia="仿宋"/>
                <w:kern w:val="0"/>
                <w:szCs w:val="21"/>
              </w:rPr>
            </w:pPr>
          </w:p>
        </w:tc>
        <w:tc>
          <w:tcPr>
            <w:tcW w:w="1276" w:type="dxa"/>
            <w:vAlign w:val="center"/>
          </w:tcPr>
          <w:p>
            <w:pPr>
              <w:pStyle w:val="45"/>
              <w:rPr>
                <w:rFonts w:ascii="仿宋" w:hAnsi="仿宋" w:eastAsia="仿宋"/>
                <w:kern w:val="0"/>
                <w:szCs w:val="21"/>
              </w:rPr>
            </w:pPr>
            <w:r>
              <w:rPr>
                <w:rFonts w:hint="eastAsia" w:ascii="仿宋" w:hAnsi="仿宋" w:eastAsia="仿宋"/>
                <w:kern w:val="0"/>
                <w:szCs w:val="21"/>
              </w:rPr>
              <w:t>长效管理</w:t>
            </w:r>
          </w:p>
        </w:tc>
        <w:tc>
          <w:tcPr>
            <w:tcW w:w="851" w:type="dxa"/>
            <w:shd w:val="clear" w:color="auto" w:fill="auto"/>
            <w:vAlign w:val="center"/>
          </w:tcPr>
          <w:p>
            <w:pPr>
              <w:pStyle w:val="45"/>
              <w:rPr>
                <w:rFonts w:ascii="仿宋" w:hAnsi="仿宋" w:eastAsia="仿宋" w:cs="Times New Roman"/>
                <w:kern w:val="0"/>
                <w:szCs w:val="21"/>
              </w:rPr>
            </w:pPr>
            <w:r>
              <w:rPr>
                <w:rFonts w:ascii="仿宋" w:hAnsi="仿宋" w:eastAsia="仿宋" w:cs="Times New Roman"/>
                <w:kern w:val="0"/>
                <w:szCs w:val="21"/>
              </w:rPr>
              <w:t>2</w:t>
            </w:r>
          </w:p>
        </w:tc>
        <w:tc>
          <w:tcPr>
            <w:tcW w:w="2409" w:type="dxa"/>
            <w:vAlign w:val="center"/>
          </w:tcPr>
          <w:p>
            <w:pPr>
              <w:pStyle w:val="45"/>
              <w:rPr>
                <w:rFonts w:ascii="仿宋" w:hAnsi="仿宋" w:eastAsia="仿宋"/>
                <w:kern w:val="0"/>
                <w:szCs w:val="21"/>
              </w:rPr>
            </w:pPr>
            <w:r>
              <w:rPr>
                <w:rFonts w:hint="eastAsia" w:ascii="仿宋" w:hAnsi="仿宋" w:eastAsia="仿宋"/>
                <w:kern w:val="0"/>
                <w:szCs w:val="21"/>
              </w:rPr>
              <w:t>反映项目完成后是否做好长效管理，是否全面衔接发挥整体效益</w:t>
            </w:r>
          </w:p>
        </w:tc>
        <w:tc>
          <w:tcPr>
            <w:tcW w:w="2977" w:type="dxa"/>
            <w:vAlign w:val="center"/>
          </w:tcPr>
          <w:p>
            <w:pPr>
              <w:pStyle w:val="45"/>
              <w:rPr>
                <w:rFonts w:ascii="仿宋" w:hAnsi="仿宋" w:eastAsia="仿宋"/>
                <w:kern w:val="0"/>
                <w:szCs w:val="21"/>
              </w:rPr>
            </w:pPr>
            <w:r>
              <w:rPr>
                <w:rFonts w:hint="eastAsia" w:ascii="仿宋" w:hAnsi="仿宋" w:eastAsia="仿宋"/>
                <w:kern w:val="0"/>
                <w:szCs w:val="21"/>
              </w:rPr>
              <w:t>长效管理机制健全得满分，较健全得6</w:t>
            </w:r>
            <w:r>
              <w:rPr>
                <w:rFonts w:ascii="仿宋" w:hAnsi="仿宋" w:eastAsia="仿宋"/>
                <w:kern w:val="0"/>
                <w:szCs w:val="21"/>
              </w:rPr>
              <w:t>0</w:t>
            </w:r>
            <w:r>
              <w:rPr>
                <w:rFonts w:hint="eastAsia" w:ascii="仿宋" w:hAnsi="仿宋" w:eastAsia="仿宋"/>
                <w:kern w:val="0"/>
                <w:szCs w:val="21"/>
              </w:rPr>
              <w:t>%权重分，不健全则不得分。</w:t>
            </w:r>
          </w:p>
        </w:tc>
        <w:tc>
          <w:tcPr>
            <w:tcW w:w="4394" w:type="dxa"/>
            <w:vAlign w:val="center"/>
          </w:tcPr>
          <w:p>
            <w:pPr>
              <w:pStyle w:val="45"/>
              <w:rPr>
                <w:rFonts w:ascii="仿宋" w:hAnsi="仿宋" w:eastAsia="仿宋"/>
                <w:kern w:val="0"/>
                <w:szCs w:val="21"/>
              </w:rPr>
            </w:pPr>
            <w:r>
              <w:rPr>
                <w:rFonts w:hint="eastAsia" w:ascii="仿宋" w:hAnsi="仿宋" w:eastAsia="仿宋"/>
                <w:kern w:val="0"/>
                <w:szCs w:val="21"/>
              </w:rPr>
              <w:t>经核查，该政策项目实施完成后，未建立长效管理机制，未针对种植的收益、种植结构调整进行长效管理，扣</w:t>
            </w:r>
            <w:r>
              <w:rPr>
                <w:rFonts w:ascii="仿宋" w:hAnsi="仿宋" w:eastAsia="仿宋"/>
                <w:kern w:val="0"/>
                <w:szCs w:val="21"/>
              </w:rPr>
              <w:t>2</w:t>
            </w:r>
            <w:r>
              <w:rPr>
                <w:rFonts w:hint="eastAsia" w:ascii="仿宋" w:hAnsi="仿宋" w:eastAsia="仿宋"/>
                <w:kern w:val="0"/>
                <w:szCs w:val="21"/>
              </w:rPr>
              <w:t>分。综上，此项2分，得0分。</w:t>
            </w:r>
          </w:p>
        </w:tc>
        <w:tc>
          <w:tcPr>
            <w:tcW w:w="821" w:type="dxa"/>
            <w:vAlign w:val="center"/>
          </w:tcPr>
          <w:p>
            <w:pPr>
              <w:pStyle w:val="45"/>
              <w:rPr>
                <w:rFonts w:ascii="仿宋" w:hAnsi="仿宋" w:eastAsia="仿宋"/>
                <w:kern w:val="0"/>
                <w:szCs w:val="21"/>
              </w:rPr>
            </w:pPr>
            <w:r>
              <w:rPr>
                <w:rFonts w:hint="eastAsia" w:ascii="仿宋" w:hAnsi="仿宋"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89" w:type="dxa"/>
            <w:gridSpan w:val="2"/>
            <w:vAlign w:val="center"/>
          </w:tcPr>
          <w:p>
            <w:pPr>
              <w:pStyle w:val="45"/>
              <w:rPr>
                <w:rFonts w:ascii="仿宋" w:hAnsi="仿宋" w:eastAsia="仿宋"/>
                <w:b/>
                <w:bCs/>
                <w:kern w:val="0"/>
                <w:szCs w:val="21"/>
              </w:rPr>
            </w:pPr>
            <w:r>
              <w:rPr>
                <w:rFonts w:hint="eastAsia" w:ascii="仿宋" w:hAnsi="仿宋" w:eastAsia="仿宋"/>
                <w:b/>
                <w:bCs/>
                <w:kern w:val="0"/>
                <w:szCs w:val="21"/>
              </w:rPr>
              <w:t>合计</w:t>
            </w:r>
          </w:p>
        </w:tc>
        <w:tc>
          <w:tcPr>
            <w:tcW w:w="851" w:type="dxa"/>
            <w:vAlign w:val="center"/>
          </w:tcPr>
          <w:p>
            <w:pPr>
              <w:pStyle w:val="45"/>
              <w:rPr>
                <w:rFonts w:ascii="仿宋" w:hAnsi="仿宋" w:eastAsia="仿宋" w:cs="Times New Roman"/>
                <w:b/>
                <w:bCs/>
                <w:kern w:val="0"/>
                <w:szCs w:val="21"/>
              </w:rPr>
            </w:pPr>
            <w:r>
              <w:rPr>
                <w:rFonts w:ascii="仿宋" w:hAnsi="仿宋" w:eastAsia="仿宋" w:cs="Times New Roman"/>
                <w:b/>
                <w:bCs/>
                <w:kern w:val="0"/>
                <w:szCs w:val="21"/>
              </w:rPr>
              <w:fldChar w:fldCharType="begin"/>
            </w:r>
            <w:r>
              <w:rPr>
                <w:rFonts w:ascii="仿宋" w:hAnsi="仿宋" w:eastAsia="仿宋" w:cs="Times New Roman"/>
                <w:b/>
                <w:bCs/>
                <w:kern w:val="0"/>
                <w:szCs w:val="21"/>
              </w:rPr>
              <w:instrText xml:space="preserve"> =SUM(ABOVE) </w:instrText>
            </w:r>
            <w:r>
              <w:rPr>
                <w:rFonts w:ascii="仿宋" w:hAnsi="仿宋" w:eastAsia="仿宋" w:cs="Times New Roman"/>
                <w:b/>
                <w:bCs/>
                <w:kern w:val="0"/>
                <w:szCs w:val="21"/>
              </w:rPr>
              <w:fldChar w:fldCharType="separate"/>
            </w:r>
            <w:r>
              <w:rPr>
                <w:rFonts w:ascii="仿宋" w:hAnsi="仿宋" w:eastAsia="仿宋" w:cs="Times New Roman"/>
                <w:b/>
                <w:bCs/>
                <w:kern w:val="0"/>
                <w:szCs w:val="21"/>
              </w:rPr>
              <w:t>100</w:t>
            </w:r>
            <w:r>
              <w:rPr>
                <w:rFonts w:ascii="仿宋" w:hAnsi="仿宋" w:eastAsia="仿宋" w:cs="Times New Roman"/>
                <w:b/>
                <w:bCs/>
                <w:kern w:val="0"/>
                <w:szCs w:val="21"/>
              </w:rPr>
              <w:fldChar w:fldCharType="end"/>
            </w:r>
          </w:p>
        </w:tc>
        <w:tc>
          <w:tcPr>
            <w:tcW w:w="2409" w:type="dxa"/>
            <w:vAlign w:val="center"/>
          </w:tcPr>
          <w:p>
            <w:pPr>
              <w:pStyle w:val="45"/>
              <w:rPr>
                <w:rFonts w:ascii="仿宋" w:hAnsi="仿宋" w:eastAsia="仿宋"/>
                <w:b/>
                <w:bCs/>
                <w:kern w:val="0"/>
                <w:szCs w:val="21"/>
              </w:rPr>
            </w:pPr>
            <w:r>
              <w:rPr>
                <w:rFonts w:hint="eastAsia" w:ascii="仿宋" w:hAnsi="仿宋" w:eastAsia="仿宋"/>
                <w:b/>
                <w:bCs/>
                <w:kern w:val="0"/>
                <w:szCs w:val="21"/>
              </w:rPr>
              <w:t>-</w:t>
            </w:r>
          </w:p>
        </w:tc>
        <w:tc>
          <w:tcPr>
            <w:tcW w:w="2977" w:type="dxa"/>
            <w:vAlign w:val="center"/>
          </w:tcPr>
          <w:p>
            <w:pPr>
              <w:pStyle w:val="45"/>
              <w:rPr>
                <w:rFonts w:ascii="仿宋" w:hAnsi="仿宋" w:eastAsia="仿宋"/>
                <w:b/>
                <w:bCs/>
                <w:kern w:val="0"/>
                <w:szCs w:val="21"/>
              </w:rPr>
            </w:pPr>
          </w:p>
        </w:tc>
        <w:tc>
          <w:tcPr>
            <w:tcW w:w="4394" w:type="dxa"/>
            <w:vAlign w:val="center"/>
          </w:tcPr>
          <w:p>
            <w:pPr>
              <w:pStyle w:val="45"/>
              <w:rPr>
                <w:rFonts w:ascii="仿宋" w:hAnsi="仿宋" w:eastAsia="仿宋"/>
                <w:b/>
                <w:bCs/>
                <w:kern w:val="0"/>
                <w:szCs w:val="21"/>
              </w:rPr>
            </w:pPr>
          </w:p>
        </w:tc>
        <w:tc>
          <w:tcPr>
            <w:tcW w:w="821" w:type="dxa"/>
            <w:vAlign w:val="center"/>
          </w:tcPr>
          <w:p>
            <w:pPr>
              <w:pStyle w:val="45"/>
              <w:rPr>
                <w:rFonts w:ascii="仿宋" w:hAnsi="仿宋" w:eastAsia="仿宋"/>
                <w:b/>
                <w:bCs/>
                <w:kern w:val="0"/>
                <w:szCs w:val="21"/>
              </w:rPr>
            </w:pPr>
            <w:r>
              <w:rPr>
                <w:rFonts w:ascii="仿宋" w:hAnsi="仿宋" w:eastAsia="仿宋"/>
                <w:b/>
                <w:bCs/>
                <w:kern w:val="0"/>
                <w:szCs w:val="21"/>
              </w:rPr>
              <w:fldChar w:fldCharType="begin"/>
            </w:r>
            <w:r>
              <w:rPr>
                <w:rFonts w:ascii="仿宋" w:hAnsi="仿宋" w:eastAsia="仿宋"/>
                <w:b/>
                <w:bCs/>
                <w:kern w:val="0"/>
                <w:szCs w:val="21"/>
              </w:rPr>
              <w:instrText xml:space="preserve"> =SUM(ABOVE) </w:instrText>
            </w:r>
            <w:r>
              <w:rPr>
                <w:rFonts w:ascii="仿宋" w:hAnsi="仿宋" w:eastAsia="仿宋"/>
                <w:b/>
                <w:bCs/>
                <w:kern w:val="0"/>
                <w:szCs w:val="21"/>
              </w:rPr>
              <w:fldChar w:fldCharType="separate"/>
            </w:r>
            <w:r>
              <w:rPr>
                <w:rFonts w:ascii="仿宋" w:hAnsi="仿宋" w:eastAsia="仿宋"/>
                <w:b/>
                <w:bCs/>
                <w:kern w:val="0"/>
                <w:szCs w:val="21"/>
              </w:rPr>
              <w:t>95.5</w:t>
            </w:r>
            <w:r>
              <w:rPr>
                <w:rFonts w:ascii="仿宋" w:hAnsi="仿宋" w:eastAsia="仿宋"/>
                <w:b/>
                <w:bCs/>
                <w:kern w:val="0"/>
                <w:szCs w:val="21"/>
              </w:rPr>
              <w:fldChar w:fldCharType="end"/>
            </w:r>
          </w:p>
        </w:tc>
      </w:tr>
      <w:bookmarkEnd w:id="55"/>
    </w:tbl>
    <w:p>
      <w:pPr>
        <w:ind w:firstLine="640"/>
      </w:pPr>
    </w:p>
    <w:sectPr>
      <w:footerReference r:id="rId14" w:type="default"/>
      <w:footerReference r:id="rId15" w:type="even"/>
      <w:pgSz w:w="16838" w:h="11906" w:orient="landscape"/>
      <w:pgMar w:top="1797" w:right="1440" w:bottom="1797" w:left="1247"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end"/>
    </w:r>
  </w:p>
  <w:p>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pPr>
      <w:pStyle w:val="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640"/>
      </w:pPr>
      <w:r>
        <w:separator/>
      </w:r>
    </w:p>
  </w:footnote>
  <w:footnote w:type="continuationSeparator" w:id="3">
    <w:p>
      <w:pPr>
        <w:spacing w:line="360" w:lineRule="auto"/>
        <w:ind w:firstLine="640"/>
      </w:pPr>
      <w:r>
        <w:continuationSeparator/>
      </w:r>
    </w:p>
  </w:footnote>
  <w:footnote w:id="0">
    <w:p>
      <w:pPr>
        <w:pStyle w:val="11"/>
        <w:ind w:firstLine="360"/>
      </w:pPr>
      <w:r>
        <w:rPr>
          <w:rStyle w:val="21"/>
        </w:rPr>
        <w:footnoteRef/>
      </w:r>
      <w:r>
        <w:t xml:space="preserve"> </w:t>
      </w:r>
      <w:r>
        <w:rPr>
          <w:rFonts w:hint="eastAsia"/>
        </w:rPr>
        <w:t>根据《船山区2021年种粮大户补贴实施方案》，该政策的补贴标准根据当年下达的种粮大户补贴资金总量以及核实的补贴总面积，测算确定年度亩均补贴标准。再根据亩均补贴标准、各种粮大户认定的种植面积测算各户补贴资金及实际补贴资金总量。故最终测算的补贴资金总额度与下达的资金总数存在细小偏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07FF7"/>
    <w:multiLevelType w:val="multilevel"/>
    <w:tmpl w:val="3DE07FF7"/>
    <w:lvl w:ilvl="0" w:tentative="0">
      <w:start w:val="1"/>
      <w:numFmt w:val="decimal"/>
      <w:pStyle w:val="4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610671B8"/>
    <w:multiLevelType w:val="multilevel"/>
    <w:tmpl w:val="610671B8"/>
    <w:lvl w:ilvl="0" w:tentative="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30"/>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1NjdlZTkzOGVlNTUxMzA5MDYxMmQyM2U2ODlmNDgifQ=="/>
  </w:docVars>
  <w:rsids>
    <w:rsidRoot w:val="00E348C3"/>
    <w:rsid w:val="0000579C"/>
    <w:rsid w:val="00005E24"/>
    <w:rsid w:val="00010314"/>
    <w:rsid w:val="0001193D"/>
    <w:rsid w:val="000168C7"/>
    <w:rsid w:val="00023164"/>
    <w:rsid w:val="00027269"/>
    <w:rsid w:val="00044B82"/>
    <w:rsid w:val="000500E6"/>
    <w:rsid w:val="000565B6"/>
    <w:rsid w:val="000764C8"/>
    <w:rsid w:val="00090520"/>
    <w:rsid w:val="000D124F"/>
    <w:rsid w:val="000E02F7"/>
    <w:rsid w:val="0010550E"/>
    <w:rsid w:val="0010778A"/>
    <w:rsid w:val="001119A6"/>
    <w:rsid w:val="00113BB8"/>
    <w:rsid w:val="00116340"/>
    <w:rsid w:val="00126F8C"/>
    <w:rsid w:val="00131AE4"/>
    <w:rsid w:val="00140A1F"/>
    <w:rsid w:val="001536DF"/>
    <w:rsid w:val="00163C69"/>
    <w:rsid w:val="00175848"/>
    <w:rsid w:val="0017652B"/>
    <w:rsid w:val="00183394"/>
    <w:rsid w:val="00183AEB"/>
    <w:rsid w:val="00183F35"/>
    <w:rsid w:val="00191D60"/>
    <w:rsid w:val="00195320"/>
    <w:rsid w:val="00196AAA"/>
    <w:rsid w:val="001B174A"/>
    <w:rsid w:val="001C3216"/>
    <w:rsid w:val="001C3F14"/>
    <w:rsid w:val="001D21B4"/>
    <w:rsid w:val="001D31BB"/>
    <w:rsid w:val="001F32AA"/>
    <w:rsid w:val="001F3B04"/>
    <w:rsid w:val="001F7CB8"/>
    <w:rsid w:val="00201FEA"/>
    <w:rsid w:val="00210286"/>
    <w:rsid w:val="00215440"/>
    <w:rsid w:val="0022318E"/>
    <w:rsid w:val="00240EAB"/>
    <w:rsid w:val="002431E4"/>
    <w:rsid w:val="00251725"/>
    <w:rsid w:val="00260BF7"/>
    <w:rsid w:val="002730E9"/>
    <w:rsid w:val="00277AD1"/>
    <w:rsid w:val="00277E52"/>
    <w:rsid w:val="00283603"/>
    <w:rsid w:val="00295761"/>
    <w:rsid w:val="0029672C"/>
    <w:rsid w:val="00297141"/>
    <w:rsid w:val="002A4C07"/>
    <w:rsid w:val="002A4EF2"/>
    <w:rsid w:val="002A790E"/>
    <w:rsid w:val="002C6F5C"/>
    <w:rsid w:val="002D7FBB"/>
    <w:rsid w:val="002E2FA0"/>
    <w:rsid w:val="002F5845"/>
    <w:rsid w:val="00314360"/>
    <w:rsid w:val="00354B85"/>
    <w:rsid w:val="003807AB"/>
    <w:rsid w:val="00381DA5"/>
    <w:rsid w:val="0038489C"/>
    <w:rsid w:val="00393D63"/>
    <w:rsid w:val="00394A95"/>
    <w:rsid w:val="003A3BB9"/>
    <w:rsid w:val="003A4300"/>
    <w:rsid w:val="003B3177"/>
    <w:rsid w:val="003B3BC1"/>
    <w:rsid w:val="003C1D10"/>
    <w:rsid w:val="003C5656"/>
    <w:rsid w:val="003E7FD5"/>
    <w:rsid w:val="003F0637"/>
    <w:rsid w:val="00400DC2"/>
    <w:rsid w:val="00433C41"/>
    <w:rsid w:val="0044081D"/>
    <w:rsid w:val="00443731"/>
    <w:rsid w:val="004753F4"/>
    <w:rsid w:val="00493AB4"/>
    <w:rsid w:val="004B481C"/>
    <w:rsid w:val="004C4EB8"/>
    <w:rsid w:val="005003FE"/>
    <w:rsid w:val="00517959"/>
    <w:rsid w:val="00523B0C"/>
    <w:rsid w:val="00524A61"/>
    <w:rsid w:val="005342CB"/>
    <w:rsid w:val="005432D2"/>
    <w:rsid w:val="0054736C"/>
    <w:rsid w:val="005547A2"/>
    <w:rsid w:val="00560CA6"/>
    <w:rsid w:val="00564579"/>
    <w:rsid w:val="005673E5"/>
    <w:rsid w:val="005907ED"/>
    <w:rsid w:val="00593B9D"/>
    <w:rsid w:val="0059612D"/>
    <w:rsid w:val="005A09BA"/>
    <w:rsid w:val="005B6B15"/>
    <w:rsid w:val="005C0971"/>
    <w:rsid w:val="005D6D3F"/>
    <w:rsid w:val="00600C1D"/>
    <w:rsid w:val="006118E3"/>
    <w:rsid w:val="006134BE"/>
    <w:rsid w:val="00622202"/>
    <w:rsid w:val="00644416"/>
    <w:rsid w:val="006512D3"/>
    <w:rsid w:val="006571F1"/>
    <w:rsid w:val="00660022"/>
    <w:rsid w:val="00667864"/>
    <w:rsid w:val="00673B2D"/>
    <w:rsid w:val="00676392"/>
    <w:rsid w:val="00681EF0"/>
    <w:rsid w:val="00686A3E"/>
    <w:rsid w:val="00687787"/>
    <w:rsid w:val="0069142D"/>
    <w:rsid w:val="006925E5"/>
    <w:rsid w:val="006A44A1"/>
    <w:rsid w:val="006C62B8"/>
    <w:rsid w:val="006E79DB"/>
    <w:rsid w:val="00700924"/>
    <w:rsid w:val="00701423"/>
    <w:rsid w:val="00712C2E"/>
    <w:rsid w:val="007174D4"/>
    <w:rsid w:val="00722F8B"/>
    <w:rsid w:val="007256B9"/>
    <w:rsid w:val="0073713E"/>
    <w:rsid w:val="00752D05"/>
    <w:rsid w:val="00753D62"/>
    <w:rsid w:val="00756752"/>
    <w:rsid w:val="0076071E"/>
    <w:rsid w:val="00790305"/>
    <w:rsid w:val="007918F0"/>
    <w:rsid w:val="007A132F"/>
    <w:rsid w:val="007B7AE1"/>
    <w:rsid w:val="007C1F99"/>
    <w:rsid w:val="007E1F66"/>
    <w:rsid w:val="007E30B3"/>
    <w:rsid w:val="007E7FFE"/>
    <w:rsid w:val="00804982"/>
    <w:rsid w:val="00804D1A"/>
    <w:rsid w:val="0081634C"/>
    <w:rsid w:val="008354B4"/>
    <w:rsid w:val="008536F1"/>
    <w:rsid w:val="008541A8"/>
    <w:rsid w:val="00862118"/>
    <w:rsid w:val="0086552D"/>
    <w:rsid w:val="00866733"/>
    <w:rsid w:val="00866B44"/>
    <w:rsid w:val="00866E16"/>
    <w:rsid w:val="00872B32"/>
    <w:rsid w:val="00894913"/>
    <w:rsid w:val="008B053C"/>
    <w:rsid w:val="008B08AB"/>
    <w:rsid w:val="008B3B0D"/>
    <w:rsid w:val="008D40F6"/>
    <w:rsid w:val="00900AA7"/>
    <w:rsid w:val="00905438"/>
    <w:rsid w:val="0093021A"/>
    <w:rsid w:val="00932A3E"/>
    <w:rsid w:val="009420DA"/>
    <w:rsid w:val="00944378"/>
    <w:rsid w:val="009875DC"/>
    <w:rsid w:val="00997843"/>
    <w:rsid w:val="009B24AD"/>
    <w:rsid w:val="009B62EB"/>
    <w:rsid w:val="009C228B"/>
    <w:rsid w:val="009C6579"/>
    <w:rsid w:val="009D20AD"/>
    <w:rsid w:val="009E062C"/>
    <w:rsid w:val="009E06A7"/>
    <w:rsid w:val="00A000E4"/>
    <w:rsid w:val="00A01787"/>
    <w:rsid w:val="00A017FA"/>
    <w:rsid w:val="00A01F7E"/>
    <w:rsid w:val="00A04C49"/>
    <w:rsid w:val="00A05AF4"/>
    <w:rsid w:val="00A14E23"/>
    <w:rsid w:val="00A423D9"/>
    <w:rsid w:val="00A62768"/>
    <w:rsid w:val="00A740DE"/>
    <w:rsid w:val="00AB00F2"/>
    <w:rsid w:val="00AD43FC"/>
    <w:rsid w:val="00AE1C6A"/>
    <w:rsid w:val="00AE2A4A"/>
    <w:rsid w:val="00AF3808"/>
    <w:rsid w:val="00AF39A4"/>
    <w:rsid w:val="00B0663A"/>
    <w:rsid w:val="00B16FC3"/>
    <w:rsid w:val="00B178BE"/>
    <w:rsid w:val="00B2152E"/>
    <w:rsid w:val="00B226A6"/>
    <w:rsid w:val="00B2287F"/>
    <w:rsid w:val="00B51222"/>
    <w:rsid w:val="00B71457"/>
    <w:rsid w:val="00B71F65"/>
    <w:rsid w:val="00B7351F"/>
    <w:rsid w:val="00B95A0A"/>
    <w:rsid w:val="00BD334C"/>
    <w:rsid w:val="00BF591A"/>
    <w:rsid w:val="00C2127A"/>
    <w:rsid w:val="00C231FB"/>
    <w:rsid w:val="00C61649"/>
    <w:rsid w:val="00C805B3"/>
    <w:rsid w:val="00C81C2E"/>
    <w:rsid w:val="00CA5501"/>
    <w:rsid w:val="00CB57DA"/>
    <w:rsid w:val="00CC7E86"/>
    <w:rsid w:val="00CE11A7"/>
    <w:rsid w:val="00D20888"/>
    <w:rsid w:val="00D40D26"/>
    <w:rsid w:val="00D5070C"/>
    <w:rsid w:val="00D51132"/>
    <w:rsid w:val="00D628A3"/>
    <w:rsid w:val="00D73742"/>
    <w:rsid w:val="00D819B5"/>
    <w:rsid w:val="00D852B1"/>
    <w:rsid w:val="00DB2563"/>
    <w:rsid w:val="00DC2FA3"/>
    <w:rsid w:val="00DD16AE"/>
    <w:rsid w:val="00DD375C"/>
    <w:rsid w:val="00E24C9A"/>
    <w:rsid w:val="00E26EE2"/>
    <w:rsid w:val="00E348C3"/>
    <w:rsid w:val="00E474A4"/>
    <w:rsid w:val="00E50E12"/>
    <w:rsid w:val="00E66A96"/>
    <w:rsid w:val="00E97304"/>
    <w:rsid w:val="00EA50E9"/>
    <w:rsid w:val="00EB30F4"/>
    <w:rsid w:val="00EC064A"/>
    <w:rsid w:val="00EC18FD"/>
    <w:rsid w:val="00ED755E"/>
    <w:rsid w:val="00EF32BA"/>
    <w:rsid w:val="00EF357C"/>
    <w:rsid w:val="00F2025F"/>
    <w:rsid w:val="00F23A8E"/>
    <w:rsid w:val="00F327EE"/>
    <w:rsid w:val="00F33D6E"/>
    <w:rsid w:val="00F40509"/>
    <w:rsid w:val="00F42C0E"/>
    <w:rsid w:val="00F46C0A"/>
    <w:rsid w:val="00F65E58"/>
    <w:rsid w:val="00F920CB"/>
    <w:rsid w:val="00FA20E0"/>
    <w:rsid w:val="00FB0895"/>
    <w:rsid w:val="00FB2F53"/>
    <w:rsid w:val="00FC373E"/>
    <w:rsid w:val="00FE1697"/>
    <w:rsid w:val="00FF527A"/>
    <w:rsid w:val="00FF71F1"/>
    <w:rsid w:val="2D74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37"/>
    <w:qFormat/>
    <w:uiPriority w:val="9"/>
    <w:pPr>
      <w:keepNext/>
      <w:keepLines/>
      <w:outlineLvl w:val="0"/>
    </w:pPr>
    <w:rPr>
      <w:rFonts w:eastAsia="黑体"/>
      <w:bCs/>
      <w:kern w:val="44"/>
      <w:szCs w:val="44"/>
    </w:rPr>
  </w:style>
  <w:style w:type="paragraph" w:styleId="3">
    <w:name w:val="heading 2"/>
    <w:basedOn w:val="1"/>
    <w:next w:val="1"/>
    <w:link w:val="31"/>
    <w:unhideWhenUsed/>
    <w:qFormat/>
    <w:uiPriority w:val="9"/>
    <w:pPr>
      <w:keepNext/>
      <w:keepLines/>
      <w:snapToGrid w:val="0"/>
      <w:outlineLvl w:val="1"/>
    </w:pPr>
    <w:rPr>
      <w:rFonts w:ascii="宋体" w:hAnsi="宋体" w:eastAsia="楷体_GB2312" w:cstheme="majorBidi"/>
      <w:bCs/>
      <w:szCs w:val="32"/>
    </w:rPr>
  </w:style>
  <w:style w:type="paragraph" w:styleId="4">
    <w:name w:val="heading 3"/>
    <w:basedOn w:val="1"/>
    <w:next w:val="1"/>
    <w:link w:val="38"/>
    <w:unhideWhenUsed/>
    <w:qFormat/>
    <w:uiPriority w:val="9"/>
    <w:pPr>
      <w:keepNext/>
      <w:keepLines/>
      <w:outlineLvl w:val="2"/>
    </w:pPr>
    <w:rPr>
      <w:b/>
      <w:bCs/>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28"/>
    <w:semiHidden/>
    <w:unhideWhenUsed/>
    <w:uiPriority w:val="99"/>
    <w:pPr>
      <w:jc w:val="left"/>
    </w:pPr>
  </w:style>
  <w:style w:type="paragraph" w:styleId="6">
    <w:name w:val="Body Text"/>
    <w:basedOn w:val="1"/>
    <w:link w:val="34"/>
    <w:unhideWhenUsed/>
    <w:uiPriority w:val="0"/>
    <w:pPr>
      <w:spacing w:after="120"/>
    </w:pPr>
    <w:rPr>
      <w:rFonts w:asciiTheme="minorHAnsi" w:hAnsiTheme="minorHAnsi" w:eastAsiaTheme="minorEastAsia" w:cstheme="minorBidi"/>
    </w:rPr>
  </w:style>
  <w:style w:type="paragraph" w:styleId="7">
    <w:name w:val="toc 3"/>
    <w:basedOn w:val="1"/>
    <w:next w:val="1"/>
    <w:unhideWhenUsed/>
    <w:uiPriority w:val="39"/>
    <w:pPr>
      <w:ind w:left="840" w:leftChars="400"/>
    </w:pPr>
  </w:style>
  <w:style w:type="paragraph" w:styleId="8">
    <w:name w:val="footer"/>
    <w:basedOn w:val="1"/>
    <w:link w:val="32"/>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footnote text"/>
    <w:basedOn w:val="1"/>
    <w:link w:val="130"/>
    <w:semiHidden/>
    <w:unhideWhenUsed/>
    <w:uiPriority w:val="99"/>
    <w:pPr>
      <w:snapToGrid w:val="0"/>
      <w:jc w:val="left"/>
    </w:pPr>
    <w:rPr>
      <w:sz w:val="18"/>
      <w:szCs w:val="18"/>
    </w:rPr>
  </w:style>
  <w:style w:type="paragraph" w:styleId="12">
    <w:name w:val="toc 2"/>
    <w:basedOn w:val="1"/>
    <w:next w:val="1"/>
    <w:unhideWhenUsed/>
    <w:uiPriority w:val="39"/>
    <w:pPr>
      <w:ind w:left="420" w:leftChars="200"/>
    </w:pPr>
  </w:style>
  <w:style w:type="paragraph" w:styleId="13">
    <w:name w:val="annotation subject"/>
    <w:basedOn w:val="5"/>
    <w:next w:val="5"/>
    <w:link w:val="129"/>
    <w:semiHidden/>
    <w:unhideWhenUsed/>
    <w:uiPriority w:val="99"/>
    <w:rPr>
      <w:b/>
      <w:bCs/>
    </w:rPr>
  </w:style>
  <w:style w:type="table" w:styleId="15">
    <w:name w:val="Table Grid"/>
    <w:basedOn w:val="14"/>
    <w:qFormat/>
    <w:uiPriority w:val="39"/>
    <w:pPr>
      <w:spacing w:line="300" w:lineRule="exact"/>
      <w:jc w:val="center"/>
    </w:pPr>
    <w:rPr>
      <w:rFonts w:ascii="Times New Roman" w:hAnsi="Times New Roman" w:eastAsia="仿宋_GB2312"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17">
    <w:name w:val="page number"/>
    <w:basedOn w:val="16"/>
    <w:uiPriority w:val="0"/>
  </w:style>
  <w:style w:type="character" w:styleId="18">
    <w:name w:val="FollowedHyperlink"/>
    <w:basedOn w:val="16"/>
    <w:semiHidden/>
    <w:unhideWhenUsed/>
    <w:uiPriority w:val="99"/>
    <w:rPr>
      <w:color w:val="800080"/>
      <w:u w:val="single"/>
    </w:rPr>
  </w:style>
  <w:style w:type="character" w:styleId="19">
    <w:name w:val="Hyperlink"/>
    <w:basedOn w:val="16"/>
    <w:unhideWhenUsed/>
    <w:uiPriority w:val="99"/>
    <w:rPr>
      <w:color w:val="0563C1" w:themeColor="hyperlink"/>
      <w:u w:val="single"/>
      <w14:textFill>
        <w14:solidFill>
          <w14:schemeClr w14:val="hlink"/>
        </w14:solidFill>
      </w14:textFill>
    </w:rPr>
  </w:style>
  <w:style w:type="character" w:styleId="20">
    <w:name w:val="annotation reference"/>
    <w:basedOn w:val="16"/>
    <w:semiHidden/>
    <w:unhideWhenUsed/>
    <w:uiPriority w:val="99"/>
    <w:rPr>
      <w:sz w:val="21"/>
      <w:szCs w:val="21"/>
    </w:rPr>
  </w:style>
  <w:style w:type="character" w:styleId="21">
    <w:name w:val="footnote reference"/>
    <w:basedOn w:val="16"/>
    <w:semiHidden/>
    <w:unhideWhenUsed/>
    <w:uiPriority w:val="99"/>
    <w:rPr>
      <w:vertAlign w:val="superscript"/>
    </w:rPr>
  </w:style>
  <w:style w:type="paragraph" w:customStyle="1" w:styleId="22">
    <w:name w:val="一级标题"/>
    <w:basedOn w:val="1"/>
    <w:link w:val="23"/>
    <w:qFormat/>
    <w:uiPriority w:val="0"/>
    <w:pPr>
      <w:snapToGrid w:val="0"/>
      <w:outlineLvl w:val="0"/>
    </w:pPr>
    <w:rPr>
      <w:rFonts w:eastAsia="黑体" w:asciiTheme="minorHAnsi" w:hAnsiTheme="minorHAnsi" w:cstheme="minorBidi"/>
      <w:szCs w:val="22"/>
    </w:rPr>
  </w:style>
  <w:style w:type="character" w:customStyle="1" w:styleId="23">
    <w:name w:val="一级标题 字符"/>
    <w:basedOn w:val="16"/>
    <w:link w:val="22"/>
    <w:uiPriority w:val="0"/>
    <w:rPr>
      <w:rFonts w:eastAsia="黑体"/>
      <w:sz w:val="32"/>
    </w:rPr>
  </w:style>
  <w:style w:type="paragraph" w:customStyle="1" w:styleId="24">
    <w:name w:val="二级标题（一）"/>
    <w:basedOn w:val="22"/>
    <w:link w:val="25"/>
    <w:qFormat/>
    <w:uiPriority w:val="0"/>
    <w:pPr>
      <w:outlineLvl w:val="1"/>
    </w:pPr>
    <w:rPr>
      <w:rFonts w:eastAsia="仿宋"/>
    </w:rPr>
  </w:style>
  <w:style w:type="character" w:customStyle="1" w:styleId="25">
    <w:name w:val="二级标题（一） 字符"/>
    <w:basedOn w:val="23"/>
    <w:link w:val="24"/>
    <w:uiPriority w:val="0"/>
    <w:rPr>
      <w:rFonts w:eastAsia="仿宋"/>
      <w:sz w:val="28"/>
    </w:rPr>
  </w:style>
  <w:style w:type="paragraph" w:customStyle="1" w:styleId="26">
    <w:name w:val="三级标题 1"/>
    <w:basedOn w:val="24"/>
    <w:link w:val="27"/>
    <w:qFormat/>
    <w:uiPriority w:val="0"/>
    <w:pPr>
      <w:outlineLvl w:val="2"/>
    </w:pPr>
  </w:style>
  <w:style w:type="character" w:customStyle="1" w:styleId="27">
    <w:name w:val="三级标题 1 字符"/>
    <w:basedOn w:val="25"/>
    <w:link w:val="26"/>
    <w:uiPriority w:val="0"/>
    <w:rPr>
      <w:rFonts w:eastAsia="仿宋"/>
      <w:sz w:val="28"/>
    </w:rPr>
  </w:style>
  <w:style w:type="paragraph" w:customStyle="1" w:styleId="28">
    <w:name w:val="四级标题（1）"/>
    <w:basedOn w:val="26"/>
    <w:link w:val="29"/>
    <w:qFormat/>
    <w:uiPriority w:val="0"/>
    <w:pPr>
      <w:outlineLvl w:val="3"/>
    </w:pPr>
  </w:style>
  <w:style w:type="character" w:customStyle="1" w:styleId="29">
    <w:name w:val="四级标题（1） 字符"/>
    <w:basedOn w:val="27"/>
    <w:link w:val="28"/>
    <w:uiPriority w:val="0"/>
    <w:rPr>
      <w:rFonts w:eastAsia="仿宋"/>
      <w:sz w:val="28"/>
    </w:rPr>
  </w:style>
  <w:style w:type="paragraph" w:customStyle="1" w:styleId="30">
    <w:name w:val="1附件标题"/>
    <w:basedOn w:val="1"/>
    <w:qFormat/>
    <w:uiPriority w:val="5"/>
    <w:pPr>
      <w:numPr>
        <w:ilvl w:val="5"/>
        <w:numId w:val="1"/>
      </w:numPr>
      <w:tabs>
        <w:tab w:val="left" w:pos="360"/>
      </w:tabs>
      <w:snapToGrid w:val="0"/>
      <w:spacing w:after="100" w:afterLines="100"/>
      <w:outlineLvl w:val="0"/>
    </w:pPr>
    <w:rPr>
      <w:rFonts w:eastAsia="黑体"/>
      <w:b/>
      <w:kern w:val="0"/>
      <w:szCs w:val="28"/>
      <w:lang w:val="zh-CN" w:eastAsia="zh-CN"/>
    </w:rPr>
  </w:style>
  <w:style w:type="character" w:customStyle="1" w:styleId="31">
    <w:name w:val="标题 2 字符"/>
    <w:basedOn w:val="16"/>
    <w:link w:val="3"/>
    <w:qFormat/>
    <w:uiPriority w:val="9"/>
    <w:rPr>
      <w:rFonts w:ascii="宋体" w:hAnsi="宋体" w:eastAsia="楷体_GB2312" w:cstheme="majorBidi"/>
      <w:bCs/>
      <w:sz w:val="32"/>
      <w:szCs w:val="32"/>
    </w:rPr>
  </w:style>
  <w:style w:type="character" w:customStyle="1" w:styleId="32">
    <w:name w:val="页脚 字符"/>
    <w:basedOn w:val="16"/>
    <w:link w:val="8"/>
    <w:uiPriority w:val="99"/>
    <w:rPr>
      <w:rFonts w:ascii="Times New Roman" w:hAnsi="Times New Roman" w:eastAsia="宋体" w:cs="Times New Roman"/>
      <w:sz w:val="18"/>
      <w:szCs w:val="18"/>
    </w:rPr>
  </w:style>
  <w:style w:type="character" w:customStyle="1" w:styleId="33">
    <w:name w:val="页眉 字符"/>
    <w:basedOn w:val="16"/>
    <w:link w:val="9"/>
    <w:qFormat/>
    <w:uiPriority w:val="99"/>
    <w:rPr>
      <w:rFonts w:ascii="Times New Roman" w:hAnsi="Times New Roman" w:eastAsia="宋体" w:cs="Times New Roman"/>
      <w:sz w:val="18"/>
      <w:szCs w:val="18"/>
    </w:rPr>
  </w:style>
  <w:style w:type="character" w:customStyle="1" w:styleId="34">
    <w:name w:val="正文文本 字符"/>
    <w:basedOn w:val="16"/>
    <w:link w:val="6"/>
    <w:qFormat/>
    <w:uiPriority w:val="0"/>
    <w:rPr>
      <w:szCs w:val="24"/>
    </w:rPr>
  </w:style>
  <w:style w:type="paragraph" w:customStyle="1" w:styleId="35">
    <w:name w:val="报告正文"/>
    <w:basedOn w:val="1"/>
    <w:link w:val="36"/>
    <w:qFormat/>
    <w:uiPriority w:val="3"/>
    <w:pPr>
      <w:adjustRightInd w:val="0"/>
      <w:snapToGrid w:val="0"/>
    </w:pPr>
    <w:rPr>
      <w:rFonts w:eastAsia="仿宋_GB2312"/>
      <w:sz w:val="28"/>
      <w:szCs w:val="21"/>
      <w:lang w:val="zh-CN"/>
    </w:rPr>
  </w:style>
  <w:style w:type="character" w:customStyle="1" w:styleId="36">
    <w:name w:val="报告正文 字符"/>
    <w:link w:val="35"/>
    <w:qFormat/>
    <w:uiPriority w:val="3"/>
    <w:rPr>
      <w:rFonts w:ascii="Times New Roman" w:hAnsi="Times New Roman" w:eastAsia="仿宋_GB2312" w:cs="Times New Roman"/>
      <w:sz w:val="28"/>
      <w:szCs w:val="21"/>
      <w:lang w:val="zh-CN"/>
    </w:rPr>
  </w:style>
  <w:style w:type="character" w:customStyle="1" w:styleId="37">
    <w:name w:val="标题 1 字符"/>
    <w:basedOn w:val="16"/>
    <w:link w:val="2"/>
    <w:uiPriority w:val="9"/>
    <w:rPr>
      <w:rFonts w:ascii="Times New Roman" w:hAnsi="Times New Roman" w:eastAsia="黑体" w:cs="Times New Roman"/>
      <w:bCs/>
      <w:kern w:val="44"/>
      <w:sz w:val="32"/>
      <w:szCs w:val="44"/>
    </w:rPr>
  </w:style>
  <w:style w:type="character" w:customStyle="1" w:styleId="38">
    <w:name w:val="标题 3 字符"/>
    <w:basedOn w:val="16"/>
    <w:link w:val="4"/>
    <w:uiPriority w:val="9"/>
    <w:rPr>
      <w:rFonts w:ascii="Times New Roman" w:hAnsi="Times New Roman" w:eastAsia="仿宋" w:cs="Times New Roman"/>
      <w:b/>
      <w:bCs/>
      <w:sz w:val="32"/>
      <w:szCs w:val="32"/>
    </w:rPr>
  </w:style>
  <w:style w:type="paragraph" w:customStyle="1" w:styleId="39">
    <w:name w:val="图表名"/>
    <w:basedOn w:val="1"/>
    <w:link w:val="40"/>
    <w:qFormat/>
    <w:uiPriority w:val="4"/>
    <w:pPr>
      <w:spacing w:before="60" w:after="60" w:line="240" w:lineRule="auto"/>
      <w:ind w:firstLine="0" w:firstLineChars="0"/>
      <w:jc w:val="center"/>
    </w:pPr>
    <w:rPr>
      <w:rFonts w:eastAsia="仿宋_GB2312"/>
      <w:b/>
      <w:kern w:val="0"/>
      <w:sz w:val="24"/>
      <w:szCs w:val="28"/>
    </w:rPr>
  </w:style>
  <w:style w:type="character" w:customStyle="1" w:styleId="40">
    <w:name w:val="图表名 字符"/>
    <w:link w:val="39"/>
    <w:qFormat/>
    <w:uiPriority w:val="4"/>
    <w:rPr>
      <w:rFonts w:ascii="Times New Roman" w:hAnsi="Times New Roman" w:eastAsia="仿宋_GB2312" w:cs="Times New Roman"/>
      <w:b/>
      <w:kern w:val="0"/>
      <w:sz w:val="24"/>
      <w:szCs w:val="28"/>
    </w:rPr>
  </w:style>
  <w:style w:type="paragraph" w:customStyle="1" w:styleId="41">
    <w:name w:val="标题3"/>
    <w:basedOn w:val="24"/>
    <w:link w:val="42"/>
    <w:qFormat/>
    <w:uiPriority w:val="0"/>
    <w:pPr>
      <w:numPr>
        <w:ilvl w:val="0"/>
        <w:numId w:val="2"/>
      </w:numPr>
      <w:adjustRightInd w:val="0"/>
      <w:ind w:firstLine="0" w:firstLineChars="0"/>
      <w:jc w:val="left"/>
      <w:outlineLvl w:val="2"/>
    </w:pPr>
    <w:rPr>
      <w:rFonts w:ascii="仿宋_GB2312" w:hAnsi="仿宋_GB2312" w:eastAsia="仿宋_GB2312"/>
      <w:b/>
      <w:sz w:val="28"/>
      <w:szCs w:val="24"/>
    </w:rPr>
  </w:style>
  <w:style w:type="character" w:customStyle="1" w:styleId="42">
    <w:name w:val="标题3 字符"/>
    <w:basedOn w:val="25"/>
    <w:link w:val="41"/>
    <w:qFormat/>
    <w:uiPriority w:val="0"/>
    <w:rPr>
      <w:rFonts w:ascii="仿宋_GB2312" w:hAnsi="仿宋_GB2312" w:eastAsia="仿宋_GB2312"/>
      <w:b/>
      <w:sz w:val="28"/>
      <w:szCs w:val="24"/>
    </w:rPr>
  </w:style>
  <w:style w:type="paragraph" w:customStyle="1" w:styleId="43">
    <w:name w:val="报告表文字"/>
    <w:basedOn w:val="35"/>
    <w:qFormat/>
    <w:uiPriority w:val="5"/>
    <w:pPr>
      <w:widowControl/>
      <w:pBdr>
        <w:between w:val="single" w:color="auto" w:sz="4" w:space="1"/>
      </w:pBdr>
      <w:spacing w:line="320" w:lineRule="exact"/>
      <w:ind w:firstLine="0" w:firstLineChars="0"/>
      <w:jc w:val="center"/>
    </w:pPr>
    <w:rPr>
      <w:rFonts w:cs="宋体"/>
      <w:bCs/>
      <w:color w:val="000000"/>
      <w:sz w:val="21"/>
      <w:szCs w:val="22"/>
    </w:rPr>
  </w:style>
  <w:style w:type="paragraph" w:customStyle="1" w:styleId="44">
    <w:name w:val="TOC Heading"/>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paragraph" w:customStyle="1" w:styleId="45">
    <w:name w:val="报告表格文字"/>
    <w:basedOn w:val="1"/>
    <w:qFormat/>
    <w:uiPriority w:val="0"/>
    <w:pPr>
      <w:adjustRightInd w:val="0"/>
      <w:snapToGrid w:val="0"/>
      <w:spacing w:line="240" w:lineRule="auto"/>
      <w:ind w:firstLine="0" w:firstLineChars="0"/>
      <w:jc w:val="center"/>
    </w:pPr>
    <w:rPr>
      <w:rFonts w:eastAsia="仿宋_GB2312" w:cs="宋体"/>
      <w:sz w:val="21"/>
    </w:rPr>
  </w:style>
  <w:style w:type="paragraph" w:customStyle="1" w:styleId="46">
    <w:name w:val="msonormal"/>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47">
    <w:name w:val="font5"/>
    <w:basedOn w:val="1"/>
    <w:uiPriority w:val="0"/>
    <w:pPr>
      <w:widowControl/>
      <w:spacing w:before="100" w:beforeAutospacing="1" w:after="100" w:afterAutospacing="1" w:line="240" w:lineRule="auto"/>
      <w:ind w:firstLine="0" w:firstLineChars="0"/>
      <w:jc w:val="left"/>
    </w:pPr>
    <w:rPr>
      <w:rFonts w:ascii="宋体" w:hAnsi="宋体" w:eastAsia="宋体" w:cs="宋体"/>
      <w:color w:val="181818"/>
      <w:kern w:val="0"/>
      <w:sz w:val="22"/>
      <w:szCs w:val="22"/>
    </w:rPr>
  </w:style>
  <w:style w:type="paragraph" w:customStyle="1" w:styleId="48">
    <w:name w:val="font6"/>
    <w:basedOn w:val="1"/>
    <w:uiPriority w:val="0"/>
    <w:pPr>
      <w:widowControl/>
      <w:spacing w:before="100" w:beforeAutospacing="1" w:after="100" w:afterAutospacing="1" w:line="240" w:lineRule="auto"/>
      <w:ind w:firstLine="0" w:firstLineChars="0"/>
      <w:jc w:val="left"/>
    </w:pPr>
    <w:rPr>
      <w:rFonts w:ascii="宋体" w:hAnsi="宋体" w:eastAsia="宋体" w:cs="宋体"/>
      <w:color w:val="181818"/>
      <w:kern w:val="0"/>
      <w:sz w:val="21"/>
      <w:szCs w:val="21"/>
    </w:rPr>
  </w:style>
  <w:style w:type="paragraph" w:customStyle="1" w:styleId="49">
    <w:name w:val="font7"/>
    <w:basedOn w:val="1"/>
    <w:uiPriority w:val="0"/>
    <w:pPr>
      <w:widowControl/>
      <w:spacing w:before="100" w:beforeAutospacing="1" w:after="100" w:afterAutospacing="1" w:line="240" w:lineRule="auto"/>
      <w:ind w:firstLine="0" w:firstLineChars="0"/>
      <w:jc w:val="left"/>
    </w:pPr>
    <w:rPr>
      <w:rFonts w:ascii="宋体" w:hAnsi="宋体" w:eastAsia="宋体" w:cs="宋体"/>
      <w:color w:val="2B2A2A"/>
      <w:kern w:val="0"/>
      <w:sz w:val="21"/>
      <w:szCs w:val="21"/>
    </w:rPr>
  </w:style>
  <w:style w:type="paragraph" w:customStyle="1" w:styleId="50">
    <w:name w:val="font8"/>
    <w:basedOn w:val="1"/>
    <w:uiPriority w:val="0"/>
    <w:pPr>
      <w:widowControl/>
      <w:spacing w:before="100" w:beforeAutospacing="1" w:after="100" w:afterAutospacing="1" w:line="240" w:lineRule="auto"/>
      <w:ind w:firstLine="0" w:firstLineChars="0"/>
      <w:jc w:val="left"/>
    </w:pPr>
    <w:rPr>
      <w:rFonts w:ascii="宋体" w:hAnsi="宋体" w:eastAsia="宋体" w:cs="宋体"/>
      <w:color w:val="2B2A2A"/>
      <w:kern w:val="0"/>
      <w:sz w:val="19"/>
      <w:szCs w:val="19"/>
    </w:rPr>
  </w:style>
  <w:style w:type="paragraph" w:customStyle="1" w:styleId="51">
    <w:name w:val="font9"/>
    <w:basedOn w:val="1"/>
    <w:uiPriority w:val="0"/>
    <w:pPr>
      <w:widowControl/>
      <w:spacing w:before="100" w:beforeAutospacing="1" w:after="100" w:afterAutospacing="1" w:line="240" w:lineRule="auto"/>
      <w:ind w:firstLine="0" w:firstLineChars="0"/>
      <w:jc w:val="left"/>
    </w:pPr>
    <w:rPr>
      <w:rFonts w:eastAsia="宋体"/>
      <w:color w:val="181818"/>
      <w:kern w:val="0"/>
      <w:sz w:val="23"/>
      <w:szCs w:val="23"/>
    </w:rPr>
  </w:style>
  <w:style w:type="paragraph" w:customStyle="1" w:styleId="52">
    <w:name w:val="font10"/>
    <w:basedOn w:val="1"/>
    <w:uiPriority w:val="0"/>
    <w:pPr>
      <w:widowControl/>
      <w:spacing w:before="100" w:beforeAutospacing="1" w:after="100" w:afterAutospacing="1" w:line="240" w:lineRule="auto"/>
      <w:ind w:firstLine="0" w:firstLineChars="0"/>
      <w:jc w:val="left"/>
    </w:pPr>
    <w:rPr>
      <w:rFonts w:eastAsia="宋体"/>
      <w:color w:val="2B2A2A"/>
      <w:kern w:val="0"/>
      <w:sz w:val="23"/>
      <w:szCs w:val="23"/>
    </w:rPr>
  </w:style>
  <w:style w:type="paragraph" w:customStyle="1" w:styleId="53">
    <w:name w:val="font11"/>
    <w:basedOn w:val="1"/>
    <w:uiPriority w:val="0"/>
    <w:pPr>
      <w:widowControl/>
      <w:spacing w:before="100" w:beforeAutospacing="1" w:after="100" w:afterAutospacing="1" w:line="240" w:lineRule="auto"/>
      <w:ind w:firstLine="0" w:firstLineChars="0"/>
      <w:jc w:val="left"/>
    </w:pPr>
    <w:rPr>
      <w:rFonts w:ascii="宋体" w:hAnsi="宋体" w:eastAsia="宋体" w:cs="宋体"/>
      <w:color w:val="424242"/>
      <w:kern w:val="0"/>
      <w:sz w:val="21"/>
      <w:szCs w:val="21"/>
    </w:rPr>
  </w:style>
  <w:style w:type="paragraph" w:customStyle="1" w:styleId="54">
    <w:name w:val="font12"/>
    <w:basedOn w:val="1"/>
    <w:uiPriority w:val="0"/>
    <w:pPr>
      <w:widowControl/>
      <w:spacing w:before="100" w:beforeAutospacing="1" w:after="100" w:afterAutospacing="1" w:line="240" w:lineRule="auto"/>
      <w:ind w:firstLine="0" w:firstLineChars="0"/>
      <w:jc w:val="left"/>
    </w:pPr>
    <w:rPr>
      <w:rFonts w:eastAsia="宋体"/>
      <w:color w:val="424242"/>
      <w:kern w:val="0"/>
      <w:sz w:val="23"/>
      <w:szCs w:val="23"/>
    </w:rPr>
  </w:style>
  <w:style w:type="paragraph" w:customStyle="1" w:styleId="55">
    <w:name w:val="font13"/>
    <w:basedOn w:val="1"/>
    <w:uiPriority w:val="0"/>
    <w:pPr>
      <w:widowControl/>
      <w:spacing w:before="100" w:beforeAutospacing="1" w:after="100" w:afterAutospacing="1" w:line="240" w:lineRule="auto"/>
      <w:ind w:firstLine="0" w:firstLineChars="0"/>
      <w:jc w:val="left"/>
    </w:pPr>
    <w:rPr>
      <w:rFonts w:ascii="宋体" w:hAnsi="宋体" w:eastAsia="宋体" w:cs="宋体"/>
      <w:color w:val="2B2A2A"/>
      <w:kern w:val="0"/>
      <w:sz w:val="22"/>
      <w:szCs w:val="22"/>
    </w:rPr>
  </w:style>
  <w:style w:type="paragraph" w:customStyle="1" w:styleId="56">
    <w:name w:val="font14"/>
    <w:basedOn w:val="1"/>
    <w:uiPriority w:val="0"/>
    <w:pPr>
      <w:widowControl/>
      <w:spacing w:before="100" w:beforeAutospacing="1" w:after="100" w:afterAutospacing="1" w:line="240" w:lineRule="auto"/>
      <w:ind w:firstLine="0" w:firstLineChars="0"/>
      <w:jc w:val="left"/>
    </w:pPr>
    <w:rPr>
      <w:rFonts w:ascii="宋体" w:hAnsi="宋体" w:eastAsia="宋体" w:cs="宋体"/>
      <w:color w:val="181818"/>
      <w:kern w:val="0"/>
      <w:sz w:val="19"/>
      <w:szCs w:val="19"/>
    </w:rPr>
  </w:style>
  <w:style w:type="paragraph" w:customStyle="1" w:styleId="57">
    <w:name w:val="font15"/>
    <w:basedOn w:val="1"/>
    <w:uiPriority w:val="0"/>
    <w:pPr>
      <w:widowControl/>
      <w:spacing w:before="100" w:beforeAutospacing="1" w:after="100" w:afterAutospacing="1" w:line="240" w:lineRule="auto"/>
      <w:ind w:firstLine="0" w:firstLineChars="0"/>
      <w:jc w:val="left"/>
    </w:pPr>
    <w:rPr>
      <w:rFonts w:ascii="宋体" w:hAnsi="宋体" w:eastAsia="宋体" w:cs="宋体"/>
      <w:color w:val="424242"/>
      <w:kern w:val="0"/>
      <w:sz w:val="19"/>
      <w:szCs w:val="19"/>
    </w:rPr>
  </w:style>
  <w:style w:type="paragraph" w:customStyle="1" w:styleId="58">
    <w:name w:val="font16"/>
    <w:basedOn w:val="1"/>
    <w:uiPriority w:val="0"/>
    <w:pPr>
      <w:widowControl/>
      <w:spacing w:before="100" w:beforeAutospacing="1" w:after="100" w:afterAutospacing="1" w:line="240" w:lineRule="auto"/>
      <w:ind w:firstLine="0" w:firstLineChars="0"/>
      <w:jc w:val="left"/>
    </w:pPr>
    <w:rPr>
      <w:rFonts w:ascii="宋体" w:hAnsi="宋体" w:eastAsia="宋体" w:cs="宋体"/>
      <w:color w:val="2B2A2A"/>
      <w:kern w:val="0"/>
      <w:sz w:val="24"/>
    </w:rPr>
  </w:style>
  <w:style w:type="paragraph" w:customStyle="1" w:styleId="59">
    <w:name w:val="font17"/>
    <w:basedOn w:val="1"/>
    <w:uiPriority w:val="0"/>
    <w:pPr>
      <w:widowControl/>
      <w:spacing w:before="100" w:beforeAutospacing="1" w:after="100" w:afterAutospacing="1" w:line="240" w:lineRule="auto"/>
      <w:ind w:firstLine="0" w:firstLineChars="0"/>
      <w:jc w:val="left"/>
    </w:pPr>
    <w:rPr>
      <w:rFonts w:ascii="宋体" w:hAnsi="宋体" w:eastAsia="宋体" w:cs="宋体"/>
      <w:color w:val="282828"/>
      <w:kern w:val="0"/>
      <w:sz w:val="21"/>
      <w:szCs w:val="21"/>
    </w:rPr>
  </w:style>
  <w:style w:type="paragraph" w:customStyle="1" w:styleId="60">
    <w:name w:val="font18"/>
    <w:basedOn w:val="1"/>
    <w:uiPriority w:val="0"/>
    <w:pPr>
      <w:widowControl/>
      <w:spacing w:before="100" w:beforeAutospacing="1" w:after="100" w:afterAutospacing="1" w:line="240" w:lineRule="auto"/>
      <w:ind w:firstLine="0" w:firstLineChars="0"/>
      <w:jc w:val="left"/>
    </w:pPr>
    <w:rPr>
      <w:rFonts w:ascii="宋体" w:hAnsi="宋体" w:eastAsia="宋体" w:cs="宋体"/>
      <w:color w:val="282828"/>
      <w:kern w:val="0"/>
      <w:sz w:val="18"/>
      <w:szCs w:val="18"/>
    </w:rPr>
  </w:style>
  <w:style w:type="paragraph" w:customStyle="1" w:styleId="61">
    <w:name w:val="font19"/>
    <w:basedOn w:val="1"/>
    <w:uiPriority w:val="0"/>
    <w:pPr>
      <w:widowControl/>
      <w:spacing w:before="100" w:beforeAutospacing="1" w:after="100" w:afterAutospacing="1" w:line="240" w:lineRule="auto"/>
      <w:ind w:firstLine="0" w:firstLineChars="0"/>
      <w:jc w:val="left"/>
    </w:pPr>
    <w:rPr>
      <w:rFonts w:eastAsia="宋体"/>
      <w:color w:val="161616"/>
      <w:kern w:val="0"/>
      <w:sz w:val="23"/>
      <w:szCs w:val="23"/>
    </w:rPr>
  </w:style>
  <w:style w:type="paragraph" w:customStyle="1" w:styleId="62">
    <w:name w:val="font20"/>
    <w:basedOn w:val="1"/>
    <w:uiPriority w:val="0"/>
    <w:pPr>
      <w:widowControl/>
      <w:spacing w:before="100" w:beforeAutospacing="1" w:after="100" w:afterAutospacing="1" w:line="240" w:lineRule="auto"/>
      <w:ind w:firstLine="0" w:firstLineChars="0"/>
      <w:jc w:val="left"/>
    </w:pPr>
    <w:rPr>
      <w:rFonts w:eastAsia="宋体"/>
      <w:color w:val="282828"/>
      <w:kern w:val="0"/>
      <w:sz w:val="23"/>
      <w:szCs w:val="23"/>
    </w:rPr>
  </w:style>
  <w:style w:type="paragraph" w:customStyle="1" w:styleId="63">
    <w:name w:val="font21"/>
    <w:basedOn w:val="1"/>
    <w:uiPriority w:val="0"/>
    <w:pPr>
      <w:widowControl/>
      <w:spacing w:before="100" w:beforeAutospacing="1" w:after="100" w:afterAutospacing="1" w:line="240" w:lineRule="auto"/>
      <w:ind w:firstLine="0" w:firstLineChars="0"/>
      <w:jc w:val="left"/>
    </w:pPr>
    <w:rPr>
      <w:rFonts w:eastAsia="宋体"/>
      <w:color w:val="4B4B4B"/>
      <w:kern w:val="0"/>
      <w:sz w:val="23"/>
      <w:szCs w:val="23"/>
    </w:rPr>
  </w:style>
  <w:style w:type="paragraph" w:customStyle="1" w:styleId="64">
    <w:name w:val="font22"/>
    <w:basedOn w:val="1"/>
    <w:uiPriority w:val="0"/>
    <w:pPr>
      <w:widowControl/>
      <w:spacing w:before="100" w:beforeAutospacing="1" w:after="100" w:afterAutospacing="1" w:line="240" w:lineRule="auto"/>
      <w:ind w:firstLine="0" w:firstLineChars="0"/>
      <w:jc w:val="left"/>
    </w:pPr>
    <w:rPr>
      <w:rFonts w:eastAsia="宋体"/>
      <w:color w:val="4B3124"/>
      <w:kern w:val="0"/>
      <w:sz w:val="23"/>
      <w:szCs w:val="23"/>
    </w:rPr>
  </w:style>
  <w:style w:type="paragraph" w:customStyle="1" w:styleId="65">
    <w:name w:val="font23"/>
    <w:basedOn w:val="1"/>
    <w:uiPriority w:val="0"/>
    <w:pPr>
      <w:widowControl/>
      <w:spacing w:before="100" w:beforeAutospacing="1" w:after="100" w:afterAutospacing="1" w:line="240" w:lineRule="auto"/>
      <w:ind w:firstLine="0" w:firstLineChars="0"/>
      <w:jc w:val="left"/>
    </w:pPr>
    <w:rPr>
      <w:rFonts w:ascii="宋体" w:hAnsi="宋体" w:eastAsia="宋体" w:cs="宋体"/>
      <w:color w:val="282828"/>
      <w:kern w:val="0"/>
      <w:sz w:val="23"/>
      <w:szCs w:val="23"/>
    </w:rPr>
  </w:style>
  <w:style w:type="paragraph" w:customStyle="1" w:styleId="66">
    <w:name w:val="font24"/>
    <w:basedOn w:val="1"/>
    <w:uiPriority w:val="0"/>
    <w:pPr>
      <w:widowControl/>
      <w:spacing w:before="100" w:beforeAutospacing="1" w:after="100" w:afterAutospacing="1" w:line="240" w:lineRule="auto"/>
      <w:ind w:firstLine="0" w:firstLineChars="0"/>
      <w:jc w:val="left"/>
    </w:pPr>
    <w:rPr>
      <w:rFonts w:ascii="宋体" w:hAnsi="宋体" w:eastAsia="宋体" w:cs="宋体"/>
      <w:color w:val="161616"/>
      <w:kern w:val="0"/>
      <w:sz w:val="21"/>
      <w:szCs w:val="21"/>
    </w:rPr>
  </w:style>
  <w:style w:type="paragraph" w:customStyle="1" w:styleId="67">
    <w:name w:val="font25"/>
    <w:basedOn w:val="1"/>
    <w:uiPriority w:val="0"/>
    <w:pPr>
      <w:widowControl/>
      <w:spacing w:before="100" w:beforeAutospacing="1" w:after="100" w:afterAutospacing="1" w:line="240" w:lineRule="auto"/>
      <w:ind w:firstLine="0" w:firstLineChars="0"/>
      <w:jc w:val="left"/>
    </w:pPr>
    <w:rPr>
      <w:rFonts w:ascii="宋体" w:hAnsi="宋体" w:eastAsia="宋体" w:cs="宋体"/>
      <w:color w:val="181818"/>
      <w:kern w:val="0"/>
      <w:sz w:val="23"/>
      <w:szCs w:val="23"/>
    </w:rPr>
  </w:style>
  <w:style w:type="paragraph" w:customStyle="1" w:styleId="68">
    <w:name w:val="font26"/>
    <w:basedOn w:val="1"/>
    <w:uiPriority w:val="0"/>
    <w:pPr>
      <w:widowControl/>
      <w:spacing w:before="100" w:beforeAutospacing="1" w:after="100" w:afterAutospacing="1" w:line="240" w:lineRule="auto"/>
      <w:ind w:firstLine="0" w:firstLineChars="0"/>
      <w:jc w:val="left"/>
    </w:pPr>
    <w:rPr>
      <w:rFonts w:ascii="宋体" w:hAnsi="宋体" w:eastAsia="宋体" w:cs="宋体"/>
      <w:color w:val="2A2823"/>
      <w:kern w:val="0"/>
      <w:sz w:val="23"/>
      <w:szCs w:val="23"/>
    </w:rPr>
  </w:style>
  <w:style w:type="paragraph" w:customStyle="1" w:styleId="69">
    <w:name w:val="font27"/>
    <w:basedOn w:val="1"/>
    <w:uiPriority w:val="0"/>
    <w:pPr>
      <w:widowControl/>
      <w:spacing w:before="100" w:beforeAutospacing="1" w:after="100" w:afterAutospacing="1" w:line="240" w:lineRule="auto"/>
      <w:ind w:firstLine="0" w:firstLineChars="0"/>
      <w:jc w:val="left"/>
    </w:pPr>
    <w:rPr>
      <w:rFonts w:ascii="宋体" w:hAnsi="宋体" w:eastAsia="宋体" w:cs="宋体"/>
      <w:color w:val="181818"/>
      <w:kern w:val="0"/>
      <w:sz w:val="18"/>
      <w:szCs w:val="18"/>
    </w:rPr>
  </w:style>
  <w:style w:type="paragraph" w:customStyle="1" w:styleId="70">
    <w:name w:val="font28"/>
    <w:basedOn w:val="1"/>
    <w:uiPriority w:val="0"/>
    <w:pPr>
      <w:widowControl/>
      <w:spacing w:before="100" w:beforeAutospacing="1" w:after="100" w:afterAutospacing="1" w:line="240" w:lineRule="auto"/>
      <w:ind w:firstLine="0" w:firstLineChars="0"/>
      <w:jc w:val="left"/>
    </w:pPr>
    <w:rPr>
      <w:rFonts w:eastAsia="宋体"/>
      <w:color w:val="2A2823"/>
      <w:kern w:val="0"/>
      <w:sz w:val="23"/>
      <w:szCs w:val="23"/>
    </w:rPr>
  </w:style>
  <w:style w:type="paragraph" w:customStyle="1" w:styleId="71">
    <w:name w:val="font29"/>
    <w:basedOn w:val="1"/>
    <w:uiPriority w:val="0"/>
    <w:pPr>
      <w:widowControl/>
      <w:spacing w:before="100" w:beforeAutospacing="1" w:after="100" w:afterAutospacing="1" w:line="240" w:lineRule="auto"/>
      <w:ind w:firstLine="0" w:firstLineChars="0"/>
      <w:jc w:val="left"/>
    </w:pPr>
    <w:rPr>
      <w:rFonts w:ascii="Arial" w:hAnsi="Arial" w:eastAsia="宋体" w:cs="Arial"/>
      <w:color w:val="181818"/>
      <w:kern w:val="0"/>
      <w:sz w:val="22"/>
      <w:szCs w:val="22"/>
    </w:rPr>
  </w:style>
  <w:style w:type="paragraph" w:customStyle="1" w:styleId="72">
    <w:name w:val="font30"/>
    <w:basedOn w:val="1"/>
    <w:uiPriority w:val="0"/>
    <w:pPr>
      <w:widowControl/>
      <w:spacing w:before="100" w:beforeAutospacing="1" w:after="100" w:afterAutospacing="1" w:line="240" w:lineRule="auto"/>
      <w:ind w:firstLine="0" w:firstLineChars="0"/>
      <w:jc w:val="left"/>
    </w:pPr>
    <w:rPr>
      <w:rFonts w:eastAsia="宋体"/>
      <w:color w:val="1A052D"/>
      <w:kern w:val="0"/>
      <w:sz w:val="23"/>
      <w:szCs w:val="23"/>
    </w:rPr>
  </w:style>
  <w:style w:type="paragraph" w:customStyle="1" w:styleId="73">
    <w:name w:val="font31"/>
    <w:basedOn w:val="1"/>
    <w:uiPriority w:val="0"/>
    <w:pPr>
      <w:widowControl/>
      <w:spacing w:before="100" w:beforeAutospacing="1" w:after="100" w:afterAutospacing="1" w:line="240" w:lineRule="auto"/>
      <w:ind w:firstLine="0" w:firstLineChars="0"/>
      <w:jc w:val="left"/>
    </w:pPr>
    <w:rPr>
      <w:rFonts w:ascii="宋体" w:hAnsi="宋体" w:eastAsia="宋体" w:cs="宋体"/>
      <w:color w:val="3B3B3B"/>
      <w:kern w:val="0"/>
      <w:sz w:val="18"/>
      <w:szCs w:val="18"/>
    </w:rPr>
  </w:style>
  <w:style w:type="paragraph" w:customStyle="1" w:styleId="74">
    <w:name w:val="font32"/>
    <w:basedOn w:val="1"/>
    <w:uiPriority w:val="0"/>
    <w:pPr>
      <w:widowControl/>
      <w:spacing w:before="100" w:beforeAutospacing="1" w:after="100" w:afterAutospacing="1" w:line="240" w:lineRule="auto"/>
      <w:ind w:firstLine="0" w:firstLineChars="0"/>
      <w:jc w:val="left"/>
    </w:pPr>
    <w:rPr>
      <w:rFonts w:ascii="Arial" w:hAnsi="Arial" w:eastAsia="宋体" w:cs="Arial"/>
      <w:color w:val="181818"/>
      <w:kern w:val="0"/>
      <w:sz w:val="23"/>
      <w:szCs w:val="23"/>
    </w:rPr>
  </w:style>
  <w:style w:type="paragraph" w:customStyle="1" w:styleId="75">
    <w:name w:val="font33"/>
    <w:basedOn w:val="1"/>
    <w:uiPriority w:val="0"/>
    <w:pPr>
      <w:widowControl/>
      <w:spacing w:before="100" w:beforeAutospacing="1" w:after="100" w:afterAutospacing="1" w:line="240" w:lineRule="auto"/>
      <w:ind w:firstLine="0" w:firstLineChars="0"/>
      <w:jc w:val="left"/>
    </w:pPr>
    <w:rPr>
      <w:rFonts w:ascii="宋体" w:hAnsi="宋体" w:eastAsia="宋体" w:cs="宋体"/>
      <w:color w:val="262626"/>
      <w:kern w:val="0"/>
      <w:sz w:val="21"/>
      <w:szCs w:val="21"/>
    </w:rPr>
  </w:style>
  <w:style w:type="paragraph" w:customStyle="1" w:styleId="76">
    <w:name w:val="font34"/>
    <w:basedOn w:val="1"/>
    <w:uiPriority w:val="0"/>
    <w:pPr>
      <w:widowControl/>
      <w:spacing w:before="100" w:beforeAutospacing="1" w:after="100" w:afterAutospacing="1" w:line="240" w:lineRule="auto"/>
      <w:ind w:firstLine="0" w:firstLineChars="0"/>
      <w:jc w:val="left"/>
    </w:pPr>
    <w:rPr>
      <w:rFonts w:ascii="宋体" w:hAnsi="宋体" w:eastAsia="宋体" w:cs="宋体"/>
      <w:color w:val="262626"/>
      <w:kern w:val="0"/>
      <w:sz w:val="20"/>
      <w:szCs w:val="20"/>
    </w:rPr>
  </w:style>
  <w:style w:type="paragraph" w:customStyle="1" w:styleId="77">
    <w:name w:val="font35"/>
    <w:basedOn w:val="1"/>
    <w:uiPriority w:val="0"/>
    <w:pPr>
      <w:widowControl/>
      <w:spacing w:before="100" w:beforeAutospacing="1" w:after="100" w:afterAutospacing="1" w:line="240" w:lineRule="auto"/>
      <w:ind w:firstLine="0" w:firstLineChars="0"/>
      <w:jc w:val="left"/>
    </w:pPr>
    <w:rPr>
      <w:rFonts w:eastAsia="宋体"/>
      <w:color w:val="262626"/>
      <w:kern w:val="0"/>
      <w:sz w:val="23"/>
      <w:szCs w:val="23"/>
    </w:rPr>
  </w:style>
  <w:style w:type="paragraph" w:customStyle="1" w:styleId="78">
    <w:name w:val="font36"/>
    <w:basedOn w:val="1"/>
    <w:uiPriority w:val="0"/>
    <w:pPr>
      <w:widowControl/>
      <w:spacing w:before="100" w:beforeAutospacing="1" w:after="100" w:afterAutospacing="1" w:line="240" w:lineRule="auto"/>
      <w:ind w:firstLine="0" w:firstLineChars="0"/>
      <w:jc w:val="left"/>
    </w:pPr>
    <w:rPr>
      <w:rFonts w:ascii="宋体" w:hAnsi="宋体" w:eastAsia="宋体" w:cs="宋体"/>
      <w:color w:val="444444"/>
      <w:kern w:val="0"/>
      <w:sz w:val="20"/>
      <w:szCs w:val="20"/>
    </w:rPr>
  </w:style>
  <w:style w:type="paragraph" w:customStyle="1" w:styleId="79">
    <w:name w:val="font37"/>
    <w:basedOn w:val="1"/>
    <w:uiPriority w:val="0"/>
    <w:pPr>
      <w:widowControl/>
      <w:spacing w:before="100" w:beforeAutospacing="1" w:after="100" w:afterAutospacing="1" w:line="240" w:lineRule="auto"/>
      <w:ind w:firstLine="0" w:firstLineChars="0"/>
      <w:jc w:val="left"/>
    </w:pPr>
    <w:rPr>
      <w:rFonts w:ascii="Arial" w:hAnsi="Arial" w:eastAsia="宋体" w:cs="Arial"/>
      <w:color w:val="262626"/>
      <w:kern w:val="0"/>
      <w:sz w:val="22"/>
      <w:szCs w:val="22"/>
    </w:rPr>
  </w:style>
  <w:style w:type="paragraph" w:customStyle="1" w:styleId="80">
    <w:name w:val="font38"/>
    <w:basedOn w:val="1"/>
    <w:uiPriority w:val="0"/>
    <w:pPr>
      <w:widowControl/>
      <w:spacing w:before="100" w:beforeAutospacing="1" w:after="100" w:afterAutospacing="1" w:line="240" w:lineRule="auto"/>
      <w:ind w:firstLine="0" w:firstLineChars="0"/>
      <w:jc w:val="left"/>
    </w:pPr>
    <w:rPr>
      <w:rFonts w:ascii="宋体" w:hAnsi="宋体" w:eastAsia="宋体" w:cs="宋体"/>
      <w:color w:val="262626"/>
      <w:kern w:val="0"/>
      <w:sz w:val="18"/>
      <w:szCs w:val="18"/>
    </w:rPr>
  </w:style>
  <w:style w:type="paragraph" w:customStyle="1" w:styleId="81">
    <w:name w:val="font39"/>
    <w:basedOn w:val="1"/>
    <w:uiPriority w:val="0"/>
    <w:pPr>
      <w:widowControl/>
      <w:spacing w:before="100" w:beforeAutospacing="1" w:after="100" w:afterAutospacing="1" w:line="240" w:lineRule="auto"/>
      <w:ind w:firstLine="0" w:firstLineChars="0"/>
      <w:jc w:val="left"/>
    </w:pPr>
    <w:rPr>
      <w:rFonts w:ascii="宋体" w:hAnsi="宋体" w:eastAsia="宋体" w:cs="宋体"/>
      <w:color w:val="444444"/>
      <w:kern w:val="0"/>
      <w:sz w:val="18"/>
      <w:szCs w:val="18"/>
    </w:rPr>
  </w:style>
  <w:style w:type="paragraph" w:customStyle="1" w:styleId="82">
    <w:name w:val="font40"/>
    <w:basedOn w:val="1"/>
    <w:uiPriority w:val="0"/>
    <w:pPr>
      <w:widowControl/>
      <w:spacing w:before="100" w:beforeAutospacing="1" w:after="100" w:afterAutospacing="1" w:line="240" w:lineRule="auto"/>
      <w:ind w:firstLine="0" w:firstLineChars="0"/>
      <w:jc w:val="left"/>
    </w:pPr>
    <w:rPr>
      <w:rFonts w:eastAsia="宋体"/>
      <w:color w:val="444444"/>
      <w:kern w:val="0"/>
      <w:sz w:val="23"/>
      <w:szCs w:val="23"/>
    </w:rPr>
  </w:style>
  <w:style w:type="paragraph" w:customStyle="1" w:styleId="83">
    <w:name w:val="font41"/>
    <w:basedOn w:val="1"/>
    <w:uiPriority w:val="0"/>
    <w:pPr>
      <w:widowControl/>
      <w:spacing w:before="100" w:beforeAutospacing="1" w:after="100" w:afterAutospacing="1" w:line="240" w:lineRule="auto"/>
      <w:ind w:firstLine="0" w:firstLineChars="0"/>
      <w:jc w:val="left"/>
    </w:pPr>
    <w:rPr>
      <w:rFonts w:eastAsia="宋体"/>
      <w:color w:val="151515"/>
      <w:kern w:val="0"/>
      <w:sz w:val="23"/>
      <w:szCs w:val="23"/>
    </w:rPr>
  </w:style>
  <w:style w:type="paragraph" w:customStyle="1" w:styleId="84">
    <w:name w:val="font42"/>
    <w:basedOn w:val="1"/>
    <w:uiPriority w:val="0"/>
    <w:pPr>
      <w:widowControl/>
      <w:spacing w:before="100" w:beforeAutospacing="1" w:after="100" w:afterAutospacing="1" w:line="240" w:lineRule="auto"/>
      <w:ind w:firstLine="0" w:firstLineChars="0"/>
      <w:jc w:val="left"/>
    </w:pPr>
    <w:rPr>
      <w:rFonts w:ascii="Arial" w:hAnsi="Arial" w:eastAsia="宋体" w:cs="Arial"/>
      <w:color w:val="151515"/>
      <w:kern w:val="0"/>
      <w:sz w:val="23"/>
      <w:szCs w:val="23"/>
    </w:rPr>
  </w:style>
  <w:style w:type="paragraph" w:customStyle="1" w:styleId="85">
    <w:name w:val="font43"/>
    <w:basedOn w:val="1"/>
    <w:uiPriority w:val="0"/>
    <w:pPr>
      <w:widowControl/>
      <w:spacing w:before="100" w:beforeAutospacing="1" w:after="100" w:afterAutospacing="1" w:line="240" w:lineRule="auto"/>
      <w:ind w:firstLine="0" w:firstLineChars="0"/>
      <w:jc w:val="left"/>
    </w:pPr>
    <w:rPr>
      <w:rFonts w:ascii="宋体" w:hAnsi="宋体" w:eastAsia="宋体" w:cs="宋体"/>
      <w:color w:val="151515"/>
      <w:kern w:val="0"/>
      <w:sz w:val="20"/>
      <w:szCs w:val="20"/>
    </w:rPr>
  </w:style>
  <w:style w:type="paragraph" w:customStyle="1" w:styleId="86">
    <w:name w:val="font44"/>
    <w:basedOn w:val="1"/>
    <w:uiPriority w:val="0"/>
    <w:pPr>
      <w:widowControl/>
      <w:spacing w:before="100" w:beforeAutospacing="1" w:after="100" w:afterAutospacing="1" w:line="240" w:lineRule="auto"/>
      <w:ind w:firstLine="0" w:firstLineChars="0"/>
      <w:jc w:val="left"/>
    </w:pPr>
    <w:rPr>
      <w:rFonts w:eastAsia="宋体"/>
      <w:color w:val="444444"/>
      <w:kern w:val="0"/>
      <w:sz w:val="12"/>
      <w:szCs w:val="12"/>
    </w:rPr>
  </w:style>
  <w:style w:type="paragraph" w:customStyle="1" w:styleId="87">
    <w:name w:val="font45"/>
    <w:basedOn w:val="1"/>
    <w:uiPriority w:val="0"/>
    <w:pPr>
      <w:widowControl/>
      <w:spacing w:before="100" w:beforeAutospacing="1" w:after="100" w:afterAutospacing="1" w:line="240" w:lineRule="auto"/>
      <w:ind w:firstLine="0" w:firstLineChars="0"/>
      <w:jc w:val="left"/>
    </w:pPr>
    <w:rPr>
      <w:rFonts w:ascii="Arial" w:hAnsi="Arial" w:eastAsia="宋体" w:cs="Arial"/>
      <w:color w:val="262626"/>
      <w:kern w:val="0"/>
      <w:sz w:val="17"/>
      <w:szCs w:val="17"/>
    </w:rPr>
  </w:style>
  <w:style w:type="paragraph" w:customStyle="1" w:styleId="88">
    <w:name w:val="font46"/>
    <w:basedOn w:val="1"/>
    <w:uiPriority w:val="0"/>
    <w:pPr>
      <w:widowControl/>
      <w:spacing w:before="100" w:beforeAutospacing="1" w:after="100" w:afterAutospacing="1" w:line="240" w:lineRule="auto"/>
      <w:ind w:firstLine="0" w:firstLineChars="0"/>
      <w:jc w:val="left"/>
    </w:pPr>
    <w:rPr>
      <w:rFonts w:ascii="宋体" w:hAnsi="宋体" w:eastAsia="宋体" w:cs="宋体"/>
      <w:color w:val="262626"/>
      <w:kern w:val="0"/>
      <w:sz w:val="23"/>
      <w:szCs w:val="23"/>
    </w:rPr>
  </w:style>
  <w:style w:type="paragraph" w:customStyle="1" w:styleId="89">
    <w:name w:val="font47"/>
    <w:basedOn w:val="1"/>
    <w:uiPriority w:val="0"/>
    <w:pPr>
      <w:widowControl/>
      <w:spacing w:before="100" w:beforeAutospacing="1" w:after="100" w:afterAutospacing="1" w:line="240" w:lineRule="auto"/>
      <w:ind w:firstLine="0" w:firstLineChars="0"/>
      <w:jc w:val="left"/>
    </w:pPr>
    <w:rPr>
      <w:rFonts w:eastAsia="宋体"/>
      <w:color w:val="4D3B1C"/>
      <w:kern w:val="0"/>
      <w:sz w:val="23"/>
      <w:szCs w:val="23"/>
    </w:rPr>
  </w:style>
  <w:style w:type="paragraph" w:customStyle="1" w:styleId="90">
    <w:name w:val="font48"/>
    <w:basedOn w:val="1"/>
    <w:uiPriority w:val="0"/>
    <w:pPr>
      <w:widowControl/>
      <w:spacing w:before="100" w:beforeAutospacing="1" w:after="100" w:afterAutospacing="1" w:line="240" w:lineRule="auto"/>
      <w:ind w:firstLine="0" w:firstLineChars="0"/>
      <w:jc w:val="left"/>
    </w:pPr>
    <w:rPr>
      <w:rFonts w:ascii="宋体" w:hAnsi="宋体" w:eastAsia="宋体" w:cs="宋体"/>
      <w:color w:val="2D2D2A"/>
      <w:kern w:val="0"/>
      <w:sz w:val="23"/>
      <w:szCs w:val="23"/>
    </w:rPr>
  </w:style>
  <w:style w:type="paragraph" w:customStyle="1" w:styleId="91">
    <w:name w:val="font49"/>
    <w:basedOn w:val="1"/>
    <w:uiPriority w:val="0"/>
    <w:pPr>
      <w:widowControl/>
      <w:spacing w:before="100" w:beforeAutospacing="1" w:after="100" w:afterAutospacing="1" w:line="240" w:lineRule="auto"/>
      <w:ind w:firstLine="0" w:firstLineChars="0"/>
      <w:jc w:val="left"/>
    </w:pPr>
    <w:rPr>
      <w:rFonts w:eastAsia="宋体"/>
      <w:color w:val="1A181A"/>
      <w:kern w:val="0"/>
      <w:sz w:val="23"/>
      <w:szCs w:val="23"/>
    </w:rPr>
  </w:style>
  <w:style w:type="paragraph" w:customStyle="1" w:styleId="92">
    <w:name w:val="font50"/>
    <w:basedOn w:val="1"/>
    <w:uiPriority w:val="0"/>
    <w:pPr>
      <w:widowControl/>
      <w:spacing w:before="100" w:beforeAutospacing="1" w:after="100" w:afterAutospacing="1" w:line="240" w:lineRule="auto"/>
      <w:ind w:firstLine="0" w:firstLineChars="0"/>
      <w:jc w:val="left"/>
    </w:pPr>
    <w:rPr>
      <w:rFonts w:eastAsia="宋体"/>
      <w:color w:val="2D2D2A"/>
      <w:kern w:val="0"/>
      <w:sz w:val="23"/>
      <w:szCs w:val="23"/>
    </w:rPr>
  </w:style>
  <w:style w:type="paragraph" w:customStyle="1" w:styleId="93">
    <w:name w:val="font51"/>
    <w:basedOn w:val="1"/>
    <w:uiPriority w:val="0"/>
    <w:pPr>
      <w:widowControl/>
      <w:spacing w:before="100" w:beforeAutospacing="1" w:after="100" w:afterAutospacing="1" w:line="240" w:lineRule="auto"/>
      <w:ind w:firstLine="0" w:firstLineChars="0"/>
      <w:jc w:val="left"/>
    </w:pPr>
    <w:rPr>
      <w:rFonts w:ascii="Arial" w:hAnsi="Arial" w:eastAsia="宋体" w:cs="Arial"/>
      <w:color w:val="3D3D3D"/>
      <w:kern w:val="0"/>
      <w:sz w:val="22"/>
      <w:szCs w:val="22"/>
    </w:rPr>
  </w:style>
  <w:style w:type="paragraph" w:customStyle="1" w:styleId="94">
    <w:name w:val="font52"/>
    <w:basedOn w:val="1"/>
    <w:uiPriority w:val="0"/>
    <w:pPr>
      <w:widowControl/>
      <w:spacing w:before="100" w:beforeAutospacing="1" w:after="100" w:afterAutospacing="1" w:line="240" w:lineRule="auto"/>
      <w:ind w:firstLine="0" w:firstLineChars="0"/>
      <w:jc w:val="left"/>
    </w:pPr>
    <w:rPr>
      <w:rFonts w:ascii="Arial" w:hAnsi="Arial" w:eastAsia="宋体" w:cs="Arial"/>
      <w:color w:val="1A181A"/>
      <w:kern w:val="0"/>
      <w:sz w:val="22"/>
      <w:szCs w:val="22"/>
    </w:rPr>
  </w:style>
  <w:style w:type="paragraph" w:customStyle="1" w:styleId="95">
    <w:name w:val="font53"/>
    <w:basedOn w:val="1"/>
    <w:uiPriority w:val="0"/>
    <w:pPr>
      <w:widowControl/>
      <w:spacing w:before="100" w:beforeAutospacing="1" w:after="100" w:afterAutospacing="1" w:line="240" w:lineRule="auto"/>
      <w:ind w:firstLine="0" w:firstLineChars="0"/>
      <w:jc w:val="left"/>
    </w:pPr>
    <w:rPr>
      <w:rFonts w:ascii="宋体" w:hAnsi="宋体" w:eastAsia="宋体" w:cs="宋体"/>
      <w:color w:val="1A181A"/>
      <w:kern w:val="0"/>
      <w:sz w:val="19"/>
      <w:szCs w:val="19"/>
    </w:rPr>
  </w:style>
  <w:style w:type="paragraph" w:customStyle="1" w:styleId="96">
    <w:name w:val="font54"/>
    <w:basedOn w:val="1"/>
    <w:uiPriority w:val="0"/>
    <w:pPr>
      <w:widowControl/>
      <w:spacing w:before="100" w:beforeAutospacing="1" w:after="100" w:afterAutospacing="1" w:line="240" w:lineRule="auto"/>
      <w:ind w:firstLine="0" w:firstLineChars="0"/>
      <w:jc w:val="left"/>
    </w:pPr>
    <w:rPr>
      <w:rFonts w:ascii="宋体" w:hAnsi="宋体" w:eastAsia="宋体" w:cs="宋体"/>
      <w:color w:val="3D3D3D"/>
      <w:kern w:val="0"/>
      <w:sz w:val="19"/>
      <w:szCs w:val="19"/>
    </w:rPr>
  </w:style>
  <w:style w:type="paragraph" w:customStyle="1" w:styleId="97">
    <w:name w:val="font55"/>
    <w:basedOn w:val="1"/>
    <w:uiPriority w:val="0"/>
    <w:pPr>
      <w:widowControl/>
      <w:spacing w:before="100" w:beforeAutospacing="1" w:after="100" w:afterAutospacing="1" w:line="240" w:lineRule="auto"/>
      <w:ind w:firstLine="0" w:firstLineChars="0"/>
      <w:jc w:val="left"/>
    </w:pPr>
    <w:rPr>
      <w:rFonts w:eastAsia="宋体"/>
      <w:color w:val="3D3D3D"/>
      <w:kern w:val="0"/>
      <w:sz w:val="23"/>
      <w:szCs w:val="23"/>
    </w:rPr>
  </w:style>
  <w:style w:type="paragraph" w:customStyle="1" w:styleId="98">
    <w:name w:val="font56"/>
    <w:basedOn w:val="1"/>
    <w:uiPriority w:val="0"/>
    <w:pPr>
      <w:widowControl/>
      <w:spacing w:before="100" w:beforeAutospacing="1" w:after="100" w:afterAutospacing="1" w:line="240" w:lineRule="auto"/>
      <w:ind w:firstLine="0" w:firstLineChars="0"/>
      <w:jc w:val="left"/>
    </w:pPr>
    <w:rPr>
      <w:rFonts w:ascii="宋体" w:hAnsi="宋体" w:eastAsia="宋体" w:cs="宋体"/>
      <w:color w:val="1A181A"/>
      <w:kern w:val="0"/>
      <w:sz w:val="20"/>
      <w:szCs w:val="20"/>
    </w:rPr>
  </w:style>
  <w:style w:type="paragraph" w:customStyle="1" w:styleId="99">
    <w:name w:val="font57"/>
    <w:basedOn w:val="1"/>
    <w:uiPriority w:val="0"/>
    <w:pPr>
      <w:widowControl/>
      <w:spacing w:before="100" w:beforeAutospacing="1" w:after="100" w:afterAutospacing="1" w:line="240" w:lineRule="auto"/>
      <w:ind w:firstLine="0" w:firstLineChars="0"/>
      <w:jc w:val="left"/>
    </w:pPr>
    <w:rPr>
      <w:rFonts w:ascii="宋体" w:hAnsi="宋体" w:eastAsia="宋体" w:cs="宋体"/>
      <w:color w:val="1A181A"/>
      <w:kern w:val="0"/>
      <w:sz w:val="23"/>
      <w:szCs w:val="23"/>
    </w:rPr>
  </w:style>
  <w:style w:type="paragraph" w:customStyle="1" w:styleId="100">
    <w:name w:val="font58"/>
    <w:basedOn w:val="1"/>
    <w:uiPriority w:val="0"/>
    <w:pPr>
      <w:widowControl/>
      <w:spacing w:before="100" w:beforeAutospacing="1" w:after="100" w:afterAutospacing="1" w:line="240" w:lineRule="auto"/>
      <w:ind w:firstLine="0" w:firstLineChars="0"/>
      <w:jc w:val="left"/>
    </w:pPr>
    <w:rPr>
      <w:rFonts w:ascii="宋体" w:hAnsi="宋体" w:eastAsia="宋体" w:cs="宋体"/>
      <w:color w:val="3D3D3D"/>
      <w:kern w:val="0"/>
      <w:sz w:val="23"/>
      <w:szCs w:val="23"/>
    </w:rPr>
  </w:style>
  <w:style w:type="paragraph" w:customStyle="1" w:styleId="101">
    <w:name w:val="xl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1"/>
      <w:szCs w:val="21"/>
    </w:rPr>
  </w:style>
  <w:style w:type="paragraph" w:customStyle="1" w:styleId="102">
    <w:name w:val="xl6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B2A2A"/>
      <w:kern w:val="0"/>
      <w:sz w:val="23"/>
      <w:szCs w:val="23"/>
    </w:rPr>
  </w:style>
  <w:style w:type="paragraph" w:customStyle="1" w:styleId="103">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3"/>
      <w:szCs w:val="23"/>
    </w:rPr>
  </w:style>
  <w:style w:type="paragraph" w:customStyle="1" w:styleId="104">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3"/>
      <w:szCs w:val="23"/>
    </w:rPr>
  </w:style>
  <w:style w:type="paragraph" w:customStyle="1" w:styleId="105">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81818"/>
      <w:kern w:val="0"/>
      <w:sz w:val="23"/>
      <w:szCs w:val="23"/>
    </w:rPr>
  </w:style>
  <w:style w:type="paragraph" w:customStyle="1" w:styleId="106">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07">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81818"/>
      <w:kern w:val="0"/>
      <w:sz w:val="23"/>
      <w:szCs w:val="23"/>
    </w:rPr>
  </w:style>
  <w:style w:type="paragraph" w:customStyle="1" w:styleId="108">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09">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2"/>
      <w:szCs w:val="22"/>
    </w:rPr>
  </w:style>
  <w:style w:type="paragraph" w:customStyle="1" w:styleId="110">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B2A2A"/>
      <w:kern w:val="0"/>
      <w:sz w:val="23"/>
      <w:szCs w:val="23"/>
    </w:rPr>
  </w:style>
  <w:style w:type="paragraph" w:customStyle="1" w:styleId="111">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B2A2A"/>
      <w:kern w:val="0"/>
      <w:sz w:val="23"/>
      <w:szCs w:val="23"/>
    </w:rPr>
  </w:style>
  <w:style w:type="paragraph" w:customStyle="1" w:styleId="112">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81818"/>
      <w:kern w:val="0"/>
      <w:sz w:val="23"/>
      <w:szCs w:val="23"/>
    </w:rPr>
  </w:style>
  <w:style w:type="paragraph" w:customStyle="1" w:styleId="113">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14">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82828"/>
      <w:kern w:val="0"/>
      <w:sz w:val="23"/>
      <w:szCs w:val="23"/>
    </w:rPr>
  </w:style>
  <w:style w:type="paragraph" w:customStyle="1" w:styleId="115">
    <w:name w:val="xl7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82828"/>
      <w:kern w:val="0"/>
      <w:sz w:val="23"/>
      <w:szCs w:val="23"/>
    </w:rPr>
  </w:style>
  <w:style w:type="paragraph" w:customStyle="1" w:styleId="116">
    <w:name w:val="xl7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61616"/>
      <w:kern w:val="0"/>
      <w:sz w:val="23"/>
      <w:szCs w:val="23"/>
    </w:rPr>
  </w:style>
  <w:style w:type="paragraph" w:customStyle="1" w:styleId="117">
    <w:name w:val="xl7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61616"/>
      <w:kern w:val="0"/>
      <w:sz w:val="23"/>
      <w:szCs w:val="23"/>
    </w:rPr>
  </w:style>
  <w:style w:type="paragraph" w:customStyle="1" w:styleId="118">
    <w:name w:val="xl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A2823"/>
      <w:kern w:val="0"/>
      <w:sz w:val="23"/>
      <w:szCs w:val="23"/>
    </w:rPr>
  </w:style>
  <w:style w:type="paragraph" w:customStyle="1" w:styleId="119">
    <w:name w:val="xl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62626"/>
      <w:kern w:val="0"/>
      <w:sz w:val="23"/>
      <w:szCs w:val="23"/>
    </w:rPr>
  </w:style>
  <w:style w:type="paragraph" w:customStyle="1" w:styleId="120">
    <w:name w:val="xl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62626"/>
      <w:kern w:val="0"/>
      <w:sz w:val="23"/>
      <w:szCs w:val="23"/>
    </w:rPr>
  </w:style>
  <w:style w:type="paragraph" w:customStyle="1" w:styleId="121">
    <w:name w:val="xl8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51515"/>
      <w:kern w:val="0"/>
      <w:sz w:val="23"/>
      <w:szCs w:val="23"/>
    </w:rPr>
  </w:style>
  <w:style w:type="paragraph" w:customStyle="1" w:styleId="122">
    <w:name w:val="xl8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A181A"/>
      <w:kern w:val="0"/>
      <w:sz w:val="23"/>
      <w:szCs w:val="23"/>
    </w:rPr>
  </w:style>
  <w:style w:type="paragraph" w:customStyle="1" w:styleId="123">
    <w:name w:val="xl8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D2D2A"/>
      <w:kern w:val="0"/>
      <w:sz w:val="23"/>
      <w:szCs w:val="23"/>
    </w:rPr>
  </w:style>
  <w:style w:type="paragraph" w:customStyle="1" w:styleId="124">
    <w:name w:val="xl8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A181A"/>
      <w:kern w:val="0"/>
      <w:sz w:val="23"/>
      <w:szCs w:val="23"/>
    </w:rPr>
  </w:style>
  <w:style w:type="paragraph" w:customStyle="1" w:styleId="125">
    <w:name w:val="xl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2D2D2A"/>
      <w:kern w:val="0"/>
      <w:sz w:val="23"/>
      <w:szCs w:val="23"/>
    </w:rPr>
  </w:style>
  <w:style w:type="paragraph" w:customStyle="1" w:styleId="126">
    <w:name w:val="xl8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1A181A"/>
      <w:kern w:val="0"/>
      <w:sz w:val="23"/>
      <w:szCs w:val="23"/>
    </w:rPr>
  </w:style>
  <w:style w:type="paragraph" w:customStyle="1" w:styleId="127">
    <w:name w:val="xl8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3"/>
      <w:szCs w:val="23"/>
    </w:rPr>
  </w:style>
  <w:style w:type="character" w:customStyle="1" w:styleId="128">
    <w:name w:val="批注文字 字符"/>
    <w:basedOn w:val="16"/>
    <w:link w:val="5"/>
    <w:semiHidden/>
    <w:uiPriority w:val="99"/>
    <w:rPr>
      <w:rFonts w:ascii="Times New Roman" w:hAnsi="Times New Roman" w:eastAsia="仿宋" w:cs="Times New Roman"/>
      <w:sz w:val="32"/>
      <w:szCs w:val="24"/>
    </w:rPr>
  </w:style>
  <w:style w:type="character" w:customStyle="1" w:styleId="129">
    <w:name w:val="批注主题 字符"/>
    <w:basedOn w:val="128"/>
    <w:link w:val="13"/>
    <w:semiHidden/>
    <w:uiPriority w:val="99"/>
    <w:rPr>
      <w:rFonts w:ascii="Times New Roman" w:hAnsi="Times New Roman" w:eastAsia="仿宋" w:cs="Times New Roman"/>
      <w:b/>
      <w:bCs/>
      <w:sz w:val="32"/>
      <w:szCs w:val="24"/>
    </w:rPr>
  </w:style>
  <w:style w:type="character" w:customStyle="1" w:styleId="130">
    <w:name w:val="脚注文本 字符"/>
    <w:basedOn w:val="16"/>
    <w:link w:val="11"/>
    <w:semiHidden/>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8236-BC44-4CA4-8624-D6A8A8D31D7D}">
  <ds:schemaRefs/>
</ds:datastoreItem>
</file>

<file path=docProps/app.xml><?xml version="1.0" encoding="utf-8"?>
<Properties xmlns="http://schemas.openxmlformats.org/officeDocument/2006/extended-properties" xmlns:vt="http://schemas.openxmlformats.org/officeDocument/2006/docPropsVTypes">
  <Template>Normal</Template>
  <Pages>36</Pages>
  <Words>14561</Words>
  <Characters>16977</Characters>
  <Lines>137</Lines>
  <Paragraphs>38</Paragraphs>
  <TotalTime>956</TotalTime>
  <ScaleCrop>false</ScaleCrop>
  <LinksUpToDate>false</LinksUpToDate>
  <CharactersWithSpaces>17085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2022-11-17T04:04:00Z</dcterms:created>
  <dc:creator>yqx</dc:creator>
  <cp:lastModifiedBy>Administrator</cp:lastModifiedBy>
  <dcterms:modified xsi:type="dcterms:W3CDTF">2023-06-21T09:22:48Z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BB52D62F74344E51A5EACC98D25A9112_12</vt:lpwstr>
  </property>
</Properties>
</file>