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044"/>
        <w:jc w:val="center"/>
        <w:rPr>
          <w:rFonts w:eastAsia="黑体"/>
          <w:b/>
          <w:color w:val="auto"/>
          <w:sz w:val="52"/>
          <w:szCs w:val="52"/>
        </w:rPr>
      </w:pPr>
    </w:p>
    <w:p>
      <w:pPr>
        <w:adjustRightInd w:val="0"/>
        <w:snapToGrid w:val="0"/>
        <w:ind w:firstLine="0" w:firstLineChars="0"/>
        <w:jc w:val="center"/>
        <w:rPr>
          <w:rFonts w:eastAsia="黑体"/>
          <w:b/>
          <w:color w:val="auto"/>
          <w:sz w:val="52"/>
          <w:szCs w:val="52"/>
        </w:rPr>
      </w:pPr>
      <w:r>
        <w:rPr>
          <w:rFonts w:hint="eastAsia" w:eastAsia="黑体"/>
          <w:b/>
          <w:color w:val="auto"/>
          <w:sz w:val="52"/>
          <w:szCs w:val="52"/>
        </w:rPr>
        <w:t>2021年船山区基本公共卫生服务项目</w:t>
      </w:r>
      <w:r>
        <w:rPr>
          <w:rFonts w:eastAsia="黑体"/>
          <w:b/>
          <w:color w:val="auto"/>
          <w:sz w:val="52"/>
          <w:szCs w:val="52"/>
        </w:rPr>
        <w:t>绩效评价报告</w:t>
      </w:r>
    </w:p>
    <w:p>
      <w:pPr>
        <w:widowControl/>
        <w:adjustRightInd w:val="0"/>
        <w:snapToGrid w:val="0"/>
        <w:spacing w:before="120" w:after="120"/>
        <w:ind w:firstLine="720"/>
        <w:jc w:val="center"/>
        <w:rPr>
          <w:rFonts w:eastAsia="仿宋_GB2312"/>
          <w:b/>
          <w:color w:val="auto"/>
          <w:sz w:val="36"/>
          <w:szCs w:val="36"/>
        </w:rPr>
      </w:pPr>
    </w:p>
    <w:p>
      <w:pPr>
        <w:widowControl/>
        <w:adjustRightInd w:val="0"/>
        <w:snapToGrid w:val="0"/>
        <w:spacing w:before="120" w:after="120"/>
        <w:ind w:firstLine="720"/>
        <w:jc w:val="center"/>
        <w:rPr>
          <w:rFonts w:eastAsia="仿宋_GB2312"/>
          <w:b/>
          <w:color w:val="auto"/>
          <w:sz w:val="36"/>
          <w:szCs w:val="36"/>
        </w:rPr>
      </w:pPr>
    </w:p>
    <w:p>
      <w:pPr>
        <w:widowControl/>
        <w:adjustRightInd w:val="0"/>
        <w:snapToGrid w:val="0"/>
        <w:spacing w:before="120" w:after="120"/>
        <w:ind w:firstLine="720"/>
        <w:jc w:val="center"/>
        <w:rPr>
          <w:rFonts w:eastAsia="仿宋_GB2312"/>
          <w:b/>
          <w:color w:val="auto"/>
          <w:sz w:val="36"/>
          <w:szCs w:val="36"/>
        </w:rPr>
      </w:pPr>
    </w:p>
    <w:p>
      <w:pPr>
        <w:widowControl/>
        <w:adjustRightInd w:val="0"/>
        <w:snapToGrid w:val="0"/>
        <w:ind w:firstLine="720"/>
        <w:jc w:val="center"/>
        <w:rPr>
          <w:rFonts w:eastAsia="仿宋_GB2312"/>
          <w:b/>
          <w:color w:val="auto"/>
          <w:kern w:val="0"/>
          <w:sz w:val="36"/>
          <w:szCs w:val="35"/>
        </w:rPr>
      </w:pPr>
    </w:p>
    <w:p>
      <w:pPr>
        <w:pStyle w:val="2"/>
        <w:ind w:firstLine="640"/>
        <w:rPr>
          <w:rFonts w:ascii="Times New Roman" w:hAnsi="Times New Roman" w:cs="Times New Roman"/>
          <w:color w:val="auto"/>
        </w:rPr>
      </w:pPr>
    </w:p>
    <w:p>
      <w:pPr>
        <w:pStyle w:val="2"/>
        <w:ind w:firstLine="640"/>
        <w:rPr>
          <w:rFonts w:ascii="Times New Roman" w:hAnsi="Times New Roman" w:cs="Times New Roman"/>
          <w:color w:val="auto"/>
        </w:rPr>
      </w:pPr>
    </w:p>
    <w:p>
      <w:pPr>
        <w:adjustRightInd w:val="0"/>
        <w:snapToGrid w:val="0"/>
        <w:ind w:left="3840" w:leftChars="600" w:hanging="1920" w:hangingChars="600"/>
        <w:jc w:val="left"/>
        <w:rPr>
          <w:rFonts w:eastAsia="黑体"/>
          <w:bCs/>
          <w:color w:val="auto"/>
          <w:szCs w:val="32"/>
        </w:rPr>
      </w:pPr>
    </w:p>
    <w:p>
      <w:pPr>
        <w:adjustRightInd w:val="0"/>
        <w:snapToGrid w:val="0"/>
        <w:ind w:left="3840" w:leftChars="600" w:hanging="1920" w:hangingChars="600"/>
        <w:jc w:val="left"/>
        <w:rPr>
          <w:rFonts w:eastAsia="黑体"/>
          <w:bCs/>
          <w:color w:val="auto"/>
          <w:szCs w:val="32"/>
        </w:rPr>
      </w:pPr>
    </w:p>
    <w:p>
      <w:pPr>
        <w:adjustRightInd w:val="0"/>
        <w:snapToGrid w:val="0"/>
        <w:ind w:left="3840" w:leftChars="600" w:hanging="1920" w:hangingChars="600"/>
        <w:jc w:val="left"/>
        <w:rPr>
          <w:rFonts w:eastAsia="黑体"/>
          <w:bCs/>
          <w:color w:val="auto"/>
          <w:szCs w:val="32"/>
        </w:rPr>
      </w:pPr>
    </w:p>
    <w:p>
      <w:pPr>
        <w:adjustRightInd w:val="0"/>
        <w:snapToGrid w:val="0"/>
        <w:ind w:left="1280" w:leftChars="400" w:firstLine="0" w:firstLineChars="0"/>
        <w:rPr>
          <w:rFonts w:hint="eastAsia" w:eastAsia="黑体"/>
          <w:bCs/>
          <w:color w:val="auto"/>
          <w:szCs w:val="32"/>
        </w:rPr>
      </w:pPr>
      <w:r>
        <w:rPr>
          <w:rFonts w:eastAsia="黑体"/>
          <w:bCs/>
          <w:color w:val="auto"/>
          <w:szCs w:val="32"/>
        </w:rPr>
        <w:t>项目名称：</w:t>
      </w:r>
      <w:r>
        <w:rPr>
          <w:rFonts w:hint="eastAsia" w:eastAsia="黑体"/>
          <w:bCs/>
          <w:color w:val="auto"/>
          <w:szCs w:val="32"/>
        </w:rPr>
        <w:t>2021年船山区基本公共卫生服务项目</w:t>
      </w:r>
    </w:p>
    <w:p>
      <w:pPr>
        <w:adjustRightInd w:val="0"/>
        <w:snapToGrid w:val="0"/>
        <w:ind w:left="1280" w:leftChars="400" w:firstLine="0" w:firstLineChars="0"/>
        <w:rPr>
          <w:rFonts w:hint="eastAsia" w:eastAsia="黑体"/>
          <w:bCs/>
          <w:color w:val="auto"/>
          <w:szCs w:val="32"/>
          <w:lang w:eastAsia="zh-CN"/>
        </w:rPr>
      </w:pPr>
      <w:r>
        <w:rPr>
          <w:rFonts w:eastAsia="黑体"/>
          <w:bCs/>
          <w:color w:val="auto"/>
          <w:szCs w:val="32"/>
        </w:rPr>
        <w:t>项目单位：遂宁市船山区</w:t>
      </w:r>
      <w:r>
        <w:rPr>
          <w:rFonts w:hint="eastAsia" w:eastAsia="黑体"/>
          <w:bCs/>
          <w:color w:val="auto"/>
          <w:szCs w:val="32"/>
          <w:lang w:val="en-US" w:eastAsia="zh-CN"/>
        </w:rPr>
        <w:t>卫生健康局</w:t>
      </w:r>
    </w:p>
    <w:p>
      <w:pPr>
        <w:adjustRightInd w:val="0"/>
        <w:snapToGrid w:val="0"/>
        <w:ind w:left="1280" w:leftChars="400" w:firstLine="0" w:firstLineChars="0"/>
        <w:rPr>
          <w:rFonts w:hint="eastAsia" w:eastAsia="黑体"/>
          <w:bCs/>
          <w:color w:val="auto"/>
          <w:szCs w:val="32"/>
          <w:lang w:eastAsia="zh-CN"/>
        </w:rPr>
      </w:pPr>
      <w:r>
        <w:rPr>
          <w:rFonts w:eastAsia="黑体"/>
          <w:bCs/>
          <w:color w:val="auto"/>
          <w:szCs w:val="32"/>
        </w:rPr>
        <w:t>主管部门：遂宁市船山区</w:t>
      </w:r>
      <w:r>
        <w:rPr>
          <w:rFonts w:hint="eastAsia" w:eastAsia="黑体"/>
          <w:bCs/>
          <w:color w:val="auto"/>
          <w:szCs w:val="32"/>
          <w:lang w:val="en-US" w:eastAsia="zh-CN"/>
        </w:rPr>
        <w:t>卫生健康局</w:t>
      </w:r>
    </w:p>
    <w:p>
      <w:pPr>
        <w:adjustRightInd w:val="0"/>
        <w:snapToGrid w:val="0"/>
        <w:ind w:firstLine="1280" w:firstLineChars="400"/>
        <w:rPr>
          <w:rFonts w:eastAsia="黑体"/>
          <w:bCs/>
          <w:color w:val="auto"/>
          <w:szCs w:val="32"/>
        </w:rPr>
      </w:pPr>
      <w:r>
        <w:rPr>
          <w:rFonts w:eastAsia="黑体"/>
          <w:bCs/>
          <w:color w:val="auto"/>
          <w:szCs w:val="32"/>
        </w:rPr>
        <w:t>委托单位：船山区财政局</w:t>
      </w:r>
    </w:p>
    <w:p>
      <w:pPr>
        <w:adjustRightInd w:val="0"/>
        <w:snapToGrid w:val="0"/>
        <w:ind w:firstLine="1280" w:firstLineChars="400"/>
        <w:rPr>
          <w:rFonts w:eastAsia="黑体"/>
          <w:bCs/>
          <w:color w:val="auto"/>
          <w:szCs w:val="32"/>
        </w:rPr>
      </w:pPr>
      <w:r>
        <w:rPr>
          <w:rFonts w:eastAsia="黑体"/>
          <w:bCs/>
          <w:color w:val="auto"/>
          <w:szCs w:val="32"/>
        </w:rPr>
        <w:t>咨询机构：四川中政致诚商务信息咨询有限公司</w:t>
      </w:r>
    </w:p>
    <w:p>
      <w:pPr>
        <w:adjustRightInd w:val="0"/>
        <w:snapToGrid w:val="0"/>
        <w:ind w:firstLine="640"/>
        <w:jc w:val="center"/>
        <w:rPr>
          <w:rFonts w:eastAsia="黑体"/>
          <w:bCs/>
          <w:color w:val="auto"/>
          <w:szCs w:val="32"/>
        </w:rPr>
      </w:pPr>
    </w:p>
    <w:p>
      <w:pPr>
        <w:adjustRightInd w:val="0"/>
        <w:snapToGrid w:val="0"/>
        <w:ind w:firstLine="640"/>
        <w:jc w:val="center"/>
        <w:rPr>
          <w:rFonts w:eastAsia="黑体"/>
          <w:bCs/>
          <w:color w:val="auto"/>
          <w:szCs w:val="32"/>
        </w:rPr>
      </w:pPr>
      <w:r>
        <w:rPr>
          <w:rFonts w:eastAsia="黑体"/>
          <w:bCs/>
          <w:color w:val="auto"/>
          <w:szCs w:val="32"/>
        </w:rPr>
        <w:t>二〇二二年十一月</w:t>
      </w:r>
    </w:p>
    <w:p>
      <w:pPr>
        <w:adjustRightInd w:val="0"/>
        <w:snapToGrid w:val="0"/>
        <w:ind w:firstLine="640"/>
        <w:rPr>
          <w:rFonts w:eastAsia="黑体"/>
          <w:bCs/>
          <w:color w:val="auto"/>
          <w:szCs w:val="32"/>
        </w:rPr>
      </w:pPr>
    </w:p>
    <w:p>
      <w:pPr>
        <w:adjustRightInd w:val="0"/>
        <w:snapToGrid w:val="0"/>
        <w:ind w:firstLine="640"/>
        <w:rPr>
          <w:rFonts w:eastAsia="黑体"/>
          <w:bCs/>
          <w:color w:val="auto"/>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sdt>
      <w:sdtPr>
        <w:rPr>
          <w:rFonts w:ascii="Times New Roman" w:hAnsi="Times New Roman" w:eastAsia="仿宋" w:cs="Times New Roman"/>
          <w:color w:val="auto"/>
          <w:kern w:val="2"/>
          <w:szCs w:val="24"/>
          <w:lang w:val="zh-CN"/>
        </w:rPr>
        <w:id w:val="296965029"/>
        <w:docPartObj>
          <w:docPartGallery w:val="Table of Contents"/>
          <w:docPartUnique/>
        </w:docPartObj>
      </w:sdtPr>
      <w:sdtEndPr>
        <w:rPr>
          <w:rFonts w:ascii="Times New Roman" w:hAnsi="Times New Roman" w:eastAsia="仿宋" w:cs="Times New Roman"/>
          <w:b/>
          <w:bCs/>
          <w:color w:val="auto"/>
          <w:kern w:val="2"/>
          <w:szCs w:val="24"/>
          <w:lang w:val="zh-CN"/>
        </w:rPr>
      </w:sdtEndPr>
      <w:sdtContent>
        <w:p>
          <w:pPr>
            <w:pStyle w:val="42"/>
            <w:spacing w:before="0" w:line="360" w:lineRule="auto"/>
            <w:ind w:firstLine="640"/>
            <w:jc w:val="center"/>
            <w:rPr>
              <w:rFonts w:ascii="Times New Roman" w:hAnsi="Times New Roman" w:eastAsia="仿宋" w:cs="Times New Roman"/>
              <w:b/>
              <w:bCs/>
              <w:color w:val="auto"/>
            </w:rPr>
          </w:pPr>
          <w:r>
            <w:rPr>
              <w:rFonts w:ascii="Times New Roman" w:hAnsi="Times New Roman" w:eastAsia="仿宋" w:cs="Times New Roman"/>
              <w:b/>
              <w:bCs/>
              <w:color w:val="auto"/>
              <w:lang w:val="zh-CN"/>
            </w:rPr>
            <w:t>目 录</w:t>
          </w:r>
        </w:p>
        <w:p>
          <w:pPr>
            <w:pStyle w:val="10"/>
            <w:tabs>
              <w:tab w:val="right" w:leader="dot" w:pos="8312"/>
            </w:tabs>
            <w:rPr>
              <w:color w:val="auto"/>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_Toc19019 </w:instrText>
          </w:r>
          <w:r>
            <w:rPr>
              <w:color w:val="auto"/>
            </w:rPr>
            <w:fldChar w:fldCharType="separate"/>
          </w:r>
          <w:r>
            <w:rPr>
              <w:color w:val="auto"/>
            </w:rPr>
            <w:t>一、项目基本情况</w:t>
          </w:r>
          <w:r>
            <w:rPr>
              <w:color w:val="auto"/>
            </w:rPr>
            <w:tab/>
          </w:r>
          <w:r>
            <w:rPr>
              <w:color w:val="auto"/>
            </w:rPr>
            <w:fldChar w:fldCharType="begin"/>
          </w:r>
          <w:r>
            <w:rPr>
              <w:color w:val="auto"/>
            </w:rPr>
            <w:instrText xml:space="preserve"> PAGEREF _Toc19019 \h </w:instrText>
          </w:r>
          <w:r>
            <w:rPr>
              <w:color w:val="auto"/>
            </w:rPr>
            <w:fldChar w:fldCharType="separate"/>
          </w:r>
          <w:r>
            <w:rPr>
              <w:color w:val="auto"/>
            </w:rPr>
            <w:t>- 2 -</w:t>
          </w:r>
          <w:r>
            <w:rPr>
              <w:color w:val="auto"/>
            </w:rPr>
            <w:fldChar w:fldCharType="end"/>
          </w:r>
          <w:r>
            <w:rPr>
              <w:color w:val="auto"/>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_Toc17679 </w:instrText>
          </w:r>
          <w:r>
            <w:rPr>
              <w:bCs/>
              <w:color w:val="auto"/>
              <w:lang w:val="zh-CN"/>
            </w:rPr>
            <w:fldChar w:fldCharType="separate"/>
          </w:r>
          <w:r>
            <w:rPr>
              <w:rFonts w:ascii="Times New Roman" w:hAnsi="Times New Roman" w:cs="Times New Roman"/>
              <w:color w:val="auto"/>
            </w:rPr>
            <w:t>（一）项目背景及内容</w:t>
          </w:r>
          <w:r>
            <w:rPr>
              <w:color w:val="auto"/>
            </w:rPr>
            <w:tab/>
          </w:r>
          <w:r>
            <w:rPr>
              <w:color w:val="auto"/>
            </w:rPr>
            <w:fldChar w:fldCharType="begin"/>
          </w:r>
          <w:r>
            <w:rPr>
              <w:color w:val="auto"/>
            </w:rPr>
            <w:instrText xml:space="preserve"> PAGEREF _Toc17679 \h </w:instrText>
          </w:r>
          <w:r>
            <w:rPr>
              <w:color w:val="auto"/>
            </w:rPr>
            <w:fldChar w:fldCharType="separate"/>
          </w:r>
          <w:r>
            <w:rPr>
              <w:color w:val="auto"/>
            </w:rPr>
            <w:t>- 2 -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_Toc22519 </w:instrText>
          </w:r>
          <w:r>
            <w:rPr>
              <w:bCs/>
              <w:color w:val="auto"/>
              <w:lang w:val="zh-CN"/>
            </w:rPr>
            <w:fldChar w:fldCharType="separate"/>
          </w:r>
          <w:r>
            <w:rPr>
              <w:rFonts w:ascii="Times New Roman" w:hAnsi="Times New Roman" w:cs="Times New Roman"/>
              <w:color w:val="auto"/>
            </w:rPr>
            <w:t>（二）项目预算资金及使用情况</w:t>
          </w:r>
          <w:r>
            <w:rPr>
              <w:color w:val="auto"/>
            </w:rPr>
            <w:tab/>
          </w:r>
          <w:r>
            <w:rPr>
              <w:color w:val="auto"/>
            </w:rPr>
            <w:fldChar w:fldCharType="begin"/>
          </w:r>
          <w:r>
            <w:rPr>
              <w:color w:val="auto"/>
            </w:rPr>
            <w:instrText xml:space="preserve"> PAGEREF _Toc22519 \h </w:instrText>
          </w:r>
          <w:r>
            <w:rPr>
              <w:color w:val="auto"/>
            </w:rPr>
            <w:fldChar w:fldCharType="separate"/>
          </w:r>
          <w:r>
            <w:rPr>
              <w:color w:val="auto"/>
            </w:rPr>
            <w:t>- 3 -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_Toc30652 </w:instrText>
          </w:r>
          <w:r>
            <w:rPr>
              <w:bCs/>
              <w:color w:val="auto"/>
              <w:lang w:val="zh-CN"/>
            </w:rPr>
            <w:fldChar w:fldCharType="separate"/>
          </w:r>
          <w:r>
            <w:rPr>
              <w:rFonts w:ascii="Times New Roman" w:hAnsi="Times New Roman" w:cs="Times New Roman"/>
              <w:color w:val="auto"/>
            </w:rPr>
            <w:t>（三）项目组织情况</w:t>
          </w:r>
          <w:r>
            <w:rPr>
              <w:color w:val="auto"/>
            </w:rPr>
            <w:tab/>
          </w:r>
          <w:r>
            <w:rPr>
              <w:color w:val="auto"/>
            </w:rPr>
            <w:fldChar w:fldCharType="begin"/>
          </w:r>
          <w:r>
            <w:rPr>
              <w:color w:val="auto"/>
            </w:rPr>
            <w:instrText xml:space="preserve"> PAGEREF _Toc30652 \h </w:instrText>
          </w:r>
          <w:r>
            <w:rPr>
              <w:color w:val="auto"/>
            </w:rPr>
            <w:fldChar w:fldCharType="separate"/>
          </w:r>
          <w:r>
            <w:rPr>
              <w:color w:val="auto"/>
            </w:rPr>
            <w:t>- 5 -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_Toc7801 </w:instrText>
          </w:r>
          <w:r>
            <w:rPr>
              <w:bCs/>
              <w:color w:val="auto"/>
              <w:lang w:val="zh-CN"/>
            </w:rPr>
            <w:fldChar w:fldCharType="separate"/>
          </w:r>
          <w:r>
            <w:rPr>
              <w:rFonts w:ascii="Times New Roman" w:hAnsi="Times New Roman" w:cs="Times New Roman"/>
              <w:color w:val="auto"/>
            </w:rPr>
            <w:t>（四）项目绩效目标</w:t>
          </w:r>
          <w:r>
            <w:rPr>
              <w:color w:val="auto"/>
            </w:rPr>
            <w:tab/>
          </w:r>
          <w:r>
            <w:rPr>
              <w:color w:val="auto"/>
            </w:rPr>
            <w:fldChar w:fldCharType="begin"/>
          </w:r>
          <w:r>
            <w:rPr>
              <w:color w:val="auto"/>
            </w:rPr>
            <w:instrText xml:space="preserve"> PAGEREF _Toc7801 \h </w:instrText>
          </w:r>
          <w:r>
            <w:rPr>
              <w:color w:val="auto"/>
            </w:rPr>
            <w:fldChar w:fldCharType="separate"/>
          </w:r>
          <w:r>
            <w:rPr>
              <w:color w:val="auto"/>
            </w:rPr>
            <w:t>- 6 -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_Toc14484 </w:instrText>
          </w:r>
          <w:r>
            <w:rPr>
              <w:bCs/>
              <w:color w:val="auto"/>
              <w:lang w:val="zh-CN"/>
            </w:rPr>
            <w:fldChar w:fldCharType="separate"/>
          </w:r>
          <w:r>
            <w:rPr>
              <w:color w:val="auto"/>
            </w:rPr>
            <w:t>二、绩效评价工作情况</w:t>
          </w:r>
          <w:r>
            <w:rPr>
              <w:color w:val="auto"/>
            </w:rPr>
            <w:tab/>
          </w:r>
          <w:r>
            <w:rPr>
              <w:color w:val="auto"/>
            </w:rPr>
            <w:fldChar w:fldCharType="begin"/>
          </w:r>
          <w:r>
            <w:rPr>
              <w:color w:val="auto"/>
            </w:rPr>
            <w:instrText xml:space="preserve"> PAGEREF _Toc14484 \h </w:instrText>
          </w:r>
          <w:r>
            <w:rPr>
              <w:color w:val="auto"/>
            </w:rPr>
            <w:fldChar w:fldCharType="separate"/>
          </w:r>
          <w:r>
            <w:rPr>
              <w:color w:val="auto"/>
            </w:rPr>
            <w:t>- 8 -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_Toc4564 </w:instrText>
          </w:r>
          <w:r>
            <w:rPr>
              <w:bCs/>
              <w:color w:val="auto"/>
              <w:lang w:val="zh-CN"/>
            </w:rPr>
            <w:fldChar w:fldCharType="separate"/>
          </w:r>
          <w:r>
            <w:rPr>
              <w:rFonts w:ascii="Times New Roman" w:hAnsi="Times New Roman" w:cs="Times New Roman"/>
              <w:color w:val="auto"/>
            </w:rPr>
            <w:t>（一）评价方法</w:t>
          </w:r>
          <w:r>
            <w:rPr>
              <w:color w:val="auto"/>
            </w:rPr>
            <w:tab/>
          </w:r>
          <w:r>
            <w:rPr>
              <w:color w:val="auto"/>
            </w:rPr>
            <w:fldChar w:fldCharType="begin"/>
          </w:r>
          <w:r>
            <w:rPr>
              <w:color w:val="auto"/>
            </w:rPr>
            <w:instrText xml:space="preserve"> PAGEREF _Toc4564 \h </w:instrText>
          </w:r>
          <w:r>
            <w:rPr>
              <w:color w:val="auto"/>
            </w:rPr>
            <w:fldChar w:fldCharType="separate"/>
          </w:r>
          <w:r>
            <w:rPr>
              <w:color w:val="auto"/>
            </w:rPr>
            <w:t>- 8 -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_Toc7608 </w:instrText>
          </w:r>
          <w:r>
            <w:rPr>
              <w:bCs/>
              <w:color w:val="auto"/>
              <w:lang w:val="zh-CN"/>
            </w:rPr>
            <w:fldChar w:fldCharType="separate"/>
          </w:r>
          <w:r>
            <w:rPr>
              <w:rFonts w:ascii="Times New Roman" w:hAnsi="Times New Roman" w:cs="Times New Roman"/>
              <w:color w:val="auto"/>
            </w:rPr>
            <w:t>（二）评价指标</w:t>
          </w:r>
          <w:r>
            <w:rPr>
              <w:color w:val="auto"/>
            </w:rPr>
            <w:tab/>
          </w:r>
          <w:r>
            <w:rPr>
              <w:color w:val="auto"/>
            </w:rPr>
            <w:fldChar w:fldCharType="begin"/>
          </w:r>
          <w:r>
            <w:rPr>
              <w:color w:val="auto"/>
            </w:rPr>
            <w:instrText xml:space="preserve"> PAGEREF _Toc7608 \h </w:instrText>
          </w:r>
          <w:r>
            <w:rPr>
              <w:color w:val="auto"/>
            </w:rPr>
            <w:fldChar w:fldCharType="separate"/>
          </w:r>
          <w:r>
            <w:rPr>
              <w:color w:val="auto"/>
            </w:rPr>
            <w:t>- 8 -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_Toc6413 </w:instrText>
          </w:r>
          <w:r>
            <w:rPr>
              <w:bCs/>
              <w:color w:val="auto"/>
              <w:lang w:val="zh-CN"/>
            </w:rPr>
            <w:fldChar w:fldCharType="separate"/>
          </w:r>
          <w:r>
            <w:rPr>
              <w:color w:val="auto"/>
            </w:rPr>
            <w:t>三、评价结论和绩效分析</w:t>
          </w:r>
          <w:r>
            <w:rPr>
              <w:color w:val="auto"/>
            </w:rPr>
            <w:tab/>
          </w:r>
          <w:r>
            <w:rPr>
              <w:color w:val="auto"/>
            </w:rPr>
            <w:fldChar w:fldCharType="begin"/>
          </w:r>
          <w:r>
            <w:rPr>
              <w:color w:val="auto"/>
            </w:rPr>
            <w:instrText xml:space="preserve"> PAGEREF _Toc6413 \h </w:instrText>
          </w:r>
          <w:r>
            <w:rPr>
              <w:color w:val="auto"/>
            </w:rPr>
            <w:fldChar w:fldCharType="separate"/>
          </w:r>
          <w:r>
            <w:rPr>
              <w:color w:val="auto"/>
            </w:rPr>
            <w:t>- 11 -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_Toc6811 </w:instrText>
          </w:r>
          <w:r>
            <w:rPr>
              <w:bCs/>
              <w:color w:val="auto"/>
              <w:lang w:val="zh-CN"/>
            </w:rPr>
            <w:fldChar w:fldCharType="separate"/>
          </w:r>
          <w:r>
            <w:rPr>
              <w:rFonts w:ascii="Times New Roman" w:hAnsi="Times New Roman" w:cs="Times New Roman"/>
              <w:color w:val="auto"/>
            </w:rPr>
            <w:t>（一）评价结论</w:t>
          </w:r>
          <w:r>
            <w:rPr>
              <w:color w:val="auto"/>
            </w:rPr>
            <w:tab/>
          </w:r>
          <w:r>
            <w:rPr>
              <w:color w:val="auto"/>
            </w:rPr>
            <w:fldChar w:fldCharType="begin"/>
          </w:r>
          <w:r>
            <w:rPr>
              <w:color w:val="auto"/>
            </w:rPr>
            <w:instrText xml:space="preserve"> PAGEREF _Toc6811 \h </w:instrText>
          </w:r>
          <w:r>
            <w:rPr>
              <w:color w:val="auto"/>
            </w:rPr>
            <w:fldChar w:fldCharType="separate"/>
          </w:r>
          <w:r>
            <w:rPr>
              <w:color w:val="auto"/>
            </w:rPr>
            <w:t>- 11 -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_Toc26335 </w:instrText>
          </w:r>
          <w:r>
            <w:rPr>
              <w:bCs/>
              <w:color w:val="auto"/>
              <w:lang w:val="zh-CN"/>
            </w:rPr>
            <w:fldChar w:fldCharType="separate"/>
          </w:r>
          <w:r>
            <w:rPr>
              <w:rFonts w:ascii="Times New Roman" w:hAnsi="Times New Roman" w:cs="Times New Roman"/>
              <w:color w:val="auto"/>
            </w:rPr>
            <w:t>（二）绩效分析</w:t>
          </w:r>
          <w:r>
            <w:rPr>
              <w:color w:val="auto"/>
            </w:rPr>
            <w:tab/>
          </w:r>
          <w:r>
            <w:rPr>
              <w:color w:val="auto"/>
            </w:rPr>
            <w:fldChar w:fldCharType="begin"/>
          </w:r>
          <w:r>
            <w:rPr>
              <w:color w:val="auto"/>
            </w:rPr>
            <w:instrText xml:space="preserve"> PAGEREF _Toc26335 \h </w:instrText>
          </w:r>
          <w:r>
            <w:rPr>
              <w:color w:val="auto"/>
            </w:rPr>
            <w:fldChar w:fldCharType="separate"/>
          </w:r>
          <w:r>
            <w:rPr>
              <w:color w:val="auto"/>
            </w:rPr>
            <w:t>- 12 -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_Toc26513 </w:instrText>
          </w:r>
          <w:r>
            <w:rPr>
              <w:bCs/>
              <w:color w:val="auto"/>
              <w:lang w:val="zh-CN"/>
            </w:rPr>
            <w:fldChar w:fldCharType="separate"/>
          </w:r>
          <w:r>
            <w:rPr>
              <w:color w:val="auto"/>
            </w:rPr>
            <w:t>四、存在的问题及建议</w:t>
          </w:r>
          <w:r>
            <w:rPr>
              <w:color w:val="auto"/>
            </w:rPr>
            <w:tab/>
          </w:r>
          <w:r>
            <w:rPr>
              <w:color w:val="auto"/>
            </w:rPr>
            <w:fldChar w:fldCharType="begin"/>
          </w:r>
          <w:r>
            <w:rPr>
              <w:color w:val="auto"/>
            </w:rPr>
            <w:instrText xml:space="preserve"> PAGEREF _Toc26513 \h </w:instrText>
          </w:r>
          <w:r>
            <w:rPr>
              <w:color w:val="auto"/>
            </w:rPr>
            <w:fldChar w:fldCharType="separate"/>
          </w:r>
          <w:r>
            <w:rPr>
              <w:color w:val="auto"/>
            </w:rPr>
            <w:t>- 19 -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_Toc2909 </w:instrText>
          </w:r>
          <w:r>
            <w:rPr>
              <w:bCs/>
              <w:color w:val="auto"/>
              <w:lang w:val="zh-CN"/>
            </w:rPr>
            <w:fldChar w:fldCharType="separate"/>
          </w:r>
          <w:r>
            <w:rPr>
              <w:rFonts w:ascii="Times New Roman" w:hAnsi="Times New Roman" w:cs="Times New Roman"/>
              <w:color w:val="auto"/>
            </w:rPr>
            <w:t>（一）存在问题</w:t>
          </w:r>
          <w:r>
            <w:rPr>
              <w:color w:val="auto"/>
            </w:rPr>
            <w:tab/>
          </w:r>
          <w:r>
            <w:rPr>
              <w:color w:val="auto"/>
            </w:rPr>
            <w:fldChar w:fldCharType="begin"/>
          </w:r>
          <w:r>
            <w:rPr>
              <w:color w:val="auto"/>
            </w:rPr>
            <w:instrText xml:space="preserve"> PAGEREF _Toc2909 \h </w:instrText>
          </w:r>
          <w:r>
            <w:rPr>
              <w:color w:val="auto"/>
            </w:rPr>
            <w:fldChar w:fldCharType="separate"/>
          </w:r>
          <w:r>
            <w:rPr>
              <w:color w:val="auto"/>
            </w:rPr>
            <w:t>- 19 -</w:t>
          </w:r>
          <w:r>
            <w:rPr>
              <w:color w:val="auto"/>
            </w:rPr>
            <w:fldChar w:fldCharType="end"/>
          </w:r>
          <w:r>
            <w:rPr>
              <w:bCs/>
              <w:color w:val="auto"/>
              <w:lang w:val="zh-CN"/>
            </w:rPr>
            <w:fldChar w:fldCharType="end"/>
          </w:r>
        </w:p>
        <w:p>
          <w:pPr>
            <w:pStyle w:val="11"/>
            <w:tabs>
              <w:tab w:val="right" w:leader="dot" w:pos="8312"/>
            </w:tabs>
            <w:rPr>
              <w:color w:val="auto"/>
            </w:rPr>
          </w:pPr>
          <w:r>
            <w:rPr>
              <w:bCs/>
              <w:color w:val="auto"/>
              <w:lang w:val="zh-CN"/>
            </w:rPr>
            <w:fldChar w:fldCharType="begin"/>
          </w:r>
          <w:r>
            <w:rPr>
              <w:bCs/>
              <w:color w:val="auto"/>
              <w:lang w:val="zh-CN"/>
            </w:rPr>
            <w:instrText xml:space="preserve"> HYPERLINK \l _Toc9853 </w:instrText>
          </w:r>
          <w:r>
            <w:rPr>
              <w:bCs/>
              <w:color w:val="auto"/>
              <w:lang w:val="zh-CN"/>
            </w:rPr>
            <w:fldChar w:fldCharType="separate"/>
          </w:r>
          <w:r>
            <w:rPr>
              <w:rFonts w:ascii="Times New Roman" w:hAnsi="Times New Roman" w:eastAsia="仿宋" w:cs="Times New Roman"/>
              <w:bCs w:val="0"/>
              <w:color w:val="auto"/>
              <w:kern w:val="2"/>
              <w:szCs w:val="32"/>
              <w:lang w:val="en-US" w:eastAsia="zh-CN" w:bidi="ar-SA"/>
            </w:rPr>
            <w:t>（二）相关建议</w:t>
          </w:r>
          <w:r>
            <w:rPr>
              <w:color w:val="auto"/>
            </w:rPr>
            <w:tab/>
          </w:r>
          <w:r>
            <w:rPr>
              <w:color w:val="auto"/>
            </w:rPr>
            <w:fldChar w:fldCharType="begin"/>
          </w:r>
          <w:r>
            <w:rPr>
              <w:color w:val="auto"/>
            </w:rPr>
            <w:instrText xml:space="preserve"> PAGEREF _Toc9853 \h </w:instrText>
          </w:r>
          <w:r>
            <w:rPr>
              <w:color w:val="auto"/>
            </w:rPr>
            <w:fldChar w:fldCharType="separate"/>
          </w:r>
          <w:r>
            <w:rPr>
              <w:color w:val="auto"/>
            </w:rPr>
            <w:t>- 19 -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_Toc10605 </w:instrText>
          </w:r>
          <w:r>
            <w:rPr>
              <w:bCs/>
              <w:color w:val="auto"/>
              <w:lang w:val="zh-CN"/>
            </w:rPr>
            <w:fldChar w:fldCharType="separate"/>
          </w:r>
          <w:r>
            <w:rPr>
              <w:rFonts w:ascii="Times New Roman" w:hAnsi="Times New Roman" w:cs="Times New Roman"/>
              <w:color w:val="auto"/>
            </w:rPr>
            <w:t>五、附件</w:t>
          </w:r>
          <w:r>
            <w:rPr>
              <w:color w:val="auto"/>
            </w:rPr>
            <w:tab/>
          </w:r>
          <w:r>
            <w:rPr>
              <w:color w:val="auto"/>
            </w:rPr>
            <w:fldChar w:fldCharType="begin"/>
          </w:r>
          <w:r>
            <w:rPr>
              <w:color w:val="auto"/>
            </w:rPr>
            <w:instrText xml:space="preserve"> PAGEREF _Toc10605 \h </w:instrText>
          </w:r>
          <w:r>
            <w:rPr>
              <w:color w:val="auto"/>
            </w:rPr>
            <w:fldChar w:fldCharType="separate"/>
          </w:r>
          <w:r>
            <w:rPr>
              <w:color w:val="auto"/>
            </w:rPr>
            <w:t>- 20 -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_Toc27130 </w:instrText>
          </w:r>
          <w:r>
            <w:rPr>
              <w:bCs/>
              <w:color w:val="auto"/>
              <w:lang w:val="zh-CN"/>
            </w:rPr>
            <w:fldChar w:fldCharType="separate"/>
          </w:r>
          <w:r>
            <w:rPr>
              <w:rFonts w:ascii="Times New Roman" w:hAnsi="Times New Roman" w:cs="Times New Roman"/>
              <w:color w:val="auto"/>
            </w:rPr>
            <w:t>附件1：项目支出绩效评价指标体系打分表</w:t>
          </w:r>
          <w:r>
            <w:rPr>
              <w:color w:val="auto"/>
            </w:rPr>
            <w:tab/>
          </w:r>
          <w:r>
            <w:rPr>
              <w:color w:val="auto"/>
            </w:rPr>
            <w:fldChar w:fldCharType="begin"/>
          </w:r>
          <w:r>
            <w:rPr>
              <w:color w:val="auto"/>
            </w:rPr>
            <w:instrText xml:space="preserve"> PAGEREF _Toc27130 \h </w:instrText>
          </w:r>
          <w:r>
            <w:rPr>
              <w:color w:val="auto"/>
            </w:rPr>
            <w:fldChar w:fldCharType="separate"/>
          </w:r>
          <w:r>
            <w:rPr>
              <w:color w:val="auto"/>
            </w:rPr>
            <w:t>- 21 -</w:t>
          </w:r>
          <w:r>
            <w:rPr>
              <w:color w:val="auto"/>
            </w:rPr>
            <w:fldChar w:fldCharType="end"/>
          </w:r>
          <w:r>
            <w:rPr>
              <w:bCs/>
              <w:color w:val="auto"/>
              <w:lang w:val="zh-CN"/>
            </w:rPr>
            <w:fldChar w:fldCharType="end"/>
          </w:r>
        </w:p>
        <w:p>
          <w:pPr>
            <w:pStyle w:val="10"/>
            <w:tabs>
              <w:tab w:val="right" w:leader="dot" w:pos="8312"/>
            </w:tabs>
            <w:rPr>
              <w:color w:val="auto"/>
            </w:rPr>
          </w:pPr>
          <w:r>
            <w:rPr>
              <w:bCs/>
              <w:color w:val="auto"/>
              <w:lang w:val="zh-CN"/>
            </w:rPr>
            <w:fldChar w:fldCharType="begin"/>
          </w:r>
          <w:r>
            <w:rPr>
              <w:bCs/>
              <w:color w:val="auto"/>
              <w:lang w:val="zh-CN"/>
            </w:rPr>
            <w:instrText xml:space="preserve"> HYPERLINK \l _Toc26475 </w:instrText>
          </w:r>
          <w:r>
            <w:rPr>
              <w:bCs/>
              <w:color w:val="auto"/>
              <w:lang w:val="zh-CN"/>
            </w:rPr>
            <w:fldChar w:fldCharType="separate"/>
          </w:r>
          <w:r>
            <w:rPr>
              <w:rFonts w:ascii="Times New Roman" w:hAnsi="Times New Roman" w:cs="Times New Roman"/>
              <w:color w:val="auto"/>
            </w:rPr>
            <w:t>附件</w:t>
          </w:r>
          <w:r>
            <w:rPr>
              <w:rFonts w:hint="eastAsia" w:ascii="Times New Roman" w:hAnsi="Times New Roman" w:cs="Times New Roman"/>
              <w:color w:val="auto"/>
              <w:lang w:val="en-US" w:eastAsia="zh-CN"/>
            </w:rPr>
            <w:t>2</w:t>
          </w:r>
          <w:r>
            <w:rPr>
              <w:rFonts w:ascii="Times New Roman" w:hAnsi="Times New Roman" w:cs="Times New Roman"/>
              <w:color w:val="auto"/>
            </w:rPr>
            <w:t>：</w:t>
          </w:r>
          <w:r>
            <w:rPr>
              <w:rFonts w:hint="eastAsia" w:ascii="Times New Roman" w:hAnsi="Times New Roman" w:cs="Times New Roman"/>
              <w:color w:val="auto"/>
            </w:rPr>
            <w:t>问卷调查汇总分析报告</w:t>
          </w:r>
          <w:r>
            <w:rPr>
              <w:color w:val="auto"/>
            </w:rPr>
            <w:tab/>
          </w:r>
          <w:r>
            <w:rPr>
              <w:color w:val="auto"/>
            </w:rPr>
            <w:t xml:space="preserve">- </w:t>
          </w:r>
          <w:r>
            <w:rPr>
              <w:color w:val="auto"/>
            </w:rPr>
            <w:fldChar w:fldCharType="begin"/>
          </w:r>
          <w:r>
            <w:rPr>
              <w:color w:val="auto"/>
            </w:rPr>
            <w:instrText xml:space="preserve"> PAGEREF _Toc26475 \h </w:instrText>
          </w:r>
          <w:r>
            <w:rPr>
              <w:color w:val="auto"/>
            </w:rPr>
            <w:fldChar w:fldCharType="separate"/>
          </w:r>
          <w:r>
            <w:rPr>
              <w:color w:val="auto"/>
            </w:rPr>
            <w:t>27</w:t>
          </w:r>
          <w:r>
            <w:rPr>
              <w:color w:val="auto"/>
            </w:rPr>
            <w:fldChar w:fldCharType="end"/>
          </w:r>
          <w:r>
            <w:rPr>
              <w:bCs/>
              <w:color w:val="auto"/>
              <w:lang w:val="zh-CN"/>
            </w:rPr>
            <w:fldChar w:fldCharType="end"/>
          </w:r>
          <w:r>
            <w:rPr>
              <w:color w:val="auto"/>
            </w:rPr>
            <w:t xml:space="preserve">- </w:t>
          </w:r>
        </w:p>
        <w:p>
          <w:pPr>
            <w:ind w:firstLine="0" w:firstLineChars="0"/>
            <w:rPr>
              <w:bCs/>
              <w:color w:val="auto"/>
              <w:lang w:val="zh-CN"/>
            </w:rPr>
          </w:pPr>
          <w:r>
            <w:rPr>
              <w:bCs/>
              <w:color w:val="auto"/>
              <w:lang w:val="zh-CN"/>
            </w:rPr>
            <w:fldChar w:fldCharType="end"/>
          </w:r>
        </w:p>
        <w:p>
          <w:pPr>
            <w:rPr>
              <w:color w:val="auto"/>
            </w:rPr>
          </w:pPr>
          <w:r>
            <w:rPr>
              <w:bCs/>
              <w:color w:val="auto"/>
              <w:lang w:val="zh-CN"/>
            </w:rPr>
            <w:br w:type="page"/>
          </w:r>
        </w:p>
      </w:sdtContent>
    </w:sdt>
    <w:p>
      <w:pPr>
        <w:ind w:firstLine="0" w:firstLineChars="0"/>
        <w:jc w:val="center"/>
        <w:rPr>
          <w:rFonts w:eastAsia="方正小标宋简体"/>
          <w:color w:val="auto"/>
          <w:sz w:val="44"/>
          <w:szCs w:val="44"/>
        </w:rPr>
      </w:pPr>
      <w:r>
        <w:rPr>
          <w:rFonts w:hint="eastAsia" w:eastAsia="方正小标宋简体"/>
          <w:color w:val="auto"/>
          <w:sz w:val="44"/>
          <w:szCs w:val="44"/>
        </w:rPr>
        <w:t>2021年船山区基本公共卫生服务项目</w:t>
      </w:r>
      <w:r>
        <w:rPr>
          <w:rFonts w:eastAsia="方正小标宋简体"/>
          <w:color w:val="auto"/>
          <w:sz w:val="44"/>
          <w:szCs w:val="44"/>
        </w:rPr>
        <w:t>支出绩效评价报告</w:t>
      </w:r>
    </w:p>
    <w:p>
      <w:pPr>
        <w:spacing w:line="460" w:lineRule="exact"/>
        <w:ind w:left="0" w:leftChars="0" w:firstLine="0" w:firstLineChars="0"/>
        <w:jc w:val="both"/>
        <w:rPr>
          <w:color w:val="auto"/>
          <w:szCs w:val="32"/>
        </w:rPr>
      </w:pPr>
    </w:p>
    <w:p>
      <w:pPr>
        <w:pStyle w:val="3"/>
        <w:ind w:firstLine="640"/>
        <w:rPr>
          <w:color w:val="auto"/>
        </w:rPr>
      </w:pPr>
      <w:bookmarkStart w:id="0" w:name="_Toc19019"/>
      <w:r>
        <w:rPr>
          <w:color w:val="auto"/>
        </w:rPr>
        <w:t>一、项目基本情况</w:t>
      </w:r>
      <w:bookmarkEnd w:id="0"/>
    </w:p>
    <w:p>
      <w:pPr>
        <w:pStyle w:val="4"/>
        <w:snapToGrid/>
        <w:ind w:firstLine="640"/>
        <w:rPr>
          <w:rFonts w:ascii="Times New Roman" w:hAnsi="Times New Roman" w:cs="Times New Roman"/>
          <w:color w:val="auto"/>
        </w:rPr>
      </w:pPr>
      <w:bookmarkStart w:id="1" w:name="_Toc17679"/>
      <w:r>
        <w:rPr>
          <w:rFonts w:ascii="Times New Roman" w:hAnsi="Times New Roman" w:cs="Times New Roman"/>
          <w:color w:val="auto"/>
        </w:rPr>
        <w:t>（一）项目背景及内容</w:t>
      </w:r>
      <w:bookmarkEnd w:id="1"/>
    </w:p>
    <w:p>
      <w:pPr>
        <w:ind w:firstLine="640"/>
        <w:rPr>
          <w:rFonts w:hint="eastAsia" w:ascii="Times New Roman" w:hAnsi="Times New Roman" w:cs="Times New Roman"/>
          <w:color w:val="auto"/>
          <w:kern w:val="2"/>
          <w:sz w:val="32"/>
          <w:szCs w:val="32"/>
          <w:lang w:val="en-US" w:eastAsia="zh-CN" w:bidi="ar-SA"/>
        </w:rPr>
      </w:pPr>
      <w:r>
        <w:rPr>
          <w:rFonts w:ascii="Times New Roman" w:hAnsi="Times New Roman" w:eastAsia="仿宋" w:cs="Times New Roman"/>
          <w:color w:val="auto"/>
          <w:kern w:val="2"/>
          <w:sz w:val="32"/>
          <w:szCs w:val="32"/>
          <w:lang w:val="en-US" w:eastAsia="zh-CN" w:bidi="ar-SA"/>
        </w:rPr>
        <w:t>2009年</w:t>
      </w:r>
      <w:r>
        <w:rPr>
          <w:rFonts w:hint="eastAsia" w:ascii="Times New Roman" w:hAnsi="Times New Roman" w:cs="Times New Roman"/>
          <w:color w:val="auto"/>
          <w:kern w:val="2"/>
          <w:sz w:val="32"/>
          <w:szCs w:val="32"/>
          <w:lang w:val="en-US" w:eastAsia="zh-CN" w:bidi="ar-SA"/>
        </w:rPr>
        <w:t>，</w:t>
      </w:r>
      <w:r>
        <w:rPr>
          <w:rFonts w:ascii="Times New Roman" w:hAnsi="Times New Roman" w:eastAsia="仿宋" w:cs="Times New Roman"/>
          <w:color w:val="auto"/>
          <w:kern w:val="2"/>
          <w:sz w:val="32"/>
          <w:szCs w:val="32"/>
          <w:lang w:val="en-US" w:eastAsia="zh-CN" w:bidi="ar-SA"/>
        </w:rPr>
        <w:t>国家</w:t>
      </w:r>
      <w:r>
        <w:rPr>
          <w:rFonts w:hint="eastAsia" w:ascii="Times New Roman" w:hAnsi="Times New Roman" w:cs="Times New Roman"/>
          <w:color w:val="auto"/>
          <w:kern w:val="2"/>
          <w:sz w:val="32"/>
          <w:szCs w:val="32"/>
          <w:lang w:val="en-US" w:eastAsia="zh-CN" w:bidi="ar-SA"/>
        </w:rPr>
        <w:t>正式</w:t>
      </w:r>
      <w:r>
        <w:rPr>
          <w:rFonts w:ascii="Times New Roman" w:hAnsi="Times New Roman" w:eastAsia="仿宋" w:cs="Times New Roman"/>
          <w:color w:val="auto"/>
          <w:kern w:val="2"/>
          <w:sz w:val="32"/>
          <w:szCs w:val="32"/>
          <w:lang w:val="en-US" w:eastAsia="zh-CN" w:bidi="ar-SA"/>
        </w:rPr>
        <w:t>启动实施基本公共卫生服务项目，由各级财政共同提供经费保障，目标覆盖我国14亿人口，旨在完整记载社区居民从出生到死亡的健康相关信息，通过分级诊疗与干预指导，提高居民生活质量，预防疾病及延长生命。基本公共卫生服务项目（以下简称本项目）作为党和政府实施的惠民政策，其本质是政府购买公共卫生服务，交由基层医疗卫生机构实施，从而让居民享受国家基本卫生保健制度，是深化医药卫生体制改革和促进公共卫生服务逐步均等化的重要内容。</w:t>
      </w:r>
      <w:r>
        <w:rPr>
          <w:rFonts w:hint="eastAsia" w:ascii="Times New Roman" w:hAnsi="Times New Roman" w:eastAsia="仿宋" w:cs="Times New Roman"/>
          <w:color w:val="auto"/>
          <w:kern w:val="2"/>
          <w:sz w:val="32"/>
          <w:szCs w:val="32"/>
          <w:lang w:val="en-US" w:eastAsia="zh-CN" w:bidi="ar-SA"/>
        </w:rPr>
        <w:t>目前，国家基本公共卫生服务项目有14项内容。</w:t>
      </w:r>
    </w:p>
    <w:p>
      <w:pPr>
        <w:pStyle w:val="2"/>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遂宁市船山区</w:t>
      </w:r>
      <w:r>
        <w:rPr>
          <w:rFonts w:ascii="Times New Roman" w:hAnsi="Times New Roman" w:eastAsia="仿宋" w:cs="Times New Roman"/>
          <w:color w:val="auto"/>
          <w:kern w:val="2"/>
          <w:sz w:val="32"/>
          <w:szCs w:val="32"/>
          <w:lang w:val="en-US" w:eastAsia="zh-CN" w:bidi="ar-SA"/>
        </w:rPr>
        <w:t>基本公共卫生服务项目主要</w:t>
      </w:r>
      <w:r>
        <w:rPr>
          <w:rFonts w:hint="eastAsia" w:ascii="Times New Roman" w:hAnsi="Times New Roman" w:eastAsia="仿宋" w:cs="Times New Roman"/>
          <w:color w:val="auto"/>
          <w:kern w:val="2"/>
          <w:sz w:val="32"/>
          <w:szCs w:val="32"/>
          <w:lang w:val="en-US" w:eastAsia="zh-CN" w:bidi="ar-SA"/>
        </w:rPr>
        <w:t>以辖区内常住居民为服务对象，以65岁以上老年人、孕产妇、0-6岁儿童、慢性病患者、肺结核患者、严重精神障碍患者等人群为重点。</w:t>
      </w:r>
      <w:r>
        <w:rPr>
          <w:rFonts w:ascii="Times New Roman" w:hAnsi="Times New Roman" w:eastAsia="仿宋" w:cs="Times New Roman"/>
          <w:color w:val="auto"/>
          <w:kern w:val="2"/>
          <w:sz w:val="32"/>
          <w:szCs w:val="32"/>
          <w:lang w:val="en-US" w:eastAsia="zh-CN" w:bidi="ar-SA"/>
        </w:rPr>
        <w:t>由基层医疗机构提供服务，依据《国家基本公共卫生服务规范（第三版）》的规定，</w:t>
      </w:r>
      <w:r>
        <w:rPr>
          <w:rFonts w:hint="eastAsia" w:ascii="Times New Roman" w:hAnsi="Times New Roman" w:eastAsia="仿宋" w:cs="Times New Roman"/>
          <w:color w:val="auto"/>
          <w:kern w:val="2"/>
          <w:sz w:val="32"/>
          <w:szCs w:val="32"/>
          <w:lang w:val="en-US" w:eastAsia="zh-CN" w:bidi="ar-SA"/>
        </w:rPr>
        <w:t>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12类项目。</w:t>
      </w:r>
    </w:p>
    <w:p>
      <w:pPr>
        <w:pStyle w:val="4"/>
        <w:ind w:firstLine="640"/>
        <w:rPr>
          <w:rFonts w:ascii="Times New Roman" w:hAnsi="Times New Roman" w:cs="Times New Roman"/>
          <w:color w:val="auto"/>
        </w:rPr>
      </w:pPr>
      <w:bookmarkStart w:id="2" w:name="_Toc22519"/>
      <w:r>
        <w:rPr>
          <w:rFonts w:ascii="Times New Roman" w:hAnsi="Times New Roman" w:cs="Times New Roman"/>
          <w:color w:val="auto"/>
        </w:rPr>
        <w:t>（二）项目预算资金及使用情况</w:t>
      </w:r>
      <w:bookmarkEnd w:id="2"/>
    </w:p>
    <w:p>
      <w:pPr>
        <w:pStyle w:val="21"/>
        <w:keepNext w:val="0"/>
        <w:keepLines w:val="0"/>
        <w:pageBreakBefore w:val="0"/>
        <w:widowControl w:val="0"/>
        <w:numPr>
          <w:ilvl w:val="0"/>
          <w:numId w:val="0"/>
        </w:numPr>
        <w:kinsoku/>
        <w:wordWrap/>
        <w:topLinePunct w:val="0"/>
        <w:autoSpaceDE/>
        <w:autoSpaceDN/>
        <w:bidi w:val="0"/>
        <w:spacing w:line="360" w:lineRule="auto"/>
        <w:ind w:firstLine="643" w:firstLineChars="200"/>
        <w:jc w:val="both"/>
        <w:textAlignment w:val="auto"/>
        <w:rPr>
          <w:rFonts w:ascii="Times New Roman" w:hAnsi="Times New Roman" w:eastAsia="仿宋" w:cs="Times New Roman"/>
          <w:bCs/>
          <w:color w:val="auto"/>
          <w:sz w:val="32"/>
          <w:szCs w:val="32"/>
        </w:rPr>
      </w:pPr>
      <w:bookmarkStart w:id="3" w:name="_Toc118908449"/>
      <w:bookmarkStart w:id="4" w:name="_Toc28693"/>
      <w:r>
        <w:rPr>
          <w:rFonts w:ascii="Times New Roman" w:hAnsi="Times New Roman" w:eastAsia="仿宋" w:cs="Times New Roman"/>
          <w:bCs/>
          <w:color w:val="auto"/>
          <w:sz w:val="32"/>
          <w:szCs w:val="32"/>
        </w:rPr>
        <w:t>1.资金到位情况</w:t>
      </w:r>
      <w:bookmarkEnd w:id="3"/>
      <w:bookmarkEnd w:id="4"/>
    </w:p>
    <w:p>
      <w:pPr>
        <w:pStyle w:val="21"/>
        <w:keepNext w:val="0"/>
        <w:keepLines w:val="0"/>
        <w:pageBreakBefore w:val="0"/>
        <w:widowControl w:val="0"/>
        <w:numPr>
          <w:ilvl w:val="0"/>
          <w:numId w:val="0"/>
        </w:numPr>
        <w:kinsoku/>
        <w:wordWrap/>
        <w:topLinePunct w:val="0"/>
        <w:autoSpaceDE/>
        <w:autoSpaceDN/>
        <w:bidi w:val="0"/>
        <w:spacing w:line="360" w:lineRule="auto"/>
        <w:ind w:firstLine="640" w:firstLineChars="200"/>
        <w:jc w:val="both"/>
        <w:textAlignment w:val="auto"/>
        <w:outlineLvl w:val="9"/>
        <w:rPr>
          <w:rFonts w:eastAsia="仿宋"/>
          <w:b w:val="0"/>
          <w:bCs/>
          <w:color w:val="auto"/>
          <w:sz w:val="32"/>
          <w:szCs w:val="32"/>
          <w:lang w:val="en-US"/>
        </w:rPr>
      </w:pPr>
      <w:r>
        <w:rPr>
          <w:rFonts w:hint="eastAsia" w:ascii="Times New Roman" w:hAnsi="Times New Roman" w:eastAsia="仿宋" w:cs="Times New Roman"/>
          <w:b w:val="0"/>
          <w:bCs/>
          <w:color w:val="auto"/>
          <w:kern w:val="2"/>
          <w:sz w:val="32"/>
          <w:szCs w:val="32"/>
          <w:lang w:val="en-US" w:eastAsia="zh-CN" w:bidi="ar-SA"/>
        </w:rPr>
        <w:t>经核实了解，本项目由遂宁市船山区卫生健康局根据</w:t>
      </w:r>
      <w:r>
        <w:rPr>
          <w:rFonts w:hint="eastAsia" w:ascii="仿宋_GB2312" w:eastAsia="仿宋_GB2312"/>
          <w:b w:val="0"/>
          <w:bCs/>
          <w:color w:val="auto"/>
          <w:sz w:val="32"/>
          <w:szCs w:val="32"/>
        </w:rPr>
        <w:t>基层医疗卫生机构实际完成的基本公共卫生服务项目数量和质量，在绩效考核后，</w:t>
      </w:r>
      <w:r>
        <w:rPr>
          <w:rFonts w:hint="eastAsia" w:ascii="仿宋_GB2312"/>
          <w:b w:val="0"/>
          <w:bCs/>
          <w:color w:val="auto"/>
          <w:sz w:val="32"/>
          <w:szCs w:val="32"/>
          <w:lang w:val="en-US" w:eastAsia="zh-CN"/>
        </w:rPr>
        <w:t>根据考核结果</w:t>
      </w:r>
      <w:r>
        <w:rPr>
          <w:rFonts w:hint="eastAsia" w:ascii="Times New Roman" w:hAnsi="Times New Roman" w:eastAsia="仿宋" w:cs="Times New Roman"/>
          <w:b w:val="0"/>
          <w:bCs/>
          <w:color w:val="auto"/>
          <w:kern w:val="2"/>
          <w:sz w:val="32"/>
          <w:szCs w:val="32"/>
          <w:lang w:val="en-US" w:eastAsia="zh-CN" w:bidi="ar-SA"/>
        </w:rPr>
        <w:t>填报“船山区财政资金分配情况审批表”，经由财政部门、资金主管部门等相关领导审批通过后，</w:t>
      </w:r>
      <w:r>
        <w:rPr>
          <w:rFonts w:hint="eastAsia" w:ascii="仿宋_GB2312" w:eastAsia="仿宋_GB2312"/>
          <w:b w:val="0"/>
          <w:bCs/>
          <w:color w:val="auto"/>
          <w:sz w:val="32"/>
          <w:szCs w:val="32"/>
        </w:rPr>
        <w:t>兑现补助经费，按标准拨付到基层医疗卫生机构</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截止2021年12月31日，船山区卫生健康局共计收到财政</w:t>
      </w:r>
      <w:r>
        <w:rPr>
          <w:rFonts w:hint="eastAsia" w:ascii="Times New Roman" w:hAnsi="Times New Roman" w:eastAsia="仿宋" w:cs="Times New Roman"/>
          <w:b w:val="0"/>
          <w:bCs/>
          <w:color w:val="auto"/>
          <w:kern w:val="2"/>
          <w:sz w:val="32"/>
          <w:szCs w:val="32"/>
          <w:lang w:val="en-US" w:eastAsia="zh-CN" w:bidi="ar-SA"/>
        </w:rPr>
        <w:t>共计</w:t>
      </w:r>
      <w:r>
        <w:rPr>
          <w:rFonts w:hint="eastAsia" w:ascii="Times New Roman" w:hAnsi="Times New Roman" w:cs="Times New Roman"/>
          <w:b w:val="0"/>
          <w:bCs/>
          <w:color w:val="auto"/>
          <w:kern w:val="2"/>
          <w:sz w:val="32"/>
          <w:szCs w:val="32"/>
          <w:lang w:val="en-US" w:eastAsia="zh-CN" w:bidi="ar-SA"/>
        </w:rPr>
        <w:t>基本公共卫生补助</w:t>
      </w:r>
      <w:r>
        <w:rPr>
          <w:rFonts w:hint="eastAsia" w:ascii="Times New Roman" w:hAnsi="Times New Roman" w:eastAsia="仿宋" w:cs="Times New Roman"/>
          <w:b w:val="0"/>
          <w:bCs/>
          <w:color w:val="auto"/>
          <w:kern w:val="2"/>
          <w:sz w:val="32"/>
          <w:szCs w:val="32"/>
          <w:lang w:val="en-US" w:eastAsia="zh-CN" w:bidi="ar-SA"/>
        </w:rPr>
        <w:t>资金</w:t>
      </w:r>
      <w:r>
        <w:rPr>
          <w:rFonts w:hint="eastAsia" w:ascii="Times New Roman" w:hAnsi="Times New Roman" w:cs="Times New Roman"/>
          <w:b w:val="0"/>
          <w:bCs/>
          <w:color w:val="auto"/>
          <w:kern w:val="2"/>
          <w:sz w:val="32"/>
          <w:szCs w:val="32"/>
          <w:lang w:val="en-US" w:eastAsia="zh-CN" w:bidi="ar-SA"/>
        </w:rPr>
        <w:t>2586.38</w:t>
      </w:r>
      <w:r>
        <w:rPr>
          <w:rFonts w:hint="eastAsia" w:ascii="Times New Roman" w:hAnsi="Times New Roman" w:eastAsia="仿宋" w:cs="Times New Roman"/>
          <w:b w:val="0"/>
          <w:bCs/>
          <w:color w:val="auto"/>
          <w:kern w:val="2"/>
          <w:sz w:val="32"/>
          <w:szCs w:val="32"/>
          <w:lang w:val="en-US" w:eastAsia="zh-CN" w:bidi="ar-SA"/>
        </w:rPr>
        <w:t>万元</w:t>
      </w:r>
      <w:r>
        <w:rPr>
          <w:rFonts w:hint="eastAsia" w:ascii="Times New Roman" w:hAnsi="Times New Roman" w:cs="Times New Roman"/>
          <w:b w:val="0"/>
          <w:bCs/>
          <w:color w:val="auto"/>
          <w:kern w:val="2"/>
          <w:sz w:val="32"/>
          <w:szCs w:val="32"/>
          <w:lang w:val="en-US" w:eastAsia="zh-CN" w:bidi="ar-SA"/>
        </w:rPr>
        <w:t>，</w:t>
      </w:r>
      <w:r>
        <w:rPr>
          <w:rFonts w:eastAsia="仿宋"/>
          <w:b w:val="0"/>
          <w:bCs/>
          <w:color w:val="auto"/>
          <w:sz w:val="32"/>
          <w:szCs w:val="32"/>
          <w:lang w:val="en-US"/>
        </w:rPr>
        <w:t>资金到位率100%</w:t>
      </w:r>
      <w:r>
        <w:rPr>
          <w:rFonts w:hint="eastAsia"/>
          <w:b w:val="0"/>
          <w:bCs/>
          <w:color w:val="auto"/>
          <w:sz w:val="32"/>
          <w:szCs w:val="32"/>
          <w:lang w:val="en-US" w:eastAsia="zh-CN"/>
        </w:rPr>
        <w:t>，具体情况如下表</w:t>
      </w:r>
      <w:r>
        <w:rPr>
          <w:rFonts w:eastAsia="仿宋"/>
          <w:b w:val="0"/>
          <w:bCs/>
          <w:color w:val="auto"/>
          <w:sz w:val="32"/>
          <w:szCs w:val="32"/>
          <w:lang w:val="en-US"/>
        </w:rPr>
        <w:t>。</w:t>
      </w:r>
    </w:p>
    <w:p>
      <w:pPr>
        <w:pStyle w:val="2"/>
        <w:jc w:val="center"/>
        <w:rPr>
          <w:rFonts w:hint="default" w:ascii="Times New Roman" w:hAnsi="Times New Roman" w:eastAsia="仿宋" w:cs="Times New Roman"/>
          <w:b/>
          <w:color w:val="auto"/>
          <w:kern w:val="0"/>
          <w:sz w:val="24"/>
          <w:szCs w:val="24"/>
          <w:lang w:val="en-US" w:eastAsia="zh-CN" w:bidi="ar-SA"/>
        </w:rPr>
      </w:pPr>
      <w:r>
        <w:rPr>
          <w:rFonts w:hint="eastAsia" w:ascii="Times New Roman" w:hAnsi="Times New Roman" w:eastAsia="仿宋" w:cs="Times New Roman"/>
          <w:b/>
          <w:color w:val="auto"/>
          <w:kern w:val="0"/>
          <w:sz w:val="24"/>
          <w:szCs w:val="24"/>
          <w:lang w:val="en-US" w:eastAsia="zh-CN" w:bidi="ar-SA"/>
        </w:rPr>
        <w:t>表2-1 船山区卫生健康局基本公共卫生补助资金分配表</w:t>
      </w:r>
    </w:p>
    <w:tbl>
      <w:tblPr>
        <w:tblStyle w:val="14"/>
        <w:tblW w:w="8593"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9"/>
        <w:gridCol w:w="1092"/>
        <w:gridCol w:w="18"/>
        <w:gridCol w:w="1011"/>
        <w:gridCol w:w="5"/>
        <w:gridCol w:w="934"/>
        <w:gridCol w:w="4"/>
        <w:gridCol w:w="900"/>
        <w:gridCol w:w="1414"/>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中央资金</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省级资金</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区级资金</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市级资金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小计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1.预下达资金</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1626.2</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178.39</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244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2048.59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cs="仿宋"/>
                <w:b w:val="0"/>
                <w:bCs w:val="0"/>
                <w:i w:val="0"/>
                <w:iCs w:val="0"/>
                <w:color w:val="auto"/>
                <w:kern w:val="0"/>
                <w:sz w:val="24"/>
                <w:szCs w:val="24"/>
                <w:u w:val="none"/>
                <w:lang w:val="en-US" w:eastAsia="zh-CN" w:bidi="ar"/>
              </w:rPr>
              <w:t>其中央资金1万元不属于基本公共卫生服务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2.预下达资金</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77.49</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77.49</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3.预下达资金</w:t>
            </w:r>
          </w:p>
        </w:tc>
        <w:tc>
          <w:tcPr>
            <w:tcW w:w="1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435.93</w:t>
            </w:r>
          </w:p>
        </w:tc>
        <w:tc>
          <w:tcPr>
            <w:tcW w:w="10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21.63</w:t>
            </w:r>
          </w:p>
        </w:tc>
        <w:tc>
          <w:tcPr>
            <w:tcW w:w="9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9.8</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467.36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cs="仿宋"/>
                <w:b w:val="0"/>
                <w:bCs w:val="0"/>
                <w:i w:val="0"/>
                <w:iCs w:val="0"/>
                <w:color w:val="auto"/>
                <w:kern w:val="0"/>
                <w:sz w:val="24"/>
                <w:szCs w:val="24"/>
                <w:u w:val="none"/>
                <w:lang w:val="en-US" w:eastAsia="zh-CN" w:bidi="ar"/>
              </w:rPr>
              <w:t>其中央资金6.06万元不属于基本公共卫生服务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4.不属于基本公共卫生建设</w:t>
            </w:r>
          </w:p>
        </w:tc>
        <w:tc>
          <w:tcPr>
            <w:tcW w:w="537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7.06</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合计</w:t>
            </w:r>
          </w:p>
        </w:tc>
        <w:tc>
          <w:tcPr>
            <w:tcW w:w="11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10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2586.38</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r>
    </w:tbl>
    <w:p>
      <w:pPr>
        <w:pStyle w:val="36"/>
        <w:tabs>
          <w:tab w:val="left" w:pos="1440"/>
        </w:tabs>
        <w:ind w:firstLine="560" w:firstLineChars="0"/>
        <w:rPr>
          <w:rFonts w:eastAsia="仿宋"/>
          <w:color w:val="auto"/>
          <w:sz w:val="32"/>
          <w:szCs w:val="32"/>
          <w:lang w:val="en-US"/>
        </w:rPr>
      </w:pPr>
    </w:p>
    <w:p>
      <w:pPr>
        <w:pStyle w:val="21"/>
        <w:numPr>
          <w:ilvl w:val="0"/>
          <w:numId w:val="0"/>
        </w:numPr>
        <w:ind w:firstLine="643" w:firstLineChars="200"/>
        <w:jc w:val="both"/>
        <w:rPr>
          <w:rFonts w:ascii="Times New Roman" w:hAnsi="Times New Roman" w:eastAsia="仿宋" w:cs="Times New Roman"/>
          <w:bCs/>
          <w:color w:val="auto"/>
          <w:sz w:val="32"/>
          <w:szCs w:val="32"/>
        </w:rPr>
      </w:pPr>
      <w:bookmarkStart w:id="5" w:name="_Toc118908450"/>
      <w:bookmarkStart w:id="6" w:name="_Toc26093"/>
      <w:r>
        <w:rPr>
          <w:rFonts w:ascii="Times New Roman" w:hAnsi="Times New Roman" w:eastAsia="仿宋" w:cs="Times New Roman"/>
          <w:bCs/>
          <w:color w:val="auto"/>
          <w:sz w:val="32"/>
          <w:szCs w:val="32"/>
        </w:rPr>
        <w:t>2.实际支出情况</w:t>
      </w:r>
      <w:bookmarkEnd w:id="5"/>
      <w:bookmarkEnd w:id="6"/>
    </w:p>
    <w:p>
      <w:pPr>
        <w:adjustRightInd w:val="0"/>
        <w:snapToGrid w:val="0"/>
        <w:ind w:firstLine="640"/>
        <w:rPr>
          <w:rFonts w:hint="eastAsia"/>
          <w:color w:val="auto"/>
          <w:szCs w:val="32"/>
          <w:lang w:val="en-US" w:eastAsia="zh-CN"/>
        </w:rPr>
      </w:pPr>
      <w:r>
        <w:rPr>
          <w:color w:val="auto"/>
          <w:szCs w:val="32"/>
        </w:rPr>
        <w:t>经评价组核查，2021年该项目资金实际支出</w:t>
      </w:r>
      <w:r>
        <w:rPr>
          <w:rFonts w:hint="eastAsia" w:ascii="Times New Roman" w:hAnsi="Times New Roman" w:cs="Times New Roman"/>
          <w:color w:val="auto"/>
          <w:kern w:val="2"/>
          <w:sz w:val="32"/>
          <w:szCs w:val="32"/>
          <w:lang w:val="en-US" w:eastAsia="zh-CN" w:bidi="ar-SA"/>
        </w:rPr>
        <w:t>2586.38</w:t>
      </w:r>
      <w:r>
        <w:rPr>
          <w:color w:val="auto"/>
          <w:szCs w:val="32"/>
        </w:rPr>
        <w:t>万元，</w:t>
      </w:r>
      <w:r>
        <w:rPr>
          <w:rFonts w:hint="eastAsia"/>
          <w:color w:val="auto"/>
          <w:szCs w:val="32"/>
          <w:lang w:val="en-US" w:eastAsia="zh-CN"/>
        </w:rPr>
        <w:t>共计发生三笔拨付，由船山区卫健局根据“资金分配表”，将资金拨付给相关二级部门。</w:t>
      </w:r>
    </w:p>
    <w:p>
      <w:pPr>
        <w:pStyle w:val="2"/>
        <w:jc w:val="center"/>
        <w:rPr>
          <w:rFonts w:hint="default"/>
          <w:color w:val="auto"/>
          <w:lang w:val="en-US" w:eastAsia="zh-CN"/>
        </w:rPr>
      </w:pPr>
      <w:r>
        <w:rPr>
          <w:rFonts w:hint="eastAsia" w:ascii="Times New Roman" w:hAnsi="Times New Roman" w:eastAsia="仿宋" w:cs="Times New Roman"/>
          <w:b/>
          <w:color w:val="auto"/>
          <w:kern w:val="0"/>
          <w:sz w:val="24"/>
          <w:szCs w:val="24"/>
          <w:lang w:val="en-US" w:eastAsia="zh-CN" w:bidi="ar-SA"/>
        </w:rPr>
        <w:t>表2-2船山区卫生健康局基本资金下拨二级单位情况表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707"/>
        <w:gridCol w:w="846"/>
        <w:gridCol w:w="729"/>
        <w:gridCol w:w="761"/>
        <w:gridCol w:w="1103"/>
        <w:gridCol w:w="3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中央资金</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省级资金</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区级资金</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市级资金</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小计</w:t>
            </w:r>
          </w:p>
        </w:tc>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1.预下达资金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1626.2</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178.39</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244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2048.59</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1.1拨付给二级部门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1300.16</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142.712</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244</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1686.872</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本次拨付二级部门资金，中央省资金只拨付80%，余下的20%和区级资金结余36万元共同用作用作基本公共卫生年终绩效考核。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2.预下达资金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77.49</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77.49</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2.1拨付给二级部门</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325.04</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35.678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36</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77.49</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474.208</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中央省资金均来自上一次下达资金余下的</w:t>
            </w:r>
            <w:r>
              <w:rPr>
                <w:rFonts w:hint="default" w:ascii="仿宋" w:hAnsi="仿宋" w:eastAsia="仿宋" w:cs="仿宋"/>
                <w:b w:val="0"/>
                <w:bCs w:val="0"/>
                <w:i w:val="0"/>
                <w:iCs w:val="0"/>
                <w:color w:val="auto"/>
                <w:kern w:val="0"/>
                <w:sz w:val="24"/>
                <w:szCs w:val="24"/>
                <w:u w:val="none"/>
                <w:lang w:val="en-US" w:eastAsia="zh-CN" w:bidi="ar"/>
              </w:rPr>
              <w:t>20%</w:t>
            </w:r>
            <w:r>
              <w:rPr>
                <w:rFonts w:hint="eastAsia" w:ascii="仿宋" w:hAnsi="仿宋" w:eastAsia="仿宋" w:cs="仿宋"/>
                <w:b w:val="0"/>
                <w:bCs w:val="0"/>
                <w:i w:val="0"/>
                <w:iCs w:val="0"/>
                <w:color w:val="auto"/>
                <w:kern w:val="0"/>
                <w:sz w:val="24"/>
                <w:szCs w:val="24"/>
                <w:u w:val="none"/>
                <w:lang w:val="en-US" w:eastAsia="zh-CN" w:bidi="ar"/>
              </w:rPr>
              <w:t>，区级资金来自上一次结余36万元。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3.预下达资金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435.93</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21.63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9.8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467.36</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3.1预拨资金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432.87</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18.63</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9.8</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u w:val="none"/>
                <w:lang w:val="en-US" w:eastAsia="zh-CN" w:bidi="ar"/>
              </w:rPr>
              <w:t>461.3</w:t>
            </w:r>
          </w:p>
        </w:tc>
        <w:tc>
          <w:tcPr>
            <w:tcW w:w="3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剔除不属于基本公卫的</w:t>
            </w:r>
            <w:r>
              <w:rPr>
                <w:rFonts w:hint="default"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万元补助，其余资金全额下放，共计</w:t>
            </w:r>
            <w:r>
              <w:rPr>
                <w:rFonts w:hint="default" w:ascii="仿宋" w:hAnsi="仿宋" w:eastAsia="仿宋" w:cs="仿宋"/>
                <w:b w:val="0"/>
                <w:bCs w:val="0"/>
                <w:i w:val="0"/>
                <w:iCs w:val="0"/>
                <w:color w:val="auto"/>
                <w:kern w:val="0"/>
                <w:sz w:val="24"/>
                <w:szCs w:val="24"/>
                <w:u w:val="none"/>
                <w:lang w:val="en-US" w:eastAsia="zh-CN" w:bidi="ar"/>
              </w:rPr>
              <w:t>461.3</w:t>
            </w:r>
            <w:r>
              <w:rPr>
                <w:rFonts w:hint="eastAsia" w:ascii="仿宋" w:hAnsi="仿宋" w:eastAsia="仿宋" w:cs="仿宋"/>
                <w:b w:val="0"/>
                <w:bCs w:val="0"/>
                <w:i w:val="0"/>
                <w:iCs w:val="0"/>
                <w:color w:val="auto"/>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合计</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cs="仿宋"/>
                <w:b/>
                <w:bCs/>
                <w:i w:val="0"/>
                <w:iCs w:val="0"/>
                <w:color w:val="auto"/>
                <w:kern w:val="0"/>
                <w:sz w:val="24"/>
                <w:szCs w:val="24"/>
                <w:u w:val="none"/>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default" w:ascii="仿宋" w:hAnsi="仿宋" w:eastAsia="仿宋" w:cs="仿宋"/>
                <w:b/>
                <w:bCs/>
                <w:i w:val="0"/>
                <w:iCs w:val="0"/>
                <w:color w:val="auto"/>
                <w:kern w:val="0"/>
                <w:sz w:val="24"/>
                <w:szCs w:val="24"/>
                <w:u w:val="none"/>
                <w:lang w:val="en-US" w:eastAsia="zh-CN" w:bidi="ar"/>
              </w:rPr>
              <w:t>2622.38</w:t>
            </w:r>
          </w:p>
        </w:tc>
        <w:tc>
          <w:tcPr>
            <w:tcW w:w="3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rPr>
            </w:pPr>
          </w:p>
        </w:tc>
      </w:tr>
    </w:tbl>
    <w:p>
      <w:pPr>
        <w:pStyle w:val="2"/>
        <w:rPr>
          <w:color w:val="auto"/>
        </w:rPr>
      </w:pPr>
    </w:p>
    <w:p>
      <w:pPr>
        <w:pStyle w:val="4"/>
        <w:pageBreakBefore w:val="0"/>
        <w:widowControl w:val="0"/>
        <w:numPr>
          <w:ilvl w:val="0"/>
          <w:numId w:val="3"/>
        </w:numPr>
        <w:kinsoku/>
        <w:wordWrap/>
        <w:overflowPunct/>
        <w:topLinePunct w:val="0"/>
        <w:autoSpaceDE/>
        <w:autoSpaceDN/>
        <w:bidi w:val="0"/>
        <w:ind w:firstLine="640"/>
        <w:textAlignment w:val="auto"/>
        <w:rPr>
          <w:rFonts w:ascii="Times New Roman" w:hAnsi="Times New Roman" w:cs="Times New Roman"/>
          <w:color w:val="auto"/>
        </w:rPr>
      </w:pPr>
      <w:bookmarkStart w:id="7" w:name="_Toc30652"/>
      <w:r>
        <w:rPr>
          <w:rFonts w:ascii="Times New Roman" w:hAnsi="Times New Roman" w:cs="Times New Roman"/>
          <w:color w:val="auto"/>
        </w:rPr>
        <w:t>项目组织情况</w:t>
      </w:r>
      <w:bookmarkEnd w:id="7"/>
    </w:p>
    <w:p>
      <w:pPr>
        <w:pStyle w:val="4"/>
        <w:pageBreakBefore w:val="0"/>
        <w:widowControl w:val="0"/>
        <w:numPr>
          <w:ilvl w:val="0"/>
          <w:numId w:val="0"/>
        </w:numPr>
        <w:kinsoku/>
        <w:wordWrap/>
        <w:overflowPunct/>
        <w:topLinePunct w:val="0"/>
        <w:autoSpaceDE/>
        <w:autoSpaceDN/>
        <w:bidi w:val="0"/>
        <w:ind w:firstLine="643" w:firstLineChars="200"/>
        <w:textAlignment w:val="auto"/>
        <w:rPr>
          <w:rFonts w:eastAsia="仿宋"/>
          <w:color w:val="auto"/>
          <w:sz w:val="32"/>
          <w:szCs w:val="32"/>
        </w:rPr>
      </w:pPr>
      <w:r>
        <w:rPr>
          <w:rFonts w:eastAsia="仿宋"/>
          <w:b/>
          <w:bCs/>
          <w:color w:val="auto"/>
          <w:sz w:val="32"/>
          <w:szCs w:val="32"/>
        </w:rPr>
        <w:t>船山区财政局（以下简称区财政局）：</w:t>
      </w:r>
      <w:r>
        <w:rPr>
          <w:rFonts w:eastAsia="仿宋"/>
          <w:color w:val="auto"/>
          <w:sz w:val="32"/>
          <w:szCs w:val="32"/>
        </w:rPr>
        <w:t>作为本项目的资金拨付单位，负责项目资金筹集，为项目提供资金保障；负责拨付项目资金，对资金使用进行监管以及绩效考核。</w:t>
      </w:r>
    </w:p>
    <w:p>
      <w:pPr>
        <w:pStyle w:val="36"/>
        <w:snapToGrid/>
        <w:ind w:firstLine="643"/>
        <w:rPr>
          <w:rFonts w:hint="eastAsia" w:eastAsia="仿宋"/>
          <w:color w:val="auto"/>
          <w:sz w:val="32"/>
          <w:szCs w:val="32"/>
        </w:rPr>
      </w:pPr>
      <w:r>
        <w:rPr>
          <w:rFonts w:hint="eastAsia" w:eastAsia="仿宋"/>
          <w:b/>
          <w:bCs/>
          <w:color w:val="auto"/>
          <w:sz w:val="32"/>
          <w:szCs w:val="32"/>
          <w:lang w:val="en-US" w:eastAsia="zh-CN"/>
        </w:rPr>
        <w:t>船山区卫生健康局：</w:t>
      </w:r>
      <w:r>
        <w:rPr>
          <w:rFonts w:hint="eastAsia" w:eastAsia="仿宋"/>
          <w:color w:val="auto"/>
          <w:sz w:val="32"/>
          <w:szCs w:val="32"/>
        </w:rPr>
        <w:t>制定出台全区基本公共卫生服务项目实施方案、绩效考核办法等项目管理方案，建立目标责任制，明确职责分工，强化督导考核，建立健全牵头部门统筹项目的管理和督导考核，相关职能科室负责业务指导的协调工作机制，做好基本公共卫生服务项目各项工作任务的落实。组织人员对基本公共卫生服务项目实施单位落实情况进行绩效评价并每年开展1—2次培训。</w:t>
      </w:r>
    </w:p>
    <w:p>
      <w:pPr>
        <w:pStyle w:val="36"/>
        <w:snapToGrid/>
        <w:ind w:firstLine="643"/>
        <w:rPr>
          <w:rFonts w:hint="default" w:ascii="仿宋_GB2312" w:eastAsia="仿宋_GB2312"/>
          <w:color w:val="auto"/>
          <w:sz w:val="32"/>
          <w:szCs w:val="32"/>
          <w:lang w:val="en-US" w:eastAsia="zh-CN"/>
        </w:rPr>
      </w:pPr>
      <w:r>
        <w:rPr>
          <w:rFonts w:hint="eastAsia" w:ascii="仿宋_GB2312" w:eastAsia="仿宋_GB2312"/>
          <w:b/>
          <w:bCs/>
          <w:color w:val="auto"/>
          <w:sz w:val="32"/>
          <w:szCs w:val="32"/>
        </w:rPr>
        <w:t>乡镇（中心）卫生院、社区卫生服务中心</w:t>
      </w:r>
      <w:r>
        <w:rPr>
          <w:rFonts w:hint="eastAsia" w:ascii="仿宋_GB2312"/>
          <w:b/>
          <w:bCs/>
          <w:color w:val="auto"/>
          <w:sz w:val="32"/>
          <w:szCs w:val="32"/>
          <w:lang w:eastAsia="zh-CN"/>
        </w:rPr>
        <w:t>：</w:t>
      </w:r>
      <w:r>
        <w:rPr>
          <w:rFonts w:hint="eastAsia" w:ascii="仿宋_GB2312"/>
          <w:b w:val="0"/>
          <w:bCs w:val="0"/>
          <w:color w:val="auto"/>
          <w:sz w:val="32"/>
          <w:szCs w:val="32"/>
          <w:lang w:val="en-US" w:eastAsia="zh-CN"/>
        </w:rPr>
        <w:t>免费</w:t>
      </w:r>
      <w:r>
        <w:rPr>
          <w:rFonts w:hint="eastAsia" w:ascii="仿宋_GB2312" w:eastAsia="仿宋_GB2312"/>
          <w:b w:val="0"/>
          <w:bCs w:val="0"/>
          <w:color w:val="auto"/>
          <w:sz w:val="32"/>
          <w:szCs w:val="32"/>
        </w:rPr>
        <w:t>提</w:t>
      </w:r>
      <w:r>
        <w:rPr>
          <w:rFonts w:hint="eastAsia" w:ascii="仿宋_GB2312" w:eastAsia="仿宋_GB2312"/>
          <w:color w:val="auto"/>
          <w:sz w:val="32"/>
          <w:szCs w:val="32"/>
        </w:rPr>
        <w:t>供</w:t>
      </w:r>
      <w:r>
        <w:rPr>
          <w:rFonts w:hint="eastAsia" w:ascii="Times New Roman" w:hAnsi="Times New Roman" w:eastAsia="仿宋_GB2312"/>
          <w:color w:val="auto"/>
          <w:sz w:val="32"/>
          <w:szCs w:val="32"/>
        </w:rPr>
        <w:t>12</w:t>
      </w:r>
      <w:r>
        <w:rPr>
          <w:rFonts w:hint="eastAsia" w:ascii="仿宋_GB2312" w:eastAsia="仿宋_GB2312"/>
          <w:color w:val="auto"/>
          <w:sz w:val="32"/>
          <w:szCs w:val="32"/>
        </w:rPr>
        <w:t>类基本公共卫生服务和新增项目工作</w:t>
      </w:r>
      <w:r>
        <w:rPr>
          <w:rFonts w:hint="eastAsia" w:ascii="仿宋_GB2312"/>
          <w:color w:val="auto"/>
          <w:sz w:val="32"/>
          <w:szCs w:val="32"/>
          <w:lang w:eastAsia="zh-CN"/>
        </w:rPr>
        <w:t>，</w:t>
      </w:r>
      <w:r>
        <w:rPr>
          <w:rFonts w:hint="eastAsia" w:ascii="仿宋_GB2312"/>
          <w:color w:val="auto"/>
          <w:sz w:val="32"/>
          <w:szCs w:val="32"/>
          <w:lang w:val="en-US" w:eastAsia="zh-CN"/>
        </w:rPr>
        <w:t>同时，</w:t>
      </w:r>
      <w:r>
        <w:rPr>
          <w:rFonts w:hint="eastAsia" w:ascii="仿宋_GB2312" w:eastAsia="仿宋_GB2312"/>
          <w:color w:val="auto"/>
          <w:sz w:val="32"/>
          <w:szCs w:val="32"/>
        </w:rPr>
        <w:t>乡镇（中心）卫生院与辖区内村卫生室签订基本公共卫生服务目标责任书，指导辖区内村卫生室完成基本公共卫生服务任务，对其完成的数量、质量进行考核，接受区级公共卫生机构的指导、培训、考核。</w:t>
      </w:r>
    </w:p>
    <w:p>
      <w:pPr>
        <w:overflowPunct w:val="0"/>
        <w:spacing w:line="600" w:lineRule="exact"/>
        <w:ind w:firstLine="643" w:firstLineChars="200"/>
        <w:rPr>
          <w:rFonts w:hint="eastAsia" w:ascii="仿宋_GB2312"/>
          <w:color w:val="auto"/>
          <w:sz w:val="32"/>
          <w:szCs w:val="32"/>
          <w:lang w:val="en-US" w:eastAsia="zh-CN"/>
        </w:rPr>
      </w:pPr>
      <w:r>
        <w:rPr>
          <w:rFonts w:hint="eastAsia" w:ascii="仿宋_GB2312" w:eastAsia="仿宋_GB2312"/>
          <w:b/>
          <w:bCs/>
          <w:color w:val="auto"/>
          <w:sz w:val="32"/>
          <w:szCs w:val="32"/>
        </w:rPr>
        <w:t>村卫生室</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负责收集居民信息，提供基本公共卫生服务，接受乡镇（中心）卫生院的指导和考核</w:t>
      </w:r>
      <w:r>
        <w:rPr>
          <w:rFonts w:hint="eastAsia" w:ascii="仿宋_GB2312" w:eastAsia="仿宋_GB2312"/>
          <w:color w:val="auto"/>
          <w:sz w:val="32"/>
          <w:szCs w:val="32"/>
          <w:lang w:val="en-US" w:eastAsia="zh-CN"/>
        </w:rPr>
        <w:t>等</w:t>
      </w:r>
      <w:r>
        <w:rPr>
          <w:rFonts w:hint="eastAsia" w:ascii="仿宋_GB2312" w:eastAsia="仿宋_GB2312"/>
          <w:color w:val="auto"/>
          <w:sz w:val="32"/>
          <w:szCs w:val="32"/>
        </w:rPr>
        <w:t>基本公共卫生服务</w:t>
      </w:r>
      <w:r>
        <w:rPr>
          <w:rFonts w:hint="eastAsia" w:ascii="仿宋_GB2312" w:eastAsia="仿宋_GB2312"/>
          <w:color w:val="auto"/>
          <w:sz w:val="32"/>
          <w:szCs w:val="32"/>
          <w:lang w:val="en-US" w:eastAsia="zh-CN"/>
        </w:rPr>
        <w:t>工作的落实</w:t>
      </w:r>
      <w:r>
        <w:rPr>
          <w:rFonts w:hint="eastAsia" w:ascii="仿宋_GB2312" w:eastAsia="仿宋_GB2312"/>
          <w:color w:val="auto"/>
          <w:sz w:val="32"/>
          <w:szCs w:val="32"/>
        </w:rPr>
        <w:t>。</w:t>
      </w:r>
    </w:p>
    <w:p>
      <w:pPr>
        <w:pStyle w:val="4"/>
        <w:snapToGrid/>
        <w:ind w:firstLine="640"/>
        <w:rPr>
          <w:rFonts w:ascii="Times New Roman" w:hAnsi="Times New Roman" w:cs="Times New Roman"/>
          <w:color w:val="auto"/>
        </w:rPr>
      </w:pPr>
      <w:bookmarkStart w:id="8" w:name="_Toc7801"/>
      <w:r>
        <w:rPr>
          <w:rFonts w:ascii="Times New Roman" w:hAnsi="Times New Roman" w:cs="Times New Roman"/>
          <w:color w:val="auto"/>
        </w:rPr>
        <w:t>（四）项目绩效目标</w:t>
      </w:r>
      <w:bookmarkEnd w:id="8"/>
    </w:p>
    <w:p>
      <w:pPr>
        <w:pStyle w:val="21"/>
        <w:numPr>
          <w:ilvl w:val="0"/>
          <w:numId w:val="0"/>
        </w:numPr>
        <w:snapToGrid/>
        <w:ind w:firstLine="643" w:firstLineChars="200"/>
        <w:jc w:val="both"/>
        <w:rPr>
          <w:rFonts w:ascii="Times New Roman" w:hAnsi="Times New Roman" w:eastAsia="仿宋" w:cs="Times New Roman"/>
          <w:bCs/>
          <w:color w:val="auto"/>
          <w:sz w:val="32"/>
          <w:szCs w:val="32"/>
        </w:rPr>
      </w:pPr>
      <w:bookmarkStart w:id="9" w:name="_Toc13111"/>
      <w:bookmarkStart w:id="10" w:name="_Toc118908453"/>
      <w:r>
        <w:rPr>
          <w:rFonts w:ascii="Times New Roman" w:hAnsi="Times New Roman" w:eastAsia="仿宋" w:cs="Times New Roman"/>
          <w:bCs/>
          <w:color w:val="auto"/>
          <w:sz w:val="32"/>
          <w:szCs w:val="32"/>
        </w:rPr>
        <w:t>1.总体目标</w:t>
      </w:r>
      <w:bookmarkEnd w:id="9"/>
      <w:bookmarkEnd w:id="10"/>
    </w:p>
    <w:p>
      <w:pPr>
        <w:pStyle w:val="12"/>
        <w:keepNext w:val="0"/>
        <w:keepLines w:val="0"/>
        <w:widowControl/>
        <w:suppressLineNumbers w:val="0"/>
        <w:spacing w:before="0" w:beforeAutospacing="0" w:after="0" w:afterAutospacing="0"/>
        <w:ind w:left="0" w:right="0" w:firstLine="0"/>
        <w:rPr>
          <w:rFonts w:hint="default" w:ascii="仿宋_GB2312" w:hAnsi="Times New Roman" w:eastAsia="仿宋_GB2312" w:cs="Times New Roman"/>
          <w:color w:val="auto"/>
          <w:sz w:val="32"/>
          <w:szCs w:val="32"/>
          <w:lang w:val="en-US" w:eastAsia="zh-CN"/>
        </w:rPr>
      </w:pPr>
      <w:bookmarkStart w:id="11" w:name="_Toc118908454"/>
      <w:r>
        <w:rPr>
          <w:rFonts w:hint="default" w:ascii="仿宋_GB2312" w:hAnsi="Times New Roman" w:eastAsia="仿宋_GB2312" w:cs="Times New Roman"/>
          <w:color w:val="auto"/>
          <w:sz w:val="32"/>
          <w:szCs w:val="32"/>
          <w:lang w:val="en-US" w:eastAsia="zh-CN"/>
        </w:rPr>
        <w:t>本项目通过</w:t>
      </w:r>
      <w:r>
        <w:rPr>
          <w:rFonts w:hint="default" w:ascii="仿宋_GB2312" w:hAnsi="Times New Roman" w:eastAsia="仿宋_GB2312" w:cs="Times New Roman"/>
          <w:color w:val="auto"/>
          <w:kern w:val="2"/>
          <w:sz w:val="32"/>
          <w:szCs w:val="32"/>
          <w:lang w:val="en-US" w:eastAsia="zh-CN" w:bidi="ar-SA"/>
        </w:rPr>
        <w:t>免费向全省常住城乡居民提供12类国家基本公共卫生服务</w:t>
      </w:r>
      <w:r>
        <w:rPr>
          <w:rFonts w:hint="eastAsia" w:ascii="仿宋_GB2312" w:hAnsi="Times New Roman" w:eastAsia="仿宋_GB2312" w:cs="Times New Roman"/>
          <w:color w:val="auto"/>
          <w:kern w:val="2"/>
          <w:sz w:val="32"/>
          <w:szCs w:val="32"/>
          <w:lang w:val="en-US" w:eastAsia="zh-CN" w:bidi="ar-SA"/>
        </w:rPr>
        <w:t>，</w:t>
      </w:r>
      <w:r>
        <w:rPr>
          <w:rFonts w:hint="default" w:ascii="仿宋_GB2312" w:hAnsi="Times New Roman" w:eastAsia="仿宋_GB2312" w:cs="Times New Roman"/>
          <w:color w:val="auto"/>
          <w:kern w:val="2"/>
          <w:sz w:val="32"/>
          <w:szCs w:val="32"/>
          <w:lang w:val="en-US" w:eastAsia="zh-CN" w:bidi="ar-SA"/>
        </w:rPr>
        <w:t>开展对重点疾病及危害因素检测，有效控制疾病流行，为制定相关政策提供科学依据。对城乡居民健康问题实施管理，减少主要健康危险因素，有效预防和控制主要传染病及慢性病，提高公共卫生服务和突发公共卫生事件应急处置能力</w:t>
      </w:r>
      <w:r>
        <w:rPr>
          <w:rFonts w:hint="eastAsia" w:ascii="仿宋_GB2312" w:hAnsi="Times New Roman" w:eastAsia="仿宋_GB2312" w:cs="Times New Roman"/>
          <w:color w:val="auto"/>
          <w:kern w:val="2"/>
          <w:sz w:val="32"/>
          <w:szCs w:val="32"/>
          <w:lang w:val="en-US" w:eastAsia="zh-CN" w:bidi="ar-SA"/>
        </w:rPr>
        <w:t>。</w:t>
      </w:r>
      <w:r>
        <w:rPr>
          <w:rFonts w:hint="default" w:ascii="仿宋_GB2312" w:hAnsi="Times New Roman" w:eastAsia="仿宋_GB2312" w:cs="Times New Roman"/>
          <w:color w:val="auto"/>
          <w:kern w:val="2"/>
          <w:sz w:val="32"/>
          <w:szCs w:val="32"/>
          <w:lang w:val="en-US" w:eastAsia="zh-CN" w:bidi="ar-SA"/>
        </w:rPr>
        <w:t>开展职业病检测，最大限度地保护放射工作人员、患者和公众的健康权益</w:t>
      </w:r>
      <w:r>
        <w:rPr>
          <w:rFonts w:hint="eastAsia" w:ascii="仿宋_GB2312" w:hAnsi="Times New Roman" w:eastAsia="仿宋_GB2312" w:cs="Times New Roman"/>
          <w:color w:val="auto"/>
          <w:kern w:val="2"/>
          <w:sz w:val="32"/>
          <w:szCs w:val="32"/>
          <w:lang w:val="en-US" w:eastAsia="zh-CN" w:bidi="ar-SA"/>
        </w:rPr>
        <w:t>，</w:t>
      </w:r>
      <w:r>
        <w:rPr>
          <w:rFonts w:hint="default" w:ascii="仿宋_GB2312" w:hAnsi="Times New Roman" w:eastAsia="仿宋_GB2312" w:cs="Times New Roman"/>
          <w:color w:val="auto"/>
          <w:kern w:val="2"/>
          <w:sz w:val="32"/>
          <w:szCs w:val="32"/>
          <w:lang w:val="en-US" w:eastAsia="zh-CN" w:bidi="ar-SA"/>
        </w:rPr>
        <w:t>同时推进妇幼健康、健康素养促进、医养结合和老年健康服务、卫生应急、计划生育等方面工作。</w:t>
      </w:r>
    </w:p>
    <w:p>
      <w:pPr>
        <w:pStyle w:val="21"/>
        <w:keepNext w:val="0"/>
        <w:keepLines w:val="0"/>
        <w:pageBreakBefore w:val="0"/>
        <w:widowControl w:val="0"/>
        <w:numPr>
          <w:ilvl w:val="0"/>
          <w:numId w:val="4"/>
        </w:numPr>
        <w:kinsoku/>
        <w:wordWrap/>
        <w:overflowPunct/>
        <w:topLinePunct w:val="0"/>
        <w:autoSpaceDE/>
        <w:autoSpaceDN/>
        <w:bidi w:val="0"/>
        <w:adjustRightInd w:val="0"/>
        <w:snapToGrid/>
        <w:ind w:left="640" w:leftChars="0" w:firstLine="0" w:firstLineChars="0"/>
        <w:jc w:val="both"/>
        <w:textAlignment w:val="auto"/>
        <w:rPr>
          <w:rFonts w:ascii="Times New Roman" w:hAnsi="Times New Roman" w:eastAsia="仿宋" w:cs="Times New Roman"/>
          <w:bCs/>
          <w:color w:val="auto"/>
          <w:sz w:val="32"/>
          <w:szCs w:val="32"/>
        </w:rPr>
      </w:pPr>
      <w:bookmarkStart w:id="12" w:name="_Toc16844"/>
      <w:r>
        <w:rPr>
          <w:rFonts w:ascii="Times New Roman" w:hAnsi="Times New Roman" w:eastAsia="仿宋" w:cs="Times New Roman"/>
          <w:bCs/>
          <w:color w:val="auto"/>
          <w:sz w:val="32"/>
          <w:szCs w:val="32"/>
        </w:rPr>
        <w:t>年度绩效目标</w:t>
      </w:r>
      <w:bookmarkEnd w:id="11"/>
      <w:bookmarkEnd w:id="12"/>
    </w:p>
    <w:p>
      <w:pPr>
        <w:pStyle w:val="21"/>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jc w:val="both"/>
        <w:textAlignment w:val="auto"/>
        <w:rPr>
          <w:rFonts w:eastAsia="仿宋"/>
          <w:b w:val="0"/>
          <w:bCs/>
          <w:color w:val="auto"/>
          <w:sz w:val="32"/>
          <w:szCs w:val="32"/>
        </w:rPr>
      </w:pPr>
      <w:r>
        <w:rPr>
          <w:rFonts w:eastAsia="仿宋"/>
          <w:b w:val="0"/>
          <w:bCs/>
          <w:color w:val="auto"/>
          <w:sz w:val="32"/>
          <w:szCs w:val="32"/>
        </w:rPr>
        <w:t>评价组根据项目</w:t>
      </w:r>
      <w:r>
        <w:rPr>
          <w:rFonts w:hint="eastAsia" w:eastAsia="仿宋"/>
          <w:b w:val="0"/>
          <w:bCs/>
          <w:color w:val="auto"/>
          <w:sz w:val="32"/>
          <w:szCs w:val="32"/>
          <w:lang w:eastAsia="zh-CN"/>
        </w:rPr>
        <w:t>“</w:t>
      </w:r>
      <w:r>
        <w:rPr>
          <w:rFonts w:hint="eastAsia" w:eastAsia="仿宋"/>
          <w:b w:val="0"/>
          <w:bCs/>
          <w:color w:val="auto"/>
          <w:sz w:val="32"/>
          <w:szCs w:val="32"/>
          <w:lang w:val="en-US" w:eastAsia="zh-CN"/>
        </w:rPr>
        <w:t>绩效目标申报表</w:t>
      </w:r>
      <w:r>
        <w:rPr>
          <w:rFonts w:hint="eastAsia" w:eastAsia="仿宋"/>
          <w:b w:val="0"/>
          <w:bCs/>
          <w:color w:val="auto"/>
          <w:sz w:val="32"/>
          <w:szCs w:val="32"/>
          <w:lang w:eastAsia="zh-CN"/>
        </w:rPr>
        <w:t>”</w:t>
      </w:r>
      <w:r>
        <w:rPr>
          <w:rFonts w:hint="eastAsia" w:eastAsia="仿宋"/>
          <w:b w:val="0"/>
          <w:bCs/>
          <w:color w:val="auto"/>
          <w:sz w:val="32"/>
          <w:szCs w:val="32"/>
          <w:lang w:val="en-US" w:eastAsia="zh-CN"/>
        </w:rPr>
        <w:t>以及《船山区2021年国家基本公共卫生服务项目实施方案》</w:t>
      </w:r>
      <w:r>
        <w:rPr>
          <w:rFonts w:eastAsia="仿宋"/>
          <w:b w:val="0"/>
          <w:bCs/>
          <w:color w:val="auto"/>
          <w:sz w:val="32"/>
          <w:szCs w:val="32"/>
        </w:rPr>
        <w:t>等相关资料，梳理出2021年</w:t>
      </w:r>
      <w:r>
        <w:rPr>
          <w:rFonts w:hint="eastAsia" w:eastAsia="仿宋"/>
          <w:b w:val="0"/>
          <w:bCs/>
          <w:color w:val="auto"/>
          <w:sz w:val="32"/>
          <w:szCs w:val="32"/>
          <w:lang w:val="en-US" w:eastAsia="zh-CN"/>
        </w:rPr>
        <w:t>船山区国家基本公共卫生服务项目</w:t>
      </w:r>
      <w:r>
        <w:rPr>
          <w:rFonts w:eastAsia="仿宋"/>
          <w:b w:val="0"/>
          <w:bCs/>
          <w:color w:val="auto"/>
          <w:sz w:val="32"/>
          <w:szCs w:val="32"/>
        </w:rPr>
        <w:t>年度绩效目标，具体内容如下：</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适龄儿童国家免疫规划疫苗接种率≥90%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7岁以</w:t>
      </w:r>
      <w:r>
        <w:rPr>
          <w:rFonts w:hint="eastAsia" w:eastAsia="仿宋"/>
          <w:color w:val="auto"/>
          <w:sz w:val="32"/>
          <w:szCs w:val="32"/>
          <w:lang w:val="en-US" w:eastAsia="zh-CN"/>
        </w:rPr>
        <w:t>下</w:t>
      </w:r>
      <w:r>
        <w:rPr>
          <w:rFonts w:hint="eastAsia" w:eastAsia="仿宋"/>
          <w:color w:val="auto"/>
          <w:sz w:val="32"/>
          <w:szCs w:val="32"/>
        </w:rPr>
        <w:t>孕产妇系统管理率≥85%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老年人健康管理率≥69%</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高血压患者管理人数</w:t>
      </w:r>
      <w:r>
        <w:rPr>
          <w:rFonts w:hint="eastAsia" w:eastAsia="仿宋"/>
          <w:color w:val="auto"/>
          <w:sz w:val="32"/>
          <w:szCs w:val="32"/>
          <w:lang w:eastAsia="zh-CN"/>
        </w:rPr>
        <w:t>：</w:t>
      </w:r>
      <w:r>
        <w:rPr>
          <w:rFonts w:hint="eastAsia" w:eastAsia="仿宋"/>
          <w:color w:val="auto"/>
          <w:sz w:val="32"/>
          <w:szCs w:val="32"/>
        </w:rPr>
        <w:t>19.96万人</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2型糖尿病患者管理人数</w:t>
      </w:r>
      <w:r>
        <w:rPr>
          <w:rFonts w:hint="eastAsia" w:eastAsia="仿宋"/>
          <w:color w:val="auto"/>
          <w:sz w:val="32"/>
          <w:szCs w:val="32"/>
          <w:lang w:eastAsia="zh-CN"/>
        </w:rPr>
        <w:t>：</w:t>
      </w:r>
      <w:r>
        <w:rPr>
          <w:rFonts w:hint="eastAsia" w:eastAsia="仿宋"/>
          <w:color w:val="auto"/>
          <w:sz w:val="32"/>
          <w:szCs w:val="32"/>
        </w:rPr>
        <w:t>6.8万人</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老年人中医药健康管理率</w:t>
      </w:r>
      <w:r>
        <w:rPr>
          <w:rFonts w:hint="eastAsia" w:eastAsia="仿宋"/>
          <w:color w:val="auto"/>
          <w:sz w:val="32"/>
          <w:szCs w:val="32"/>
        </w:rPr>
        <w:tab/>
      </w:r>
      <w:r>
        <w:rPr>
          <w:rFonts w:hint="eastAsia" w:eastAsia="仿宋"/>
          <w:color w:val="auto"/>
          <w:sz w:val="32"/>
          <w:szCs w:val="32"/>
        </w:rPr>
        <w:t>≥55%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儿童中医药健康管理率</w:t>
      </w:r>
      <w:r>
        <w:rPr>
          <w:rFonts w:hint="eastAsia" w:eastAsia="仿宋"/>
          <w:color w:val="auto"/>
          <w:sz w:val="32"/>
          <w:szCs w:val="32"/>
        </w:rPr>
        <w:tab/>
      </w:r>
      <w:r>
        <w:rPr>
          <w:rFonts w:hint="eastAsia" w:eastAsia="仿宋"/>
          <w:color w:val="auto"/>
          <w:sz w:val="32"/>
          <w:szCs w:val="32"/>
        </w:rPr>
        <w:t>≥55%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地方病监测完成率≥95%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麻风病按规定随访到位率≥90%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目标人群叶酸服用率≥90%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孕前优生健康检查目标人群覆盖率≥80%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农村妇女“两癌”检查目标任务完成率≥100%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完成国家和省级双随机抽检任务</w:t>
      </w:r>
      <w:r>
        <w:rPr>
          <w:rFonts w:hint="eastAsia" w:eastAsia="仿宋"/>
          <w:color w:val="auto"/>
          <w:sz w:val="32"/>
          <w:szCs w:val="32"/>
          <w:lang w:val="en-US" w:eastAsia="zh-CN"/>
        </w:rPr>
        <w:t>=</w:t>
      </w:r>
      <w:r>
        <w:rPr>
          <w:rFonts w:hint="eastAsia" w:eastAsia="仿宋"/>
          <w:color w:val="auto"/>
          <w:sz w:val="32"/>
          <w:szCs w:val="32"/>
        </w:rPr>
        <w:t>100%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65岁及以上老年人医养结合服务率≥20%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65岁以上失能老年人健康服务率≥10%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高血压患者规范管理率</w:t>
      </w:r>
      <w:r>
        <w:rPr>
          <w:rFonts w:hint="eastAsia" w:eastAsia="仿宋"/>
          <w:color w:val="auto"/>
          <w:sz w:val="32"/>
          <w:szCs w:val="32"/>
          <w:lang w:val="en-US" w:eastAsia="zh-CN"/>
        </w:rPr>
        <w:t>=</w:t>
      </w:r>
      <w:r>
        <w:rPr>
          <w:rFonts w:hint="eastAsia" w:eastAsia="仿宋"/>
          <w:color w:val="auto"/>
          <w:sz w:val="32"/>
          <w:szCs w:val="32"/>
        </w:rPr>
        <w:t>60%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2型糖尿病患者规范管理率</w:t>
      </w:r>
      <w:r>
        <w:rPr>
          <w:rFonts w:hint="eastAsia" w:eastAsia="仿宋"/>
          <w:color w:val="auto"/>
          <w:sz w:val="32"/>
          <w:szCs w:val="32"/>
          <w:lang w:val="en-US" w:eastAsia="zh-CN"/>
        </w:rPr>
        <w:t>=</w:t>
      </w:r>
      <w:r>
        <w:rPr>
          <w:rFonts w:hint="eastAsia" w:eastAsia="仿宋"/>
          <w:color w:val="auto"/>
          <w:sz w:val="32"/>
          <w:szCs w:val="32"/>
        </w:rPr>
        <w:t>60%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严重精神障碍患者规范管理率</w:t>
      </w:r>
      <w:r>
        <w:rPr>
          <w:rFonts w:hint="eastAsia" w:eastAsia="仿宋"/>
          <w:color w:val="auto"/>
          <w:sz w:val="32"/>
          <w:szCs w:val="32"/>
          <w:lang w:val="en-US" w:eastAsia="zh-CN"/>
        </w:rPr>
        <w:t>≥</w:t>
      </w:r>
      <w:r>
        <w:rPr>
          <w:rFonts w:hint="eastAsia" w:eastAsia="仿宋"/>
          <w:color w:val="auto"/>
          <w:sz w:val="32"/>
          <w:szCs w:val="32"/>
        </w:rPr>
        <w:t>80%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肺结核患者管理率</w:t>
      </w:r>
      <w:r>
        <w:rPr>
          <w:rFonts w:hint="eastAsia" w:eastAsia="仿宋"/>
          <w:color w:val="auto"/>
          <w:sz w:val="32"/>
          <w:szCs w:val="32"/>
          <w:lang w:val="en-US" w:eastAsia="zh-CN"/>
        </w:rPr>
        <w:t>≥</w:t>
      </w:r>
      <w:r>
        <w:rPr>
          <w:rFonts w:hint="eastAsia" w:eastAsia="仿宋"/>
          <w:color w:val="auto"/>
          <w:sz w:val="32"/>
          <w:szCs w:val="32"/>
        </w:rPr>
        <w:t>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传染病和突发公共卫生事件报告率</w:t>
      </w:r>
      <w:r>
        <w:rPr>
          <w:rFonts w:hint="eastAsia" w:eastAsia="仿宋"/>
          <w:color w:val="auto"/>
          <w:sz w:val="32"/>
          <w:szCs w:val="32"/>
          <w:lang w:val="en-US" w:eastAsia="zh-CN"/>
        </w:rPr>
        <w:t>≥</w:t>
      </w:r>
      <w:r>
        <w:rPr>
          <w:rFonts w:hint="eastAsia" w:eastAsia="仿宋"/>
          <w:color w:val="auto"/>
          <w:sz w:val="32"/>
          <w:szCs w:val="32"/>
        </w:rPr>
        <w:t>95%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地方病核心指标监测率</w:t>
      </w:r>
      <w:r>
        <w:rPr>
          <w:rFonts w:hint="eastAsia" w:eastAsia="仿宋"/>
          <w:color w:val="auto"/>
          <w:sz w:val="32"/>
          <w:szCs w:val="32"/>
          <w:lang w:val="en-US" w:eastAsia="zh-CN"/>
        </w:rPr>
        <w:t>≥</w:t>
      </w:r>
      <w:r>
        <w:rPr>
          <w:rFonts w:hint="eastAsia" w:eastAsia="仿宋"/>
          <w:color w:val="auto"/>
          <w:sz w:val="32"/>
          <w:szCs w:val="32"/>
        </w:rPr>
        <w:t>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麻风病可疑线索报告率</w:t>
      </w:r>
      <w:r>
        <w:rPr>
          <w:rFonts w:hint="eastAsia" w:eastAsia="仿宋"/>
          <w:color w:val="auto"/>
          <w:sz w:val="32"/>
          <w:szCs w:val="32"/>
          <w:lang w:val="en-US" w:eastAsia="zh-CN"/>
        </w:rPr>
        <w:t>≥</w:t>
      </w:r>
      <w:r>
        <w:rPr>
          <w:rFonts w:hint="eastAsia" w:eastAsia="仿宋"/>
          <w:color w:val="auto"/>
          <w:sz w:val="32"/>
          <w:szCs w:val="32"/>
        </w:rPr>
        <w:t>90%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青少年烟草流行调查应答率</w:t>
      </w:r>
      <w:r>
        <w:rPr>
          <w:rFonts w:hint="eastAsia" w:eastAsia="仿宋"/>
          <w:color w:val="auto"/>
          <w:sz w:val="32"/>
          <w:szCs w:val="32"/>
          <w:lang w:val="en-US" w:eastAsia="zh-CN"/>
        </w:rPr>
        <w:t>≥</w:t>
      </w:r>
      <w:r>
        <w:rPr>
          <w:rFonts w:hint="eastAsia" w:eastAsia="仿宋"/>
          <w:color w:val="auto"/>
          <w:sz w:val="32"/>
          <w:szCs w:val="32"/>
        </w:rPr>
        <w:tab/>
      </w:r>
      <w:r>
        <w:rPr>
          <w:rFonts w:hint="eastAsia" w:eastAsia="仿宋"/>
          <w:color w:val="auto"/>
          <w:sz w:val="32"/>
          <w:szCs w:val="32"/>
        </w:rPr>
        <w:t>85%</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开展疾控业务专业指导评价</w:t>
      </w:r>
      <w:r>
        <w:rPr>
          <w:rFonts w:hint="eastAsia" w:eastAsia="仿宋"/>
          <w:color w:val="auto"/>
          <w:sz w:val="32"/>
          <w:szCs w:val="32"/>
        </w:rPr>
        <w:tab/>
      </w:r>
      <w:r>
        <w:rPr>
          <w:rFonts w:hint="eastAsia" w:eastAsia="仿宋"/>
          <w:color w:val="auto"/>
          <w:sz w:val="32"/>
          <w:szCs w:val="32"/>
          <w:lang w:eastAsia="zh-CN"/>
        </w:rPr>
        <w:t>：</w:t>
      </w:r>
      <w:r>
        <w:rPr>
          <w:rFonts w:hint="eastAsia" w:eastAsia="仿宋"/>
          <w:color w:val="auto"/>
          <w:sz w:val="32"/>
          <w:szCs w:val="32"/>
        </w:rPr>
        <w:t>乡村覆盖率100%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项目完成时间</w:t>
      </w:r>
      <w:r>
        <w:rPr>
          <w:rFonts w:hint="eastAsia" w:eastAsia="仿宋"/>
          <w:color w:val="auto"/>
          <w:sz w:val="32"/>
          <w:szCs w:val="32"/>
          <w:lang w:eastAsia="zh-CN"/>
        </w:rPr>
        <w:t>：</w:t>
      </w:r>
      <w:r>
        <w:rPr>
          <w:rFonts w:hint="eastAsia" w:eastAsia="仿宋"/>
          <w:color w:val="auto"/>
          <w:sz w:val="32"/>
          <w:szCs w:val="32"/>
        </w:rPr>
        <w:t>2022年12月底前完成项目所有内容</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服务对象满意度</w:t>
      </w:r>
      <w:r>
        <w:rPr>
          <w:rFonts w:hint="eastAsia" w:eastAsia="仿宋"/>
          <w:color w:val="auto"/>
          <w:sz w:val="32"/>
          <w:szCs w:val="32"/>
          <w:lang w:eastAsia="zh-CN"/>
        </w:rPr>
        <w:t>：</w:t>
      </w:r>
      <w:r>
        <w:rPr>
          <w:rFonts w:hint="eastAsia" w:eastAsia="仿宋"/>
          <w:color w:val="auto"/>
          <w:sz w:val="32"/>
          <w:szCs w:val="32"/>
        </w:rPr>
        <w:t>不断提高</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避孕药具发放满意度≥80%</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城乡居民公共卫生服务差距</w:t>
      </w:r>
      <w:r>
        <w:rPr>
          <w:rFonts w:hint="eastAsia" w:eastAsia="仿宋"/>
          <w:color w:val="auto"/>
          <w:sz w:val="32"/>
          <w:szCs w:val="32"/>
        </w:rPr>
        <w:tab/>
      </w:r>
      <w:r>
        <w:rPr>
          <w:rFonts w:hint="eastAsia" w:eastAsia="仿宋"/>
          <w:color w:val="auto"/>
          <w:sz w:val="32"/>
          <w:szCs w:val="32"/>
          <w:lang w:eastAsia="zh-CN"/>
        </w:rPr>
        <w:t>：</w:t>
      </w:r>
      <w:r>
        <w:rPr>
          <w:rFonts w:hint="eastAsia" w:eastAsia="仿宋"/>
          <w:color w:val="auto"/>
          <w:sz w:val="32"/>
          <w:szCs w:val="32"/>
        </w:rPr>
        <w:t>不断缩小</w:t>
      </w:r>
      <w:r>
        <w:rPr>
          <w:rFonts w:hint="eastAsia" w:eastAsia="仿宋"/>
          <w:color w:val="auto"/>
          <w:sz w:val="32"/>
          <w:szCs w:val="32"/>
          <w:lang w:eastAsia="zh-CN"/>
        </w:rPr>
        <w:t>；</w:t>
      </w:r>
    </w:p>
    <w:p>
      <w:pPr>
        <w:pStyle w:val="36"/>
        <w:numPr>
          <w:ilvl w:val="0"/>
          <w:numId w:val="5"/>
        </w:numPr>
        <w:ind w:left="0" w:leftChars="0" w:firstLine="420" w:firstLineChars="0"/>
        <w:rPr>
          <w:rFonts w:hint="eastAsia" w:eastAsia="仿宋"/>
          <w:color w:val="auto"/>
          <w:sz w:val="32"/>
          <w:szCs w:val="32"/>
        </w:rPr>
      </w:pPr>
      <w:r>
        <w:rPr>
          <w:rFonts w:hint="eastAsia" w:eastAsia="仿宋"/>
          <w:color w:val="auto"/>
          <w:sz w:val="32"/>
          <w:szCs w:val="32"/>
        </w:rPr>
        <w:t>基本公共卫生服务水平</w:t>
      </w:r>
      <w:r>
        <w:rPr>
          <w:rFonts w:hint="eastAsia" w:eastAsia="仿宋"/>
          <w:color w:val="auto"/>
          <w:sz w:val="32"/>
          <w:szCs w:val="32"/>
          <w:lang w:eastAsia="zh-CN"/>
        </w:rPr>
        <w:t>：</w:t>
      </w:r>
      <w:r>
        <w:rPr>
          <w:rFonts w:hint="eastAsia" w:eastAsia="仿宋"/>
          <w:color w:val="auto"/>
          <w:sz w:val="32"/>
          <w:szCs w:val="32"/>
        </w:rPr>
        <w:t>不断提高</w:t>
      </w:r>
      <w:r>
        <w:rPr>
          <w:rFonts w:hint="eastAsia" w:eastAsia="仿宋"/>
          <w:color w:val="auto"/>
          <w:sz w:val="32"/>
          <w:szCs w:val="32"/>
          <w:lang w:eastAsia="zh-CN"/>
        </w:rPr>
        <w:t>。</w:t>
      </w:r>
    </w:p>
    <w:p>
      <w:pPr>
        <w:pStyle w:val="3"/>
        <w:ind w:firstLine="640"/>
        <w:rPr>
          <w:color w:val="auto"/>
        </w:rPr>
      </w:pPr>
      <w:bookmarkStart w:id="13" w:name="_Toc14484"/>
      <w:r>
        <w:rPr>
          <w:color w:val="auto"/>
        </w:rPr>
        <w:t>二、绩效评价工作情况</w:t>
      </w:r>
      <w:bookmarkEnd w:id="13"/>
    </w:p>
    <w:p>
      <w:pPr>
        <w:pStyle w:val="4"/>
        <w:snapToGrid/>
        <w:ind w:firstLine="640"/>
        <w:rPr>
          <w:rFonts w:ascii="Times New Roman" w:hAnsi="Times New Roman" w:cs="Times New Roman"/>
          <w:color w:val="auto"/>
        </w:rPr>
      </w:pPr>
      <w:bookmarkStart w:id="14" w:name="_Toc4564"/>
      <w:r>
        <w:rPr>
          <w:rFonts w:ascii="Times New Roman" w:hAnsi="Times New Roman" w:cs="Times New Roman"/>
          <w:color w:val="auto"/>
        </w:rPr>
        <w:t>（一）评价方法</w:t>
      </w:r>
      <w:bookmarkEnd w:id="14"/>
    </w:p>
    <w:p>
      <w:pPr>
        <w:adjustRightInd w:val="0"/>
        <w:snapToGrid w:val="0"/>
        <w:ind w:firstLine="640"/>
        <w:rPr>
          <w:color w:val="auto"/>
          <w:szCs w:val="32"/>
        </w:rPr>
      </w:pPr>
      <w:bookmarkStart w:id="15" w:name="_Hlk73882276"/>
      <w:r>
        <w:rPr>
          <w:color w:val="auto"/>
          <w:szCs w:val="32"/>
        </w:rPr>
        <w:t>本次项目评价将运用社会调查法、比较法、因素分析法、专家咨询等多种方法从多个角度对项目进行分析。</w:t>
      </w:r>
    </w:p>
    <w:p>
      <w:pPr>
        <w:adjustRightInd w:val="0"/>
        <w:snapToGrid w:val="0"/>
        <w:ind w:firstLine="643"/>
        <w:rPr>
          <w:color w:val="auto"/>
          <w:szCs w:val="32"/>
        </w:rPr>
      </w:pPr>
      <w:r>
        <w:rPr>
          <w:b/>
          <w:bCs/>
          <w:color w:val="auto"/>
          <w:szCs w:val="32"/>
        </w:rPr>
        <w:t>1.社会调查法。</w:t>
      </w:r>
      <w:r>
        <w:rPr>
          <w:color w:val="auto"/>
          <w:szCs w:val="32"/>
        </w:rPr>
        <w:t>通过公众问卷、访谈方式等对项目内容的公众评价情况以及项目绩效目标的实现程度进行调查，并对项目资金的使用效果进行分析。</w:t>
      </w:r>
    </w:p>
    <w:p>
      <w:pPr>
        <w:adjustRightInd w:val="0"/>
        <w:snapToGrid w:val="0"/>
        <w:ind w:firstLine="643"/>
        <w:rPr>
          <w:color w:val="auto"/>
          <w:szCs w:val="32"/>
        </w:rPr>
      </w:pPr>
      <w:r>
        <w:rPr>
          <w:b/>
          <w:bCs/>
          <w:color w:val="auto"/>
          <w:szCs w:val="32"/>
        </w:rPr>
        <w:t>2.比较法。</w:t>
      </w:r>
      <w:r>
        <w:rPr>
          <w:color w:val="auto"/>
          <w:szCs w:val="32"/>
        </w:rPr>
        <w:t>通过对项目绩效目标与实施效果的比较，综合分析绩效目标实现程度。</w:t>
      </w:r>
    </w:p>
    <w:p>
      <w:pPr>
        <w:adjustRightInd w:val="0"/>
        <w:snapToGrid w:val="0"/>
        <w:ind w:firstLine="643"/>
        <w:rPr>
          <w:color w:val="auto"/>
          <w:szCs w:val="32"/>
        </w:rPr>
      </w:pPr>
      <w:r>
        <w:rPr>
          <w:b/>
          <w:bCs/>
          <w:color w:val="auto"/>
          <w:szCs w:val="32"/>
        </w:rPr>
        <w:t>3.因素分析法。</w:t>
      </w:r>
      <w:r>
        <w:rPr>
          <w:color w:val="auto"/>
          <w:szCs w:val="32"/>
        </w:rPr>
        <w:t>通过梳理影响绩效目标实现的内外因素，以及项目绩效目标的实现程度，分析这些因素对目标实现的影响力，从而进一步分析如何通过改善影响因素来提高项目实施效果，达到项目绩效目标。</w:t>
      </w:r>
    </w:p>
    <w:p>
      <w:pPr>
        <w:adjustRightInd w:val="0"/>
        <w:snapToGrid w:val="0"/>
        <w:ind w:firstLine="643"/>
        <w:rPr>
          <w:color w:val="auto"/>
          <w:szCs w:val="32"/>
        </w:rPr>
      </w:pPr>
      <w:r>
        <w:rPr>
          <w:b/>
          <w:bCs/>
          <w:color w:val="auto"/>
          <w:szCs w:val="32"/>
        </w:rPr>
        <w:t>4.专家咨询法。</w:t>
      </w:r>
      <w:r>
        <w:rPr>
          <w:color w:val="auto"/>
          <w:szCs w:val="32"/>
        </w:rPr>
        <w:t>主要是利用专家在专业方面的经验和知识，用征询意见和其他形式向专家请教而获得信息的方法。主要包括评价的实施路径、项目评价的思路以及具体指标的分析方法等估。</w:t>
      </w:r>
      <w:bookmarkEnd w:id="15"/>
    </w:p>
    <w:p>
      <w:pPr>
        <w:pStyle w:val="4"/>
        <w:ind w:firstLine="640"/>
        <w:rPr>
          <w:rFonts w:ascii="Times New Roman" w:hAnsi="Times New Roman" w:cs="Times New Roman"/>
          <w:color w:val="auto"/>
        </w:rPr>
      </w:pPr>
      <w:bookmarkStart w:id="16" w:name="_Toc7608"/>
      <w:r>
        <w:rPr>
          <w:rFonts w:ascii="Times New Roman" w:hAnsi="Times New Roman" w:cs="Times New Roman"/>
          <w:color w:val="auto"/>
        </w:rPr>
        <w:t>（二）评价指标</w:t>
      </w:r>
      <w:bookmarkEnd w:id="16"/>
    </w:p>
    <w:p>
      <w:pPr>
        <w:pStyle w:val="21"/>
        <w:numPr>
          <w:ilvl w:val="0"/>
          <w:numId w:val="0"/>
        </w:numPr>
        <w:ind w:firstLine="643" w:firstLineChars="200"/>
        <w:jc w:val="both"/>
        <w:rPr>
          <w:rFonts w:ascii="Times New Roman" w:hAnsi="Times New Roman" w:eastAsia="仿宋" w:cs="Times New Roman"/>
          <w:bCs/>
          <w:color w:val="auto"/>
          <w:sz w:val="32"/>
          <w:szCs w:val="32"/>
        </w:rPr>
      </w:pPr>
      <w:bookmarkStart w:id="17" w:name="_Toc464"/>
      <w:bookmarkStart w:id="18" w:name="_Toc118908458"/>
      <w:bookmarkStart w:id="19" w:name="_Hlk72409964"/>
      <w:r>
        <w:rPr>
          <w:rFonts w:ascii="Times New Roman" w:hAnsi="Times New Roman" w:eastAsia="仿宋" w:cs="Times New Roman"/>
          <w:bCs/>
          <w:color w:val="auto"/>
          <w:sz w:val="32"/>
          <w:szCs w:val="32"/>
        </w:rPr>
        <w:t>1.指标设计思路</w:t>
      </w:r>
      <w:bookmarkEnd w:id="17"/>
      <w:bookmarkEnd w:id="18"/>
    </w:p>
    <w:p>
      <w:pPr>
        <w:pStyle w:val="36"/>
        <w:ind w:firstLine="640"/>
        <w:rPr>
          <w:rFonts w:eastAsia="仿宋"/>
          <w:color w:val="auto"/>
          <w:sz w:val="32"/>
          <w:szCs w:val="32"/>
        </w:rPr>
      </w:pPr>
      <w:r>
        <w:rPr>
          <w:rFonts w:eastAsia="仿宋"/>
          <w:color w:val="auto"/>
          <w:sz w:val="32"/>
          <w:szCs w:val="32"/>
        </w:rPr>
        <w:t>根据绩效评价的基本原理、原则和项目特点，结合项目绩效目标，评价组结合《财政部关于印发项目支出绩效评价管理办法的通知》（财预〔2020〕10号）等文件要求，按照逻辑分析法制定本次</w:t>
      </w:r>
      <w:r>
        <w:rPr>
          <w:rFonts w:hint="eastAsia" w:eastAsia="仿宋"/>
          <w:color w:val="auto"/>
          <w:sz w:val="32"/>
          <w:szCs w:val="32"/>
        </w:rPr>
        <w:t>2021年船山区国家基本公共卫生服务项目</w:t>
      </w:r>
      <w:r>
        <w:rPr>
          <w:rFonts w:eastAsia="仿宋"/>
          <w:color w:val="auto"/>
          <w:sz w:val="32"/>
          <w:szCs w:val="32"/>
        </w:rPr>
        <w:t>绩效评价指标体系。评价组在制定指标体系时，主要是从项目决策、项目过程、项目产出和项目效益等四个维度来确定指标体系框架。</w:t>
      </w:r>
    </w:p>
    <w:bookmarkEnd w:id="19"/>
    <w:p>
      <w:pPr>
        <w:pStyle w:val="21"/>
        <w:numPr>
          <w:ilvl w:val="0"/>
          <w:numId w:val="0"/>
        </w:numPr>
        <w:ind w:firstLine="643" w:firstLineChars="200"/>
        <w:jc w:val="both"/>
        <w:rPr>
          <w:rFonts w:ascii="Times New Roman" w:hAnsi="Times New Roman" w:eastAsia="仿宋" w:cs="Times New Roman"/>
          <w:bCs/>
          <w:color w:val="auto"/>
          <w:sz w:val="32"/>
          <w:szCs w:val="32"/>
        </w:rPr>
      </w:pPr>
      <w:bookmarkStart w:id="20" w:name="_Toc118908459"/>
      <w:bookmarkStart w:id="21" w:name="_Toc4653"/>
      <w:r>
        <w:rPr>
          <w:rFonts w:ascii="Times New Roman" w:hAnsi="Times New Roman" w:eastAsia="仿宋" w:cs="Times New Roman"/>
          <w:bCs/>
          <w:color w:val="auto"/>
          <w:sz w:val="32"/>
          <w:szCs w:val="32"/>
        </w:rPr>
        <w:t>2.指标体系框架说明</w:t>
      </w:r>
      <w:bookmarkEnd w:id="20"/>
      <w:bookmarkEnd w:id="21"/>
    </w:p>
    <w:p>
      <w:pPr>
        <w:adjustRightInd w:val="0"/>
        <w:snapToGrid w:val="0"/>
        <w:ind w:firstLine="640"/>
        <w:rPr>
          <w:color w:val="auto"/>
          <w:szCs w:val="32"/>
          <w:lang w:val="zh-CN"/>
        </w:rPr>
      </w:pPr>
      <w:r>
        <w:rPr>
          <w:color w:val="auto"/>
          <w:szCs w:val="32"/>
          <w:lang w:val="zh-CN"/>
        </w:rPr>
        <w:t>本项目绩效评价指标体系整体框架由3大类、</w:t>
      </w:r>
      <w:r>
        <w:rPr>
          <w:rFonts w:hint="eastAsia"/>
          <w:color w:val="auto"/>
          <w:szCs w:val="32"/>
          <w:lang w:val="en-US" w:eastAsia="zh-CN"/>
        </w:rPr>
        <w:t>10</w:t>
      </w:r>
      <w:r>
        <w:rPr>
          <w:color w:val="auto"/>
          <w:szCs w:val="32"/>
          <w:lang w:val="zh-CN"/>
        </w:rPr>
        <w:t>项一级指标、1</w:t>
      </w:r>
      <w:r>
        <w:rPr>
          <w:rFonts w:hint="eastAsia"/>
          <w:color w:val="auto"/>
          <w:szCs w:val="32"/>
          <w:lang w:val="en-US" w:eastAsia="zh-CN"/>
        </w:rPr>
        <w:t>8</w:t>
      </w:r>
      <w:r>
        <w:rPr>
          <w:color w:val="auto"/>
          <w:szCs w:val="32"/>
          <w:lang w:val="zh-CN"/>
        </w:rPr>
        <w:t>项二级指标组成。指标数据来源于政府文件、基础表、问卷调查、访谈等。具体各类指标内容如下：</w:t>
      </w:r>
    </w:p>
    <w:p>
      <w:pPr>
        <w:adjustRightInd w:val="0"/>
        <w:snapToGrid w:val="0"/>
        <w:ind w:firstLine="640"/>
        <w:rPr>
          <w:color w:val="auto"/>
          <w:szCs w:val="32"/>
          <w:lang w:val="zh-CN"/>
        </w:rPr>
      </w:pPr>
      <w:r>
        <w:rPr>
          <w:color w:val="auto"/>
          <w:szCs w:val="32"/>
          <w:lang w:val="zh-CN"/>
        </w:rPr>
        <w:t>（1）通用指标：占权重分40分，主要包括程序严密、规划合理、结果符合、绩效目标、绩效指标、管理制度、执行有效、使用合规、预算执行率</w:t>
      </w:r>
      <w:r>
        <w:rPr>
          <w:rFonts w:hint="eastAsia"/>
          <w:color w:val="auto"/>
          <w:szCs w:val="32"/>
          <w:lang w:val="en-US" w:eastAsia="zh-CN"/>
        </w:rPr>
        <w:t>以及资金使用率</w:t>
      </w:r>
      <w:r>
        <w:rPr>
          <w:color w:val="auto"/>
          <w:szCs w:val="32"/>
          <w:lang w:val="zh-CN"/>
        </w:rPr>
        <w:t>等指标。</w:t>
      </w:r>
    </w:p>
    <w:p>
      <w:pPr>
        <w:adjustRightInd w:val="0"/>
        <w:snapToGrid w:val="0"/>
        <w:ind w:firstLine="640"/>
        <w:rPr>
          <w:color w:val="auto"/>
          <w:szCs w:val="32"/>
          <w:lang w:val="zh-CN"/>
        </w:rPr>
      </w:pPr>
      <w:r>
        <w:rPr>
          <w:color w:val="auto"/>
          <w:szCs w:val="32"/>
          <w:lang w:val="zh-CN"/>
        </w:rPr>
        <w:t>（2）产出指标：占权重分30分，主要包括</w:t>
      </w:r>
      <w:r>
        <w:rPr>
          <w:rFonts w:hint="eastAsia"/>
          <w:color w:val="auto"/>
          <w:szCs w:val="32"/>
          <w:lang w:val="en-US" w:eastAsia="zh-CN"/>
        </w:rPr>
        <w:t>2021年度船山区基本公共卫生项目</w:t>
      </w:r>
      <w:r>
        <w:rPr>
          <w:rFonts w:hint="eastAsia"/>
          <w:color w:val="auto"/>
          <w:szCs w:val="32"/>
          <w:lang w:val="zh-CN"/>
        </w:rPr>
        <w:t>实际完成率、质量达标率、项目完成及时性</w:t>
      </w:r>
      <w:r>
        <w:rPr>
          <w:color w:val="auto"/>
          <w:szCs w:val="32"/>
          <w:lang w:val="zh-CN"/>
        </w:rPr>
        <w:t>等。</w:t>
      </w:r>
    </w:p>
    <w:p>
      <w:pPr>
        <w:adjustRightInd w:val="0"/>
        <w:snapToGrid w:val="0"/>
        <w:ind w:firstLine="640"/>
        <w:rPr>
          <w:color w:val="auto"/>
          <w:szCs w:val="32"/>
          <w:lang w:val="zh-CN"/>
        </w:rPr>
      </w:pPr>
      <w:r>
        <w:rPr>
          <w:color w:val="auto"/>
          <w:szCs w:val="32"/>
          <w:lang w:val="zh-CN"/>
        </w:rPr>
        <w:t>（3）效益指标：占权重分30分，主要包括</w:t>
      </w:r>
      <w:r>
        <w:rPr>
          <w:rFonts w:hint="eastAsia"/>
          <w:color w:val="auto"/>
          <w:szCs w:val="32"/>
          <w:lang w:val="zh-CN"/>
        </w:rPr>
        <w:t>突发公共卫生事件应急处置、居民健康意识、基本公共卫生服务水平、居民知晓率、</w:t>
      </w:r>
      <w:r>
        <w:rPr>
          <w:rFonts w:hint="eastAsia"/>
          <w:color w:val="auto"/>
          <w:szCs w:val="32"/>
          <w:lang w:val="en-US" w:eastAsia="zh-CN"/>
        </w:rPr>
        <w:t>辖区居民</w:t>
      </w:r>
      <w:r>
        <w:rPr>
          <w:rFonts w:hint="eastAsia"/>
          <w:color w:val="auto"/>
          <w:szCs w:val="32"/>
          <w:lang w:val="zh-CN"/>
        </w:rPr>
        <w:t>对象满意度</w:t>
      </w:r>
      <w:r>
        <w:rPr>
          <w:color w:val="auto"/>
          <w:szCs w:val="32"/>
          <w:lang w:val="zh-CN"/>
        </w:rPr>
        <w:t>指标。</w:t>
      </w:r>
    </w:p>
    <w:p>
      <w:pPr>
        <w:pStyle w:val="21"/>
        <w:numPr>
          <w:ilvl w:val="0"/>
          <w:numId w:val="0"/>
        </w:numPr>
        <w:ind w:firstLine="643" w:firstLineChars="200"/>
        <w:jc w:val="both"/>
        <w:rPr>
          <w:rFonts w:ascii="Times New Roman" w:hAnsi="Times New Roman" w:eastAsia="仿宋" w:cs="Times New Roman"/>
          <w:bCs/>
          <w:color w:val="auto"/>
          <w:sz w:val="32"/>
          <w:szCs w:val="32"/>
        </w:rPr>
      </w:pPr>
      <w:bookmarkStart w:id="22" w:name="_Toc28507"/>
      <w:bookmarkStart w:id="23" w:name="_Hlk72409985"/>
      <w:r>
        <w:rPr>
          <w:rFonts w:ascii="Times New Roman" w:hAnsi="Times New Roman" w:eastAsia="仿宋" w:cs="Times New Roman"/>
          <w:bCs/>
          <w:color w:val="auto"/>
          <w:sz w:val="32"/>
          <w:szCs w:val="32"/>
        </w:rPr>
        <w:t>3.指标解释相关说明</w:t>
      </w:r>
      <w:bookmarkEnd w:id="22"/>
    </w:p>
    <w:p>
      <w:pPr>
        <w:ind w:firstLine="643"/>
        <w:outlineLvl w:val="9"/>
        <w:rPr>
          <w:b/>
          <w:bCs/>
          <w:color w:val="auto"/>
          <w:szCs w:val="32"/>
        </w:rPr>
      </w:pPr>
      <w:r>
        <w:rPr>
          <w:b/>
          <w:bCs/>
          <w:color w:val="auto"/>
          <w:szCs w:val="32"/>
        </w:rPr>
        <w:t>（1）权重</w:t>
      </w:r>
    </w:p>
    <w:p>
      <w:pPr>
        <w:adjustRightInd w:val="0"/>
        <w:snapToGrid w:val="0"/>
        <w:ind w:firstLine="640"/>
        <w:outlineLvl w:val="9"/>
        <w:rPr>
          <w:color w:val="auto"/>
          <w:szCs w:val="32"/>
          <w:lang w:val="zh-CN"/>
        </w:rPr>
      </w:pPr>
      <w:r>
        <w:rPr>
          <w:color w:val="auto"/>
          <w:szCs w:val="32"/>
          <w:lang w:val="zh-CN"/>
        </w:rPr>
        <w:t>本方案综合评价表中各指标的权重由评价组根据绩效评价原理和评价需求，在调研基础上依据指标的重要性产生。</w:t>
      </w:r>
    </w:p>
    <w:p>
      <w:pPr>
        <w:ind w:firstLine="643"/>
        <w:outlineLvl w:val="9"/>
        <w:rPr>
          <w:b/>
          <w:bCs/>
          <w:color w:val="auto"/>
          <w:szCs w:val="32"/>
        </w:rPr>
      </w:pPr>
      <w:r>
        <w:rPr>
          <w:b/>
          <w:bCs/>
          <w:color w:val="auto"/>
          <w:szCs w:val="32"/>
        </w:rPr>
        <w:t>（2）评价标准</w:t>
      </w:r>
    </w:p>
    <w:p>
      <w:pPr>
        <w:adjustRightInd w:val="0"/>
        <w:snapToGrid w:val="0"/>
        <w:ind w:firstLine="640"/>
        <w:outlineLvl w:val="9"/>
        <w:rPr>
          <w:color w:val="auto"/>
          <w:szCs w:val="32"/>
          <w:lang w:val="zh-CN"/>
        </w:rPr>
      </w:pPr>
      <w:r>
        <w:rPr>
          <w:color w:val="auto"/>
          <w:szCs w:val="32"/>
          <w:lang w:val="zh-CN"/>
        </w:rPr>
        <w:t>本方案的评价标准是依据绩效评价基本原理，分别按照计划标准、行业标准、历史标准等制定。</w:t>
      </w:r>
    </w:p>
    <w:p>
      <w:pPr>
        <w:adjustRightInd w:val="0"/>
        <w:snapToGrid w:val="0"/>
        <w:ind w:firstLine="640"/>
        <w:outlineLvl w:val="9"/>
        <w:rPr>
          <w:color w:val="auto"/>
          <w:szCs w:val="32"/>
          <w:lang w:val="zh-CN"/>
        </w:rPr>
      </w:pPr>
      <w:r>
        <w:rPr>
          <w:color w:val="auto"/>
          <w:szCs w:val="32"/>
          <w:lang w:val="zh-CN"/>
        </w:rPr>
        <w:t>对于定性指标，一般通过问卷及访谈采集相关数据，在实施过程中运用等级描述法进行考核，通过设置相应标准来显示该指标认可程度的差异。</w:t>
      </w:r>
    </w:p>
    <w:p>
      <w:pPr>
        <w:adjustRightInd w:val="0"/>
        <w:snapToGrid w:val="0"/>
        <w:ind w:firstLine="640"/>
        <w:rPr>
          <w:color w:val="auto"/>
          <w:szCs w:val="32"/>
          <w:lang w:val="zh-CN"/>
        </w:rPr>
      </w:pPr>
      <w:r>
        <w:rPr>
          <w:rFonts w:hint="eastAsia" w:ascii="宋体" w:hAnsi="宋体" w:eastAsia="宋体" w:cs="宋体"/>
          <w:color w:val="auto"/>
          <w:szCs w:val="32"/>
          <w:lang w:val="zh-CN"/>
        </w:rPr>
        <w:t>①</w:t>
      </w:r>
      <w:r>
        <w:rPr>
          <w:color w:val="auto"/>
          <w:szCs w:val="32"/>
          <w:lang w:val="zh-CN"/>
        </w:rPr>
        <w:t>计划标准，以预先制定的目标、计划、预算、定额等作为评价标准，一般以100%为满分，按照线性函数，等距增减。</w:t>
      </w:r>
    </w:p>
    <w:p>
      <w:pPr>
        <w:adjustRightInd w:val="0"/>
        <w:snapToGrid w:val="0"/>
        <w:ind w:firstLine="640"/>
        <w:rPr>
          <w:color w:val="auto"/>
          <w:szCs w:val="32"/>
          <w:lang w:val="zh-CN"/>
        </w:rPr>
      </w:pPr>
      <w:r>
        <w:rPr>
          <w:rFonts w:hint="eastAsia" w:ascii="宋体" w:hAnsi="宋体" w:eastAsia="宋体" w:cs="宋体"/>
          <w:color w:val="auto"/>
          <w:szCs w:val="32"/>
          <w:lang w:val="zh-CN"/>
        </w:rPr>
        <w:t>②</w:t>
      </w:r>
      <w:r>
        <w:rPr>
          <w:color w:val="auto"/>
          <w:szCs w:val="32"/>
          <w:lang w:val="zh-CN"/>
        </w:rPr>
        <w:t>行业标准，参照国家公布的行业指标数据制定的评价标准，符合标准则得相应权重分，不符合则不得分。</w:t>
      </w:r>
    </w:p>
    <w:p>
      <w:pPr>
        <w:adjustRightInd w:val="0"/>
        <w:snapToGrid w:val="0"/>
        <w:ind w:firstLine="640"/>
        <w:rPr>
          <w:color w:val="auto"/>
          <w:szCs w:val="32"/>
          <w:lang w:val="zh-CN"/>
        </w:rPr>
      </w:pPr>
      <w:r>
        <w:rPr>
          <w:rFonts w:hint="eastAsia" w:ascii="宋体" w:hAnsi="宋体" w:eastAsia="宋体" w:cs="宋体"/>
          <w:color w:val="auto"/>
          <w:szCs w:val="32"/>
          <w:lang w:val="zh-CN"/>
        </w:rPr>
        <w:t>③</w:t>
      </w:r>
      <w:r>
        <w:rPr>
          <w:color w:val="auto"/>
          <w:szCs w:val="32"/>
          <w:lang w:val="zh-CN"/>
        </w:rPr>
        <w:t>历史标准，参照历史数据制定的评价标准，一般达到均值即得到权重分的80%，超过或减少的即按照线性函数增减计算。</w:t>
      </w:r>
    </w:p>
    <w:p>
      <w:pPr>
        <w:adjustRightInd w:val="0"/>
        <w:snapToGrid w:val="0"/>
        <w:ind w:firstLine="640"/>
        <w:rPr>
          <w:color w:val="auto"/>
          <w:szCs w:val="32"/>
          <w:lang w:val="zh-CN"/>
        </w:rPr>
      </w:pPr>
      <w:r>
        <w:rPr>
          <w:color w:val="auto"/>
          <w:szCs w:val="32"/>
          <w:lang w:val="zh-CN"/>
        </w:rPr>
        <w:t>其他指标，依据其特征给予增减计分。</w:t>
      </w:r>
    </w:p>
    <w:bookmarkEnd w:id="23"/>
    <w:p>
      <w:pPr>
        <w:pStyle w:val="21"/>
        <w:numPr>
          <w:ilvl w:val="0"/>
          <w:numId w:val="0"/>
        </w:numPr>
        <w:ind w:firstLine="643" w:firstLineChars="200"/>
        <w:jc w:val="both"/>
        <w:rPr>
          <w:rFonts w:ascii="Times New Roman" w:hAnsi="Times New Roman" w:eastAsia="仿宋" w:cs="Times New Roman"/>
          <w:bCs/>
          <w:color w:val="auto"/>
          <w:sz w:val="32"/>
          <w:szCs w:val="32"/>
        </w:rPr>
      </w:pPr>
      <w:bookmarkStart w:id="24" w:name="_Toc8302"/>
      <w:bookmarkStart w:id="25" w:name="_Toc6022"/>
      <w:bookmarkStart w:id="26" w:name="_Toc10683"/>
      <w:bookmarkStart w:id="27" w:name="_Toc14522"/>
      <w:bookmarkStart w:id="28" w:name="_Toc79419321"/>
      <w:bookmarkStart w:id="29" w:name="_Toc31441"/>
      <w:bookmarkStart w:id="30" w:name="_Hlk72409822"/>
      <w:r>
        <w:rPr>
          <w:rFonts w:ascii="Times New Roman" w:hAnsi="Times New Roman" w:eastAsia="仿宋" w:cs="Times New Roman"/>
          <w:bCs/>
          <w:color w:val="auto"/>
          <w:sz w:val="32"/>
          <w:szCs w:val="32"/>
        </w:rPr>
        <w:t>4.评分标准及等级设计</w:t>
      </w:r>
      <w:bookmarkEnd w:id="24"/>
      <w:bookmarkEnd w:id="25"/>
      <w:bookmarkEnd w:id="26"/>
      <w:bookmarkEnd w:id="27"/>
      <w:bookmarkEnd w:id="28"/>
      <w:bookmarkEnd w:id="29"/>
    </w:p>
    <w:p>
      <w:pPr>
        <w:adjustRightInd w:val="0"/>
        <w:snapToGrid w:val="0"/>
        <w:ind w:firstLine="640"/>
        <w:rPr>
          <w:color w:val="auto"/>
          <w:szCs w:val="32"/>
          <w:lang w:val="zh-CN"/>
        </w:rPr>
      </w:pPr>
      <w:r>
        <w:rPr>
          <w:color w:val="auto"/>
          <w:szCs w:val="32"/>
          <w:lang w:val="zh-CN"/>
        </w:rPr>
        <w:t>本着科学、规范、独立、客观、公正的原则，评价组采用集中评议和独立评分相结合的方法，对决策、过程、产出和效益四个方面进行评价，综合绩效评价总分值为100分。评价组根据项目实施具体情况得出绩效评价得分，并计算出项目综合评价得分。根据《关于印发&lt;项目支出绩效评价管理办法&gt;的通知》（财预〔2020〕10号）相关要求，评价等级一般划分为四档：</w:t>
      </w:r>
    </w:p>
    <w:p>
      <w:pPr>
        <w:adjustRightInd w:val="0"/>
        <w:snapToGrid w:val="0"/>
        <w:ind w:firstLine="640"/>
        <w:rPr>
          <w:color w:val="auto"/>
          <w:szCs w:val="32"/>
          <w:lang w:val="zh-CN"/>
        </w:rPr>
      </w:pPr>
      <w:r>
        <w:rPr>
          <w:color w:val="auto"/>
          <w:szCs w:val="32"/>
          <w:lang w:val="zh-CN"/>
        </w:rPr>
        <w:t>综合得分在90（含）-100分为优；</w:t>
      </w:r>
    </w:p>
    <w:p>
      <w:pPr>
        <w:adjustRightInd w:val="0"/>
        <w:snapToGrid w:val="0"/>
        <w:ind w:firstLine="640"/>
        <w:rPr>
          <w:color w:val="auto"/>
          <w:szCs w:val="32"/>
          <w:lang w:val="zh-CN"/>
        </w:rPr>
      </w:pPr>
      <w:r>
        <w:rPr>
          <w:color w:val="auto"/>
          <w:szCs w:val="32"/>
          <w:lang w:val="zh-CN"/>
        </w:rPr>
        <w:t>综合得分在80（含）-90分为良；</w:t>
      </w:r>
    </w:p>
    <w:p>
      <w:pPr>
        <w:adjustRightInd w:val="0"/>
        <w:snapToGrid w:val="0"/>
        <w:ind w:firstLine="640"/>
        <w:rPr>
          <w:color w:val="auto"/>
          <w:szCs w:val="32"/>
          <w:lang w:val="zh-CN"/>
        </w:rPr>
      </w:pPr>
      <w:r>
        <w:rPr>
          <w:color w:val="auto"/>
          <w:szCs w:val="32"/>
          <w:lang w:val="zh-CN"/>
        </w:rPr>
        <w:t>综合得分在60（含）-80分为中；</w:t>
      </w:r>
    </w:p>
    <w:p>
      <w:pPr>
        <w:adjustRightInd w:val="0"/>
        <w:snapToGrid w:val="0"/>
        <w:ind w:firstLine="640"/>
        <w:rPr>
          <w:color w:val="auto"/>
          <w:szCs w:val="32"/>
          <w:lang w:val="zh-CN"/>
        </w:rPr>
      </w:pPr>
      <w:r>
        <w:rPr>
          <w:color w:val="auto"/>
          <w:szCs w:val="32"/>
          <w:lang w:val="zh-CN"/>
        </w:rPr>
        <w:t>综合得分在60分以下为差。</w:t>
      </w:r>
      <w:bookmarkEnd w:id="30"/>
    </w:p>
    <w:p>
      <w:pPr>
        <w:pStyle w:val="3"/>
        <w:ind w:firstLine="640"/>
        <w:rPr>
          <w:color w:val="auto"/>
        </w:rPr>
      </w:pPr>
      <w:bookmarkStart w:id="31" w:name="_Toc6413"/>
      <w:r>
        <w:rPr>
          <w:color w:val="auto"/>
        </w:rPr>
        <w:t>三、评价结论和绩效分析</w:t>
      </w:r>
      <w:bookmarkEnd w:id="31"/>
    </w:p>
    <w:p>
      <w:pPr>
        <w:pStyle w:val="4"/>
        <w:ind w:firstLine="640"/>
        <w:rPr>
          <w:rFonts w:ascii="Times New Roman" w:hAnsi="Times New Roman" w:cs="Times New Roman"/>
          <w:color w:val="auto"/>
        </w:rPr>
      </w:pPr>
      <w:bookmarkStart w:id="32" w:name="_Toc6811"/>
      <w:r>
        <w:rPr>
          <w:rFonts w:ascii="Times New Roman" w:hAnsi="Times New Roman" w:cs="Times New Roman"/>
          <w:color w:val="auto"/>
        </w:rPr>
        <w:t>（一）评价结论</w:t>
      </w:r>
      <w:bookmarkEnd w:id="32"/>
    </w:p>
    <w:p>
      <w:pPr>
        <w:pStyle w:val="36"/>
        <w:overflowPunct w:val="0"/>
        <w:ind w:firstLine="640"/>
        <w:rPr>
          <w:rFonts w:eastAsia="仿宋"/>
          <w:color w:val="auto"/>
          <w:sz w:val="32"/>
          <w:szCs w:val="32"/>
        </w:rPr>
      </w:pPr>
      <w:r>
        <w:rPr>
          <w:rFonts w:eastAsia="仿宋"/>
          <w:color w:val="auto"/>
          <w:sz w:val="32"/>
          <w:szCs w:val="32"/>
        </w:rPr>
        <w:t>评价组运用设计的评价指标体系及评分标准，通过数据采集、访谈等方式，对2</w:t>
      </w:r>
      <w:r>
        <w:rPr>
          <w:rFonts w:hint="eastAsia" w:eastAsia="仿宋"/>
          <w:color w:val="auto"/>
          <w:sz w:val="32"/>
          <w:szCs w:val="32"/>
        </w:rPr>
        <w:t>021年船山区国家基本公共卫生服务项目</w:t>
      </w:r>
      <w:r>
        <w:rPr>
          <w:rFonts w:eastAsia="仿宋"/>
          <w:color w:val="auto"/>
          <w:sz w:val="32"/>
          <w:szCs w:val="32"/>
        </w:rPr>
        <w:t>进行客观评价，得到最终评分结果为</w:t>
      </w:r>
      <w:r>
        <w:rPr>
          <w:rFonts w:hint="eastAsia" w:eastAsia="仿宋"/>
          <w:color w:val="auto"/>
          <w:sz w:val="32"/>
          <w:szCs w:val="32"/>
          <w:lang w:eastAsia="zh-CN"/>
        </w:rPr>
        <w:t>88.96</w:t>
      </w:r>
      <w:r>
        <w:rPr>
          <w:rFonts w:eastAsia="仿宋"/>
          <w:color w:val="auto"/>
          <w:sz w:val="32"/>
          <w:szCs w:val="32"/>
        </w:rPr>
        <w:t>分，绩效评级为“良”。具体打分情况见附件1。具体得分如表3-1所示。</w:t>
      </w:r>
    </w:p>
    <w:p>
      <w:pPr>
        <w:pStyle w:val="39"/>
        <w:overflowPunct w:val="0"/>
        <w:adjustRightInd w:val="0"/>
        <w:snapToGrid w:val="0"/>
        <w:spacing w:before="0" w:after="0" w:line="360" w:lineRule="auto"/>
        <w:rPr>
          <w:rFonts w:eastAsia="仿宋"/>
          <w:color w:val="auto"/>
          <w:szCs w:val="24"/>
        </w:rPr>
      </w:pPr>
      <w:r>
        <w:rPr>
          <w:rFonts w:eastAsia="仿宋"/>
          <w:color w:val="auto"/>
          <w:szCs w:val="24"/>
        </w:rPr>
        <w:t xml:space="preserve">表3-1  </w:t>
      </w:r>
      <w:r>
        <w:rPr>
          <w:rFonts w:hint="eastAsia" w:eastAsia="仿宋"/>
          <w:color w:val="auto"/>
          <w:szCs w:val="24"/>
        </w:rPr>
        <w:t>2021年船山区国家基本公共卫生服务项目</w:t>
      </w:r>
      <w:r>
        <w:rPr>
          <w:rFonts w:eastAsia="仿宋"/>
          <w:color w:val="auto"/>
          <w:szCs w:val="24"/>
        </w:rPr>
        <w:t>绩效评分汇总表</w:t>
      </w:r>
    </w:p>
    <w:tbl>
      <w:tblPr>
        <w:tblStyle w:val="14"/>
        <w:tblW w:w="834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69"/>
        <w:gridCol w:w="2379"/>
        <w:gridCol w:w="2271"/>
        <w:gridCol w:w="1222"/>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分层指标</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一级指标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二级指标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分值</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通用指标（40分）</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项目决策（12）</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程序严密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规划合理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结果符合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绩效目标（8）</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绩效目标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绩效指标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项目实施（12）</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管理制度</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执行有效</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使用合规</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预算执行（8）</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预算执行率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8</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产出指标（30分）</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数量指标（10）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实际完成率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15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质量指标（10）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质量达标率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绩效考核（10）</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绩效考核完成率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10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效益指标（30分）</w:t>
            </w: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社会效益</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突发公共卫生事件应急处置</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居民健康意识</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可持续影响</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基本公共卫生服务水平</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5</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知晓率满意度</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居民知晓率</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辖区居民满意度</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6</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val="0"/>
                <w:bCs w:val="0"/>
                <w:color w:val="auto"/>
                <w:sz w:val="24"/>
                <w:lang w:val="en-US" w:eastAsia="zh-CN"/>
              </w:rPr>
            </w:pPr>
            <w:r>
              <w:rPr>
                <w:rFonts w:hint="eastAsia" w:ascii="Times New Roman" w:hAnsi="Times New Roman" w:eastAsia="仿宋_GB2312" w:cs="Times New Roman"/>
                <w:b w:val="0"/>
                <w:bCs w:val="0"/>
                <w:color w:val="auto"/>
                <w:sz w:val="24"/>
                <w:lang w:val="en-US" w:eastAsia="zh-CN"/>
              </w:rPr>
              <w:t>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合计</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w:t>
            </w:r>
          </w:p>
        </w:tc>
        <w:tc>
          <w:tcPr>
            <w:tcW w:w="2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ascii="Times New Roman" w:hAnsi="Times New Roman" w:eastAsia="仿宋_GB2312" w:cs="Times New Roman"/>
                <w:b/>
                <w:bCs/>
                <w:color w:val="auto"/>
                <w:sz w:val="24"/>
                <w:lang w:val="en-US" w:eastAsia="zh-CN"/>
              </w:rPr>
              <w:t>100</w:t>
            </w:r>
          </w:p>
        </w:tc>
        <w:tc>
          <w:tcPr>
            <w:tcW w:w="1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仿宋_GB2312" w:cs="Times New Roman"/>
                <w:b/>
                <w:bCs/>
                <w:color w:val="auto"/>
                <w:sz w:val="24"/>
                <w:lang w:val="en-US" w:eastAsia="zh-CN"/>
              </w:rPr>
            </w:pPr>
            <w:r>
              <w:rPr>
                <w:rFonts w:hint="eastAsia" w:eastAsia="仿宋_GB2312" w:cs="Times New Roman"/>
                <w:b/>
                <w:bCs/>
                <w:color w:val="auto"/>
                <w:sz w:val="24"/>
                <w:lang w:val="en-US" w:eastAsia="zh-CN"/>
              </w:rPr>
              <w:t>88.96</w:t>
            </w:r>
          </w:p>
        </w:tc>
      </w:tr>
    </w:tbl>
    <w:p>
      <w:pPr>
        <w:spacing w:line="560" w:lineRule="exact"/>
        <w:ind w:firstLine="707" w:firstLineChars="221"/>
        <w:rPr>
          <w:color w:val="auto"/>
          <w:szCs w:val="32"/>
        </w:rPr>
      </w:pPr>
    </w:p>
    <w:p>
      <w:pPr>
        <w:pStyle w:val="4"/>
        <w:ind w:firstLine="640"/>
        <w:rPr>
          <w:rFonts w:ascii="Times New Roman" w:hAnsi="Times New Roman" w:cs="Times New Roman"/>
          <w:color w:val="auto"/>
        </w:rPr>
      </w:pPr>
      <w:bookmarkStart w:id="33" w:name="_Toc26335"/>
      <w:r>
        <w:rPr>
          <w:rFonts w:ascii="Times New Roman" w:hAnsi="Times New Roman" w:cs="Times New Roman"/>
          <w:color w:val="auto"/>
        </w:rPr>
        <w:t>（二）绩效分析</w:t>
      </w:r>
      <w:bookmarkEnd w:id="33"/>
    </w:p>
    <w:p>
      <w:pPr>
        <w:pStyle w:val="5"/>
        <w:ind w:firstLine="643"/>
        <w:rPr>
          <w:color w:val="auto"/>
        </w:rPr>
      </w:pPr>
      <w:bookmarkStart w:id="34" w:name="_Toc5559"/>
      <w:bookmarkStart w:id="35" w:name="_Toc118908463"/>
      <w:r>
        <w:rPr>
          <w:color w:val="auto"/>
        </w:rPr>
        <w:t>1.项目决策指标分析</w:t>
      </w:r>
      <w:bookmarkEnd w:id="34"/>
      <w:bookmarkEnd w:id="35"/>
    </w:p>
    <w:p>
      <w:pPr>
        <w:ind w:firstLine="643"/>
        <w:outlineLvl w:val="3"/>
        <w:rPr>
          <w:b/>
          <w:bCs/>
          <w:color w:val="auto"/>
          <w:szCs w:val="32"/>
        </w:rPr>
      </w:pPr>
      <w:r>
        <w:rPr>
          <w:b/>
          <w:bCs/>
          <w:color w:val="auto"/>
          <w:szCs w:val="32"/>
        </w:rPr>
        <w:t>（1）程序严密</w:t>
      </w:r>
    </w:p>
    <w:p>
      <w:pPr>
        <w:ind w:firstLine="643"/>
        <w:outlineLvl w:val="9"/>
        <w:rPr>
          <w:rFonts w:hint="eastAsia"/>
          <w:color w:val="auto"/>
          <w:szCs w:val="32"/>
        </w:rPr>
      </w:pPr>
      <w:r>
        <w:rPr>
          <w:rFonts w:hint="eastAsia"/>
          <w:color w:val="auto"/>
          <w:szCs w:val="32"/>
        </w:rPr>
        <w:t>遂宁市船山区基本公共卫生服务项目为每年常规化开展工作，每年由卫生健康局组织各基层医疗机构依据《国家基本公共卫生服务规范（第三版）》提供服务，项目设立程序合规。</w:t>
      </w:r>
    </w:p>
    <w:p>
      <w:pPr>
        <w:ind w:firstLine="643"/>
        <w:outlineLvl w:val="9"/>
        <w:rPr>
          <w:rFonts w:hint="eastAsia"/>
          <w:color w:val="auto"/>
          <w:szCs w:val="32"/>
        </w:rPr>
      </w:pPr>
      <w:r>
        <w:rPr>
          <w:rFonts w:hint="eastAsia"/>
          <w:color w:val="auto"/>
          <w:szCs w:val="32"/>
        </w:rPr>
        <w:t>根据评分标准，该项得4分。</w:t>
      </w:r>
    </w:p>
    <w:p>
      <w:pPr>
        <w:ind w:firstLine="643"/>
        <w:outlineLvl w:val="3"/>
        <w:rPr>
          <w:rFonts w:hint="eastAsia"/>
          <w:color w:val="auto"/>
        </w:rPr>
      </w:pPr>
      <w:r>
        <w:rPr>
          <w:b/>
          <w:bCs/>
          <w:color w:val="auto"/>
          <w:szCs w:val="32"/>
        </w:rPr>
        <w:t>（2）规划合理</w:t>
      </w:r>
    </w:p>
    <w:p>
      <w:pPr>
        <w:ind w:firstLine="643"/>
        <w:outlineLvl w:val="9"/>
        <w:rPr>
          <w:rFonts w:hint="eastAsia"/>
          <w:color w:val="auto"/>
          <w:szCs w:val="32"/>
        </w:rPr>
      </w:pPr>
      <w:r>
        <w:rPr>
          <w:rFonts w:hint="eastAsia"/>
          <w:color w:val="auto"/>
          <w:szCs w:val="32"/>
        </w:rPr>
        <w:t>项目设立符合为贯彻党的十九届五中全会精神，符合国家卫生健康委、财政部以及国家中医药局发布的《关于做好2021年基本公共卫生服务项目工作的通知》（国卫基层发〔</w:t>
      </w:r>
      <w:bookmarkStart w:id="63" w:name="_GoBack"/>
      <w:bookmarkEnd w:id="63"/>
      <w:r>
        <w:rPr>
          <w:rFonts w:hint="eastAsia"/>
          <w:color w:val="auto"/>
          <w:szCs w:val="32"/>
        </w:rPr>
        <w:t>2021〕23号</w:t>
      </w:r>
      <w:r>
        <w:rPr>
          <w:rFonts w:hint="eastAsia"/>
          <w:color w:val="auto"/>
          <w:szCs w:val="32"/>
          <w:lang w:eastAsia="zh-CN"/>
        </w:rPr>
        <w:t>）</w:t>
      </w:r>
      <w:r>
        <w:rPr>
          <w:rFonts w:hint="eastAsia"/>
          <w:color w:val="auto"/>
          <w:szCs w:val="32"/>
        </w:rPr>
        <w:t>中提出的“以重点人群为切入点提升基本公共卫生服务质量”,符合《国家基本公共卫生服务规范（第三版）》中相关要求。</w:t>
      </w:r>
    </w:p>
    <w:p>
      <w:pPr>
        <w:ind w:firstLine="643"/>
        <w:outlineLvl w:val="9"/>
        <w:rPr>
          <w:b/>
          <w:bCs/>
          <w:color w:val="auto"/>
          <w:szCs w:val="32"/>
        </w:rPr>
      </w:pPr>
      <w:r>
        <w:rPr>
          <w:rFonts w:hint="eastAsia"/>
          <w:color w:val="auto"/>
          <w:szCs w:val="32"/>
        </w:rPr>
        <w:t>根据评分标准，该项得4分。</w:t>
      </w:r>
    </w:p>
    <w:p>
      <w:pPr>
        <w:ind w:firstLine="643"/>
        <w:outlineLvl w:val="3"/>
        <w:rPr>
          <w:b/>
          <w:bCs/>
          <w:color w:val="auto"/>
          <w:szCs w:val="32"/>
        </w:rPr>
      </w:pPr>
      <w:r>
        <w:rPr>
          <w:b/>
          <w:bCs/>
          <w:color w:val="auto"/>
          <w:szCs w:val="32"/>
        </w:rPr>
        <w:t>（3）结果符合</w:t>
      </w:r>
    </w:p>
    <w:p>
      <w:pPr>
        <w:ind w:firstLine="640"/>
        <w:rPr>
          <w:color w:val="auto"/>
          <w:szCs w:val="32"/>
        </w:rPr>
      </w:pPr>
      <w:r>
        <w:rPr>
          <w:color w:val="auto"/>
          <w:szCs w:val="32"/>
        </w:rPr>
        <w:t>核查项目实施资料以及项目验收报告等内容，承接主体按照合同约定提供服务内容，资金使用主要方向为船只日常运行费用、检修费用等，项目实施后已通过初步验收考核，实施结果与规划保持一致。根据评分标准，该项得满分。</w:t>
      </w:r>
    </w:p>
    <w:p>
      <w:pPr>
        <w:ind w:firstLine="643"/>
        <w:outlineLvl w:val="9"/>
        <w:rPr>
          <w:b/>
          <w:bCs/>
          <w:color w:val="auto"/>
          <w:szCs w:val="32"/>
        </w:rPr>
      </w:pPr>
      <w:bookmarkStart w:id="36" w:name="_Toc118908464"/>
      <w:bookmarkStart w:id="37" w:name="_Toc31477"/>
      <w:r>
        <w:rPr>
          <w:rFonts w:hint="eastAsia"/>
          <w:color w:val="auto"/>
          <w:szCs w:val="32"/>
        </w:rPr>
        <w:t>根据评分标准，该项得4分。</w:t>
      </w:r>
    </w:p>
    <w:p>
      <w:pPr>
        <w:pStyle w:val="5"/>
        <w:ind w:firstLine="643"/>
        <w:rPr>
          <w:color w:val="auto"/>
        </w:rPr>
      </w:pPr>
      <w:r>
        <w:rPr>
          <w:color w:val="auto"/>
        </w:rPr>
        <w:t>2.项目绩效指标分析</w:t>
      </w:r>
      <w:bookmarkEnd w:id="36"/>
      <w:bookmarkEnd w:id="37"/>
    </w:p>
    <w:p>
      <w:pPr>
        <w:ind w:firstLine="643"/>
        <w:outlineLvl w:val="3"/>
        <w:rPr>
          <w:b/>
          <w:bCs/>
          <w:color w:val="auto"/>
          <w:szCs w:val="32"/>
        </w:rPr>
      </w:pPr>
      <w:r>
        <w:rPr>
          <w:b/>
          <w:bCs/>
          <w:color w:val="auto"/>
          <w:szCs w:val="32"/>
        </w:rPr>
        <w:t>（1）绩效目标</w:t>
      </w:r>
    </w:p>
    <w:p>
      <w:pPr>
        <w:ind w:firstLine="643"/>
        <w:outlineLvl w:val="9"/>
        <w:rPr>
          <w:rFonts w:hint="eastAsia"/>
          <w:color w:val="auto"/>
          <w:szCs w:val="32"/>
        </w:rPr>
      </w:pPr>
      <w:r>
        <w:rPr>
          <w:rFonts w:hint="eastAsia"/>
          <w:color w:val="auto"/>
          <w:szCs w:val="32"/>
        </w:rPr>
        <w:t>项目根据相关要求设置了“绩效目标表”，绩效目标与实际工作内容相关，预期产出效益效果符合正常业绩水平，与预期的投资额相匹配。</w:t>
      </w:r>
    </w:p>
    <w:p>
      <w:pPr>
        <w:ind w:firstLine="643"/>
        <w:outlineLvl w:val="9"/>
        <w:rPr>
          <w:rFonts w:hint="eastAsia"/>
          <w:color w:val="auto"/>
          <w:szCs w:val="32"/>
        </w:rPr>
      </w:pPr>
      <w:r>
        <w:rPr>
          <w:rFonts w:hint="eastAsia"/>
          <w:color w:val="auto"/>
          <w:szCs w:val="32"/>
        </w:rPr>
        <w:t>根据评分标准，该项得4分。</w:t>
      </w:r>
    </w:p>
    <w:p>
      <w:pPr>
        <w:ind w:firstLine="643"/>
        <w:outlineLvl w:val="3"/>
        <w:rPr>
          <w:rFonts w:hint="eastAsia"/>
          <w:color w:val="auto"/>
        </w:rPr>
      </w:pPr>
      <w:r>
        <w:rPr>
          <w:b/>
          <w:bCs/>
          <w:color w:val="auto"/>
          <w:szCs w:val="32"/>
        </w:rPr>
        <w:t>（2）绩效指标</w:t>
      </w:r>
    </w:p>
    <w:p>
      <w:pPr>
        <w:ind w:firstLine="643"/>
        <w:outlineLvl w:val="9"/>
        <w:rPr>
          <w:rFonts w:hint="eastAsia"/>
          <w:color w:val="auto"/>
          <w:szCs w:val="32"/>
        </w:rPr>
      </w:pPr>
      <w:r>
        <w:rPr>
          <w:rFonts w:hint="eastAsia"/>
          <w:color w:val="auto"/>
          <w:szCs w:val="32"/>
        </w:rPr>
        <w:t>根据“项目绩效目标表”，项目绩效目标已细化分解为具体的绩效指标；大部分已通过清晰、可衡量的指标值予以体现；与项目12项服务项目中的目标任务数相对应，但少部分指标未细化，如：满意度指标中的“服务对象满意度”指标值设置为“不断提高”，该指标未分解为可衡量的指标值体现。</w:t>
      </w:r>
    </w:p>
    <w:p>
      <w:pPr>
        <w:ind w:firstLine="643"/>
        <w:outlineLvl w:val="9"/>
        <w:rPr>
          <w:b/>
          <w:bCs/>
          <w:color w:val="auto"/>
          <w:szCs w:val="32"/>
        </w:rPr>
      </w:pPr>
      <w:r>
        <w:rPr>
          <w:rFonts w:hint="eastAsia"/>
          <w:color w:val="auto"/>
          <w:szCs w:val="32"/>
        </w:rPr>
        <w:t>根据评分标准，该项得3.5分。</w:t>
      </w:r>
    </w:p>
    <w:p>
      <w:pPr>
        <w:pStyle w:val="5"/>
        <w:ind w:firstLine="643"/>
        <w:rPr>
          <w:color w:val="auto"/>
        </w:rPr>
      </w:pPr>
      <w:bookmarkStart w:id="38" w:name="_Toc12250"/>
      <w:bookmarkStart w:id="39" w:name="_Toc118908465"/>
      <w:r>
        <w:rPr>
          <w:color w:val="auto"/>
        </w:rPr>
        <w:t>3.项目实施指标分析</w:t>
      </w:r>
      <w:bookmarkEnd w:id="38"/>
      <w:bookmarkEnd w:id="39"/>
    </w:p>
    <w:p>
      <w:pPr>
        <w:ind w:firstLine="643"/>
        <w:outlineLvl w:val="3"/>
        <w:rPr>
          <w:b/>
          <w:bCs/>
          <w:color w:val="auto"/>
          <w:szCs w:val="32"/>
        </w:rPr>
      </w:pPr>
      <w:r>
        <w:rPr>
          <w:b/>
          <w:bCs/>
          <w:color w:val="auto"/>
          <w:szCs w:val="32"/>
        </w:rPr>
        <w:t>（1）管理制度</w:t>
      </w:r>
    </w:p>
    <w:p>
      <w:pPr>
        <w:pStyle w:val="2"/>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经核查，一是项目业务管理方面，各级卫健部门制定了较为完善的绩效考核体系，根据《船山区国家基本公共卫生服务项目考核标准》每半年进行一次绩效自评考核工作；二是资金管理方面，项目实施单位严格照四川省财政厅、四川省卫生健康委、省医疗保障局、省中医药管理局印发的关于《基本公共卫生服务等4项补助资金管理办法的通知》以及《财政厅 省卫生健康委关于提前下达2021年基本公共卫生服务中央和省级补助资金的通知》（川财社〔2020〕208号）中的相关规定，规范专项资金的支出和使用，同时船山区卫健局根据根据主管单位的《财务会计内部控制制度》做好财务内控管理。</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根据评分标准，该项得4分。</w:t>
      </w:r>
    </w:p>
    <w:p>
      <w:pPr>
        <w:keepNext w:val="0"/>
        <w:keepLines w:val="0"/>
        <w:pageBreakBefore w:val="0"/>
        <w:widowControl w:val="0"/>
        <w:kinsoku/>
        <w:wordWrap/>
        <w:overflowPunct/>
        <w:topLinePunct w:val="0"/>
        <w:autoSpaceDE/>
        <w:autoSpaceDN/>
        <w:bidi w:val="0"/>
        <w:adjustRightInd/>
        <w:snapToGrid/>
        <w:ind w:firstLine="643"/>
        <w:textAlignment w:val="auto"/>
        <w:outlineLvl w:val="3"/>
        <w:rPr>
          <w:b/>
          <w:bCs/>
          <w:color w:val="auto"/>
          <w:szCs w:val="32"/>
        </w:rPr>
      </w:pPr>
      <w:r>
        <w:rPr>
          <w:b/>
          <w:bCs/>
          <w:color w:val="auto"/>
          <w:szCs w:val="32"/>
        </w:rPr>
        <w:t>（2）执行有效</w:t>
      </w:r>
    </w:p>
    <w:p>
      <w:pPr>
        <w:pStyle w:val="2"/>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经核实了解，各级主管部门依据以上业务相关制度，船山区卫生健康局按照规定程序和标准对各基层卫生服务机构进行业务管理，同时组织指导中心对各乡镇（中心）卫生院、社区卫生服务中心实施情况进行绩效评价，每半年评价一次，制度执行基本有效。</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根据评分标准，该项得4分。</w:t>
      </w:r>
    </w:p>
    <w:p>
      <w:pPr>
        <w:keepNext w:val="0"/>
        <w:keepLines w:val="0"/>
        <w:pageBreakBefore w:val="0"/>
        <w:widowControl w:val="0"/>
        <w:kinsoku/>
        <w:wordWrap/>
        <w:overflowPunct/>
        <w:topLinePunct w:val="0"/>
        <w:autoSpaceDE/>
        <w:autoSpaceDN/>
        <w:bidi w:val="0"/>
        <w:adjustRightInd/>
        <w:snapToGrid/>
        <w:ind w:firstLine="643"/>
        <w:textAlignment w:val="auto"/>
        <w:outlineLvl w:val="3"/>
        <w:rPr>
          <w:rFonts w:hint="eastAsia"/>
          <w:color w:val="auto"/>
        </w:rPr>
      </w:pPr>
      <w:r>
        <w:rPr>
          <w:b/>
          <w:bCs/>
          <w:color w:val="auto"/>
          <w:szCs w:val="32"/>
        </w:rPr>
        <w:t>（3）使用合规</w:t>
      </w:r>
    </w:p>
    <w:p>
      <w:pPr>
        <w:pStyle w:val="2"/>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经核实了解，各级主管部门依据以上财务相关制度，按照规定用途和范围开支。抽查部分区县主管部门和基层医疗机构，结果表明，项目资金使用基本符合财务管理规定和预算批复规定用途，尚发现项目资金存在截留、挤占、挪用、虚列支出等情况。</w:t>
      </w:r>
    </w:p>
    <w:p>
      <w:pPr>
        <w:pStyle w:val="2"/>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根据评分标准，该项得4分。</w:t>
      </w:r>
    </w:p>
    <w:p>
      <w:pPr>
        <w:pStyle w:val="5"/>
        <w:ind w:firstLine="643"/>
        <w:rPr>
          <w:color w:val="auto"/>
        </w:rPr>
      </w:pPr>
      <w:bookmarkStart w:id="40" w:name="_Toc30080"/>
      <w:bookmarkStart w:id="41" w:name="_Toc118908466"/>
      <w:r>
        <w:rPr>
          <w:color w:val="auto"/>
        </w:rPr>
        <w:t>4.项目预算执行指标分析</w:t>
      </w:r>
      <w:bookmarkEnd w:id="40"/>
      <w:bookmarkEnd w:id="41"/>
    </w:p>
    <w:p>
      <w:pPr>
        <w:ind w:firstLine="643"/>
        <w:outlineLvl w:val="3"/>
        <w:rPr>
          <w:b/>
          <w:bCs/>
          <w:color w:val="auto"/>
          <w:szCs w:val="32"/>
        </w:rPr>
      </w:pPr>
      <w:r>
        <w:rPr>
          <w:b/>
          <w:bCs/>
          <w:color w:val="auto"/>
          <w:szCs w:val="32"/>
        </w:rPr>
        <w:t>（1）预算执行率</w:t>
      </w:r>
    </w:p>
    <w:p>
      <w:pPr>
        <w:ind w:firstLine="643"/>
        <w:outlineLvl w:val="9"/>
        <w:rPr>
          <w:rFonts w:hint="eastAsia"/>
          <w:color w:val="auto"/>
        </w:rPr>
      </w:pPr>
      <w:bookmarkStart w:id="42" w:name="_Toc118908467"/>
      <w:r>
        <w:rPr>
          <w:rFonts w:hint="eastAsia"/>
          <w:color w:val="auto"/>
        </w:rPr>
        <w:t>经评价组现场访谈结合遂宁市财政局和遂宁市卫生健康委员会印发的《关于提前下达2021年基本公共卫生服务中央补助资金的通知》以及遂宁市财政局《遂宁市财政局关于预拨2021年基本公共卫生服务市级补助资金的通知》（遂财社〔2021〕46号），项目由遂宁市船山区卫生健康局根据基层医疗卫生机构实际完成的基本公共卫生服务项目数量和质量，在绩效考核后，根据考核结果填报“船山区财政资金分配情况审批表”，经由财政部门、资金主管部门等相关领导审批通过后，兑现补助经费，按标准拨付到基层医疗卫生机构；项目共计实行分配资金三次，第一次由中央资金1300.96万元，省级资金142.712万元，区级资金244万元组成；第二次由第一次下拨余下的中央省资金360.72万元和第一次余下的区级资金36万元和新下拨的市级资金77.49万元组成；第三次由中央资金435.93万元，省级资金21.63万元，市级资金9.8万元组成，其中6.06万元不属于基本公共卫生服务。三次资金分配共计2586.38万元。预算执行率为100%。</w:t>
      </w:r>
    </w:p>
    <w:p>
      <w:pPr>
        <w:ind w:firstLine="643"/>
        <w:outlineLvl w:val="9"/>
        <w:rPr>
          <w:rFonts w:hint="eastAsia"/>
          <w:color w:val="auto"/>
        </w:rPr>
      </w:pPr>
      <w:r>
        <w:rPr>
          <w:rFonts w:hint="eastAsia"/>
          <w:color w:val="auto"/>
        </w:rPr>
        <w:t>根据评分标准，该项得分8分。</w:t>
      </w:r>
    </w:p>
    <w:p>
      <w:pPr>
        <w:ind w:firstLine="643"/>
        <w:outlineLvl w:val="2"/>
        <w:rPr>
          <w:rFonts w:ascii="Times New Roman" w:hAnsi="Times New Roman" w:eastAsia="仿宋" w:cs="Times New Roman"/>
          <w:b/>
          <w:bCs/>
          <w:color w:val="auto"/>
          <w:kern w:val="2"/>
          <w:sz w:val="32"/>
          <w:szCs w:val="32"/>
          <w:lang w:val="en-US" w:eastAsia="zh-CN" w:bidi="ar-SA"/>
        </w:rPr>
      </w:pPr>
      <w:bookmarkStart w:id="43" w:name="_Toc258"/>
      <w:r>
        <w:rPr>
          <w:rFonts w:ascii="Times New Roman" w:hAnsi="Times New Roman" w:eastAsia="仿宋" w:cs="Times New Roman"/>
          <w:b/>
          <w:bCs/>
          <w:color w:val="auto"/>
          <w:kern w:val="2"/>
          <w:sz w:val="32"/>
          <w:szCs w:val="32"/>
          <w:lang w:val="en-US" w:eastAsia="zh-CN" w:bidi="ar-SA"/>
        </w:rPr>
        <w:t>5.项目</w:t>
      </w:r>
      <w:r>
        <w:rPr>
          <w:rFonts w:hint="eastAsia" w:ascii="Times New Roman" w:hAnsi="Times New Roman" w:eastAsia="仿宋" w:cs="Times New Roman"/>
          <w:b/>
          <w:bCs/>
          <w:color w:val="auto"/>
          <w:kern w:val="2"/>
          <w:sz w:val="32"/>
          <w:szCs w:val="32"/>
          <w:lang w:val="en-US" w:eastAsia="zh-CN" w:bidi="ar-SA"/>
        </w:rPr>
        <w:t>产出数量</w:t>
      </w:r>
      <w:r>
        <w:rPr>
          <w:rFonts w:ascii="Times New Roman" w:hAnsi="Times New Roman" w:eastAsia="仿宋" w:cs="Times New Roman"/>
          <w:b/>
          <w:bCs/>
          <w:color w:val="auto"/>
          <w:kern w:val="2"/>
          <w:sz w:val="32"/>
          <w:szCs w:val="32"/>
          <w:lang w:val="en-US" w:eastAsia="zh-CN" w:bidi="ar-SA"/>
        </w:rPr>
        <w:t>指标分析</w:t>
      </w:r>
      <w:bookmarkEnd w:id="42"/>
      <w:bookmarkEnd w:id="43"/>
    </w:p>
    <w:p>
      <w:pPr>
        <w:ind w:firstLine="643"/>
        <w:outlineLvl w:val="3"/>
        <w:rPr>
          <w:rFonts w:hint="eastAsia"/>
          <w:b/>
          <w:bCs/>
          <w:color w:val="auto"/>
          <w:szCs w:val="32"/>
          <w:lang w:val="en-US" w:eastAsia="zh-CN"/>
        </w:rPr>
      </w:pPr>
      <w:r>
        <w:rPr>
          <w:b/>
          <w:bCs/>
          <w:color w:val="auto"/>
          <w:szCs w:val="32"/>
        </w:rPr>
        <w:t>（1）</w:t>
      </w:r>
      <w:r>
        <w:rPr>
          <w:rFonts w:hint="eastAsia"/>
          <w:b/>
          <w:bCs/>
          <w:color w:val="auto"/>
          <w:szCs w:val="32"/>
          <w:lang w:val="en-US" w:eastAsia="zh-CN"/>
        </w:rPr>
        <w:t>产出数量</w:t>
      </w:r>
    </w:p>
    <w:p>
      <w:pPr>
        <w:pStyle w:val="2"/>
        <w:outlineLvl w:val="9"/>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按照遂宁市船山区卫生健康局《船山区2021年国家基本公共卫生服务项目实施方案》相关文件要求，2021年度船山区基本公共卫生服务项目计划实施 12项。根据遂宁市船山区卫生健康局印发的《遂宁市船山区卫生健康局关于船山区2021年基本公共卫生服务项目年终绩效评价的通报》，12想基本公共卫生医疗服务完成率为100%，</w:t>
      </w:r>
    </w:p>
    <w:p>
      <w:pPr>
        <w:ind w:firstLine="643"/>
        <w:outlineLvl w:val="9"/>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根据评分标准，该项得分10*100%=10分。</w:t>
      </w:r>
    </w:p>
    <w:p>
      <w:pPr>
        <w:pStyle w:val="5"/>
        <w:ind w:firstLine="643"/>
        <w:rPr>
          <w:color w:val="auto"/>
        </w:rPr>
      </w:pPr>
      <w:bookmarkStart w:id="44" w:name="_Toc27852"/>
      <w:r>
        <w:rPr>
          <w:rFonts w:hint="eastAsia"/>
          <w:color w:val="auto"/>
          <w:lang w:val="en-US" w:eastAsia="zh-CN"/>
        </w:rPr>
        <w:t>6</w:t>
      </w:r>
      <w:r>
        <w:rPr>
          <w:color w:val="auto"/>
        </w:rPr>
        <w:t>.项目</w:t>
      </w:r>
      <w:r>
        <w:rPr>
          <w:rFonts w:hint="eastAsia"/>
          <w:color w:val="auto"/>
          <w:lang w:val="en-US" w:eastAsia="zh-CN"/>
        </w:rPr>
        <w:t>产出质量</w:t>
      </w:r>
      <w:r>
        <w:rPr>
          <w:color w:val="auto"/>
        </w:rPr>
        <w:t>指标分析</w:t>
      </w:r>
      <w:bookmarkEnd w:id="44"/>
    </w:p>
    <w:p>
      <w:pPr>
        <w:ind w:firstLine="643"/>
        <w:outlineLvl w:val="3"/>
        <w:rPr>
          <w:rFonts w:hint="eastAsia" w:eastAsia="仿宋"/>
          <w:b/>
          <w:bCs/>
          <w:color w:val="auto"/>
          <w:szCs w:val="32"/>
          <w:lang w:eastAsia="zh-CN"/>
        </w:rPr>
      </w:pPr>
      <w:r>
        <w:rPr>
          <w:b/>
          <w:bCs/>
          <w:color w:val="auto"/>
          <w:szCs w:val="32"/>
        </w:rPr>
        <w:t>（</w:t>
      </w:r>
      <w:r>
        <w:rPr>
          <w:rFonts w:hint="eastAsia"/>
          <w:b/>
          <w:bCs/>
          <w:color w:val="auto"/>
          <w:szCs w:val="32"/>
          <w:lang w:val="en-US" w:eastAsia="zh-CN"/>
        </w:rPr>
        <w:t>1</w:t>
      </w:r>
      <w:r>
        <w:rPr>
          <w:b/>
          <w:bCs/>
          <w:color w:val="auto"/>
          <w:szCs w:val="32"/>
        </w:rPr>
        <w:t>）</w:t>
      </w:r>
      <w:r>
        <w:rPr>
          <w:rFonts w:hint="eastAsia"/>
          <w:b/>
          <w:bCs/>
          <w:color w:val="auto"/>
          <w:szCs w:val="32"/>
          <w:lang w:val="en-US" w:eastAsia="zh-CN"/>
        </w:rPr>
        <w:t>产出质量</w:t>
      </w:r>
    </w:p>
    <w:p>
      <w:pPr>
        <w:pStyle w:val="2"/>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经评价组借鉴《遂宁市船山区卫生健康局关于船山区2021 年基本公共卫生服务项目年终绩效评价的通报》，同时结合《船山区2021年国家基本公共卫生服务项目实施方案》得到，主要有以下几个方面未达目标值：1）居民健康档案管理方面，部分档案动态使用率低于目标值90%，单位电子建档率低于目标值93%；2）老年人健康管理方面，老年人健康管理率和老年人健康体检率均低于目标值6%；4）儿童及孕产妇健康管理方面，孕产妇和7岁以下儿童系统管理率均低于目标值95%，5）严重精神障碍患者管理方面，健康管理率低于目标值80%。其次，项目单位绩效自评工作中还发现部分个别工作单位记录不完整、信息填报不严谨、档案规范性太低的情况。本项目质量部分达标。</w:t>
      </w:r>
    </w:p>
    <w:p>
      <w:pPr>
        <w:pStyle w:val="2"/>
        <w:rPr>
          <w:rFonts w:hint="default" w:ascii="Times New Roman" w:hAnsi="Times New Roman" w:eastAsia="仿宋" w:cs="Times New Roman"/>
          <w:color w:val="auto"/>
          <w:kern w:val="2"/>
          <w:sz w:val="32"/>
          <w:szCs w:val="32"/>
          <w:lang w:val="en-US" w:eastAsia="zh-CN" w:bidi="ar-SA"/>
        </w:rPr>
      </w:pPr>
      <w:r>
        <w:rPr>
          <w:rFonts w:hint="default" w:ascii="Times New Roman" w:hAnsi="Times New Roman" w:eastAsia="仿宋" w:cs="Times New Roman"/>
          <w:color w:val="auto"/>
          <w:kern w:val="2"/>
          <w:sz w:val="32"/>
          <w:szCs w:val="32"/>
          <w:lang w:val="en-US" w:eastAsia="zh-CN" w:bidi="ar-SA"/>
        </w:rPr>
        <w:t>根据评分标准，该项得10*50%=5分。</w:t>
      </w:r>
    </w:p>
    <w:p>
      <w:pPr>
        <w:pStyle w:val="5"/>
        <w:numPr>
          <w:ilvl w:val="0"/>
          <w:numId w:val="0"/>
        </w:numPr>
        <w:ind w:firstLine="643" w:firstLineChars="200"/>
        <w:rPr>
          <w:color w:val="auto"/>
        </w:rPr>
      </w:pPr>
      <w:bookmarkStart w:id="45" w:name="_Toc21356"/>
      <w:r>
        <w:rPr>
          <w:rFonts w:hint="eastAsia"/>
          <w:color w:val="auto"/>
          <w:lang w:val="en-US" w:eastAsia="zh-CN"/>
        </w:rPr>
        <w:t>7.</w:t>
      </w:r>
      <w:r>
        <w:rPr>
          <w:color w:val="auto"/>
        </w:rPr>
        <w:t>项目</w:t>
      </w:r>
      <w:r>
        <w:rPr>
          <w:rFonts w:hint="eastAsia"/>
          <w:color w:val="auto"/>
          <w:lang w:val="en-US" w:eastAsia="zh-CN"/>
        </w:rPr>
        <w:t>绩效考核</w:t>
      </w:r>
      <w:r>
        <w:rPr>
          <w:color w:val="auto"/>
        </w:rPr>
        <w:t>指标分析</w:t>
      </w:r>
      <w:bookmarkEnd w:id="45"/>
    </w:p>
    <w:p>
      <w:pPr>
        <w:ind w:firstLine="643"/>
        <w:outlineLvl w:val="3"/>
        <w:rPr>
          <w:rFonts w:hint="eastAsia" w:ascii="Times New Roman" w:hAnsi="Times New Roman" w:cs="Times New Roman"/>
          <w:b/>
          <w:bCs/>
          <w:color w:val="auto"/>
          <w:szCs w:val="32"/>
        </w:rPr>
      </w:pPr>
      <w:r>
        <w:rPr>
          <w:rFonts w:hint="eastAsia" w:ascii="Times New Roman" w:hAnsi="Times New Roman" w:cs="Times New Roman"/>
          <w:b/>
          <w:bCs/>
          <w:color w:val="auto"/>
          <w:szCs w:val="32"/>
          <w:lang w:eastAsia="zh-CN"/>
        </w:rPr>
        <w:t>（</w:t>
      </w:r>
      <w:r>
        <w:rPr>
          <w:rFonts w:hint="eastAsia" w:ascii="Times New Roman" w:hAnsi="Times New Roman" w:cs="Times New Roman"/>
          <w:b/>
          <w:bCs/>
          <w:color w:val="auto"/>
          <w:szCs w:val="32"/>
          <w:lang w:val="en-US" w:eastAsia="zh-CN"/>
        </w:rPr>
        <w:t>1</w:t>
      </w:r>
      <w:r>
        <w:rPr>
          <w:rFonts w:hint="eastAsia" w:ascii="Times New Roman" w:hAnsi="Times New Roman" w:cs="Times New Roman"/>
          <w:b/>
          <w:bCs/>
          <w:color w:val="auto"/>
          <w:szCs w:val="32"/>
          <w:lang w:eastAsia="zh-CN"/>
        </w:rPr>
        <w:t>）</w:t>
      </w:r>
      <w:r>
        <w:rPr>
          <w:rFonts w:hint="eastAsia" w:ascii="Times New Roman" w:hAnsi="Times New Roman" w:cs="Times New Roman"/>
          <w:b/>
          <w:bCs/>
          <w:color w:val="auto"/>
          <w:szCs w:val="32"/>
        </w:rPr>
        <w:t>绩效考核完成率</w:t>
      </w:r>
    </w:p>
    <w:p>
      <w:pPr>
        <w:rPr>
          <w:rFonts w:hint="eastAsia"/>
          <w:color w:val="auto"/>
        </w:rPr>
      </w:pPr>
      <w:r>
        <w:rPr>
          <w:rFonts w:hint="eastAsia"/>
          <w:color w:val="auto"/>
        </w:rPr>
        <w:t>经评价组核查绩效评价组抽查6个各基层医疗服务机构出具的2021年度基本公共卫生服务项目实施考核的情况结合船山区卫生健康局汇总绩效评价，结果表明，各基层医疗机构均按照要求，按时开展考核工作，同时，船山区卫生健康局根据考核指标进行了排名以及公示。</w:t>
      </w:r>
    </w:p>
    <w:p>
      <w:pPr>
        <w:rPr>
          <w:color w:val="auto"/>
        </w:rPr>
      </w:pPr>
      <w:r>
        <w:rPr>
          <w:rFonts w:hint="eastAsia"/>
          <w:color w:val="auto"/>
        </w:rPr>
        <w:t>根据评分标准，该项得10分。</w:t>
      </w:r>
    </w:p>
    <w:p>
      <w:pPr>
        <w:pStyle w:val="5"/>
        <w:numPr>
          <w:ilvl w:val="0"/>
          <w:numId w:val="0"/>
        </w:numPr>
        <w:ind w:firstLine="643" w:firstLineChars="200"/>
        <w:rPr>
          <w:rFonts w:hint="default" w:ascii="Times New Roman" w:hAnsi="Times New Roman" w:cs="Times New Roman"/>
          <w:color w:val="auto"/>
          <w:lang w:val="en-US" w:eastAsia="zh-CN"/>
        </w:rPr>
      </w:pPr>
      <w:bookmarkStart w:id="46" w:name="_Toc25282"/>
      <w:r>
        <w:rPr>
          <w:rFonts w:hint="eastAsia" w:ascii="Times New Roman" w:hAnsi="Times New Roman" w:cs="Times New Roman"/>
          <w:color w:val="auto"/>
          <w:lang w:val="en-US" w:eastAsia="zh-CN"/>
        </w:rPr>
        <w:t>8.项目效益指标分析</w:t>
      </w:r>
      <w:bookmarkEnd w:id="46"/>
    </w:p>
    <w:p>
      <w:pPr>
        <w:ind w:firstLine="643"/>
        <w:outlineLvl w:val="3"/>
        <w:rPr>
          <w:rFonts w:hint="default" w:ascii="Times New Roman" w:hAnsi="Times New Roman" w:cs="Times New Roman"/>
          <w:b/>
          <w:bCs/>
          <w:color w:val="auto"/>
          <w:szCs w:val="32"/>
          <w:lang w:val="en-US" w:eastAsia="zh-CN"/>
        </w:rPr>
      </w:pPr>
      <w:r>
        <w:rPr>
          <w:rFonts w:hint="eastAsia" w:ascii="Times New Roman" w:hAnsi="Times New Roman" w:cs="Times New Roman"/>
          <w:b/>
          <w:bCs/>
          <w:color w:val="auto"/>
          <w:szCs w:val="32"/>
          <w:lang w:val="en-US" w:eastAsia="zh-CN"/>
        </w:rPr>
        <w:t>（1）</w:t>
      </w:r>
      <w:r>
        <w:rPr>
          <w:rFonts w:hint="default" w:ascii="Times New Roman" w:hAnsi="Times New Roman" w:cs="Times New Roman"/>
          <w:b/>
          <w:bCs/>
          <w:color w:val="auto"/>
          <w:szCs w:val="32"/>
          <w:lang w:val="en-US" w:eastAsia="zh-CN"/>
        </w:rPr>
        <w:t>突发公共卫生事件应急处置</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根据《船山区2021年国家基本公共卫生服务项目实施方案》项目实施过程中，要求及时发现、登记并报告辖区内发现的传染病和突发公共卫生事件，执行国家传染病报告登记制度与突发公共卫生事件报告管理制度，建立起一道维护居民健康的屏障，帮助提高居民健康素质。</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根据评分标准，该项得4分。</w:t>
      </w:r>
    </w:p>
    <w:p>
      <w:pPr>
        <w:ind w:firstLine="643"/>
        <w:outlineLvl w:val="3"/>
        <w:rPr>
          <w:rFonts w:hint="default" w:ascii="Times New Roman" w:hAnsi="Times New Roman" w:cs="Times New Roman"/>
          <w:b/>
          <w:bCs/>
          <w:color w:val="auto"/>
          <w:szCs w:val="32"/>
          <w:lang w:val="en-US" w:eastAsia="zh-CN"/>
        </w:rPr>
      </w:pPr>
      <w:r>
        <w:rPr>
          <w:rFonts w:hint="eastAsia" w:ascii="Times New Roman" w:hAnsi="Times New Roman" w:cs="Times New Roman"/>
          <w:b/>
          <w:bCs/>
          <w:color w:val="auto"/>
          <w:szCs w:val="32"/>
          <w:lang w:val="en-US" w:eastAsia="zh-CN"/>
        </w:rPr>
        <w:t>（2）</w:t>
      </w:r>
      <w:r>
        <w:rPr>
          <w:rFonts w:hint="default" w:ascii="Times New Roman" w:hAnsi="Times New Roman" w:cs="Times New Roman"/>
          <w:b/>
          <w:bCs/>
          <w:color w:val="auto"/>
          <w:szCs w:val="32"/>
          <w:lang w:val="en-US" w:eastAsia="zh-CN"/>
        </w:rPr>
        <w:t>居民健康意识</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经评价组现场访谈基层医疗机构医护人员得知，通过国家基本公共卫生服务项目的实施，能有效提高居民健康意识和改变不良生活习惯，帮助辖区居民逐步树立自我健康管理的理念，延缓了慢性病高血压、糖尿病并发症的发病时间。通过老年人健康体检，发现早期疾病，同时，为患者的及时治疗赢得了宝贵的时间。</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根据评分标准，该项得4分。</w:t>
      </w:r>
    </w:p>
    <w:p>
      <w:pPr>
        <w:ind w:firstLine="643"/>
        <w:outlineLvl w:val="3"/>
        <w:rPr>
          <w:rFonts w:hint="default" w:ascii="Times New Roman" w:hAnsi="Times New Roman" w:cs="Times New Roman"/>
          <w:b/>
          <w:bCs/>
          <w:color w:val="auto"/>
          <w:szCs w:val="32"/>
          <w:lang w:val="en-US" w:eastAsia="zh-CN"/>
        </w:rPr>
      </w:pPr>
      <w:r>
        <w:rPr>
          <w:rFonts w:hint="eastAsia" w:ascii="Times New Roman" w:hAnsi="Times New Roman" w:cs="Times New Roman"/>
          <w:b/>
          <w:bCs/>
          <w:color w:val="auto"/>
          <w:szCs w:val="32"/>
          <w:lang w:val="en-US" w:eastAsia="zh-CN"/>
        </w:rPr>
        <w:t>（3）</w:t>
      </w:r>
      <w:r>
        <w:rPr>
          <w:rFonts w:hint="default" w:ascii="Times New Roman" w:hAnsi="Times New Roman" w:cs="Times New Roman"/>
          <w:b/>
          <w:bCs/>
          <w:color w:val="auto"/>
          <w:szCs w:val="32"/>
          <w:lang w:val="en-US" w:eastAsia="zh-CN"/>
        </w:rPr>
        <w:t>基本公共卫生服务水平</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国家基本公共卫生服务项目的有效实施，是基本公共卫生服务均等化水平逐步提升。目前，遂宁市船山区辖区内常住居民，均能享受国家基本公共卫生服务，在一定程度上改善基本公共卫生服务水平。</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根据评分标准，该项得5分。</w:t>
      </w:r>
    </w:p>
    <w:p>
      <w:pPr>
        <w:ind w:firstLine="643"/>
        <w:outlineLvl w:val="3"/>
        <w:rPr>
          <w:rFonts w:hint="default" w:ascii="Times New Roman" w:hAnsi="Times New Roman" w:cs="Times New Roman"/>
          <w:b/>
          <w:bCs/>
          <w:color w:val="auto"/>
          <w:szCs w:val="32"/>
          <w:lang w:val="en-US" w:eastAsia="zh-CN"/>
        </w:rPr>
      </w:pPr>
      <w:r>
        <w:rPr>
          <w:rFonts w:hint="eastAsia" w:ascii="Times New Roman" w:hAnsi="Times New Roman" w:cs="Times New Roman"/>
          <w:b/>
          <w:bCs/>
          <w:color w:val="auto"/>
          <w:szCs w:val="32"/>
          <w:lang w:val="en-US" w:eastAsia="zh-CN"/>
        </w:rPr>
        <w:t>（4）</w:t>
      </w:r>
      <w:r>
        <w:rPr>
          <w:rFonts w:hint="default" w:ascii="Times New Roman" w:hAnsi="Times New Roman" w:cs="Times New Roman"/>
          <w:b/>
          <w:bCs/>
          <w:color w:val="auto"/>
          <w:szCs w:val="32"/>
          <w:lang w:val="en-US" w:eastAsia="zh-CN"/>
        </w:rPr>
        <w:t>居民知晓率</w:t>
      </w:r>
    </w:p>
    <w:p>
      <w:pPr>
        <w:numPr>
          <w:ilvl w:val="0"/>
          <w:numId w:val="0"/>
        </w:numPr>
        <w:ind w:firstLine="640" w:firstLineChars="200"/>
        <w:rPr>
          <w:rFonts w:hint="eastAsia"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评价组对船山区辖区居民发放在线问卷，共计收回有效问卷60份，根据问卷分析结果，线上受访者中，表示非常了解的占到38%、比较了解的占40%，基本了解的占8%；项目整体知晓率为92%</w:t>
      </w:r>
      <w:r>
        <w:rPr>
          <w:rFonts w:hint="eastAsia" w:ascii="Times New Roman" w:hAnsi="Times New Roman" w:cs="Times New Roman"/>
          <w:b w:val="0"/>
          <w:bCs w:val="0"/>
          <w:color w:val="auto"/>
          <w:lang w:val="en-US" w:eastAsia="zh-CN"/>
        </w:rPr>
        <w:t>。</w:t>
      </w:r>
    </w:p>
    <w:p>
      <w:pPr>
        <w:numPr>
          <w:ilvl w:val="0"/>
          <w:numId w:val="0"/>
        </w:numPr>
        <w:ind w:firstLine="640" w:firstLineChars="200"/>
        <w:rPr>
          <w:rFonts w:hint="default"/>
          <w:color w:val="auto"/>
          <w:lang w:val="en-US" w:eastAsia="zh-CN"/>
        </w:rPr>
      </w:pPr>
      <w:r>
        <w:rPr>
          <w:rFonts w:hint="default" w:ascii="Times New Roman" w:hAnsi="Times New Roman" w:cs="Times New Roman"/>
          <w:b w:val="0"/>
          <w:bCs w:val="0"/>
          <w:color w:val="auto"/>
          <w:lang w:val="en-US" w:eastAsia="zh-CN"/>
        </w:rPr>
        <w:t>根据评分标准，该项得92%*6=5.52分</w:t>
      </w:r>
      <w:r>
        <w:rPr>
          <w:rFonts w:hint="eastAsia" w:ascii="Times New Roman" w:hAnsi="Times New Roman" w:cs="Times New Roman"/>
          <w:b w:val="0"/>
          <w:bCs w:val="0"/>
          <w:color w:val="auto"/>
          <w:lang w:val="en-US" w:eastAsia="zh-CN"/>
        </w:rPr>
        <w:t>。</w:t>
      </w:r>
    </w:p>
    <w:p>
      <w:pPr>
        <w:ind w:firstLine="643"/>
        <w:outlineLvl w:val="3"/>
        <w:rPr>
          <w:rFonts w:hint="default" w:ascii="Times New Roman" w:hAnsi="Times New Roman" w:cs="Times New Roman"/>
          <w:b/>
          <w:bCs/>
          <w:color w:val="auto"/>
          <w:szCs w:val="32"/>
          <w:lang w:val="en-US" w:eastAsia="zh-CN"/>
        </w:rPr>
      </w:pPr>
      <w:r>
        <w:rPr>
          <w:rFonts w:hint="eastAsia" w:ascii="Times New Roman" w:hAnsi="Times New Roman" w:cs="Times New Roman"/>
          <w:b/>
          <w:bCs/>
          <w:color w:val="auto"/>
          <w:szCs w:val="32"/>
          <w:lang w:val="en-US" w:eastAsia="zh-CN"/>
        </w:rPr>
        <w:t>（5）</w:t>
      </w:r>
      <w:r>
        <w:rPr>
          <w:rFonts w:hint="default" w:ascii="Times New Roman" w:hAnsi="Times New Roman" w:cs="Times New Roman"/>
          <w:b/>
          <w:bCs/>
          <w:color w:val="auto"/>
          <w:szCs w:val="32"/>
          <w:lang w:val="en-US" w:eastAsia="zh-CN"/>
        </w:rPr>
        <w:t>辖区居民满意度</w:t>
      </w:r>
    </w:p>
    <w:p>
      <w:pPr>
        <w:numPr>
          <w:ilvl w:val="0"/>
          <w:numId w:val="0"/>
        </w:numPr>
        <w:ind w:firstLine="640" w:firstLineChars="200"/>
        <w:rPr>
          <w:rFonts w:hint="eastAsia"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评价组对船山区辖区居民发放在线问卷，共计收回有效问卷60份，根据问卷分析结果，线上受访者中，表示非常满意的占到82%、比较满意的占12%，基本满意的占3%；项目整体满意度为9</w:t>
      </w:r>
      <w:r>
        <w:rPr>
          <w:rFonts w:hint="eastAsia" w:ascii="Times New Roman" w:hAnsi="Times New Roman" w:cs="Times New Roman"/>
          <w:b w:val="0"/>
          <w:bCs w:val="0"/>
          <w:color w:val="auto"/>
          <w:lang w:val="en-US" w:eastAsia="zh-CN"/>
        </w:rPr>
        <w:t>9</w:t>
      </w:r>
      <w:r>
        <w:rPr>
          <w:rFonts w:hint="default" w:ascii="Times New Roman" w:hAnsi="Times New Roman" w:cs="Times New Roman"/>
          <w:b w:val="0"/>
          <w:bCs w:val="0"/>
          <w:color w:val="auto"/>
          <w:lang w:val="en-US" w:eastAsia="zh-CN"/>
        </w:rPr>
        <w:t>%</w:t>
      </w:r>
      <w:r>
        <w:rPr>
          <w:rFonts w:hint="eastAsia" w:ascii="Times New Roman" w:hAnsi="Times New Roman" w:cs="Times New Roman"/>
          <w:b w:val="0"/>
          <w:bCs w:val="0"/>
          <w:color w:val="auto"/>
          <w:lang w:val="en-US" w:eastAsia="zh-CN"/>
        </w:rPr>
        <w:t>。</w:t>
      </w:r>
    </w:p>
    <w:p>
      <w:pPr>
        <w:numPr>
          <w:ilvl w:val="0"/>
          <w:numId w:val="0"/>
        </w:numPr>
        <w:ind w:firstLine="640" w:firstLineChars="200"/>
        <w:rPr>
          <w:rFonts w:hint="default" w:ascii="Times New Roman" w:hAnsi="Times New Roman" w:cs="Times New Roman"/>
          <w:b w:val="0"/>
          <w:bCs w:val="0"/>
          <w:color w:val="auto"/>
          <w:lang w:val="en-US" w:eastAsia="zh-CN"/>
        </w:rPr>
      </w:pPr>
      <w:r>
        <w:rPr>
          <w:rFonts w:hint="default" w:ascii="Times New Roman" w:hAnsi="Times New Roman" w:cs="Times New Roman"/>
          <w:b w:val="0"/>
          <w:bCs w:val="0"/>
          <w:color w:val="auto"/>
          <w:lang w:val="en-US" w:eastAsia="zh-CN"/>
        </w:rPr>
        <w:t>根据评分标准，该项得97%*6=5.</w:t>
      </w:r>
      <w:r>
        <w:rPr>
          <w:rFonts w:hint="eastAsia" w:ascii="Times New Roman" w:hAnsi="Times New Roman" w:cs="Times New Roman"/>
          <w:b w:val="0"/>
          <w:bCs w:val="0"/>
          <w:color w:val="auto"/>
          <w:lang w:val="en-US" w:eastAsia="zh-CN"/>
        </w:rPr>
        <w:t>94</w:t>
      </w:r>
      <w:r>
        <w:rPr>
          <w:rFonts w:hint="default" w:ascii="Times New Roman" w:hAnsi="Times New Roman" w:cs="Times New Roman"/>
          <w:b w:val="0"/>
          <w:bCs w:val="0"/>
          <w:color w:val="auto"/>
          <w:lang w:val="en-US" w:eastAsia="zh-CN"/>
        </w:rPr>
        <w:t>分</w:t>
      </w:r>
    </w:p>
    <w:p>
      <w:pPr>
        <w:pStyle w:val="3"/>
        <w:ind w:firstLine="640"/>
        <w:rPr>
          <w:color w:val="auto"/>
        </w:rPr>
      </w:pPr>
      <w:bookmarkStart w:id="47" w:name="_Toc26513"/>
      <w:r>
        <w:rPr>
          <w:color w:val="auto"/>
        </w:rPr>
        <w:t>四、存在的问题及建议</w:t>
      </w:r>
      <w:bookmarkEnd w:id="47"/>
    </w:p>
    <w:p>
      <w:pPr>
        <w:pStyle w:val="4"/>
        <w:snapToGrid/>
        <w:ind w:firstLine="640"/>
        <w:rPr>
          <w:rFonts w:ascii="Times New Roman" w:hAnsi="Times New Roman" w:cs="Times New Roman"/>
          <w:color w:val="auto"/>
        </w:rPr>
      </w:pPr>
      <w:bookmarkStart w:id="48" w:name="_Toc2909"/>
      <w:r>
        <w:rPr>
          <w:rFonts w:ascii="Times New Roman" w:hAnsi="Times New Roman" w:cs="Times New Roman"/>
          <w:color w:val="auto"/>
        </w:rPr>
        <w:t>（一）存在问题</w:t>
      </w:r>
      <w:bookmarkEnd w:id="48"/>
    </w:p>
    <w:p>
      <w:pPr>
        <w:pStyle w:val="5"/>
        <w:ind w:firstLine="643"/>
        <w:rPr>
          <w:rFonts w:hint="default" w:eastAsia="仿宋"/>
          <w:color w:val="auto"/>
          <w:lang w:val="en-US" w:eastAsia="zh-CN"/>
        </w:rPr>
      </w:pPr>
      <w:bookmarkStart w:id="49" w:name="_Toc118908473"/>
      <w:bookmarkStart w:id="50" w:name="_Toc26946"/>
      <w:r>
        <w:rPr>
          <w:color w:val="auto"/>
        </w:rPr>
        <w:t>1.</w:t>
      </w:r>
      <w:bookmarkEnd w:id="49"/>
      <w:r>
        <w:rPr>
          <w:color w:val="auto"/>
        </w:rPr>
        <w:t xml:space="preserve"> </w:t>
      </w:r>
      <w:r>
        <w:rPr>
          <w:rFonts w:hint="eastAsia"/>
          <w:color w:val="auto"/>
          <w:lang w:val="en-US" w:eastAsia="zh-CN"/>
        </w:rPr>
        <w:t>绩效目标填报有待提升</w:t>
      </w:r>
      <w:bookmarkEnd w:id="50"/>
    </w:p>
    <w:p>
      <w:pPr>
        <w:ind w:firstLine="643"/>
        <w:outlineLvl w:val="9"/>
        <w:rPr>
          <w:rFonts w:hint="default" w:ascii="Times New Roman" w:hAnsi="Times New Roman" w:cs="Times New Roman"/>
          <w:b w:val="0"/>
          <w:bCs w:val="0"/>
          <w:color w:val="auto"/>
          <w:kern w:val="2"/>
          <w:sz w:val="32"/>
          <w:szCs w:val="32"/>
          <w:lang w:val="en-US" w:eastAsia="zh-CN" w:bidi="ar-SA"/>
        </w:rPr>
      </w:pPr>
      <w:r>
        <w:rPr>
          <w:rFonts w:hint="eastAsia" w:ascii="Times New Roman" w:hAnsi="Times New Roman" w:cs="Times New Roman"/>
          <w:b w:val="0"/>
          <w:bCs w:val="0"/>
          <w:color w:val="auto"/>
          <w:kern w:val="2"/>
          <w:sz w:val="32"/>
          <w:szCs w:val="32"/>
          <w:lang w:val="en-US" w:eastAsia="zh-CN" w:bidi="ar-SA"/>
        </w:rPr>
        <w:t>绩效目标表中，</w:t>
      </w:r>
      <w:r>
        <w:rPr>
          <w:rFonts w:ascii="Times New Roman" w:hAnsi="Times New Roman" w:eastAsia="仿宋" w:cs="Times New Roman"/>
          <w:b w:val="0"/>
          <w:bCs w:val="0"/>
          <w:color w:val="auto"/>
          <w:kern w:val="2"/>
          <w:sz w:val="32"/>
          <w:szCs w:val="32"/>
          <w:lang w:val="en-US" w:eastAsia="zh-CN" w:bidi="ar-SA"/>
        </w:rPr>
        <w:t>存在个别指标填报不完整、指标值未细化、量化分解</w:t>
      </w:r>
      <w:r>
        <w:rPr>
          <w:rFonts w:hint="eastAsia" w:ascii="Times New Roman" w:hAnsi="Times New Roman" w:cs="Times New Roman"/>
          <w:b w:val="0"/>
          <w:bCs w:val="0"/>
          <w:color w:val="auto"/>
          <w:kern w:val="2"/>
          <w:sz w:val="32"/>
          <w:szCs w:val="32"/>
          <w:lang w:val="en-US" w:eastAsia="zh-CN" w:bidi="ar-SA"/>
        </w:rPr>
        <w:t>，如：满意度指标中的“服务对象满意度”指标值设置为“不断提高”，该指标值难以衡量。</w:t>
      </w:r>
    </w:p>
    <w:p>
      <w:pPr>
        <w:numPr>
          <w:ilvl w:val="0"/>
          <w:numId w:val="6"/>
        </w:numPr>
        <w:outlineLvl w:val="2"/>
        <w:rPr>
          <w:rFonts w:hint="default" w:ascii="Times New Roman" w:hAnsi="Times New Roman" w:eastAsia="仿宋" w:cs="Times New Roman"/>
          <w:bCs w:val="0"/>
          <w:color w:val="auto"/>
          <w:kern w:val="2"/>
          <w:sz w:val="32"/>
          <w:szCs w:val="32"/>
          <w:lang w:val="en-US" w:eastAsia="zh-CN" w:bidi="ar-SA"/>
        </w:rPr>
      </w:pPr>
      <w:bookmarkStart w:id="51" w:name="_Toc5092"/>
      <w:r>
        <w:rPr>
          <w:rFonts w:ascii="Times New Roman" w:hAnsi="Times New Roman" w:eastAsia="仿宋" w:cs="Times New Roman"/>
          <w:b/>
          <w:bCs/>
          <w:color w:val="auto"/>
          <w:kern w:val="2"/>
          <w:sz w:val="32"/>
          <w:szCs w:val="32"/>
          <w:lang w:val="en-US" w:eastAsia="zh-CN" w:bidi="ar-SA"/>
        </w:rPr>
        <w:t>项目</w:t>
      </w:r>
      <w:r>
        <w:rPr>
          <w:rFonts w:hint="eastAsia" w:ascii="Times New Roman" w:hAnsi="Times New Roman" w:cs="Times New Roman"/>
          <w:b/>
          <w:bCs/>
          <w:color w:val="auto"/>
          <w:kern w:val="2"/>
          <w:sz w:val="32"/>
          <w:szCs w:val="32"/>
          <w:lang w:val="en-US" w:eastAsia="zh-CN" w:bidi="ar-SA"/>
        </w:rPr>
        <w:t>完成</w:t>
      </w:r>
      <w:r>
        <w:rPr>
          <w:rFonts w:ascii="Times New Roman" w:hAnsi="Times New Roman" w:eastAsia="仿宋" w:cs="Times New Roman"/>
          <w:b/>
          <w:bCs/>
          <w:color w:val="auto"/>
          <w:kern w:val="2"/>
          <w:sz w:val="32"/>
          <w:szCs w:val="32"/>
          <w:lang w:val="en-US" w:eastAsia="zh-CN" w:bidi="ar-SA"/>
        </w:rPr>
        <w:t>质量</w:t>
      </w:r>
      <w:r>
        <w:rPr>
          <w:rFonts w:hint="eastAsia" w:ascii="Times New Roman" w:hAnsi="Times New Roman" w:cs="Times New Roman"/>
          <w:b/>
          <w:bCs/>
          <w:color w:val="auto"/>
          <w:kern w:val="2"/>
          <w:sz w:val="32"/>
          <w:szCs w:val="32"/>
          <w:lang w:val="en-US" w:eastAsia="zh-CN" w:bidi="ar-SA"/>
        </w:rPr>
        <w:t>有待提升</w:t>
      </w:r>
      <w:r>
        <w:rPr>
          <w:rFonts w:ascii="Times New Roman" w:hAnsi="Times New Roman" w:eastAsia="仿宋" w:cs="Times New Roman"/>
          <w:b/>
          <w:bCs/>
          <w:color w:val="auto"/>
          <w:kern w:val="2"/>
          <w:sz w:val="32"/>
          <w:szCs w:val="32"/>
          <w:lang w:val="en-US" w:eastAsia="zh-CN" w:bidi="ar-SA"/>
        </w:rPr>
        <w:t>。</w:t>
      </w:r>
      <w:bookmarkEnd w:id="51"/>
      <w:r>
        <w:rPr>
          <w:rFonts w:ascii="Times New Roman" w:hAnsi="Times New Roman" w:eastAsia="仿宋" w:cs="Times New Roman"/>
          <w:color w:val="auto"/>
          <w:kern w:val="2"/>
          <w:sz w:val="32"/>
          <w:szCs w:val="32"/>
          <w:lang w:val="en-US" w:eastAsia="zh-CN" w:bidi="ar-SA"/>
        </w:rPr>
        <w:t xml:space="preserve"> </w:t>
      </w:r>
      <w:r>
        <w:rPr>
          <w:rFonts w:hint="eastAsia" w:ascii="Times New Roman" w:hAnsi="Times New Roman" w:cs="Times New Roman"/>
          <w:color w:val="auto"/>
          <w:kern w:val="2"/>
          <w:sz w:val="32"/>
          <w:szCs w:val="32"/>
          <w:lang w:val="en-US" w:eastAsia="zh-CN" w:bidi="ar-SA"/>
        </w:rPr>
        <w:t xml:space="preserve">    </w:t>
      </w:r>
    </w:p>
    <w:p>
      <w:pPr>
        <w:ind w:firstLine="643"/>
        <w:outlineLvl w:val="9"/>
        <w:rPr>
          <w:rFonts w:hint="default"/>
          <w:color w:val="auto"/>
          <w:lang w:val="en-US" w:eastAsia="zh-CN"/>
        </w:rPr>
      </w:pPr>
      <w:r>
        <w:rPr>
          <w:rFonts w:hint="eastAsia" w:ascii="Times New Roman" w:hAnsi="Times New Roman" w:cs="Times New Roman"/>
          <w:b w:val="0"/>
          <w:bCs w:val="0"/>
          <w:color w:val="auto"/>
          <w:kern w:val="2"/>
          <w:sz w:val="32"/>
          <w:szCs w:val="32"/>
          <w:lang w:val="en-US" w:eastAsia="zh-CN" w:bidi="ar-SA"/>
        </w:rPr>
        <w:t>12项基本公共卫生服务项目中，居民健康档案管理方面、健康教育方面、老年人健康管理方面、儿童及孕产妇健康管理方面、慢性病患者管理方面、严重精神障碍患者管理方面、预防接种方面、传染病及突发公共卫生事件报告和处理方面、免费提供避孕药具方面，个别基层医疗卫生机构还存在完成质量不规范、不达标现象。</w:t>
      </w:r>
    </w:p>
    <w:p>
      <w:pPr>
        <w:pStyle w:val="4"/>
        <w:snapToGrid/>
        <w:ind w:firstLine="640"/>
        <w:rPr>
          <w:rFonts w:ascii="Times New Roman" w:hAnsi="Times New Roman" w:eastAsia="仿宋" w:cs="Times New Roman"/>
          <w:bCs w:val="0"/>
          <w:color w:val="auto"/>
          <w:kern w:val="2"/>
          <w:sz w:val="32"/>
          <w:szCs w:val="32"/>
          <w:lang w:val="en-US" w:eastAsia="zh-CN" w:bidi="ar-SA"/>
        </w:rPr>
      </w:pPr>
      <w:bookmarkStart w:id="52" w:name="_Toc9853"/>
      <w:r>
        <w:rPr>
          <w:rFonts w:ascii="Times New Roman" w:hAnsi="Times New Roman" w:eastAsia="仿宋" w:cs="Times New Roman"/>
          <w:bCs w:val="0"/>
          <w:color w:val="auto"/>
          <w:kern w:val="2"/>
          <w:sz w:val="32"/>
          <w:szCs w:val="32"/>
          <w:lang w:val="en-US" w:eastAsia="zh-CN" w:bidi="ar-SA"/>
        </w:rPr>
        <w:t>（二）相关建议</w:t>
      </w:r>
      <w:bookmarkEnd w:id="52"/>
    </w:p>
    <w:p>
      <w:pPr>
        <w:pStyle w:val="5"/>
        <w:ind w:firstLine="643"/>
        <w:rPr>
          <w:color w:val="auto"/>
        </w:rPr>
      </w:pPr>
      <w:bookmarkStart w:id="53" w:name="_Toc118908478"/>
      <w:bookmarkStart w:id="54" w:name="_Toc22764"/>
      <w:r>
        <w:rPr>
          <w:color w:val="auto"/>
        </w:rPr>
        <w:t xml:space="preserve">1. </w:t>
      </w:r>
      <w:bookmarkEnd w:id="53"/>
      <w:r>
        <w:rPr>
          <w:rFonts w:hint="eastAsia"/>
          <w:color w:val="auto"/>
        </w:rPr>
        <w:t>提高项目绩效目标申报质量</w:t>
      </w:r>
      <w:bookmarkEnd w:id="54"/>
    </w:p>
    <w:p>
      <w:pPr>
        <w:ind w:firstLine="643"/>
        <w:outlineLvl w:val="9"/>
        <w:rPr>
          <w:rFonts w:hint="eastAsia" w:ascii="Times New Roman" w:hAnsi="Times New Roman" w:cs="Times New Roman"/>
          <w:b w:val="0"/>
          <w:bCs w:val="0"/>
          <w:color w:val="auto"/>
          <w:kern w:val="2"/>
          <w:sz w:val="32"/>
          <w:szCs w:val="32"/>
          <w:lang w:val="en-US" w:eastAsia="zh-CN" w:bidi="ar-SA"/>
        </w:rPr>
      </w:pPr>
      <w:bookmarkStart w:id="55" w:name="_Toc118908477"/>
      <w:r>
        <w:rPr>
          <w:rFonts w:hint="eastAsia" w:ascii="Times New Roman" w:hAnsi="Times New Roman" w:eastAsia="仿宋" w:cs="Times New Roman"/>
          <w:b w:val="0"/>
          <w:bCs w:val="0"/>
          <w:color w:val="auto"/>
          <w:kern w:val="2"/>
          <w:sz w:val="32"/>
          <w:szCs w:val="32"/>
          <w:lang w:val="en-US" w:eastAsia="zh-CN" w:bidi="ar-SA"/>
        </w:rPr>
        <w:t>建议各预算责任部门加强预算编制和绩效目标管理，提</w:t>
      </w:r>
      <w:r>
        <w:rPr>
          <w:rFonts w:hint="eastAsia" w:ascii="Times New Roman" w:hAnsi="Times New Roman" w:cs="Times New Roman"/>
          <w:b w:val="0"/>
          <w:bCs w:val="0"/>
          <w:color w:val="auto"/>
          <w:kern w:val="2"/>
          <w:sz w:val="32"/>
          <w:szCs w:val="32"/>
          <w:lang w:val="en-US" w:eastAsia="zh-CN" w:bidi="ar-SA"/>
        </w:rPr>
        <w:t>高</w:t>
      </w:r>
      <w:r>
        <w:rPr>
          <w:rFonts w:hint="eastAsia" w:ascii="Times New Roman" w:hAnsi="Times New Roman" w:eastAsia="仿宋" w:cs="Times New Roman"/>
          <w:b w:val="0"/>
          <w:bCs w:val="0"/>
          <w:color w:val="auto"/>
          <w:kern w:val="2"/>
          <w:sz w:val="32"/>
          <w:szCs w:val="32"/>
          <w:lang w:val="en-US" w:eastAsia="zh-CN" w:bidi="ar-SA"/>
        </w:rPr>
        <w:t>项目绩效目标申报质量，明确数量、质量、成本、效益等重要指标内容；</w:t>
      </w:r>
      <w:r>
        <w:rPr>
          <w:rFonts w:hint="eastAsia" w:ascii="Times New Roman" w:hAnsi="Times New Roman" w:cs="Times New Roman"/>
          <w:b w:val="0"/>
          <w:bCs w:val="0"/>
          <w:color w:val="auto"/>
          <w:kern w:val="2"/>
          <w:sz w:val="32"/>
          <w:szCs w:val="32"/>
          <w:lang w:val="en-US" w:eastAsia="zh-CN" w:bidi="ar-SA"/>
        </w:rPr>
        <w:t>同时</w:t>
      </w:r>
      <w:r>
        <w:rPr>
          <w:rFonts w:hint="eastAsia" w:ascii="Times New Roman" w:hAnsi="Times New Roman" w:eastAsia="仿宋" w:cs="Times New Roman"/>
          <w:b w:val="0"/>
          <w:bCs w:val="0"/>
          <w:color w:val="auto"/>
          <w:kern w:val="2"/>
          <w:sz w:val="32"/>
          <w:szCs w:val="32"/>
          <w:lang w:val="en-US" w:eastAsia="zh-CN" w:bidi="ar-SA"/>
        </w:rPr>
        <w:t>建议相关部门积极推进本项目预算绩效信息公开</w:t>
      </w:r>
      <w:r>
        <w:rPr>
          <w:rFonts w:hint="eastAsia" w:ascii="Times New Roman" w:hAnsi="Times New Roman" w:cs="Times New Roman"/>
          <w:b w:val="0"/>
          <w:bCs w:val="0"/>
          <w:color w:val="auto"/>
          <w:kern w:val="2"/>
          <w:sz w:val="32"/>
          <w:szCs w:val="32"/>
          <w:lang w:val="en-US" w:eastAsia="zh-CN" w:bidi="ar-SA"/>
        </w:rPr>
        <w:t>。</w:t>
      </w:r>
    </w:p>
    <w:p>
      <w:pPr>
        <w:pStyle w:val="5"/>
        <w:numPr>
          <w:ilvl w:val="0"/>
          <w:numId w:val="0"/>
        </w:numPr>
        <w:ind w:firstLine="643" w:firstLineChars="200"/>
        <w:rPr>
          <w:rFonts w:hint="eastAsia"/>
          <w:color w:val="auto"/>
          <w:lang w:val="en-US" w:eastAsia="zh-CN"/>
        </w:rPr>
      </w:pPr>
      <w:bookmarkStart w:id="56" w:name="_Toc24032"/>
      <w:r>
        <w:rPr>
          <w:rFonts w:hint="eastAsia"/>
          <w:color w:val="auto"/>
          <w:lang w:val="en-US" w:eastAsia="zh-CN"/>
        </w:rPr>
        <w:t>2.</w:t>
      </w:r>
      <w:r>
        <w:rPr>
          <w:color w:val="auto"/>
        </w:rPr>
        <w:t>注重过程监管，提高</w:t>
      </w:r>
      <w:bookmarkEnd w:id="55"/>
      <w:bookmarkStart w:id="57" w:name="_Toc118908479"/>
      <w:r>
        <w:rPr>
          <w:rFonts w:hint="eastAsia"/>
          <w:color w:val="auto"/>
          <w:lang w:val="en-US" w:eastAsia="zh-CN"/>
        </w:rPr>
        <w:t>项目执行产出质量</w:t>
      </w:r>
      <w:bookmarkEnd w:id="56"/>
    </w:p>
    <w:p>
      <w:pPr>
        <w:rPr>
          <w:rFonts w:hint="eastAsia"/>
          <w:color w:val="auto"/>
          <w:lang w:val="en-US" w:eastAsia="zh-CN"/>
        </w:rPr>
      </w:pPr>
      <w:r>
        <w:rPr>
          <w:rFonts w:hint="eastAsia"/>
          <w:color w:val="auto"/>
          <w:lang w:val="en-US" w:eastAsia="zh-CN"/>
        </w:rPr>
        <w:t>建议项目单位坚持基层自查和考核相结合，严格把控质量关，提升项目档案与数据的完整性和准确性，以及提高项目档案填报准确性，以确保产出质量达标，</w:t>
      </w:r>
    </w:p>
    <w:p>
      <w:pPr>
        <w:pStyle w:val="2"/>
        <w:rPr>
          <w:rFonts w:hint="default"/>
          <w:color w:val="auto"/>
          <w:lang w:val="en-US" w:eastAsia="zh-CN"/>
        </w:rPr>
      </w:pPr>
    </w:p>
    <w:bookmarkEnd w:id="57"/>
    <w:p>
      <w:pPr>
        <w:pStyle w:val="23"/>
        <w:ind w:firstLine="640"/>
        <w:rPr>
          <w:rFonts w:ascii="Times New Roman" w:hAnsi="Times New Roman" w:cs="Times New Roman"/>
          <w:color w:val="auto"/>
        </w:rPr>
      </w:pPr>
      <w:bookmarkStart w:id="58" w:name="_Toc10605"/>
      <w:r>
        <w:rPr>
          <w:rFonts w:ascii="Times New Roman" w:hAnsi="Times New Roman" w:cs="Times New Roman"/>
          <w:color w:val="auto"/>
        </w:rPr>
        <w:t>五、附件</w:t>
      </w:r>
      <w:bookmarkEnd w:id="58"/>
    </w:p>
    <w:p>
      <w:pPr>
        <w:ind w:firstLine="640"/>
        <w:rPr>
          <w:color w:val="auto"/>
        </w:rPr>
      </w:pPr>
      <w:r>
        <w:rPr>
          <w:color w:val="auto"/>
        </w:rPr>
        <w:t>附件1：项目支出绩效评价指标体系打分表</w:t>
      </w:r>
    </w:p>
    <w:p>
      <w:pPr>
        <w:ind w:firstLine="640"/>
        <w:rPr>
          <w:rFonts w:ascii="Times New Roman" w:hAnsi="Times New Roman" w:cs="Times New Roman"/>
          <w:color w:val="auto"/>
        </w:rPr>
      </w:pPr>
      <w:r>
        <w:rPr>
          <w:rFonts w:ascii="Times New Roman" w:hAnsi="Times New Roman" w:cs="Times New Roman"/>
          <w:color w:val="auto"/>
        </w:rPr>
        <w:t>附件</w:t>
      </w:r>
      <w:r>
        <w:rPr>
          <w:rFonts w:hint="eastAsia" w:ascii="Times New Roman" w:hAnsi="Times New Roman" w:cs="Times New Roman"/>
          <w:color w:val="auto"/>
          <w:lang w:val="en-US" w:eastAsia="zh-CN"/>
        </w:rPr>
        <w:t>2</w:t>
      </w:r>
      <w:r>
        <w:rPr>
          <w:rFonts w:ascii="Times New Roman" w:hAnsi="Times New Roman" w:cs="Times New Roman"/>
          <w:color w:val="auto"/>
        </w:rPr>
        <w:t>：</w:t>
      </w:r>
      <w:r>
        <w:rPr>
          <w:rFonts w:hint="eastAsia" w:ascii="Times New Roman" w:hAnsi="Times New Roman" w:cs="Times New Roman"/>
          <w:color w:val="auto"/>
        </w:rPr>
        <w:t>问卷调查汇总分析报告</w:t>
      </w:r>
    </w:p>
    <w:p>
      <w:pPr>
        <w:ind w:firstLine="640"/>
        <w:rPr>
          <w:color w:val="auto"/>
        </w:rPr>
      </w:pPr>
      <w:r>
        <w:rPr>
          <w:color w:val="auto"/>
        </w:rPr>
        <w:br w:type="page"/>
      </w:r>
    </w:p>
    <w:p>
      <w:pPr>
        <w:ind w:firstLine="640"/>
        <w:rPr>
          <w:color w:val="auto"/>
        </w:rPr>
        <w:sectPr>
          <w:footerReference r:id="rId11" w:type="default"/>
          <w:pgSz w:w="11906" w:h="16838"/>
          <w:pgMar w:top="1440" w:right="1797" w:bottom="1247" w:left="1797" w:header="851" w:footer="992" w:gutter="0"/>
          <w:pgNumType w:fmt="numberInDash" w:start="1"/>
          <w:cols w:space="425" w:num="1"/>
          <w:docGrid w:type="lines" w:linePitch="312" w:charSpace="0"/>
        </w:sectPr>
      </w:pPr>
    </w:p>
    <w:p>
      <w:pPr>
        <w:pStyle w:val="23"/>
        <w:ind w:firstLine="640"/>
        <w:rPr>
          <w:rFonts w:ascii="Times New Roman" w:hAnsi="Times New Roman" w:cs="Times New Roman"/>
          <w:color w:val="auto"/>
        </w:rPr>
      </w:pPr>
      <w:bookmarkStart w:id="59" w:name="_Toc27130"/>
      <w:r>
        <w:rPr>
          <w:rFonts w:ascii="Times New Roman" w:hAnsi="Times New Roman" w:cs="Times New Roman"/>
          <w:color w:val="auto"/>
        </w:rPr>
        <w:t>附件1：项目支出绩效评价指标体系打分表</w:t>
      </w:r>
      <w:bookmarkEnd w:id="59"/>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6"/>
        <w:gridCol w:w="942"/>
        <w:gridCol w:w="691"/>
        <w:gridCol w:w="543"/>
        <w:gridCol w:w="1790"/>
        <w:gridCol w:w="4102"/>
        <w:gridCol w:w="4824"/>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分层指标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一级指标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二级指标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分值</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指标解释</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评价标准及说明</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评价过程</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bCs w:val="0"/>
                <w:color w:val="auto"/>
                <w:sz w:val="21"/>
                <w:szCs w:val="21"/>
                <w:lang w:val="en-US" w:eastAsia="zh-CN"/>
              </w:rPr>
            </w:pPr>
            <w:r>
              <w:rPr>
                <w:rFonts w:hint="eastAsia" w:ascii="Times New Roman" w:hAnsi="Times New Roman" w:eastAsia="仿宋_GB2312" w:cs="Times New Roman"/>
                <w:b/>
                <w:bCs w:val="0"/>
                <w:color w:val="auto"/>
                <w:sz w:val="21"/>
                <w:szCs w:val="21"/>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通用指标（40分）</w:t>
            </w:r>
          </w:p>
        </w:tc>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项目决策（12）</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程序严密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项目设立是否经过严格评估论证</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主要查看项目设立时是否经过事前评估或可行性论证，项目是否按照规定的程序申请设立；</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审批文件、材料是否符合相关要求。每发现存在1处不严密的地方扣1分，扣完为止。</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遂宁市船山区基本公共卫生服务项目为每年常规化开展工作，每年由卫生健康局组织各基层医疗机构依据《国家基本公共卫生服务规范（第三版）》提供服务，项目设立程序合规。</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规划合理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项目规划是否符合市委、市政府重大决策部署，是否与项目年度目标一致</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主要查看项目设立依据是否充分，符合市委、市政府重大决策部署和宏观政策规划，项目年度绩效目标与中长期规划是否一致。每发现1处不合理的地方，扣1分，扣完为止。</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项目设立符合为贯彻党的十九届五中全会精神，符合国家卫生健康委、财政部以及国家中医药局发布的《关于做好2021年基本公共卫生服务项目工作的通知》（国卫基层发〔2021〕23号</w:t>
            </w:r>
            <w:r>
              <w:rPr>
                <w:rFonts w:hint="eastAsia" w:eastAsia="仿宋_GB2312" w:cs="Times New Roman"/>
                <w:b w:val="0"/>
                <w:bCs/>
                <w:color w:val="auto"/>
                <w:sz w:val="21"/>
                <w:szCs w:val="21"/>
                <w:lang w:val="en-US" w:eastAsia="zh-CN"/>
              </w:rPr>
              <w:t>）</w:t>
            </w:r>
            <w:r>
              <w:rPr>
                <w:rFonts w:hint="eastAsia" w:ascii="Times New Roman" w:hAnsi="Times New Roman" w:eastAsia="仿宋_GB2312" w:cs="Times New Roman"/>
                <w:b w:val="0"/>
                <w:bCs/>
                <w:color w:val="auto"/>
                <w:sz w:val="21"/>
                <w:szCs w:val="21"/>
                <w:lang w:val="en-US" w:eastAsia="zh-CN"/>
              </w:rPr>
              <w:t>中提出的“以重点人群为切入点提升基本公共卫生服务质量”,符合《国家基本公共卫生服务规范（第三版）》中相关要求。根据评分标准，该项得4分。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结果符合</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项目实施结果是否与规划计划一致</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按项目法分配的项目，以所有项目点实施完成情况与规划计划情况进行对比。按因素法分配的项目和据实据效分配的项目，将资金分配方向与规划计划支持方向进行对比。指标得分=项目实施结果符合规划的金额/项目总金额×100%*指标分值</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根据《财政厅 省卫生健康委关于提前下达2021年基本公共卫生服务中央和省级补助资金的通知》（川财社〔2020〕208号）等文件要求，项目实施根据基层医疗卫生机构实际完成的基本公共卫生服务项目数量和质量，在绩效考核后，兑现补助经费，按标准分配拨付到基层医疗卫生机构。根据提供的各基层医疗卫生机构绩效自评报告，项目实施结果符合规划的金额符合项目总金额。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绩效目标（8）</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绩效目标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项目所设定的绩效目标是否依据充分，是否符合客观实际，用以反映和考核项目绩效目标与项目实施的相符情况。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是否有绩效目标（如未设定预算绩效目标，也可考核其他工作任务目标）；项目绩效目标与实际工作内容是否具有相关性；项目预期产出效益和效果是否符合正常的业绩水平；是否与预算确定的项目投资额或资金量相匹配。发现一处扣0.5分，直至扣完。</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项目根据相关要求设置了“绩效目标表”，绩效目标与实际工作内容相关，预期产出效益效果符合正常业绩水平，与预期的投资额相匹配。根据评分标准，该项得4分。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绩效指标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依据绩效目标设定的绩效指标是否清晰、细化、可衡量等，用以反映和考核项目绩效目标的明细化情况。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是否将项目绩效目标细化分解为具体的绩效指标；是否通过清晰、可衡量的指标值予以体现；是否与项目目标任务数或计划数相对应。发现一处扣0.5分，直至扣完。</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根据“项目绩效目标表”，项目绩效目标已细化分解为具体的绩效指标；大部分已通过清晰、可衡量的指标值予以体现；与项目12项服务项目中的目标任务数相对应，但个别指标未细化，如：满意度指标中的“服务对象满意度”指标值设置为“不断提高”，该指标未分解为可衡量的指标值体现。根据评分标准，该项得3.5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项目实施（12）</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管理制度</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项目实施单位的资金和业务管理制度是否健全，考核资金和业务管理制度对项目顺利实施的保障情况。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制定项目相应的资金和业务管理制度、办法；业务和资金管理制度编制完整，项目资金管理办法内容全面，包括但不限于项目实施、资金使用、绩效评价、监督管理。发现一处制度不健全扣1分，直至扣完。</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核查，一是项目业务管理方面，各级卫健部门制定了较为完善的绩效考核体系，根据《船山区国家基本公共卫生服务项目考核标准》每半年进行一次绩效自评考核工作；二是资金管理方面，项目实施单位严格照四川省财政厅、四川省卫生健康委、省医疗保障局、省中医药管理局印发的关于《基本公共卫生服务等4项补助资金管理办法的通知》以及《财政厅 省卫生健康委关于提前下达2021年基本公共卫生服务中央和省级补助资金的通知》（川财社〔2020〕208号）中的相关规定，规范专项资金的支出和使用，同时船山区卫健局根据根据主管单位的《财务会计内部控制制度》做好财务内控管理。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执行有效</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项目实施是否符合相关管理规定，用以反映和考核相关管理制度的有效执行情况。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是否遵守相关法律法规和相关管理规定；项目调整及支出调整手续是否完备项目资料是否齐全并及时归档；项目实施的人员条件、场地设备、信息支撑等是否落实到位。发现一处不合规扣0.5分，直至扣完。</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核实了解，各级主管部门依据以上业务相关制度，船山区卫生健康局按照规定程序和标准对各基层卫生服务机构进行业务管理，同时组织指导中心对各乡镇（中心）卫生院、社区卫生服务中心实施情况进行绩效评价，每半年评价一次，制度执行基本有效。整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使用合规</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项目资金使用是否符合相关的财务管理制度规定</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资金是否符合国家财经法规和财务管理制度及有关专项资金管理办法规定；资金拨付是否有完整的审批程序和手续；是否符合项目预算批复或合同规定用途；是否存在截留、挤占、挪用、虚列支出等情况。发现一处扣0.5分，直至扣完。</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核实了解，各级主管部门依据以上财务相关制度，按照规定用途和范围开支。抽查部分区县主管部门和基层医疗机构，结果表明，项目资金使用基本符合财务管理规定和预算批复规定用途，尚发现项目资金存在截留、挤占、挪用、虚列支出等情况。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预算执行（8）</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预算执行率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8</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反映项目资金整体预算执行情况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指标得分=实际拨付下达资金/预算安排资金总额×100%*指标分值（预算安排资金总额一般采用年初预算数，若存在政策变化等因素可采用调整预算数）</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评价组现场访谈结合遂宁市财政局和遂宁市卫生健康委员会印发的《关于提前下达2021年基本公共卫生服务中央补助资金的通知》以及遂宁市财政局《遂宁市财政局关于预拨2021年基本公共卫生服务市级补助资金的通知》（遂财社〔2021〕46号），项目由遂宁市船山区卫生健康局根据基层医疗卫生机构实际完成的基本公共卫生服务项目数量和质量，在绩效考核后，根据考核结果填报“船山区财政资金分配情况审批表”，经由财政部门、资金主管部门等相关领导审批通过后，兑现补助经费，按标准拨付到基层医疗卫生机构；项目共计实行分配资金三次，第一次由中央资金1300.96万元，省级资金142.712万元，区级资金244万元组成；第二次由第一次下拨余下的中央省资金360.72万元和第一次余下的区级资金36万元和新下拨的市级资金77.49万元组成；第三次由中央资金435.93万元，省级资金21.63万元，市级资金9.8万元组成，其中6.06万元不属于基本公共卫生服务。三次资金分配共计2586.38万元。预算执行率为100%。根据评分标准，该项得分8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产出指标（30分）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数量指标（10）</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实际完成率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15</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项目实施的实际产出产出数与计划产出数的比率，用以反映和考核项目产出数量目标的实现程度。</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实际完成率=（实际产出数/计划产出数）×100%。</w:t>
            </w: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实际产出数：一定时期（本年度或项目期）内项目实际产出的产品或提供的服务数量；计划产出数：项目绩效目标确定的在一定时期（本年度或项目期）内计划产出的产品或提供的服务数量。</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按照遂宁市船山区卫生健康局《船山区2021年国家基本公共卫生服务项目实施方案》相关文件要求，2021年度船山区基本公共卫生服务项目计划实施 12项。根据遂宁市船山区卫生健康局印发的《遂宁市船山区卫生健康局关于船山区2021年基本公共卫生服务项目年终绩效评价的通报》，12想基本公共卫生医疗服务完成率为100%，根据评分标准，该项得分10*100%=10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质量指标（10）</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质量达标率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10</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项目完成的质量达标产出数与实际产出数的比率，用以反映和考核项目产出质量目标的实现程度。</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质量达标产出数：一定时期（本年度或项目期）内实际达到既定质量标准的产品或服务数量。既定质量标准是指项目实施单位设立绩效目标时依据计划标准、行业标准、历史标准或其他标准而设定的绩效指标值。本项按①完全达标；②基本达标；③部分达标；④均不达标各占25%分值计算。</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经评价组借鉴《遂宁市船山区卫生健康局关于船山区2021 年基本公共卫生服务项目年终绩效评价的通报》，同时结合《船山区2021年国家基本公共卫生服务项目实施方案》得到，主要有以下几个方面未达目标值：1）居民健康档案管理方面，部分档案动态使用率低于目标值90%，单位电子建档率低于目标值93%；2）老年人健康管理方面，老年人健康管理率和老年人健康体检率均低于目标值6%；4）儿童及孕产妇健康管理方面，孕产妇和7岁以下儿童系统管理率均低于目标值95%，5）严重精神障碍患者管理方面，健康管理率低于目标值80%。其次，项目单位绩效自评工作中还发现部分个别工作单位记录不完整、信息填报不严谨、档案规范性太低的情况。本项目质量部分达标。根据评分标准，该项得10*50%=5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绩效考核（10）</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绩效考核完成率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10</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项目各基层医疗服务机构均按要求开展绩效评价工作且根据项目年终绩效评价结果完成了排名和公示。</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按照要求完成绩效考核工作年终结算工作，均满足，得满分，不满足一项，扣50%分值。</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评价组核查绩效评价组抽查6个各基层医疗服务机构出具的2021年度基本公共卫生服务项目实施考核的情况结合船山区卫生健康局汇总绩效评价，结果表明，各基层医疗机构均按照要求，按时开展考核工作，同时，船山区卫生健康局根据考核指标进行了排名以及公示。根据评分标准，该项得10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效益指标（30分）</w:t>
            </w:r>
          </w:p>
        </w:tc>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社会效益</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突发公共卫生事件应急处置</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项目实施能够提升突发公共卫生事件应急处置能力</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满足即得分，不满足不得分。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根据《船山区2021年国家基本公共卫生服务项目实施方案》项目实施过程中，要求及时发现、登记并报告辖区内发现的传染病和突发公共卫生事件，执行国家传染病报告登记制度与突发公共卫生事件报告管理制度，建立起一道维护居民健康的屏障，帮助提高居民健康素质。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居民健康意识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项目实施改善辖区内居民健康管理的理念。</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满足即得分，不满足不得分。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经评价组现场访谈基层医疗机构医护人员得知，通过国家基本公共卫生服务项目的实施，能有效提高居民健康意识和改变不良生活习惯，帮助辖区居民逐步树立自我健康管理的理念，延缓了慢性病高血压、糖尿病并发症的发病时间。通过老年人健康体检，发现早期疾病，同时，为患者的及时治疗赢得了宝贵的时间。根据评分标准，该项得4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可持续影响</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基本公共卫生服务水平</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5</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项目实施能够提升基本公共卫生服务水平</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满足即得分，不满足不得分。</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国家基本公共卫生服务项目的有效实施，是基本公共卫生服务均等化水平逐步提升。目前，遂宁市船山区辖区内常住居民，均能享受国家基本公共卫生服务，在一定程度上改善基本公共卫生服务水平。根据评分标准，该项得5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restart"/>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知晓率满意度</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居民知晓率</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6</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考察项目政策知晓度</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得分=分值*政策知晓度。</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评价组对船山区辖区居民发放在线问卷，共计收回有效问卷60份，根据问卷分析结果，线上受访者中，表示非常了解的占到38%、比较了解的占44%，基本了解的占12%；项目整体知晓率为92%，根据评分标准，该项得92%*6=5.52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vMerge w:val="continue"/>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辖区居民满意度</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6</w:t>
            </w:r>
          </w:p>
        </w:tc>
        <w:tc>
          <w:tcPr>
            <w:tcW w:w="1790"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考察居民对项目整体满意度</w:t>
            </w:r>
          </w:p>
        </w:tc>
        <w:tc>
          <w:tcPr>
            <w:tcW w:w="4101" w:type="dxa"/>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得分=分值*满意度。</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评价组对船山区辖区居民发放在线问卷，共计收回有效问卷60份，根据问卷分析结果，线上受访者中，表示非常满意的占到82%、比较满意的占12%，基本满意的占3%；项目整体满意度为99%，根据评分标准，该项得99%*6=5.95分</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合计</w:t>
            </w:r>
          </w:p>
        </w:tc>
        <w:tc>
          <w:tcPr>
            <w:tcW w:w="0" w:type="auto"/>
            <w:shd w:val="clear" w:color="auto" w:fill="auto"/>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100</w:t>
            </w:r>
          </w:p>
        </w:tc>
        <w:tc>
          <w:tcPr>
            <w:tcW w:w="1790" w:type="dxa"/>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w:t>
            </w:r>
          </w:p>
        </w:tc>
        <w:tc>
          <w:tcPr>
            <w:tcW w:w="4101" w:type="dxa"/>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w:t>
            </w:r>
          </w:p>
        </w:tc>
        <w:tc>
          <w:tcPr>
            <w:tcW w:w="0" w:type="auto"/>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firstLine="0" w:firstLineChars="0"/>
              <w:jc w:val="center"/>
              <w:rPr>
                <w:rFonts w:hint="eastAsia" w:ascii="Times New Roman" w:hAnsi="Times New Roman" w:eastAsia="仿宋_GB2312" w:cs="Times New Roman"/>
                <w:b w:val="0"/>
                <w:bCs/>
                <w:color w:val="auto"/>
                <w:sz w:val="21"/>
                <w:szCs w:val="21"/>
                <w:lang w:val="en-US" w:eastAsia="zh-CN"/>
              </w:rPr>
            </w:pPr>
            <w:r>
              <w:rPr>
                <w:rFonts w:hint="eastAsia" w:ascii="Times New Roman" w:hAnsi="Times New Roman" w:eastAsia="仿宋_GB2312" w:cs="Times New Roman"/>
                <w:b w:val="0"/>
                <w:bCs/>
                <w:color w:val="auto"/>
                <w:sz w:val="21"/>
                <w:szCs w:val="21"/>
                <w:lang w:val="en-US" w:eastAsia="zh-CN"/>
              </w:rPr>
              <w:t>88.96</w:t>
            </w:r>
          </w:p>
        </w:tc>
      </w:tr>
    </w:tbl>
    <w:p>
      <w:pPr>
        <w:ind w:firstLine="640"/>
        <w:rPr>
          <w:color w:val="auto"/>
        </w:rPr>
        <w:sectPr>
          <w:footerReference r:id="rId12" w:type="default"/>
          <w:footerReference r:id="rId13" w:type="even"/>
          <w:pgSz w:w="16838" w:h="11906" w:orient="landscape"/>
          <w:pgMar w:top="1797" w:right="1440" w:bottom="1797" w:left="1247" w:header="851" w:footer="992" w:gutter="0"/>
          <w:pgNumType w:fmt="numberInDash"/>
          <w:cols w:space="425" w:num="1"/>
          <w:docGrid w:type="linesAndChars" w:linePitch="312" w:charSpace="0"/>
        </w:sectPr>
      </w:pPr>
    </w:p>
    <w:p>
      <w:pPr>
        <w:pStyle w:val="23"/>
        <w:ind w:left="0" w:leftChars="0" w:firstLine="640" w:firstLineChars="200"/>
        <w:jc w:val="left"/>
        <w:rPr>
          <w:rFonts w:ascii="Times New Roman" w:hAnsi="Times New Roman" w:cs="Times New Roman"/>
          <w:color w:val="auto"/>
        </w:rPr>
      </w:pPr>
      <w:bookmarkStart w:id="60" w:name="_Toc26475"/>
      <w:r>
        <w:rPr>
          <w:rFonts w:ascii="Times New Roman" w:hAnsi="Times New Roman" w:cs="Times New Roman"/>
          <w:color w:val="auto"/>
        </w:rPr>
        <w:t>附件</w:t>
      </w:r>
      <w:r>
        <w:rPr>
          <w:rFonts w:hint="eastAsia" w:ascii="Times New Roman" w:hAnsi="Times New Roman" w:cs="Times New Roman"/>
          <w:color w:val="auto"/>
          <w:lang w:val="en-US" w:eastAsia="zh-CN"/>
        </w:rPr>
        <w:t>2</w:t>
      </w:r>
      <w:r>
        <w:rPr>
          <w:rFonts w:ascii="Times New Roman" w:hAnsi="Times New Roman" w:cs="Times New Roman"/>
          <w:color w:val="auto"/>
        </w:rPr>
        <w:t>：</w:t>
      </w:r>
      <w:r>
        <w:rPr>
          <w:rFonts w:hint="eastAsia" w:ascii="Times New Roman" w:hAnsi="Times New Roman" w:cs="Times New Roman"/>
          <w:color w:val="auto"/>
        </w:rPr>
        <w:t>问卷调查汇总分析报告</w:t>
      </w:r>
      <w:bookmarkEnd w:id="60"/>
    </w:p>
    <w:p>
      <w:pPr>
        <w:adjustRightInd w:val="0"/>
        <w:snapToGrid w:val="0"/>
        <w:spacing w:line="360" w:lineRule="auto"/>
        <w:ind w:left="0" w:leftChars="0" w:firstLine="562" w:firstLineChars="200"/>
        <w:jc w:val="center"/>
        <w:outlineLvl w:val="2"/>
        <w:rPr>
          <w:rFonts w:hint="eastAsia" w:ascii="仿宋" w:hAnsi="仿宋" w:eastAsia="仿宋" w:cs="仿宋"/>
          <w:b/>
          <w:bCs/>
          <w:color w:val="auto"/>
          <w:sz w:val="28"/>
          <w:szCs w:val="28"/>
        </w:rPr>
      </w:pPr>
      <w:bookmarkStart w:id="61" w:name="_Toc30653"/>
      <w:r>
        <w:rPr>
          <w:rFonts w:hint="eastAsia" w:ascii="仿宋" w:hAnsi="仿宋" w:cs="仿宋"/>
          <w:b/>
          <w:bCs/>
          <w:color w:val="auto"/>
          <w:sz w:val="28"/>
          <w:szCs w:val="28"/>
          <w:lang w:val="en-US" w:eastAsia="zh-CN"/>
        </w:rPr>
        <w:t xml:space="preserve">附件2-1 </w:t>
      </w:r>
      <w:r>
        <w:rPr>
          <w:rFonts w:hint="eastAsia" w:ascii="仿宋" w:hAnsi="仿宋" w:eastAsia="仿宋" w:cs="仿宋"/>
          <w:b/>
          <w:bCs/>
          <w:color w:val="auto"/>
          <w:sz w:val="28"/>
          <w:szCs w:val="28"/>
          <w:lang w:val="en-US" w:eastAsia="zh-CN"/>
        </w:rPr>
        <w:t>遂宁市</w:t>
      </w:r>
      <w:r>
        <w:rPr>
          <w:rFonts w:hint="eastAsia" w:ascii="仿宋" w:hAnsi="仿宋" w:eastAsia="仿宋" w:cs="仿宋"/>
          <w:b/>
          <w:bCs/>
          <w:color w:val="auto"/>
          <w:sz w:val="28"/>
          <w:szCs w:val="28"/>
        </w:rPr>
        <w:t>船山区2021年国家基本公共卫生服务项目问卷调查汇总分析报告</w:t>
      </w:r>
      <w:bookmarkEnd w:id="61"/>
    </w:p>
    <w:p>
      <w:pPr>
        <w:adjustRightInd w:val="0"/>
        <w:snapToGrid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通过对</w:t>
      </w:r>
      <w:r>
        <w:rPr>
          <w:rFonts w:hint="eastAsia" w:ascii="仿宋" w:hAnsi="仿宋" w:eastAsia="仿宋" w:cs="仿宋"/>
          <w:color w:val="auto"/>
          <w:sz w:val="28"/>
          <w:szCs w:val="28"/>
          <w:lang w:val="en-US" w:eastAsia="zh-CN"/>
        </w:rPr>
        <w:t>遂宁市</w:t>
      </w:r>
      <w:r>
        <w:rPr>
          <w:rFonts w:hint="eastAsia" w:ascii="仿宋" w:hAnsi="仿宋" w:eastAsia="仿宋" w:cs="仿宋"/>
          <w:color w:val="auto"/>
          <w:sz w:val="28"/>
          <w:szCs w:val="28"/>
        </w:rPr>
        <w:t>船山区2021年国家基本公共卫生服务</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受益群体-辖区周边居民</w:t>
      </w:r>
      <w:r>
        <w:rPr>
          <w:rFonts w:hint="eastAsia" w:ascii="仿宋" w:hAnsi="仿宋" w:eastAsia="仿宋" w:cs="仿宋"/>
          <w:color w:val="auto"/>
          <w:sz w:val="28"/>
          <w:szCs w:val="28"/>
        </w:rPr>
        <w:t>进行问卷调查，深入了解项目</w:t>
      </w:r>
      <w:r>
        <w:rPr>
          <w:rFonts w:hint="eastAsia" w:ascii="仿宋" w:hAnsi="仿宋" w:eastAsia="仿宋" w:cs="仿宋"/>
          <w:color w:val="auto"/>
          <w:sz w:val="28"/>
          <w:szCs w:val="28"/>
          <w:lang w:val="en-US" w:eastAsia="zh-CN"/>
        </w:rPr>
        <w:t>实施，辖区居民对项目的知晓程度、对项目的意见以及对项目满意度等。</w:t>
      </w:r>
      <w:r>
        <w:rPr>
          <w:rFonts w:hint="eastAsia" w:ascii="仿宋" w:hAnsi="仿宋" w:eastAsia="仿宋" w:cs="仿宋"/>
          <w:color w:val="auto"/>
          <w:sz w:val="28"/>
          <w:szCs w:val="28"/>
        </w:rPr>
        <w:t>从而为评价结论和相关建议做充分的信息数据准备。</w:t>
      </w:r>
    </w:p>
    <w:p>
      <w:pPr>
        <w:adjustRightInd w:val="0"/>
        <w:snapToGrid w:val="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一、调查对象</w:t>
      </w:r>
    </w:p>
    <w:p>
      <w:pPr>
        <w:widowControl/>
        <w:adjustRightInd w:val="0"/>
        <w:snapToGrid w:val="0"/>
        <w:spacing w:line="360" w:lineRule="auto"/>
        <w:ind w:firstLine="560"/>
        <w:jc w:val="left"/>
        <w:textAlignment w:val="center"/>
        <w:rPr>
          <w:rFonts w:hint="eastAsia" w:ascii="仿宋" w:hAnsi="仿宋" w:eastAsia="仿宋" w:cs="仿宋"/>
          <w:color w:val="auto"/>
          <w:kern w:val="0"/>
          <w:sz w:val="28"/>
          <w:szCs w:val="28"/>
        </w:rPr>
      </w:pPr>
      <w:r>
        <w:rPr>
          <w:rFonts w:hint="eastAsia" w:ascii="仿宋" w:hAnsi="仿宋" w:eastAsia="仿宋" w:cs="仿宋"/>
          <w:color w:val="auto"/>
          <w:sz w:val="28"/>
          <w:szCs w:val="28"/>
        </w:rPr>
        <w:t>本次问卷调查调研对象为</w:t>
      </w:r>
      <w:r>
        <w:rPr>
          <w:rFonts w:hint="eastAsia" w:ascii="仿宋" w:hAnsi="仿宋" w:eastAsia="仿宋" w:cs="仿宋"/>
          <w:color w:val="auto"/>
          <w:sz w:val="28"/>
          <w:szCs w:val="28"/>
          <w:lang w:val="en-US" w:eastAsia="zh-CN"/>
        </w:rPr>
        <w:t>遂宁市</w:t>
      </w:r>
      <w:r>
        <w:rPr>
          <w:rFonts w:hint="eastAsia" w:ascii="仿宋" w:hAnsi="仿宋" w:eastAsia="仿宋" w:cs="仿宋"/>
          <w:color w:val="auto"/>
          <w:sz w:val="28"/>
          <w:szCs w:val="28"/>
        </w:rPr>
        <w:t>船山区2021年国家基本公共卫生服务</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受益群体-辖区周边居民</w:t>
      </w:r>
      <w:r>
        <w:rPr>
          <w:rFonts w:hint="eastAsia" w:ascii="仿宋" w:hAnsi="仿宋" w:eastAsia="仿宋" w:cs="仿宋"/>
          <w:color w:val="auto"/>
          <w:sz w:val="28"/>
          <w:szCs w:val="28"/>
        </w:rPr>
        <w:t>。</w:t>
      </w:r>
    </w:p>
    <w:p>
      <w:pPr>
        <w:adjustRightInd w:val="0"/>
        <w:snapToGrid w:val="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二、调查内容</w:t>
      </w:r>
    </w:p>
    <w:p>
      <w:pPr>
        <w:adjustRightInd w:val="0"/>
        <w:snapToGrid w:val="0"/>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通过对</w:t>
      </w:r>
      <w:r>
        <w:rPr>
          <w:rFonts w:hint="eastAsia" w:ascii="仿宋" w:hAnsi="仿宋" w:eastAsia="仿宋" w:cs="仿宋"/>
          <w:color w:val="auto"/>
          <w:sz w:val="28"/>
          <w:szCs w:val="28"/>
          <w:lang w:eastAsia="zh-CN"/>
        </w:rPr>
        <w:t>船山区国家基本公共卫生服务项目</w:t>
      </w:r>
      <w:r>
        <w:rPr>
          <w:rFonts w:hint="eastAsia" w:ascii="仿宋" w:hAnsi="仿宋" w:eastAsia="仿宋" w:cs="仿宋"/>
          <w:color w:val="auto"/>
          <w:sz w:val="28"/>
          <w:szCs w:val="28"/>
        </w:rPr>
        <w:t>开展问卷调查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了解辖区居民对项目的知晓程度、对项目的意见以及对项目满意度等</w:t>
      </w:r>
    </w:p>
    <w:p>
      <w:pPr>
        <w:adjustRightInd w:val="0"/>
        <w:snapToGrid w:val="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三、调查方法和抽样方式</w:t>
      </w:r>
    </w:p>
    <w:p>
      <w:pPr>
        <w:adjustRightInd w:val="0"/>
        <w:snapToGrid w:val="0"/>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本次问卷调查采取</w:t>
      </w:r>
      <w:r>
        <w:rPr>
          <w:rFonts w:hint="eastAsia" w:ascii="仿宋" w:hAnsi="仿宋" w:eastAsia="仿宋" w:cs="仿宋"/>
          <w:color w:val="auto"/>
          <w:sz w:val="28"/>
          <w:szCs w:val="28"/>
          <w:lang w:val="en-US" w:eastAsia="zh-CN"/>
        </w:rPr>
        <w:t>电子问卷发放的形式</w:t>
      </w:r>
    </w:p>
    <w:p>
      <w:pPr>
        <w:adjustRightInd w:val="0"/>
        <w:snapToGrid w:val="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四、问卷的发放和回收</w:t>
      </w:r>
    </w:p>
    <w:p>
      <w:pPr>
        <w:adjustRightInd w:val="0"/>
        <w:snapToGrid w:val="0"/>
        <w:spacing w:line="360" w:lineRule="auto"/>
        <w:ind w:firstLine="56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本次调查通过</w:t>
      </w:r>
      <w:r>
        <w:rPr>
          <w:rFonts w:hint="eastAsia" w:ascii="仿宋" w:hAnsi="仿宋" w:eastAsia="仿宋" w:cs="仿宋"/>
          <w:color w:val="auto"/>
          <w:sz w:val="28"/>
          <w:szCs w:val="28"/>
          <w:lang w:val="en-US" w:eastAsia="zh-CN"/>
        </w:rPr>
        <w:t>电子问卷发放，在线收回有效电子问卷共计60份。</w:t>
      </w:r>
    </w:p>
    <w:p>
      <w:pPr>
        <w:adjustRightInd w:val="0"/>
        <w:snapToGrid w:val="0"/>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五、问卷调查结果汇总</w:t>
      </w:r>
    </w:p>
    <w:p>
      <w:pPr>
        <w:pStyle w:val="47"/>
        <w:shd w:val="clear"/>
        <w:rPr>
          <w:rFonts w:hint="eastAsia" w:ascii="仿宋" w:hAnsi="仿宋" w:eastAsia="仿宋" w:cs="仿宋"/>
          <w:color w:val="auto"/>
          <w:sz w:val="28"/>
          <w:szCs w:val="28"/>
        </w:rPr>
      </w:pPr>
      <w:r>
        <w:rPr>
          <w:rFonts w:hint="eastAsia" w:ascii="仿宋" w:hAnsi="仿宋" w:eastAsia="仿宋" w:cs="仿宋"/>
          <w:color w:val="auto"/>
          <w:sz w:val="28"/>
          <w:szCs w:val="28"/>
        </w:rPr>
        <w:t>窗体顶端</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第1题：您的年龄[填空题]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第2题：您的性别：</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645"/>
        <w:gridCol w:w="2506"/>
        <w:gridCol w:w="2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 w:hRule="atLeast"/>
        </w:trPr>
        <w:tc>
          <w:tcPr>
            <w:tcW w:w="264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506"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2688"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64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男</w:t>
            </w:r>
          </w:p>
        </w:tc>
        <w:tc>
          <w:tcPr>
            <w:tcW w:w="250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24</w:t>
            </w:r>
          </w:p>
        </w:tc>
        <w:tc>
          <w:tcPr>
            <w:tcW w:w="2688"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3" w:hRule="atLeast"/>
        </w:trPr>
        <w:tc>
          <w:tcPr>
            <w:tcW w:w="264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女</w:t>
            </w:r>
          </w:p>
        </w:tc>
        <w:tc>
          <w:tcPr>
            <w:tcW w:w="250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36</w:t>
            </w:r>
          </w:p>
        </w:tc>
        <w:tc>
          <w:tcPr>
            <w:tcW w:w="2688"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264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2506"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2688"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3</w:t>
      </w:r>
      <w:r>
        <w:rPr>
          <w:rFonts w:hint="eastAsia" w:ascii="仿宋" w:hAnsi="仿宋" w:eastAsia="仿宋" w:cs="仿宋"/>
          <w:i w:val="0"/>
          <w:iCs w:val="0"/>
          <w:caps w:val="0"/>
          <w:color w:val="auto"/>
          <w:spacing w:val="0"/>
          <w:sz w:val="28"/>
          <w:szCs w:val="28"/>
          <w:shd w:val="clear" w:fill="FFFFFF"/>
        </w:rPr>
        <w:t>题：访谈对象类型</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81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504"/>
        <w:gridCol w:w="2452"/>
        <w:gridCol w:w="2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02"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452"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219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慢性病患者</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老年人</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10</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0—3岁儿童家长</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9</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孕产妇</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肺结核患者</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一般人群</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3—6岁儿童家长</w:t>
            </w:r>
          </w:p>
        </w:tc>
        <w:tc>
          <w:tcPr>
            <w:tcW w:w="24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w:t>
            </w:r>
          </w:p>
        </w:tc>
        <w:tc>
          <w:tcPr>
            <w:tcW w:w="219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4" w:hRule="atLeast"/>
        </w:trPr>
        <w:tc>
          <w:tcPr>
            <w:tcW w:w="3504"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245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219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4</w:t>
      </w:r>
      <w:r>
        <w:rPr>
          <w:rFonts w:hint="eastAsia" w:ascii="仿宋" w:hAnsi="仿宋" w:eastAsia="仿宋" w:cs="仿宋"/>
          <w:i w:val="0"/>
          <w:iCs w:val="0"/>
          <w:caps w:val="0"/>
          <w:color w:val="auto"/>
          <w:spacing w:val="0"/>
          <w:sz w:val="28"/>
          <w:szCs w:val="28"/>
          <w:shd w:val="clear" w:fill="FFFFFF"/>
        </w:rPr>
        <w:t>题：您知道基本公共卫生服务有哪些？[多选题]</w:t>
      </w:r>
    </w:p>
    <w:tbl>
      <w:tblPr>
        <w:tblStyle w:val="14"/>
        <w:tblW w:w="79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1"/>
        <w:gridCol w:w="2031"/>
        <w:gridCol w:w="2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031"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277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建立居民健康档案</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32</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老年人健康管理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10</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0—6岁儿童健康管理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9</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预防接种</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14</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健康教育</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10</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孕产妇健康管理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20</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传染病及突发公共卫生事件</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慢性病健康管理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24</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结核病健康管理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12</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重型精神病健康管理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卫生计生监督协管服务</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9</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中医药健康管理</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25</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家庭医生签约服务</w:t>
            </w:r>
          </w:p>
        </w:tc>
        <w:tc>
          <w:tcPr>
            <w:tcW w:w="203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w:t>
            </w:r>
          </w:p>
        </w:tc>
        <w:tc>
          <w:tcPr>
            <w:tcW w:w="277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2031"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277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5</w:t>
      </w:r>
      <w:r>
        <w:rPr>
          <w:rFonts w:hint="eastAsia" w:ascii="仿宋" w:hAnsi="仿宋" w:eastAsia="仿宋" w:cs="仿宋"/>
          <w:i w:val="0"/>
          <w:iCs w:val="0"/>
          <w:caps w:val="0"/>
          <w:color w:val="auto"/>
          <w:spacing w:val="0"/>
          <w:sz w:val="28"/>
          <w:szCs w:val="28"/>
          <w:shd w:val="clear" w:fill="FFFFFF"/>
        </w:rPr>
        <w:t>题：是否建立健康档案？</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1"/>
        <w:gridCol w:w="2946"/>
        <w:gridCol w:w="1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946"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16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294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57</w:t>
            </w:r>
          </w:p>
        </w:tc>
        <w:tc>
          <w:tcPr>
            <w:tcW w:w="16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294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w:t>
            </w:r>
          </w:p>
        </w:tc>
        <w:tc>
          <w:tcPr>
            <w:tcW w:w="16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294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c>
          <w:tcPr>
            <w:tcW w:w="16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2946"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16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6</w:t>
      </w:r>
      <w:r>
        <w:rPr>
          <w:rFonts w:hint="eastAsia" w:ascii="仿宋" w:hAnsi="仿宋" w:eastAsia="仿宋" w:cs="仿宋"/>
          <w:i w:val="0"/>
          <w:iCs w:val="0"/>
          <w:caps w:val="0"/>
          <w:color w:val="auto"/>
          <w:spacing w:val="0"/>
          <w:sz w:val="28"/>
          <w:szCs w:val="28"/>
          <w:shd w:val="clear" w:fill="FFFFFF"/>
        </w:rPr>
        <w:t>题：是否接受卫生院或卫生室的免费健康检查？</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7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42"/>
        <w:gridCol w:w="3098"/>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3098"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139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3098"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45</w:t>
            </w:r>
          </w:p>
        </w:tc>
        <w:tc>
          <w:tcPr>
            <w:tcW w:w="139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3098"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15</w:t>
            </w:r>
          </w:p>
        </w:tc>
        <w:tc>
          <w:tcPr>
            <w:tcW w:w="139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3098"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c>
          <w:tcPr>
            <w:tcW w:w="139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3098"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139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7</w:t>
      </w:r>
      <w:r>
        <w:rPr>
          <w:rFonts w:hint="eastAsia" w:ascii="仿宋" w:hAnsi="仿宋" w:eastAsia="仿宋" w:cs="仿宋"/>
          <w:i w:val="0"/>
          <w:iCs w:val="0"/>
          <w:caps w:val="0"/>
          <w:color w:val="auto"/>
          <w:spacing w:val="0"/>
          <w:sz w:val="28"/>
          <w:szCs w:val="28"/>
          <w:shd w:val="clear" w:fill="FFFFFF"/>
        </w:rPr>
        <w:t>题：是否参加了过健康知识讲座？</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393"/>
        <w:gridCol w:w="1352"/>
        <w:gridCol w:w="3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39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1352"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3041"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13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37</w:t>
            </w:r>
          </w:p>
        </w:tc>
        <w:tc>
          <w:tcPr>
            <w:tcW w:w="304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13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20</w:t>
            </w:r>
          </w:p>
        </w:tc>
        <w:tc>
          <w:tcPr>
            <w:tcW w:w="304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135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w:t>
            </w:r>
          </w:p>
        </w:tc>
        <w:tc>
          <w:tcPr>
            <w:tcW w:w="3041"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39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135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3041"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8</w:t>
      </w:r>
      <w:r>
        <w:rPr>
          <w:rFonts w:hint="eastAsia" w:ascii="仿宋" w:hAnsi="仿宋" w:eastAsia="仿宋" w:cs="仿宋"/>
          <w:i w:val="0"/>
          <w:iCs w:val="0"/>
          <w:caps w:val="0"/>
          <w:color w:val="auto"/>
          <w:spacing w:val="0"/>
          <w:sz w:val="28"/>
          <w:szCs w:val="28"/>
          <w:shd w:val="clear" w:fill="FFFFFF"/>
        </w:rPr>
        <w:t>题：您所在地0—6岁的儿童是否会定期收到各类疫苗的通知，并到预防接种点接种？</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7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105"/>
        <w:gridCol w:w="1277"/>
        <w:gridCol w:w="3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1277"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339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127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58</w:t>
            </w:r>
          </w:p>
        </w:tc>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96.67%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127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127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w:t>
            </w:r>
          </w:p>
        </w:tc>
        <w:tc>
          <w:tcPr>
            <w:tcW w:w="339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1277"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339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9</w:t>
      </w:r>
      <w:r>
        <w:rPr>
          <w:rFonts w:hint="eastAsia" w:ascii="仿宋" w:hAnsi="仿宋" w:eastAsia="仿宋" w:cs="仿宋"/>
          <w:i w:val="0"/>
          <w:iCs w:val="0"/>
          <w:caps w:val="0"/>
          <w:color w:val="auto"/>
          <w:spacing w:val="0"/>
          <w:sz w:val="28"/>
          <w:szCs w:val="28"/>
          <w:shd w:val="clear" w:fill="FFFFFF"/>
        </w:rPr>
        <w:t>题：是否对孕产妇进行定期随访并进行免费健康体检和健康指导？</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243"/>
        <w:gridCol w:w="1502"/>
        <w:gridCol w:w="3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324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1502"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318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2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150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52</w:t>
            </w:r>
          </w:p>
        </w:tc>
        <w:tc>
          <w:tcPr>
            <w:tcW w:w="318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150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w:t>
            </w:r>
          </w:p>
        </w:tc>
        <w:tc>
          <w:tcPr>
            <w:tcW w:w="318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32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150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w:t>
            </w:r>
          </w:p>
        </w:tc>
        <w:tc>
          <w:tcPr>
            <w:tcW w:w="318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24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150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318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lang w:eastAsia="zh-CN"/>
        </w:rPr>
      </w:pPr>
      <w:r>
        <w:rPr>
          <w:rFonts w:hint="eastAsia" w:ascii="仿宋" w:hAnsi="仿宋" w:eastAsia="仿宋" w:cs="仿宋"/>
          <w:i w:val="0"/>
          <w:iCs w:val="0"/>
          <w:caps w:val="0"/>
          <w:color w:val="auto"/>
          <w:spacing w:val="0"/>
          <w:sz w:val="28"/>
          <w:szCs w:val="28"/>
          <w:shd w:val="clear" w:fill="FFFFFF"/>
        </w:rPr>
        <w:t>第1</w:t>
      </w:r>
      <w:r>
        <w:rPr>
          <w:rFonts w:hint="eastAsia" w:ascii="仿宋" w:hAnsi="仿宋" w:eastAsia="仿宋" w:cs="仿宋"/>
          <w:i w:val="0"/>
          <w:iCs w:val="0"/>
          <w:caps w:val="0"/>
          <w:color w:val="auto"/>
          <w:spacing w:val="0"/>
          <w:sz w:val="28"/>
          <w:szCs w:val="28"/>
          <w:shd w:val="clear" w:fill="FFFFFF"/>
          <w:lang w:val="en-US" w:eastAsia="zh-CN"/>
        </w:rPr>
        <w:t>0</w:t>
      </w:r>
      <w:r>
        <w:rPr>
          <w:rFonts w:hint="eastAsia" w:ascii="仿宋" w:hAnsi="仿宋" w:eastAsia="仿宋" w:cs="仿宋"/>
          <w:i w:val="0"/>
          <w:iCs w:val="0"/>
          <w:caps w:val="0"/>
          <w:color w:val="auto"/>
          <w:spacing w:val="0"/>
          <w:sz w:val="28"/>
          <w:szCs w:val="28"/>
          <w:shd w:val="clear" w:fill="FFFFFF"/>
        </w:rPr>
        <w:t>题：是否为新生儿建立保健手册？</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605"/>
        <w:gridCol w:w="1043"/>
        <w:gridCol w:w="1931"/>
        <w:gridCol w:w="1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260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974" w:type="dxa"/>
            <w:gridSpan w:val="2"/>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199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260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tc>
        <w:tc>
          <w:tcPr>
            <w:tcW w:w="10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18</w:t>
            </w:r>
          </w:p>
        </w:tc>
        <w:tc>
          <w:tcPr>
            <w:tcW w:w="3924"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60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tc>
        <w:tc>
          <w:tcPr>
            <w:tcW w:w="10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15</w:t>
            </w:r>
          </w:p>
        </w:tc>
        <w:tc>
          <w:tcPr>
            <w:tcW w:w="3924"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2605"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tc>
        <w:tc>
          <w:tcPr>
            <w:tcW w:w="1043"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18</w:t>
            </w:r>
          </w:p>
        </w:tc>
        <w:tc>
          <w:tcPr>
            <w:tcW w:w="3924"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05"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1043"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3924" w:type="dxa"/>
            <w:gridSpan w:val="2"/>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11</w:t>
      </w:r>
      <w:r>
        <w:rPr>
          <w:rFonts w:hint="eastAsia" w:ascii="仿宋" w:hAnsi="仿宋" w:eastAsia="仿宋" w:cs="仿宋"/>
          <w:i w:val="0"/>
          <w:iCs w:val="0"/>
          <w:caps w:val="0"/>
          <w:color w:val="auto"/>
          <w:spacing w:val="0"/>
          <w:sz w:val="28"/>
          <w:szCs w:val="28"/>
          <w:shd w:val="clear" w:fill="FFFFFF"/>
        </w:rPr>
        <w:t>题：是否知晓</w:t>
      </w:r>
      <w:r>
        <w:rPr>
          <w:rFonts w:hint="eastAsia" w:ascii="仿宋" w:hAnsi="仿宋" w:eastAsia="仿宋" w:cs="仿宋"/>
          <w:i w:val="0"/>
          <w:iCs w:val="0"/>
          <w:caps w:val="0"/>
          <w:color w:val="auto"/>
          <w:spacing w:val="0"/>
          <w:sz w:val="28"/>
          <w:szCs w:val="28"/>
          <w:shd w:val="clear" w:fill="FFFFFF"/>
          <w:lang w:val="en-US" w:eastAsia="zh-CN"/>
        </w:rPr>
        <w:t>国家基本公共卫</w:t>
      </w:r>
      <w:r>
        <w:rPr>
          <w:rFonts w:hint="eastAsia" w:ascii="仿宋" w:hAnsi="仿宋" w:eastAsia="仿宋" w:cs="仿宋"/>
          <w:i w:val="0"/>
          <w:iCs w:val="0"/>
          <w:caps w:val="0"/>
          <w:color w:val="auto"/>
          <w:spacing w:val="0"/>
          <w:kern w:val="2"/>
          <w:sz w:val="28"/>
          <w:szCs w:val="28"/>
          <w:shd w:val="clear" w:fill="FFFFFF"/>
          <w:lang w:val="en-US" w:eastAsia="zh-CN" w:bidi="ar-SA"/>
        </w:rPr>
        <w:t>生服务补助政策？（单选题）</w:t>
      </w:r>
    </w:p>
    <w:tbl>
      <w:tblPr>
        <w:tblStyle w:val="14"/>
        <w:tblW w:w="75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256"/>
        <w:gridCol w:w="400"/>
        <w:gridCol w:w="1452"/>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3" w:hRule="atLeast"/>
        </w:trPr>
        <w:tc>
          <w:tcPr>
            <w:tcW w:w="0" w:type="auto"/>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1852" w:type="dxa"/>
            <w:gridSpan w:val="2"/>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2464"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A、完全不了解</w:t>
            </w:r>
          </w:p>
        </w:tc>
        <w:tc>
          <w:tcPr>
            <w:tcW w:w="40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default"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0</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B、不太了解</w:t>
            </w:r>
          </w:p>
        </w:tc>
        <w:tc>
          <w:tcPr>
            <w:tcW w:w="40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5</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C、基本了解</w:t>
            </w:r>
          </w:p>
        </w:tc>
        <w:tc>
          <w:tcPr>
            <w:tcW w:w="40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5</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D、比较了解</w:t>
            </w:r>
          </w:p>
        </w:tc>
        <w:tc>
          <w:tcPr>
            <w:tcW w:w="40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default"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27</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E、非常了解</w:t>
            </w:r>
          </w:p>
        </w:tc>
        <w:tc>
          <w:tcPr>
            <w:tcW w:w="40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23</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default" w:ascii="仿宋" w:hAnsi="仿宋" w:eastAsia="仿宋" w:cs="仿宋"/>
                <w:b w:val="0"/>
                <w:bCs w:val="0"/>
                <w:color w:val="auto"/>
                <w:kern w:val="0"/>
                <w:sz w:val="28"/>
                <w:szCs w:val="28"/>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3" w:hRule="atLeast"/>
        </w:trPr>
        <w:tc>
          <w:tcPr>
            <w:tcW w:w="3256"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40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3916" w:type="dxa"/>
            <w:gridSpan w:val="2"/>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165" w:lineRule="atLeast"/>
        <w:ind w:left="0" w:right="0"/>
        <w:jc w:val="left"/>
        <w:textAlignment w:val="center"/>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第</w:t>
      </w:r>
      <w:r>
        <w:rPr>
          <w:rFonts w:hint="eastAsia" w:ascii="仿宋" w:hAnsi="仿宋" w:eastAsia="仿宋" w:cs="仿宋"/>
          <w:i w:val="0"/>
          <w:iCs w:val="0"/>
          <w:caps w:val="0"/>
          <w:color w:val="auto"/>
          <w:spacing w:val="0"/>
          <w:sz w:val="28"/>
          <w:szCs w:val="28"/>
          <w:shd w:val="clear" w:fill="FFFFFF"/>
          <w:lang w:val="en-US" w:eastAsia="zh-CN"/>
        </w:rPr>
        <w:t>12</w:t>
      </w:r>
      <w:r>
        <w:rPr>
          <w:rFonts w:hint="eastAsia" w:ascii="仿宋" w:hAnsi="仿宋" w:eastAsia="仿宋" w:cs="仿宋"/>
          <w:i w:val="0"/>
          <w:iCs w:val="0"/>
          <w:caps w:val="0"/>
          <w:color w:val="auto"/>
          <w:spacing w:val="0"/>
          <w:sz w:val="28"/>
          <w:szCs w:val="28"/>
          <w:shd w:val="clear" w:fill="FFFFFF"/>
        </w:rPr>
        <w:t>题：您对卫生院和卫生室提供上述基本公共卫生服务的总体评价</w:t>
      </w:r>
      <w:r>
        <w:rPr>
          <w:rFonts w:hint="eastAsia" w:ascii="仿宋" w:hAnsi="仿宋" w:eastAsia="仿宋" w:cs="仿宋"/>
          <w:i w:val="0"/>
          <w:iCs w:val="0"/>
          <w:caps w:val="0"/>
          <w:color w:val="auto"/>
          <w:spacing w:val="0"/>
          <w:sz w:val="28"/>
          <w:szCs w:val="28"/>
          <w:shd w:val="clear" w:fill="FFFFFF"/>
          <w:lang w:eastAsia="zh-CN"/>
        </w:rPr>
        <w:t>（单选题）</w:t>
      </w:r>
    </w:p>
    <w:tbl>
      <w:tblPr>
        <w:tblStyle w:val="14"/>
        <w:tblW w:w="7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892"/>
        <w:gridCol w:w="2140"/>
        <w:gridCol w:w="2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选项</w:t>
            </w:r>
          </w:p>
        </w:tc>
        <w:tc>
          <w:tcPr>
            <w:tcW w:w="2140" w:type="dxa"/>
            <w:tcBorders>
              <w:top w:val="single" w:color="E0E0E0" w:sz="2" w:space="0"/>
              <w:left w:val="single" w:color="E0E0E0" w:sz="2" w:space="0"/>
              <w:bottom w:val="single" w:color="E0E0E0" w:sz="2" w:space="0"/>
              <w:right w:val="single" w:color="E0E0E0" w:sz="2" w:space="0"/>
            </w:tcBorders>
            <w:shd w:val="clear" w:color="auto" w:fill="F5F5F5"/>
            <w:noWrap/>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小计</w:t>
            </w:r>
          </w:p>
        </w:tc>
        <w:tc>
          <w:tcPr>
            <w:tcW w:w="2917"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A、非常不满意</w:t>
            </w:r>
          </w:p>
        </w:tc>
        <w:tc>
          <w:tcPr>
            <w:tcW w:w="214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c>
          <w:tcPr>
            <w:tcW w:w="291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B、不太满意</w:t>
            </w:r>
          </w:p>
        </w:tc>
        <w:tc>
          <w:tcPr>
            <w:tcW w:w="214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cs="仿宋"/>
                <w:b w:val="0"/>
                <w:bCs w:val="0"/>
                <w:color w:val="auto"/>
                <w:kern w:val="0"/>
                <w:sz w:val="28"/>
                <w:szCs w:val="28"/>
                <w:lang w:val="en-US" w:eastAsia="zh-CN" w:bidi="ar"/>
              </w:rPr>
              <w:t>1</w:t>
            </w:r>
          </w:p>
        </w:tc>
        <w:tc>
          <w:tcPr>
            <w:tcW w:w="291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cs="仿宋"/>
                <w:b w:val="0"/>
                <w:bCs w:val="0"/>
                <w:color w:val="auto"/>
                <w:kern w:val="0"/>
                <w:sz w:val="28"/>
                <w:szCs w:val="28"/>
                <w:lang w:val="en-US" w:eastAsia="zh-CN" w:bidi="ar"/>
              </w:rPr>
              <w:t>1</w:t>
            </w:r>
            <w:r>
              <w:rPr>
                <w:rFonts w:hint="eastAsia" w:ascii="仿宋" w:hAnsi="仿宋" w:eastAsia="仿宋" w:cs="仿宋"/>
                <w:b w:val="0"/>
                <w:bCs w:val="0"/>
                <w:color w:val="auto"/>
                <w:kern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C、基本满意</w:t>
            </w:r>
          </w:p>
        </w:tc>
        <w:tc>
          <w:tcPr>
            <w:tcW w:w="2140"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default" w:ascii="仿宋" w:hAnsi="仿宋" w:eastAsia="仿宋" w:cs="仿宋"/>
                <w:b w:val="0"/>
                <w:bCs w:val="0"/>
                <w:color w:val="auto"/>
                <w:kern w:val="0"/>
                <w:sz w:val="28"/>
                <w:szCs w:val="28"/>
                <w:lang w:val="en-US" w:eastAsia="zh-CN" w:bidi="ar"/>
              </w:rPr>
            </w:pPr>
            <w:r>
              <w:rPr>
                <w:rFonts w:hint="eastAsia" w:ascii="仿宋" w:hAnsi="仿宋" w:cs="仿宋"/>
                <w:b w:val="0"/>
                <w:bCs w:val="0"/>
                <w:color w:val="auto"/>
                <w:kern w:val="0"/>
                <w:sz w:val="28"/>
                <w:szCs w:val="28"/>
                <w:lang w:val="en-US" w:eastAsia="zh-CN" w:bidi="ar"/>
              </w:rPr>
              <w:t>3</w:t>
            </w:r>
          </w:p>
        </w:tc>
        <w:tc>
          <w:tcPr>
            <w:tcW w:w="2917" w:type="dxa"/>
            <w:tcBorders>
              <w:top w:val="single" w:color="E0E0E0" w:sz="2" w:space="0"/>
              <w:left w:val="single" w:color="E0E0E0" w:sz="2" w:space="0"/>
              <w:bottom w:val="single" w:color="E0E0E0" w:sz="2" w:space="0"/>
              <w:right w:val="single" w:color="E0E0E0" w:sz="2" w:space="0"/>
            </w:tcBorders>
            <w:shd w:val="clear" w:color="auto" w:fill="FFFFFF"/>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cs="仿宋"/>
                <w:b w:val="0"/>
                <w:bCs w:val="0"/>
                <w:color w:val="auto"/>
                <w:kern w:val="0"/>
                <w:sz w:val="28"/>
                <w:szCs w:val="28"/>
                <w:lang w:val="en-US" w:eastAsia="zh-CN" w:bidi="ar"/>
              </w:rPr>
              <w:t>5</w:t>
            </w:r>
            <w:r>
              <w:rPr>
                <w:rFonts w:hint="eastAsia" w:ascii="仿宋" w:hAnsi="仿宋" w:eastAsia="仿宋" w:cs="仿宋"/>
                <w:b w:val="0"/>
                <w:bCs w:val="0"/>
                <w:color w:val="auto"/>
                <w:kern w:val="0"/>
                <w:sz w:val="28"/>
                <w:szCs w:val="2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D、比较满意</w:t>
            </w:r>
          </w:p>
        </w:tc>
        <w:tc>
          <w:tcPr>
            <w:tcW w:w="214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7</w:t>
            </w:r>
          </w:p>
        </w:tc>
        <w:tc>
          <w:tcPr>
            <w:tcW w:w="2917"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E、非常满意</w:t>
            </w:r>
          </w:p>
        </w:tc>
        <w:tc>
          <w:tcPr>
            <w:tcW w:w="214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49</w:t>
            </w:r>
          </w:p>
        </w:tc>
        <w:tc>
          <w:tcPr>
            <w:tcW w:w="2917"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7" w:hRule="atLeast"/>
        </w:trPr>
        <w:tc>
          <w:tcPr>
            <w:tcW w:w="2892"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本题有效填写人次</w:t>
            </w:r>
          </w:p>
        </w:tc>
        <w:tc>
          <w:tcPr>
            <w:tcW w:w="2140"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60</w:t>
            </w:r>
          </w:p>
        </w:tc>
        <w:tc>
          <w:tcPr>
            <w:tcW w:w="2917" w:type="dxa"/>
            <w:tcBorders>
              <w:top w:val="single" w:color="E0E0E0" w:sz="2" w:space="0"/>
              <w:left w:val="single" w:color="E0E0E0" w:sz="2" w:space="0"/>
              <w:bottom w:val="single" w:color="E0E0E0" w:sz="2" w:space="0"/>
              <w:right w:val="single" w:color="E0E0E0" w:sz="2" w:space="0"/>
            </w:tcBorders>
            <w:shd w:val="clear" w:color="auto" w:fill="F5F5F5"/>
            <w:tcMar>
              <w:top w:w="60" w:type="dxa"/>
              <w:left w:w="60" w:type="dxa"/>
              <w:bottom w:w="60" w:type="dxa"/>
              <w:right w:w="60" w:type="dxa"/>
            </w:tcMar>
            <w:vAlign w:val="center"/>
          </w:tcPr>
          <w:p>
            <w:pPr>
              <w:keepNext w:val="0"/>
              <w:keepLines w:val="0"/>
              <w:widowControl/>
              <w:suppressLineNumbers w:val="0"/>
              <w:shd w:val="clear"/>
              <w:wordWrap/>
              <w:ind w:left="0" w:leftChars="0" w:firstLine="0" w:firstLineChars="0"/>
              <w:jc w:val="center"/>
              <w:rPr>
                <w:rFonts w:hint="eastAsia" w:ascii="仿宋" w:hAnsi="仿宋" w:eastAsia="仿宋" w:cs="仿宋"/>
                <w:b w:val="0"/>
                <w:bCs w:val="0"/>
                <w:color w:val="auto"/>
                <w:kern w:val="0"/>
                <w:sz w:val="28"/>
                <w:szCs w:val="28"/>
                <w:lang w:val="en-US" w:eastAsia="zh-CN" w:bidi="ar"/>
              </w:rPr>
            </w:pP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15" w:beforeAutospacing="0" w:after="15" w:afterAutospacing="0" w:line="195" w:lineRule="atLeast"/>
        <w:ind w:right="0" w:rightChars="0"/>
        <w:jc w:val="both"/>
        <w:rPr>
          <w:rFonts w:hint="eastAsia" w:ascii="仿宋" w:hAnsi="仿宋" w:cs="仿宋"/>
          <w:i w:val="0"/>
          <w:iCs w:val="0"/>
          <w:caps w:val="0"/>
          <w:color w:val="auto"/>
          <w:spacing w:val="0"/>
          <w:sz w:val="28"/>
          <w:szCs w:val="28"/>
          <w:u w:val="none"/>
          <w:shd w:val="clear" w:fill="FFFFFF"/>
          <w:lang w:val="en-US" w:eastAsia="zh-CN"/>
        </w:rPr>
      </w:pPr>
      <w:r>
        <w:rPr>
          <w:rFonts w:hint="eastAsia" w:ascii="仿宋" w:hAnsi="仿宋" w:eastAsia="仿宋" w:cs="仿宋"/>
          <w:i w:val="0"/>
          <w:iCs w:val="0"/>
          <w:caps w:val="0"/>
          <w:color w:val="auto"/>
          <w:spacing w:val="0"/>
          <w:sz w:val="28"/>
          <w:szCs w:val="28"/>
          <w:u w:val="none"/>
          <w:shd w:val="clear" w:fill="FFFFFF"/>
        </w:rPr>
        <w:t></w:t>
      </w:r>
      <w:r>
        <w:rPr>
          <w:rFonts w:hint="eastAsia" w:ascii="仿宋" w:hAnsi="仿宋" w:cs="仿宋"/>
          <w:i w:val="0"/>
          <w:iCs w:val="0"/>
          <w:caps w:val="0"/>
          <w:color w:val="auto"/>
          <w:spacing w:val="0"/>
          <w:sz w:val="28"/>
          <w:szCs w:val="28"/>
          <w:u w:val="none"/>
          <w:shd w:val="clear" w:fill="FFFFFF"/>
          <w:lang w:val="en-US" w:eastAsia="zh-CN"/>
        </w:rPr>
        <w:t>第13题，您对国家基本公共卫生服务政策是否还有别的意见？</w:t>
      </w:r>
    </w:p>
    <w:p>
      <w:pPr>
        <w:keepNext w:val="0"/>
        <w:keepLines w:val="0"/>
        <w:widowControl/>
        <w:suppressLineNumbers w:val="0"/>
        <w:shd w:val="clear"/>
        <w:wordWrap/>
        <w:jc w:val="left"/>
        <w:rPr>
          <w:rFonts w:hint="default"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无、无意见</w:t>
      </w:r>
    </w:p>
    <w:p>
      <w:pPr>
        <w:adjustRightInd w:val="0"/>
        <w:snapToGrid w:val="0"/>
        <w:spacing w:line="360" w:lineRule="auto"/>
        <w:ind w:left="0" w:leftChars="0" w:firstLine="562" w:firstLineChars="200"/>
        <w:jc w:val="center"/>
        <w:outlineLvl w:val="2"/>
        <w:rPr>
          <w:rFonts w:hint="eastAsia" w:ascii="仿宋" w:hAnsi="仿宋" w:eastAsia="仿宋" w:cs="仿宋"/>
          <w:b/>
          <w:bCs/>
          <w:color w:val="auto"/>
          <w:sz w:val="28"/>
          <w:szCs w:val="28"/>
          <w:lang w:val="en-US" w:eastAsia="zh-CN"/>
        </w:rPr>
      </w:pPr>
      <w:bookmarkStart w:id="62" w:name="_Toc6919"/>
      <w:r>
        <w:rPr>
          <w:rFonts w:hint="eastAsia" w:ascii="仿宋" w:hAnsi="仿宋" w:cs="仿宋"/>
          <w:b/>
          <w:bCs/>
          <w:color w:val="auto"/>
          <w:sz w:val="28"/>
          <w:szCs w:val="28"/>
          <w:lang w:val="en-US" w:eastAsia="zh-CN"/>
        </w:rPr>
        <w:t xml:space="preserve">附件2-2 </w:t>
      </w:r>
      <w:r>
        <w:rPr>
          <w:rFonts w:hint="eastAsia" w:ascii="仿宋" w:hAnsi="仿宋" w:eastAsia="仿宋" w:cs="仿宋"/>
          <w:b/>
          <w:bCs/>
          <w:color w:val="auto"/>
          <w:sz w:val="28"/>
          <w:szCs w:val="28"/>
          <w:lang w:val="en-US" w:eastAsia="zh-CN"/>
        </w:rPr>
        <w:t>遂宁市</w:t>
      </w:r>
      <w:r>
        <w:rPr>
          <w:rFonts w:hint="eastAsia" w:ascii="仿宋" w:hAnsi="仿宋" w:eastAsia="仿宋" w:cs="仿宋"/>
          <w:b/>
          <w:bCs/>
          <w:color w:val="auto"/>
          <w:sz w:val="28"/>
          <w:szCs w:val="28"/>
        </w:rPr>
        <w:t>船山区2021年国家基本公共卫生服务项目问卷调查</w:t>
      </w:r>
      <w:r>
        <w:rPr>
          <w:rFonts w:hint="eastAsia" w:ascii="仿宋" w:hAnsi="仿宋" w:cs="仿宋"/>
          <w:b/>
          <w:bCs/>
          <w:color w:val="auto"/>
          <w:sz w:val="28"/>
          <w:szCs w:val="28"/>
          <w:lang w:val="en-US" w:eastAsia="zh-CN"/>
        </w:rPr>
        <w:t>问卷</w:t>
      </w:r>
      <w:bookmarkEnd w:id="62"/>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第1题：您的年龄[填空题]</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第2题：您的性别：（单选题）</w:t>
      </w:r>
    </w:p>
    <w:p>
      <w:pPr>
        <w:keepNext w:val="0"/>
        <w:keepLines w:val="0"/>
        <w:widowControl/>
        <w:numPr>
          <w:ilvl w:val="0"/>
          <w:numId w:val="7"/>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男</w:t>
      </w:r>
    </w:p>
    <w:p>
      <w:pPr>
        <w:keepNext w:val="0"/>
        <w:keepLines w:val="0"/>
        <w:widowControl/>
        <w:numPr>
          <w:ilvl w:val="0"/>
          <w:numId w:val="7"/>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女</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第3题：访谈对象类型（单选题）</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慢性病患者</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老年人</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0—3岁儿童家长</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孕产妇</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肺结核患者</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一般人群</w:t>
      </w:r>
    </w:p>
    <w:p>
      <w:pPr>
        <w:keepNext w:val="0"/>
        <w:keepLines w:val="0"/>
        <w:widowControl/>
        <w:numPr>
          <w:ilvl w:val="0"/>
          <w:numId w:val="8"/>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3—6岁儿童家长</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第4题：您知道基本公共卫生服务有哪些？[多选题]</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建立居民健康档案</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老年人健康管理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0—6岁儿童健康管理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预防接种</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健康教育</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孕产妇健康管理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传染病及突发公共卫生事件</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慢性病健康管理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结核病健康管理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重型精神病健康管理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卫生计生监督协管服务</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中医药健康管理</w:t>
      </w:r>
    </w:p>
    <w:p>
      <w:pPr>
        <w:keepNext w:val="0"/>
        <w:keepLines w:val="0"/>
        <w:widowControl/>
        <w:numPr>
          <w:ilvl w:val="0"/>
          <w:numId w:val="9"/>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家庭医生签约服务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第5题：是否建立健康档案？（单选题）</w:t>
      </w:r>
    </w:p>
    <w:p>
      <w:pPr>
        <w:keepNext w:val="0"/>
        <w:keepLines w:val="0"/>
        <w:widowControl/>
        <w:numPr>
          <w:ilvl w:val="0"/>
          <w:numId w:val="10"/>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0"/>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0"/>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第6题：是否接受卫生院或卫生室的免费健康检查？（单选题）</w:t>
      </w:r>
    </w:p>
    <w:p>
      <w:pPr>
        <w:keepNext w:val="0"/>
        <w:keepLines w:val="0"/>
        <w:widowControl/>
        <w:numPr>
          <w:ilvl w:val="0"/>
          <w:numId w:val="11"/>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1"/>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1"/>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第7题：是否参加了过健康知识讲座？（单选题）</w:t>
      </w:r>
    </w:p>
    <w:p>
      <w:pPr>
        <w:keepNext w:val="0"/>
        <w:keepLines w:val="0"/>
        <w:widowControl/>
        <w:numPr>
          <w:ilvl w:val="0"/>
          <w:numId w:val="12"/>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2"/>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2"/>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第8题：您所在地0—6岁的儿童是否会定期收到各类疫苗的通知，并到预防接种点接种？（单选题）</w:t>
      </w:r>
    </w:p>
    <w:p>
      <w:pPr>
        <w:keepNext w:val="0"/>
        <w:keepLines w:val="0"/>
        <w:widowControl/>
        <w:numPr>
          <w:ilvl w:val="0"/>
          <w:numId w:val="13"/>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3"/>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3"/>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第9题：是否对孕产妇进行定期随访并进行免费健康体检和健康指导？（单选题）</w:t>
      </w:r>
    </w:p>
    <w:p>
      <w:pPr>
        <w:keepNext w:val="0"/>
        <w:keepLines w:val="0"/>
        <w:widowControl/>
        <w:numPr>
          <w:ilvl w:val="0"/>
          <w:numId w:val="14"/>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4"/>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4"/>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第10题：是否为新生儿建立保健手册？（单选题）</w:t>
      </w:r>
    </w:p>
    <w:p>
      <w:pPr>
        <w:keepNext w:val="0"/>
        <w:keepLines w:val="0"/>
        <w:widowControl/>
        <w:numPr>
          <w:ilvl w:val="0"/>
          <w:numId w:val="15"/>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有</w:t>
      </w:r>
    </w:p>
    <w:p>
      <w:pPr>
        <w:keepNext w:val="0"/>
        <w:keepLines w:val="0"/>
        <w:widowControl/>
        <w:numPr>
          <w:ilvl w:val="0"/>
          <w:numId w:val="15"/>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没有</w:t>
      </w:r>
    </w:p>
    <w:p>
      <w:pPr>
        <w:keepNext w:val="0"/>
        <w:keepLines w:val="0"/>
        <w:widowControl/>
        <w:numPr>
          <w:ilvl w:val="0"/>
          <w:numId w:val="15"/>
        </w:numPr>
        <w:suppressLineNumbers w:val="0"/>
        <w:shd w:val="clear"/>
        <w:wordWrap/>
        <w:ind w:left="425" w:leftChars="0" w:hanging="425"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不知道有该项服务</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第11题：是否知晓国家基本公共卫生服务补助政策？（单选题）</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A、完全不了解</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B、不太了解</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C、基本了解</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D、比较了解</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E、非常了解</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第12题：您对卫生院和卫生室提供上述基本公共卫生服务的总体评价（单选题）</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A、非常不满意</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B、不太满意</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C、基本满意</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D、比较满意</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E、非常满意</w:t>
      </w:r>
    </w:p>
    <w:p>
      <w:pPr>
        <w:keepNext w:val="0"/>
        <w:keepLines w:val="0"/>
        <w:widowControl/>
        <w:suppressLineNumbers w:val="0"/>
        <w:shd w:val="clear"/>
        <w:wordWrap/>
        <w:ind w:left="0" w:leftChars="0" w:firstLine="0" w:firstLineChars="0"/>
        <w:jc w:val="left"/>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第13题，您对国家基本公共卫生服务政策是否还有别的意见？</w:t>
      </w:r>
    </w:p>
    <w:p>
      <w:pPr>
        <w:pStyle w:val="2"/>
        <w:numPr>
          <w:ilvl w:val="0"/>
          <w:numId w:val="0"/>
        </w:numPr>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pPr>
      <w:pStyle w:val="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- 1 -</w:t>
    </w:r>
    <w:r>
      <w:rPr>
        <w:rStyle w:val="17"/>
      </w:rPr>
      <w:fldChar w:fldCharType="end"/>
    </w:r>
  </w:p>
  <w:p>
    <w:pPr>
      <w:pStyle w:val="8"/>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firstLine="360"/>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pPr>
      <w:pStyle w:val="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1F452"/>
    <w:multiLevelType w:val="singleLevel"/>
    <w:tmpl w:val="9081F452"/>
    <w:lvl w:ilvl="0" w:tentative="0">
      <w:start w:val="1"/>
      <w:numFmt w:val="upperLetter"/>
      <w:lvlText w:val="%1."/>
      <w:lvlJc w:val="left"/>
      <w:pPr>
        <w:ind w:left="425" w:hanging="425"/>
      </w:pPr>
      <w:rPr>
        <w:rFonts w:hint="default"/>
      </w:rPr>
    </w:lvl>
  </w:abstractNum>
  <w:abstractNum w:abstractNumId="1">
    <w:nsid w:val="9484A4EC"/>
    <w:multiLevelType w:val="singleLevel"/>
    <w:tmpl w:val="9484A4EC"/>
    <w:lvl w:ilvl="0" w:tentative="0">
      <w:start w:val="1"/>
      <w:numFmt w:val="upperLetter"/>
      <w:lvlText w:val="%1."/>
      <w:lvlJc w:val="left"/>
      <w:pPr>
        <w:ind w:left="425" w:hanging="425"/>
      </w:pPr>
      <w:rPr>
        <w:rFonts w:hint="default"/>
      </w:rPr>
    </w:lvl>
  </w:abstractNum>
  <w:abstractNum w:abstractNumId="2">
    <w:nsid w:val="A58692E1"/>
    <w:multiLevelType w:val="singleLevel"/>
    <w:tmpl w:val="A58692E1"/>
    <w:lvl w:ilvl="0" w:tentative="0">
      <w:start w:val="1"/>
      <w:numFmt w:val="upperLetter"/>
      <w:lvlText w:val="%1."/>
      <w:lvlJc w:val="left"/>
      <w:pPr>
        <w:ind w:left="425" w:hanging="425"/>
      </w:pPr>
      <w:rPr>
        <w:rFonts w:hint="default"/>
      </w:rPr>
    </w:lvl>
  </w:abstractNum>
  <w:abstractNum w:abstractNumId="3">
    <w:nsid w:val="B837BD6E"/>
    <w:multiLevelType w:val="singleLevel"/>
    <w:tmpl w:val="B837BD6E"/>
    <w:lvl w:ilvl="0" w:tentative="0">
      <w:start w:val="2"/>
      <w:numFmt w:val="decimal"/>
      <w:suff w:val="space"/>
      <w:lvlText w:val="%1."/>
      <w:lvlJc w:val="left"/>
      <w:rPr>
        <w:rFonts w:hint="default"/>
        <w:b/>
        <w:bCs/>
      </w:rPr>
    </w:lvl>
  </w:abstractNum>
  <w:abstractNum w:abstractNumId="4">
    <w:nsid w:val="C3A66317"/>
    <w:multiLevelType w:val="singleLevel"/>
    <w:tmpl w:val="C3A66317"/>
    <w:lvl w:ilvl="0" w:tentative="0">
      <w:start w:val="1"/>
      <w:numFmt w:val="upperLetter"/>
      <w:lvlText w:val="%1."/>
      <w:lvlJc w:val="left"/>
      <w:pPr>
        <w:ind w:left="425" w:hanging="425"/>
      </w:pPr>
      <w:rPr>
        <w:rFonts w:hint="default"/>
      </w:rPr>
    </w:lvl>
  </w:abstractNum>
  <w:abstractNum w:abstractNumId="5">
    <w:nsid w:val="0F076C64"/>
    <w:multiLevelType w:val="singleLevel"/>
    <w:tmpl w:val="0F076C64"/>
    <w:lvl w:ilvl="0" w:tentative="0">
      <w:start w:val="1"/>
      <w:numFmt w:val="upperLetter"/>
      <w:lvlText w:val="%1."/>
      <w:lvlJc w:val="left"/>
      <w:pPr>
        <w:ind w:left="425" w:hanging="425"/>
      </w:pPr>
      <w:rPr>
        <w:rFonts w:hint="default"/>
      </w:rPr>
    </w:lvl>
  </w:abstractNum>
  <w:abstractNum w:abstractNumId="6">
    <w:nsid w:val="110B6C74"/>
    <w:multiLevelType w:val="singleLevel"/>
    <w:tmpl w:val="110B6C74"/>
    <w:lvl w:ilvl="0" w:tentative="0">
      <w:start w:val="3"/>
      <w:numFmt w:val="chineseCounting"/>
      <w:suff w:val="nothing"/>
      <w:lvlText w:val="（%1）"/>
      <w:lvlJc w:val="left"/>
      <w:rPr>
        <w:rFonts w:hint="eastAsia"/>
      </w:rPr>
    </w:lvl>
  </w:abstractNum>
  <w:abstractNum w:abstractNumId="7">
    <w:nsid w:val="2874FEC5"/>
    <w:multiLevelType w:val="singleLevel"/>
    <w:tmpl w:val="2874FEC5"/>
    <w:lvl w:ilvl="0" w:tentative="0">
      <w:start w:val="2"/>
      <w:numFmt w:val="decimal"/>
      <w:suff w:val="nothing"/>
      <w:lvlText w:val="%1."/>
      <w:lvlJc w:val="left"/>
      <w:pPr>
        <w:ind w:left="640"/>
      </w:pPr>
    </w:lvl>
  </w:abstractNum>
  <w:abstractNum w:abstractNumId="8">
    <w:nsid w:val="34379E2F"/>
    <w:multiLevelType w:val="singleLevel"/>
    <w:tmpl w:val="34379E2F"/>
    <w:lvl w:ilvl="0" w:tentative="0">
      <w:start w:val="1"/>
      <w:numFmt w:val="upperLetter"/>
      <w:lvlText w:val="%1."/>
      <w:lvlJc w:val="left"/>
      <w:pPr>
        <w:ind w:left="425" w:hanging="425"/>
      </w:pPr>
      <w:rPr>
        <w:rFonts w:hint="default"/>
      </w:rPr>
    </w:lvl>
  </w:abstractNum>
  <w:abstractNum w:abstractNumId="9">
    <w:nsid w:val="3DE07FF7"/>
    <w:multiLevelType w:val="multilevel"/>
    <w:tmpl w:val="3DE07FF7"/>
    <w:lvl w:ilvl="0" w:tentative="0">
      <w:start w:val="1"/>
      <w:numFmt w:val="decimal"/>
      <w:pStyle w:val="2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3E282E40"/>
    <w:multiLevelType w:val="singleLevel"/>
    <w:tmpl w:val="3E282E40"/>
    <w:lvl w:ilvl="0" w:tentative="0">
      <w:start w:val="1"/>
      <w:numFmt w:val="upperLetter"/>
      <w:lvlText w:val="%1."/>
      <w:lvlJc w:val="left"/>
      <w:pPr>
        <w:ind w:left="425" w:hanging="425"/>
      </w:pPr>
      <w:rPr>
        <w:rFonts w:hint="default"/>
      </w:rPr>
    </w:lvl>
  </w:abstractNum>
  <w:abstractNum w:abstractNumId="11">
    <w:nsid w:val="4FCE56D2"/>
    <w:multiLevelType w:val="singleLevel"/>
    <w:tmpl w:val="4FCE56D2"/>
    <w:lvl w:ilvl="0" w:tentative="0">
      <w:start w:val="1"/>
      <w:numFmt w:val="chineseCounting"/>
      <w:suff w:val="nothing"/>
      <w:lvlText w:val="（%1）"/>
      <w:lvlJc w:val="left"/>
      <w:pPr>
        <w:ind w:left="0" w:firstLine="420"/>
      </w:pPr>
      <w:rPr>
        <w:rFonts w:hint="eastAsia"/>
      </w:rPr>
    </w:lvl>
  </w:abstractNum>
  <w:abstractNum w:abstractNumId="12">
    <w:nsid w:val="610671B8"/>
    <w:multiLevelType w:val="multilevel"/>
    <w:tmpl w:val="610671B8"/>
    <w:lvl w:ilvl="0" w:tentative="0">
      <w:start w:val="1"/>
      <w:numFmt w:val="chineseCountingThousand"/>
      <w:suff w:val="nothing"/>
      <w:lvlText w:val="%1、"/>
      <w:lvlJc w:val="left"/>
      <w:pPr>
        <w:ind w:left="425" w:hanging="425"/>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lang w:val="zh-CN"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chineseCountingThousand"/>
      <w:suff w:val="nothing"/>
      <w:lvlText w:val="（%2）"/>
      <w:lvlJc w:val="left"/>
      <w:pPr>
        <w:ind w:left="992" w:hanging="567"/>
      </w:pPr>
      <w:rPr>
        <w:rFonts w:hint="eastAsia"/>
      </w:rPr>
    </w:lvl>
    <w:lvl w:ilvl="2" w:tentative="0">
      <w:start w:val="1"/>
      <w:numFmt w:val="decimal"/>
      <w:suff w:val="nothing"/>
      <w:lvlText w:val="%3. "/>
      <w:lvlJc w:val="left"/>
      <w:pPr>
        <w:ind w:left="992" w:hanging="567"/>
      </w:pPr>
      <w:rPr>
        <w:rFonts w:hint="eastAsia"/>
      </w:rPr>
    </w:lvl>
    <w:lvl w:ilvl="3" w:tentative="0">
      <w:start w:val="1"/>
      <w:numFmt w:val="decimal"/>
      <w:suff w:val="nothing"/>
      <w:lvlText w:val="（%4）"/>
      <w:lvlJc w:val="left"/>
      <w:pPr>
        <w:ind w:left="992"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pStyle w:val="31"/>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abstractNum w:abstractNumId="13">
    <w:nsid w:val="62791E48"/>
    <w:multiLevelType w:val="singleLevel"/>
    <w:tmpl w:val="62791E48"/>
    <w:lvl w:ilvl="0" w:tentative="0">
      <w:start w:val="1"/>
      <w:numFmt w:val="upperLetter"/>
      <w:lvlText w:val="%1."/>
      <w:lvlJc w:val="left"/>
      <w:pPr>
        <w:ind w:left="425" w:hanging="425"/>
      </w:pPr>
      <w:rPr>
        <w:rFonts w:hint="default"/>
      </w:rPr>
    </w:lvl>
  </w:abstractNum>
  <w:abstractNum w:abstractNumId="14">
    <w:nsid w:val="6907E8B7"/>
    <w:multiLevelType w:val="singleLevel"/>
    <w:tmpl w:val="6907E8B7"/>
    <w:lvl w:ilvl="0" w:tentative="0">
      <w:start w:val="1"/>
      <w:numFmt w:val="upperLetter"/>
      <w:lvlText w:val="%1."/>
      <w:lvlJc w:val="left"/>
      <w:pPr>
        <w:ind w:left="425" w:hanging="425"/>
      </w:pPr>
      <w:rPr>
        <w:rFonts w:hint="default"/>
      </w:rPr>
    </w:lvl>
  </w:abstractNum>
  <w:num w:numId="1">
    <w:abstractNumId w:val="9"/>
  </w:num>
  <w:num w:numId="2">
    <w:abstractNumId w:val="12"/>
  </w:num>
  <w:num w:numId="3">
    <w:abstractNumId w:val="6"/>
  </w:num>
  <w:num w:numId="4">
    <w:abstractNumId w:val="7"/>
  </w:num>
  <w:num w:numId="5">
    <w:abstractNumId w:val="11"/>
  </w:num>
  <w:num w:numId="6">
    <w:abstractNumId w:val="3"/>
  </w:num>
  <w:num w:numId="7">
    <w:abstractNumId w:val="8"/>
  </w:num>
  <w:num w:numId="8">
    <w:abstractNumId w:val="1"/>
  </w:num>
  <w:num w:numId="9">
    <w:abstractNumId w:val="10"/>
  </w:num>
  <w:num w:numId="10">
    <w:abstractNumId w:val="13"/>
  </w:num>
  <w:num w:numId="11">
    <w:abstractNumId w:val="14"/>
  </w:num>
  <w:num w:numId="12">
    <w:abstractNumId w:val="5"/>
  </w:num>
  <w:num w:numId="13">
    <w:abstractNumId w:val="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MzE0YTFhODRjZjNhOWJiYTllNTZlOGQ5M2NlYmUifQ=="/>
  </w:docVars>
  <w:rsids>
    <w:rsidRoot w:val="00E348C3"/>
    <w:rsid w:val="0000579C"/>
    <w:rsid w:val="00005E24"/>
    <w:rsid w:val="00010314"/>
    <w:rsid w:val="00023164"/>
    <w:rsid w:val="00027269"/>
    <w:rsid w:val="000565B6"/>
    <w:rsid w:val="000764C8"/>
    <w:rsid w:val="00080D96"/>
    <w:rsid w:val="00090520"/>
    <w:rsid w:val="000D124F"/>
    <w:rsid w:val="000D4C75"/>
    <w:rsid w:val="000E02F7"/>
    <w:rsid w:val="00100224"/>
    <w:rsid w:val="00100ADA"/>
    <w:rsid w:val="0010550E"/>
    <w:rsid w:val="0010778A"/>
    <w:rsid w:val="001119A6"/>
    <w:rsid w:val="00113BB8"/>
    <w:rsid w:val="00116340"/>
    <w:rsid w:val="0012265F"/>
    <w:rsid w:val="00126F8C"/>
    <w:rsid w:val="00131AE4"/>
    <w:rsid w:val="00140A1F"/>
    <w:rsid w:val="001536DF"/>
    <w:rsid w:val="00163C69"/>
    <w:rsid w:val="00175848"/>
    <w:rsid w:val="00175945"/>
    <w:rsid w:val="00183394"/>
    <w:rsid w:val="00183AEB"/>
    <w:rsid w:val="00183F35"/>
    <w:rsid w:val="00195320"/>
    <w:rsid w:val="00196AAA"/>
    <w:rsid w:val="001A1DD1"/>
    <w:rsid w:val="001B174A"/>
    <w:rsid w:val="001C3F14"/>
    <w:rsid w:val="001D31BB"/>
    <w:rsid w:val="001F32AA"/>
    <w:rsid w:val="001F3B04"/>
    <w:rsid w:val="001F7CB8"/>
    <w:rsid w:val="00210286"/>
    <w:rsid w:val="00215440"/>
    <w:rsid w:val="0022318E"/>
    <w:rsid w:val="002431E4"/>
    <w:rsid w:val="00251725"/>
    <w:rsid w:val="002730E9"/>
    <w:rsid w:val="00277AD1"/>
    <w:rsid w:val="00277E52"/>
    <w:rsid w:val="00283603"/>
    <w:rsid w:val="0029672C"/>
    <w:rsid w:val="00297141"/>
    <w:rsid w:val="0029716D"/>
    <w:rsid w:val="002A4C07"/>
    <w:rsid w:val="002A4EF2"/>
    <w:rsid w:val="002A790E"/>
    <w:rsid w:val="002C6F5C"/>
    <w:rsid w:val="002D7FBB"/>
    <w:rsid w:val="002E2FA0"/>
    <w:rsid w:val="002E48C6"/>
    <w:rsid w:val="002F5845"/>
    <w:rsid w:val="00314360"/>
    <w:rsid w:val="00354B85"/>
    <w:rsid w:val="003807AB"/>
    <w:rsid w:val="00381DA5"/>
    <w:rsid w:val="0038489C"/>
    <w:rsid w:val="00393D63"/>
    <w:rsid w:val="00394A95"/>
    <w:rsid w:val="0039597D"/>
    <w:rsid w:val="003A3BB9"/>
    <w:rsid w:val="003A4300"/>
    <w:rsid w:val="003B3177"/>
    <w:rsid w:val="003B3BC1"/>
    <w:rsid w:val="003C1D10"/>
    <w:rsid w:val="003F0637"/>
    <w:rsid w:val="00400DC2"/>
    <w:rsid w:val="00433C41"/>
    <w:rsid w:val="0044081D"/>
    <w:rsid w:val="00443731"/>
    <w:rsid w:val="004753F4"/>
    <w:rsid w:val="00482564"/>
    <w:rsid w:val="00487C84"/>
    <w:rsid w:val="004B481C"/>
    <w:rsid w:val="004C4EB8"/>
    <w:rsid w:val="005003FE"/>
    <w:rsid w:val="00524A61"/>
    <w:rsid w:val="005342CB"/>
    <w:rsid w:val="005432D2"/>
    <w:rsid w:val="0054736C"/>
    <w:rsid w:val="005547A2"/>
    <w:rsid w:val="00560CA6"/>
    <w:rsid w:val="00564579"/>
    <w:rsid w:val="005673E5"/>
    <w:rsid w:val="00593B9D"/>
    <w:rsid w:val="0059612D"/>
    <w:rsid w:val="005A09BA"/>
    <w:rsid w:val="005B6B15"/>
    <w:rsid w:val="005C0971"/>
    <w:rsid w:val="005D0E2D"/>
    <w:rsid w:val="006118E3"/>
    <w:rsid w:val="006134BE"/>
    <w:rsid w:val="00634529"/>
    <w:rsid w:val="00644416"/>
    <w:rsid w:val="006512D3"/>
    <w:rsid w:val="006571F1"/>
    <w:rsid w:val="00660022"/>
    <w:rsid w:val="00667864"/>
    <w:rsid w:val="00676392"/>
    <w:rsid w:val="00681EF0"/>
    <w:rsid w:val="00686A3E"/>
    <w:rsid w:val="00687787"/>
    <w:rsid w:val="006925E5"/>
    <w:rsid w:val="006A44A1"/>
    <w:rsid w:val="006C37F5"/>
    <w:rsid w:val="006E79DB"/>
    <w:rsid w:val="006F21C9"/>
    <w:rsid w:val="00701423"/>
    <w:rsid w:val="00712C2E"/>
    <w:rsid w:val="007174D4"/>
    <w:rsid w:val="00722F8B"/>
    <w:rsid w:val="007256B9"/>
    <w:rsid w:val="0073713E"/>
    <w:rsid w:val="00752D05"/>
    <w:rsid w:val="00753D62"/>
    <w:rsid w:val="00756752"/>
    <w:rsid w:val="0076071E"/>
    <w:rsid w:val="00790305"/>
    <w:rsid w:val="007918F0"/>
    <w:rsid w:val="007A132F"/>
    <w:rsid w:val="007B3EE2"/>
    <w:rsid w:val="007B7AE1"/>
    <w:rsid w:val="007C1F99"/>
    <w:rsid w:val="007E1F66"/>
    <w:rsid w:val="007E30B3"/>
    <w:rsid w:val="007E378E"/>
    <w:rsid w:val="007E7FFE"/>
    <w:rsid w:val="00804982"/>
    <w:rsid w:val="00804D1A"/>
    <w:rsid w:val="0081634C"/>
    <w:rsid w:val="008354B4"/>
    <w:rsid w:val="008541A8"/>
    <w:rsid w:val="00862118"/>
    <w:rsid w:val="0086552D"/>
    <w:rsid w:val="00866733"/>
    <w:rsid w:val="00866B44"/>
    <w:rsid w:val="00866E16"/>
    <w:rsid w:val="00894913"/>
    <w:rsid w:val="008B053C"/>
    <w:rsid w:val="008B08AB"/>
    <w:rsid w:val="008B3B0D"/>
    <w:rsid w:val="008D3009"/>
    <w:rsid w:val="008D40F6"/>
    <w:rsid w:val="00900AA7"/>
    <w:rsid w:val="00904F92"/>
    <w:rsid w:val="00905438"/>
    <w:rsid w:val="0093021A"/>
    <w:rsid w:val="00944378"/>
    <w:rsid w:val="009875DC"/>
    <w:rsid w:val="00997843"/>
    <w:rsid w:val="009A2005"/>
    <w:rsid w:val="009B24AD"/>
    <w:rsid w:val="009B62EB"/>
    <w:rsid w:val="009C228B"/>
    <w:rsid w:val="009C6579"/>
    <w:rsid w:val="009E062C"/>
    <w:rsid w:val="009E06A7"/>
    <w:rsid w:val="00A000E4"/>
    <w:rsid w:val="00A017FA"/>
    <w:rsid w:val="00A01F7E"/>
    <w:rsid w:val="00A04C49"/>
    <w:rsid w:val="00A05AF4"/>
    <w:rsid w:val="00A14E23"/>
    <w:rsid w:val="00A423D9"/>
    <w:rsid w:val="00A62768"/>
    <w:rsid w:val="00AA019E"/>
    <w:rsid w:val="00AB00F2"/>
    <w:rsid w:val="00AC219D"/>
    <w:rsid w:val="00AD6857"/>
    <w:rsid w:val="00AF3808"/>
    <w:rsid w:val="00AF51B9"/>
    <w:rsid w:val="00B178BE"/>
    <w:rsid w:val="00B2152E"/>
    <w:rsid w:val="00B23B6E"/>
    <w:rsid w:val="00B51222"/>
    <w:rsid w:val="00B71F65"/>
    <w:rsid w:val="00B7351F"/>
    <w:rsid w:val="00B809C5"/>
    <w:rsid w:val="00B95A0A"/>
    <w:rsid w:val="00BD334C"/>
    <w:rsid w:val="00BF591A"/>
    <w:rsid w:val="00C2127A"/>
    <w:rsid w:val="00C47C45"/>
    <w:rsid w:val="00C6393C"/>
    <w:rsid w:val="00C81C2E"/>
    <w:rsid w:val="00CA5501"/>
    <w:rsid w:val="00CC7E86"/>
    <w:rsid w:val="00D01FBC"/>
    <w:rsid w:val="00D20888"/>
    <w:rsid w:val="00D40D26"/>
    <w:rsid w:val="00D5070C"/>
    <w:rsid w:val="00D628A3"/>
    <w:rsid w:val="00D819B5"/>
    <w:rsid w:val="00D852B1"/>
    <w:rsid w:val="00DB2563"/>
    <w:rsid w:val="00DC2FA3"/>
    <w:rsid w:val="00DD375C"/>
    <w:rsid w:val="00E00A39"/>
    <w:rsid w:val="00E2613F"/>
    <w:rsid w:val="00E26EE2"/>
    <w:rsid w:val="00E348C3"/>
    <w:rsid w:val="00E474A4"/>
    <w:rsid w:val="00E64021"/>
    <w:rsid w:val="00E66A96"/>
    <w:rsid w:val="00EA50E9"/>
    <w:rsid w:val="00EB30F4"/>
    <w:rsid w:val="00EC064A"/>
    <w:rsid w:val="00ED755E"/>
    <w:rsid w:val="00EF2501"/>
    <w:rsid w:val="00EF2B5C"/>
    <w:rsid w:val="00F2025F"/>
    <w:rsid w:val="00F23A8E"/>
    <w:rsid w:val="00F327EE"/>
    <w:rsid w:val="00F33D6E"/>
    <w:rsid w:val="00F40509"/>
    <w:rsid w:val="00F42C0E"/>
    <w:rsid w:val="00F46C0A"/>
    <w:rsid w:val="00F5251F"/>
    <w:rsid w:val="00F65E58"/>
    <w:rsid w:val="00F920CB"/>
    <w:rsid w:val="00FA20E0"/>
    <w:rsid w:val="00FB0895"/>
    <w:rsid w:val="00FB2F53"/>
    <w:rsid w:val="00FC373E"/>
    <w:rsid w:val="00FE1697"/>
    <w:rsid w:val="00FF527A"/>
    <w:rsid w:val="01423BAA"/>
    <w:rsid w:val="05DD71D7"/>
    <w:rsid w:val="06CD75D3"/>
    <w:rsid w:val="07BE71A8"/>
    <w:rsid w:val="0B7B69D2"/>
    <w:rsid w:val="0C2B7367"/>
    <w:rsid w:val="0D172877"/>
    <w:rsid w:val="17AE1DDB"/>
    <w:rsid w:val="195E25B9"/>
    <w:rsid w:val="1A1865D7"/>
    <w:rsid w:val="1B6E7E94"/>
    <w:rsid w:val="1F876F0B"/>
    <w:rsid w:val="229B303C"/>
    <w:rsid w:val="24AA260C"/>
    <w:rsid w:val="2D900E34"/>
    <w:rsid w:val="31275A91"/>
    <w:rsid w:val="32567316"/>
    <w:rsid w:val="32B318BD"/>
    <w:rsid w:val="330D228D"/>
    <w:rsid w:val="33A9050F"/>
    <w:rsid w:val="37B27227"/>
    <w:rsid w:val="37CB1876"/>
    <w:rsid w:val="386876BF"/>
    <w:rsid w:val="3A7E5EB4"/>
    <w:rsid w:val="3D7A6218"/>
    <w:rsid w:val="3E711E92"/>
    <w:rsid w:val="429531AD"/>
    <w:rsid w:val="432553D8"/>
    <w:rsid w:val="45D466E2"/>
    <w:rsid w:val="46CE5A77"/>
    <w:rsid w:val="49DB05C7"/>
    <w:rsid w:val="4A891B71"/>
    <w:rsid w:val="4BBB7249"/>
    <w:rsid w:val="4D4C05A5"/>
    <w:rsid w:val="4D992CBB"/>
    <w:rsid w:val="4F015D67"/>
    <w:rsid w:val="4F4246BC"/>
    <w:rsid w:val="50185565"/>
    <w:rsid w:val="558B3098"/>
    <w:rsid w:val="5629728D"/>
    <w:rsid w:val="56496C49"/>
    <w:rsid w:val="578C2C6B"/>
    <w:rsid w:val="58BF28DA"/>
    <w:rsid w:val="59C20AEA"/>
    <w:rsid w:val="5CE40B61"/>
    <w:rsid w:val="5DF925B6"/>
    <w:rsid w:val="5F9770D5"/>
    <w:rsid w:val="63F13ADB"/>
    <w:rsid w:val="6564554C"/>
    <w:rsid w:val="65A13CC9"/>
    <w:rsid w:val="680B1697"/>
    <w:rsid w:val="6B3E1C4C"/>
    <w:rsid w:val="6F2073DB"/>
    <w:rsid w:val="6F5E1E54"/>
    <w:rsid w:val="72192252"/>
    <w:rsid w:val="767B1715"/>
    <w:rsid w:val="773C7A83"/>
    <w:rsid w:val="7840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38"/>
    <w:qFormat/>
    <w:uiPriority w:val="9"/>
    <w:pPr>
      <w:keepNext/>
      <w:keepLines/>
      <w:outlineLvl w:val="0"/>
    </w:pPr>
    <w:rPr>
      <w:rFonts w:eastAsia="黑体"/>
      <w:bCs/>
      <w:kern w:val="44"/>
      <w:szCs w:val="44"/>
    </w:rPr>
  </w:style>
  <w:style w:type="paragraph" w:styleId="4">
    <w:name w:val="heading 2"/>
    <w:basedOn w:val="1"/>
    <w:next w:val="1"/>
    <w:link w:val="32"/>
    <w:unhideWhenUsed/>
    <w:qFormat/>
    <w:uiPriority w:val="9"/>
    <w:pPr>
      <w:keepNext/>
      <w:keepLines/>
      <w:snapToGrid w:val="0"/>
      <w:outlineLvl w:val="1"/>
    </w:pPr>
    <w:rPr>
      <w:rFonts w:ascii="宋体" w:hAnsi="宋体" w:eastAsia="楷体_GB2312" w:cstheme="majorBidi"/>
      <w:bCs/>
      <w:szCs w:val="32"/>
    </w:rPr>
  </w:style>
  <w:style w:type="paragraph" w:styleId="5">
    <w:name w:val="heading 3"/>
    <w:basedOn w:val="1"/>
    <w:next w:val="1"/>
    <w:link w:val="20"/>
    <w:unhideWhenUsed/>
    <w:qFormat/>
    <w:uiPriority w:val="9"/>
    <w:pPr>
      <w:keepNext/>
      <w:keepLines/>
      <w:outlineLvl w:val="2"/>
    </w:pPr>
    <w:rPr>
      <w:b/>
      <w:bCs/>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link w:val="35"/>
    <w:unhideWhenUsed/>
    <w:qFormat/>
    <w:uiPriority w:val="0"/>
    <w:pPr>
      <w:spacing w:after="120"/>
    </w:pPr>
    <w:rPr>
      <w:rFonts w:asciiTheme="minorHAnsi" w:hAnsiTheme="minorHAnsi" w:eastAsiaTheme="minorEastAsia" w:cstheme="minorBidi"/>
    </w:rPr>
  </w:style>
  <w:style w:type="paragraph" w:styleId="6">
    <w:name w:val="annotation text"/>
    <w:basedOn w:val="1"/>
    <w:link w:val="45"/>
    <w:semiHidden/>
    <w:unhideWhenUsed/>
    <w:qFormat/>
    <w:uiPriority w:val="99"/>
    <w:pPr>
      <w:jc w:val="left"/>
    </w:pPr>
  </w:style>
  <w:style w:type="paragraph" w:styleId="7">
    <w:name w:val="toc 3"/>
    <w:basedOn w:val="1"/>
    <w:next w:val="1"/>
    <w:unhideWhenUsed/>
    <w:qFormat/>
    <w:uiPriority w:val="39"/>
    <w:pPr>
      <w:ind w:left="840" w:leftChars="400"/>
    </w:pPr>
  </w:style>
  <w:style w:type="paragraph" w:styleId="8">
    <w:name w:val="footer"/>
    <w:basedOn w:val="1"/>
    <w:link w:val="33"/>
    <w:uiPriority w:val="0"/>
    <w:pPr>
      <w:tabs>
        <w:tab w:val="center" w:pos="4153"/>
        <w:tab w:val="right" w:pos="8306"/>
      </w:tabs>
      <w:snapToGrid w:val="0"/>
      <w:jc w:val="left"/>
    </w:pPr>
    <w:rPr>
      <w:sz w:val="18"/>
      <w:szCs w:val="18"/>
    </w:rPr>
  </w:style>
  <w:style w:type="paragraph" w:styleId="9">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annotation subject"/>
    <w:basedOn w:val="6"/>
    <w:next w:val="6"/>
    <w:link w:val="46"/>
    <w:semiHidden/>
    <w:unhideWhenUsed/>
    <w:qFormat/>
    <w:uiPriority w:val="99"/>
    <w:rPr>
      <w:b/>
      <w:bCs/>
    </w:rPr>
  </w:style>
  <w:style w:type="table" w:styleId="15">
    <w:name w:val="Table Grid"/>
    <w:basedOn w:val="14"/>
    <w:qFormat/>
    <w:uiPriority w:val="39"/>
    <w:pPr>
      <w:spacing w:line="300" w:lineRule="exact"/>
      <w:jc w:val="center"/>
    </w:pPr>
    <w:rPr>
      <w:rFonts w:ascii="Times New Roman" w:hAnsi="Times New Roman" w:eastAsia="仿宋_GB2312"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17">
    <w:name w:val="page number"/>
    <w:basedOn w:val="16"/>
    <w:uiPriority w:val="0"/>
  </w:style>
  <w:style w:type="character" w:styleId="18">
    <w:name w:val="Hyperlink"/>
    <w:basedOn w:val="16"/>
    <w:unhideWhenUsed/>
    <w:qFormat/>
    <w:uiPriority w:val="99"/>
    <w:rPr>
      <w:color w:val="0563C1"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标题 3 字符"/>
    <w:basedOn w:val="16"/>
    <w:link w:val="5"/>
    <w:qFormat/>
    <w:uiPriority w:val="9"/>
    <w:rPr>
      <w:rFonts w:ascii="Times New Roman" w:hAnsi="Times New Roman" w:eastAsia="仿宋" w:cs="Times New Roman"/>
      <w:b/>
      <w:bCs/>
      <w:sz w:val="32"/>
      <w:szCs w:val="32"/>
    </w:rPr>
  </w:style>
  <w:style w:type="paragraph" w:customStyle="1" w:styleId="21">
    <w:name w:val="标题3"/>
    <w:basedOn w:val="22"/>
    <w:link w:val="24"/>
    <w:qFormat/>
    <w:uiPriority w:val="0"/>
    <w:pPr>
      <w:numPr>
        <w:ilvl w:val="0"/>
        <w:numId w:val="1"/>
      </w:numPr>
      <w:adjustRightInd w:val="0"/>
      <w:ind w:firstLine="0" w:firstLineChars="0"/>
      <w:jc w:val="left"/>
      <w:outlineLvl w:val="2"/>
    </w:pPr>
    <w:rPr>
      <w:rFonts w:ascii="仿宋_GB2312" w:hAnsi="仿宋_GB2312" w:eastAsia="仿宋_GB2312"/>
      <w:b/>
      <w:sz w:val="28"/>
      <w:szCs w:val="24"/>
    </w:rPr>
  </w:style>
  <w:style w:type="paragraph" w:customStyle="1" w:styleId="22">
    <w:name w:val="二级标题（一）"/>
    <w:basedOn w:val="23"/>
    <w:link w:val="25"/>
    <w:qFormat/>
    <w:uiPriority w:val="0"/>
    <w:pPr>
      <w:outlineLvl w:val="1"/>
    </w:pPr>
    <w:rPr>
      <w:rFonts w:eastAsia="仿宋"/>
    </w:rPr>
  </w:style>
  <w:style w:type="paragraph" w:customStyle="1" w:styleId="23">
    <w:name w:val="一级标题"/>
    <w:basedOn w:val="1"/>
    <w:link w:val="26"/>
    <w:qFormat/>
    <w:uiPriority w:val="0"/>
    <w:pPr>
      <w:snapToGrid w:val="0"/>
      <w:outlineLvl w:val="0"/>
    </w:pPr>
    <w:rPr>
      <w:rFonts w:eastAsia="黑体" w:asciiTheme="minorHAnsi" w:hAnsiTheme="minorHAnsi" w:cstheme="minorBidi"/>
      <w:szCs w:val="22"/>
    </w:rPr>
  </w:style>
  <w:style w:type="character" w:customStyle="1" w:styleId="24">
    <w:name w:val="标题3 字符"/>
    <w:basedOn w:val="25"/>
    <w:link w:val="21"/>
    <w:qFormat/>
    <w:uiPriority w:val="0"/>
    <w:rPr>
      <w:rFonts w:ascii="仿宋_GB2312" w:hAnsi="仿宋_GB2312" w:eastAsia="仿宋_GB2312"/>
      <w:b/>
      <w:sz w:val="28"/>
      <w:szCs w:val="24"/>
    </w:rPr>
  </w:style>
  <w:style w:type="character" w:customStyle="1" w:styleId="25">
    <w:name w:val="二级标题（一） 字符"/>
    <w:basedOn w:val="26"/>
    <w:link w:val="22"/>
    <w:qFormat/>
    <w:uiPriority w:val="0"/>
    <w:rPr>
      <w:rFonts w:eastAsia="仿宋"/>
      <w:sz w:val="28"/>
    </w:rPr>
  </w:style>
  <w:style w:type="character" w:customStyle="1" w:styleId="26">
    <w:name w:val="一级标题 字符"/>
    <w:basedOn w:val="16"/>
    <w:link w:val="23"/>
    <w:qFormat/>
    <w:uiPriority w:val="0"/>
    <w:rPr>
      <w:rFonts w:eastAsia="黑体"/>
      <w:sz w:val="32"/>
    </w:rPr>
  </w:style>
  <w:style w:type="paragraph" w:customStyle="1" w:styleId="27">
    <w:name w:val="三级标题 1"/>
    <w:basedOn w:val="22"/>
    <w:link w:val="28"/>
    <w:qFormat/>
    <w:uiPriority w:val="0"/>
    <w:pPr>
      <w:outlineLvl w:val="2"/>
    </w:pPr>
  </w:style>
  <w:style w:type="character" w:customStyle="1" w:styleId="28">
    <w:name w:val="三级标题 1 字符"/>
    <w:basedOn w:val="25"/>
    <w:link w:val="27"/>
    <w:qFormat/>
    <w:uiPriority w:val="0"/>
    <w:rPr>
      <w:rFonts w:eastAsia="仿宋"/>
      <w:sz w:val="28"/>
    </w:rPr>
  </w:style>
  <w:style w:type="paragraph" w:customStyle="1" w:styleId="29">
    <w:name w:val="四级标题（1）"/>
    <w:basedOn w:val="27"/>
    <w:link w:val="30"/>
    <w:qFormat/>
    <w:uiPriority w:val="0"/>
    <w:pPr>
      <w:outlineLvl w:val="3"/>
    </w:pPr>
  </w:style>
  <w:style w:type="character" w:customStyle="1" w:styleId="30">
    <w:name w:val="四级标题（1） 字符"/>
    <w:basedOn w:val="28"/>
    <w:link w:val="29"/>
    <w:qFormat/>
    <w:uiPriority w:val="0"/>
    <w:rPr>
      <w:rFonts w:eastAsia="仿宋"/>
      <w:sz w:val="28"/>
    </w:rPr>
  </w:style>
  <w:style w:type="paragraph" w:customStyle="1" w:styleId="31">
    <w:name w:val="1附件标题"/>
    <w:basedOn w:val="1"/>
    <w:qFormat/>
    <w:uiPriority w:val="5"/>
    <w:pPr>
      <w:numPr>
        <w:ilvl w:val="5"/>
        <w:numId w:val="2"/>
      </w:numPr>
      <w:tabs>
        <w:tab w:val="left" w:pos="360"/>
      </w:tabs>
      <w:snapToGrid w:val="0"/>
      <w:spacing w:after="100" w:afterLines="100"/>
      <w:outlineLvl w:val="0"/>
    </w:pPr>
    <w:rPr>
      <w:rFonts w:eastAsia="黑体"/>
      <w:b/>
      <w:kern w:val="0"/>
      <w:szCs w:val="28"/>
      <w:lang w:val="zh-CN" w:eastAsia="zh-CN"/>
    </w:rPr>
  </w:style>
  <w:style w:type="character" w:customStyle="1" w:styleId="32">
    <w:name w:val="标题 2 字符"/>
    <w:basedOn w:val="16"/>
    <w:link w:val="4"/>
    <w:qFormat/>
    <w:uiPriority w:val="9"/>
    <w:rPr>
      <w:rFonts w:ascii="宋体" w:hAnsi="宋体" w:eastAsia="楷体_GB2312" w:cstheme="majorBidi"/>
      <w:bCs/>
      <w:sz w:val="32"/>
      <w:szCs w:val="32"/>
    </w:rPr>
  </w:style>
  <w:style w:type="character" w:customStyle="1" w:styleId="33">
    <w:name w:val="页脚 字符"/>
    <w:basedOn w:val="16"/>
    <w:link w:val="8"/>
    <w:qFormat/>
    <w:uiPriority w:val="0"/>
    <w:rPr>
      <w:rFonts w:ascii="Times New Roman" w:hAnsi="Times New Roman" w:eastAsia="宋体" w:cs="Times New Roman"/>
      <w:sz w:val="18"/>
      <w:szCs w:val="18"/>
    </w:rPr>
  </w:style>
  <w:style w:type="character" w:customStyle="1" w:styleId="34">
    <w:name w:val="页眉 字符"/>
    <w:basedOn w:val="16"/>
    <w:link w:val="9"/>
    <w:qFormat/>
    <w:uiPriority w:val="99"/>
    <w:rPr>
      <w:rFonts w:ascii="Times New Roman" w:hAnsi="Times New Roman" w:eastAsia="宋体" w:cs="Times New Roman"/>
      <w:sz w:val="18"/>
      <w:szCs w:val="18"/>
    </w:rPr>
  </w:style>
  <w:style w:type="character" w:customStyle="1" w:styleId="35">
    <w:name w:val="正文文本 字符"/>
    <w:basedOn w:val="16"/>
    <w:link w:val="2"/>
    <w:qFormat/>
    <w:uiPriority w:val="0"/>
    <w:rPr>
      <w:szCs w:val="24"/>
    </w:rPr>
  </w:style>
  <w:style w:type="paragraph" w:customStyle="1" w:styleId="36">
    <w:name w:val="报告正文"/>
    <w:basedOn w:val="1"/>
    <w:link w:val="37"/>
    <w:qFormat/>
    <w:uiPriority w:val="3"/>
    <w:pPr>
      <w:adjustRightInd w:val="0"/>
      <w:snapToGrid w:val="0"/>
    </w:pPr>
    <w:rPr>
      <w:rFonts w:eastAsia="仿宋_GB2312"/>
      <w:sz w:val="28"/>
      <w:szCs w:val="21"/>
      <w:lang w:val="zh-CN"/>
    </w:rPr>
  </w:style>
  <w:style w:type="character" w:customStyle="1" w:styleId="37">
    <w:name w:val="报告正文 字符"/>
    <w:link w:val="36"/>
    <w:qFormat/>
    <w:uiPriority w:val="3"/>
    <w:rPr>
      <w:rFonts w:ascii="Times New Roman" w:hAnsi="Times New Roman" w:eastAsia="仿宋_GB2312" w:cs="Times New Roman"/>
      <w:sz w:val="28"/>
      <w:szCs w:val="21"/>
      <w:lang w:val="zh-CN"/>
    </w:rPr>
  </w:style>
  <w:style w:type="character" w:customStyle="1" w:styleId="38">
    <w:name w:val="标题 1 字符"/>
    <w:basedOn w:val="16"/>
    <w:link w:val="3"/>
    <w:qFormat/>
    <w:uiPriority w:val="9"/>
    <w:rPr>
      <w:rFonts w:ascii="Times New Roman" w:hAnsi="Times New Roman" w:eastAsia="黑体" w:cs="Times New Roman"/>
      <w:bCs/>
      <w:kern w:val="44"/>
      <w:sz w:val="32"/>
      <w:szCs w:val="44"/>
    </w:rPr>
  </w:style>
  <w:style w:type="paragraph" w:customStyle="1" w:styleId="39">
    <w:name w:val="图表名"/>
    <w:basedOn w:val="1"/>
    <w:link w:val="40"/>
    <w:qFormat/>
    <w:uiPriority w:val="4"/>
    <w:pPr>
      <w:spacing w:before="60" w:after="60" w:line="240" w:lineRule="auto"/>
      <w:ind w:firstLine="0" w:firstLineChars="0"/>
      <w:jc w:val="center"/>
    </w:pPr>
    <w:rPr>
      <w:rFonts w:eastAsia="仿宋_GB2312"/>
      <w:b/>
      <w:kern w:val="0"/>
      <w:sz w:val="24"/>
      <w:szCs w:val="28"/>
    </w:rPr>
  </w:style>
  <w:style w:type="character" w:customStyle="1" w:styleId="40">
    <w:name w:val="图表名 字符"/>
    <w:link w:val="39"/>
    <w:qFormat/>
    <w:uiPriority w:val="4"/>
    <w:rPr>
      <w:rFonts w:ascii="Times New Roman" w:hAnsi="Times New Roman" w:eastAsia="仿宋_GB2312" w:cs="Times New Roman"/>
      <w:b/>
      <w:kern w:val="0"/>
      <w:sz w:val="24"/>
      <w:szCs w:val="28"/>
    </w:rPr>
  </w:style>
  <w:style w:type="paragraph" w:customStyle="1" w:styleId="41">
    <w:name w:val="报告表文字"/>
    <w:basedOn w:val="36"/>
    <w:qFormat/>
    <w:uiPriority w:val="5"/>
    <w:pPr>
      <w:widowControl/>
      <w:pBdr>
        <w:between w:val="single" w:color="auto" w:sz="4" w:space="1"/>
      </w:pBdr>
      <w:spacing w:line="320" w:lineRule="exact"/>
      <w:ind w:firstLine="0" w:firstLineChars="0"/>
      <w:jc w:val="center"/>
    </w:pPr>
    <w:rPr>
      <w:rFonts w:cs="宋体"/>
      <w:bCs/>
      <w:color w:val="000000"/>
      <w:sz w:val="21"/>
      <w:szCs w:val="22"/>
    </w:rPr>
  </w:style>
  <w:style w:type="paragraph" w:customStyle="1" w:styleId="42">
    <w:name w:val="TOC Heading"/>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paragraph" w:customStyle="1" w:styleId="43">
    <w:name w:val="汇政正文-最终版"/>
    <w:basedOn w:val="1"/>
    <w:link w:val="44"/>
    <w:qFormat/>
    <w:uiPriority w:val="3"/>
    <w:rPr>
      <w:kern w:val="0"/>
      <w:szCs w:val="28"/>
      <w:lang w:val="zh-CN"/>
    </w:rPr>
  </w:style>
  <w:style w:type="character" w:customStyle="1" w:styleId="44">
    <w:name w:val="汇政正文-最终版 字符"/>
    <w:link w:val="43"/>
    <w:qFormat/>
    <w:uiPriority w:val="3"/>
    <w:rPr>
      <w:rFonts w:ascii="Times New Roman" w:hAnsi="Times New Roman" w:eastAsia="仿宋" w:cs="Times New Roman"/>
      <w:kern w:val="0"/>
      <w:sz w:val="32"/>
      <w:szCs w:val="28"/>
      <w:lang w:val="zh-CN"/>
    </w:rPr>
  </w:style>
  <w:style w:type="character" w:customStyle="1" w:styleId="45">
    <w:name w:val="批注文字 字符"/>
    <w:basedOn w:val="16"/>
    <w:link w:val="6"/>
    <w:semiHidden/>
    <w:qFormat/>
    <w:uiPriority w:val="99"/>
    <w:rPr>
      <w:rFonts w:ascii="Times New Roman" w:hAnsi="Times New Roman" w:eastAsia="仿宋" w:cs="Times New Roman"/>
      <w:sz w:val="32"/>
      <w:szCs w:val="24"/>
    </w:rPr>
  </w:style>
  <w:style w:type="character" w:customStyle="1" w:styleId="46">
    <w:name w:val="批注主题 字符"/>
    <w:basedOn w:val="45"/>
    <w:link w:val="13"/>
    <w:semiHidden/>
    <w:qFormat/>
    <w:uiPriority w:val="99"/>
    <w:rPr>
      <w:rFonts w:ascii="Times New Roman" w:hAnsi="Times New Roman" w:eastAsia="仿宋" w:cs="Times New Roman"/>
      <w:b/>
      <w:bCs/>
      <w:sz w:val="32"/>
      <w:szCs w:val="24"/>
    </w:rPr>
  </w:style>
  <w:style w:type="paragraph" w:customStyle="1" w:styleId="47">
    <w:name w:val="_Style 3"/>
    <w:basedOn w:val="1"/>
    <w:next w:val="1"/>
    <w:qFormat/>
    <w:uiPriority w:val="0"/>
    <w:pPr>
      <w:pBdr>
        <w:bottom w:val="single" w:color="auto" w:sz="6" w:space="1"/>
      </w:pBdr>
      <w:jc w:val="center"/>
    </w:pPr>
    <w:rPr>
      <w:rFonts w:ascii="Arial" w:eastAsia="宋体"/>
      <w:vanish/>
      <w:sz w:val="16"/>
    </w:rPr>
  </w:style>
  <w:style w:type="character" w:customStyle="1" w:styleId="48">
    <w:name w:val="font11"/>
    <w:basedOn w:val="16"/>
    <w:qFormat/>
    <w:uiPriority w:val="0"/>
    <w:rPr>
      <w:rFonts w:hint="default" w:ascii="Arial" w:hAnsi="Arial" w:cs="Arial"/>
      <w:color w:val="000000"/>
      <w:sz w:val="20"/>
      <w:szCs w:val="20"/>
      <w:u w:val="none"/>
    </w:rPr>
  </w:style>
  <w:style w:type="character" w:customStyle="1" w:styleId="49">
    <w:name w:val="font01"/>
    <w:basedOn w:val="16"/>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8236-BC44-4CA4-8624-D6A8A8D31D7D}">
  <ds:schemaRefs/>
</ds:datastoreItem>
</file>

<file path=docProps/app.xml><?xml version="1.0" encoding="utf-8"?>
<Properties xmlns="http://schemas.openxmlformats.org/officeDocument/2006/extended-properties" xmlns:vt="http://schemas.openxmlformats.org/officeDocument/2006/docPropsVTypes">
  <Template>Normal</Template>
  <Pages>36</Pages>
  <Words>14219</Words>
  <Characters>15232</Characters>
  <Lines>90</Lines>
  <Paragraphs>25</Paragraphs>
  <TotalTime>3</TotalTime>
  <ScaleCrop>false</ScaleCrop>
  <LinksUpToDate>false</LinksUpToDate>
  <CharactersWithSpaces>15342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2022-11-01T05:34:00Z</dcterms:created>
  <dc:creator>yqx</dc:creator>
  <cp:lastModifiedBy>PING LI</cp:lastModifiedBy>
  <dcterms:modified xsi:type="dcterms:W3CDTF">2022-11-24T05:55:29Z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A3E205536996453FA9EEC110A0FE964D</vt:lpwstr>
  </property>
</Properties>
</file>