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keepNext w:val="0"/>
        <w:keepLines w:val="0"/>
        <w:pageBreakBefore w:val="0"/>
        <w:widowControl w:val="0"/>
        <w:kinsoku/>
        <w:wordWrap/>
        <w:overflowPunct/>
        <w:topLinePunct w:val="0"/>
        <w:autoSpaceDE/>
        <w:autoSpaceDN/>
        <w:bidi w:val="0"/>
        <w:adjustRightInd/>
        <w:snapToGrid w:val="0"/>
        <w:spacing w:line="560" w:lineRule="exact"/>
        <w:ind w:left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p>
    <w:p>
      <w:pPr>
        <w:keepNext w:val="0"/>
        <w:keepLines w:val="0"/>
        <w:pageBreakBefore w:val="0"/>
        <w:widowControl w:val="0"/>
        <w:kinsoku/>
        <w:wordWrap/>
        <w:overflowPunct/>
        <w:topLinePunct w:val="0"/>
        <w:autoSpaceDE/>
        <w:autoSpaceDN/>
        <w:bidi w:val="0"/>
        <w:adjustRightInd/>
        <w:snapToGrid w:val="0"/>
        <w:spacing w:line="560" w:lineRule="exact"/>
        <w:ind w:lef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信息</w:t>
      </w:r>
      <w:r>
        <w:rPr>
          <w:rFonts w:hint="eastAsia" w:ascii="方正小标宋简体" w:hAnsi="方正小标宋简体" w:eastAsia="方正小标宋简体" w:cs="方正小标宋简体"/>
          <w:sz w:val="44"/>
          <w:szCs w:val="44"/>
          <w:lang w:eastAsia="zh-CN"/>
        </w:rPr>
        <w:t>材料</w:t>
      </w:r>
      <w:r>
        <w:rPr>
          <w:rFonts w:hint="eastAsia" w:ascii="方正小标宋简体" w:hAnsi="方正小标宋简体" w:eastAsia="方正小标宋简体" w:cs="方正小标宋简体"/>
          <w:sz w:val="44"/>
          <w:szCs w:val="44"/>
        </w:rPr>
        <w:t>范例</w:t>
      </w:r>
    </w:p>
    <w:p>
      <w:pPr>
        <w:pStyle w:val="12"/>
        <w:keepNext w:val="0"/>
        <w:keepLines w:val="0"/>
        <w:pageBreakBefore w:val="0"/>
        <w:kinsoku/>
        <w:wordWrap/>
        <w:overflowPunct/>
        <w:topLinePunct w:val="0"/>
        <w:bidi w:val="0"/>
        <w:spacing w:line="560" w:lineRule="exact"/>
        <w:ind w:leftChars="0"/>
        <w:textAlignment w:val="auto"/>
      </w:pP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Chars="0" w:firstLine="640" w:firstLineChars="200"/>
        <w:textAlignment w:val="auto"/>
        <w:rPr>
          <w:rFonts w:hint="default"/>
          <w:sz w:val="32"/>
          <w:szCs w:val="32"/>
          <w:lang w:val="en-US" w:eastAsia="zh-CN"/>
        </w:rPr>
      </w:pPr>
      <w:r>
        <w:rPr>
          <w:rFonts w:hint="eastAsia" w:ascii="黑体" w:hAnsi="黑体" w:eastAsia="黑体" w:cs="黑体"/>
          <w:sz w:val="32"/>
          <w:szCs w:val="32"/>
          <w:lang w:eastAsia="zh-CN"/>
        </w:rPr>
        <w:t>参阅信息</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319" w:leftChars="152" w:firstLine="321" w:firstLineChars="1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达州市强化科技创新驱动 助推现代农业腾飞  一是科技成果转化成效明显。</w:t>
      </w:r>
      <w:r>
        <w:rPr>
          <w:rFonts w:hint="eastAsia" w:ascii="仿宋_GB2312" w:hAnsi="仿宋_GB2312" w:eastAsia="仿宋_GB2312" w:cs="仿宋_GB2312"/>
          <w:color w:val="000000"/>
          <w:kern w:val="0"/>
          <w:sz w:val="32"/>
          <w:szCs w:val="32"/>
          <w:lang w:val="en-US" w:eastAsia="zh-CN" w:bidi="ar"/>
        </w:rPr>
        <w:t>围绕现代农业产业链，实施重大科技专项、构建战略支撑平台、强化关键技术攻关，加快促进产业转型升级。 先后实施省、市级科技成果转化示范项目 35 项，撬动社会资本投入约 2 亿元，预期实现产值 3.5 亿元。</w:t>
      </w:r>
      <w:r>
        <w:rPr>
          <w:rFonts w:hint="eastAsia" w:ascii="仿宋_GB2312" w:hAnsi="仿宋_GB2312" w:eastAsia="仿宋_GB2312" w:cs="仿宋_GB2312"/>
          <w:b/>
          <w:bCs/>
          <w:color w:val="000000"/>
          <w:kern w:val="0"/>
          <w:sz w:val="32"/>
          <w:szCs w:val="32"/>
          <w:lang w:val="en-US" w:eastAsia="zh-CN" w:bidi="ar"/>
        </w:rPr>
        <w:t>二是农业新品种培育成果颇丰。</w:t>
      </w:r>
      <w:r>
        <w:rPr>
          <w:rFonts w:hint="eastAsia" w:ascii="仿宋_GB2312" w:hAnsi="仿宋_GB2312" w:eastAsia="仿宋_GB2312" w:cs="仿宋_GB2312"/>
          <w:color w:val="000000"/>
          <w:kern w:val="0"/>
          <w:sz w:val="32"/>
          <w:szCs w:val="32"/>
          <w:lang w:val="en-US" w:eastAsia="zh-CN" w:bidi="ar"/>
        </w:rPr>
        <w:t>在科技计划项目中设立“农业新品种培育专项”，大力培育和推广优质、高产、专用的突破性新品种项目 56 项。“十三五” 期间，共有 26 个农业新品种通过国家、省级审定（登记），自主苎麻新品种拥有量全国领先。建立苎麻、食用菌、马铃薯、水稻等新品种、新技术展示示范基地 24 个，核心示范面积达 2000 亩，自主创新成果推广应用 500 万亩以上。</w:t>
      </w:r>
      <w:r>
        <w:rPr>
          <w:rFonts w:hint="eastAsia" w:ascii="仿宋_GB2312" w:hAnsi="仿宋_GB2312" w:eastAsia="仿宋_GB2312" w:cs="仿宋_GB2312"/>
          <w:b/>
          <w:bCs/>
          <w:color w:val="000000"/>
          <w:kern w:val="0"/>
          <w:sz w:val="32"/>
          <w:szCs w:val="32"/>
          <w:lang w:val="en-US" w:eastAsia="zh-CN" w:bidi="ar"/>
        </w:rPr>
        <w:t>三是科研创新平台全面拓展。</w:t>
      </w:r>
      <w:r>
        <w:rPr>
          <w:rFonts w:hint="eastAsia" w:ascii="仿宋_GB2312" w:hAnsi="仿宋_GB2312" w:eastAsia="仿宋_GB2312" w:cs="仿宋_GB2312"/>
          <w:color w:val="000000"/>
          <w:kern w:val="0"/>
          <w:sz w:val="32"/>
          <w:szCs w:val="32"/>
          <w:lang w:val="en-US" w:eastAsia="zh-CN" w:bidi="ar"/>
        </w:rPr>
        <w:t>先后建成国家级星创天地 1 个、国家（省）级众创空间 4 个，省（市）级重点实验室 13 个，省级农业科技园区 4 个，院士（专家）工作站 46 个、技能大师工作室 11 个、工程技术研究中心 22 个、企业技术中心 85 个、创新创业孵化平台 10 个，分别与北京大学、中国农科院、四川大学、四川农大、西南交通大学、四川省农科院等科研院所建立合作关系，人才承载力与产业吸引 力进一步增强。</w:t>
      </w:r>
      <w:r>
        <w:rPr>
          <w:rFonts w:hint="eastAsia" w:ascii="仿宋_GB2312" w:hAnsi="仿宋_GB2312" w:eastAsia="仿宋_GB2312" w:cs="仿宋_GB2312"/>
          <w:b/>
          <w:bCs/>
          <w:color w:val="000000"/>
          <w:kern w:val="0"/>
          <w:sz w:val="32"/>
          <w:szCs w:val="32"/>
          <w:lang w:val="en-US" w:eastAsia="zh-CN" w:bidi="ar"/>
        </w:rPr>
        <w:t>四是科技创新队伍不断壮大。</w:t>
      </w:r>
      <w:r>
        <w:rPr>
          <w:rFonts w:hint="eastAsia" w:ascii="仿宋_GB2312" w:hAnsi="仿宋_GB2312" w:eastAsia="仿宋_GB2312" w:cs="仿宋_GB2312"/>
          <w:color w:val="000000"/>
          <w:kern w:val="0"/>
          <w:sz w:val="32"/>
          <w:szCs w:val="32"/>
          <w:lang w:val="en-US" w:eastAsia="zh-CN" w:bidi="ar"/>
        </w:rPr>
        <w:t xml:space="preserve">聚焦该市现代农业 “9+3”产业和农村发展需求，采用“一业一团”的方式，选派科技 特派员 124 名，组建现代农业“9+3”产业科技特派团 12 个，积极 引导科技特派员围绕产业技术创新需求，实施科技成果转化和实用技术服务，发展壮大特色产业，增强乡村振兴内生动力。                                                         </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（四川省人民政府网）</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ascii="黑体" w:hAnsi="黑体" w:eastAsia="黑体" w:cs="黑体"/>
          <w:sz w:val="32"/>
        </w:rPr>
      </w:pPr>
      <w:r>
        <w:rPr>
          <w:rFonts w:hint="eastAsia" w:ascii="黑体" w:hAnsi="黑体" w:eastAsia="黑体" w:cs="黑体"/>
          <w:sz w:val="32"/>
          <w:lang w:eastAsia="zh-CN"/>
        </w:rPr>
        <w:t>二、动态</w:t>
      </w:r>
      <w:r>
        <w:rPr>
          <w:rFonts w:hint="eastAsia" w:ascii="黑体" w:hAnsi="黑体" w:eastAsia="黑体" w:cs="黑体"/>
          <w:sz w:val="32"/>
        </w:rPr>
        <w:t>信息</w:t>
      </w:r>
    </w:p>
    <w:p>
      <w:pPr>
        <w:keepNext w:val="0"/>
        <w:keepLines w:val="0"/>
        <w:pageBreakBefore w:val="0"/>
        <w:widowControl w:val="0"/>
        <w:kinsoku/>
        <w:wordWrap/>
        <w:overflowPunct/>
        <w:topLinePunct w:val="0"/>
        <w:autoSpaceDE/>
        <w:autoSpaceDN/>
        <w:bidi w:val="0"/>
        <w:adjustRightInd/>
        <w:spacing w:line="560" w:lineRule="exact"/>
        <w:ind w:leftChars="0"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信息格式为：题目</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小标</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内容</w:t>
      </w:r>
    </w:p>
    <w:p>
      <w:pPr>
        <w:keepNext w:val="0"/>
        <w:keepLines w:val="0"/>
        <w:pageBreakBefore w:val="0"/>
        <w:widowControl w:val="0"/>
        <w:kinsoku/>
        <w:wordWrap/>
        <w:overflowPunct/>
        <w:topLinePunct w:val="0"/>
        <w:autoSpaceDE/>
        <w:autoSpaceDN/>
        <w:bidi w:val="0"/>
        <w:adjustRightInd/>
        <w:spacing w:line="560" w:lineRule="exact"/>
        <w:ind w:leftChars="0" w:firstLine="640" w:firstLineChars="200"/>
        <w:textAlignment w:val="auto"/>
        <w:rPr>
          <w:rFonts w:ascii="仿宋_GB2312" w:hAnsi="仿宋_GB2312" w:eastAsia="仿宋_GB2312"/>
          <w:sz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具体说明：题目要简明扼要，一眼看出整篇信息主旨，点子一般为</w:t>
      </w:r>
      <w:r>
        <w:rPr>
          <w:rFonts w:ascii="仿宋_GB2312" w:hAnsi="仿宋_GB2312" w:eastAsia="仿宋_GB2312" w:cs="仿宋_GB2312"/>
          <w:sz w:val="32"/>
          <w:szCs w:val="32"/>
        </w:rPr>
        <w:t>3-5</w:t>
      </w:r>
      <w:r>
        <w:rPr>
          <w:rFonts w:hint="eastAsia" w:ascii="仿宋_GB2312" w:hAnsi="仿宋_GB2312" w:eastAsia="仿宋_GB2312" w:cs="仿宋_GB2312"/>
          <w:sz w:val="32"/>
          <w:szCs w:val="32"/>
        </w:rPr>
        <w:t>点，内容的格式为措施</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成效，文字要精炼，要有数据，如：</w:t>
      </w:r>
    </w:p>
    <w:p>
      <w:pPr>
        <w:keepNext w:val="0"/>
        <w:keepLines w:val="0"/>
        <w:pageBreakBefore w:val="0"/>
        <w:widowControl w:val="0"/>
        <w:kinsoku/>
        <w:wordWrap/>
        <w:overflowPunct/>
        <w:topLinePunct w:val="0"/>
        <w:autoSpaceDE/>
        <w:autoSpaceDN/>
        <w:bidi w:val="0"/>
        <w:adjustRightInd/>
        <w:snapToGrid w:val="0"/>
        <w:spacing w:line="560" w:lineRule="exact"/>
        <w:ind w:leftChars="0" w:firstLine="643"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
          <w:color w:val="000000"/>
          <w:sz w:val="32"/>
          <w:szCs w:val="32"/>
        </w:rPr>
        <w:t>区司法局“四对接”模式推进社会治理。</w:t>
      </w:r>
      <w:r>
        <w:rPr>
          <w:rFonts w:hint="eastAsia" w:ascii="仿宋_GB2312" w:hAnsi="仿宋_GB2312" w:eastAsia="仿宋_GB2312" w:cs="仿宋_GB2312"/>
          <w:b/>
          <w:bCs/>
          <w:color w:val="000000"/>
          <w:sz w:val="32"/>
          <w:szCs w:val="32"/>
        </w:rPr>
        <w:t>（1）诉调对接。</w:t>
      </w:r>
      <w:r>
        <w:rPr>
          <w:rFonts w:hint="eastAsia" w:ascii="仿宋_GB2312" w:hAnsi="仿宋_GB2312" w:eastAsia="仿宋_GB2312" w:cs="仿宋_GB2312"/>
          <w:bCs/>
          <w:color w:val="000000"/>
          <w:sz w:val="32"/>
          <w:szCs w:val="32"/>
        </w:rPr>
        <w:t>完善精准化诉调对接机制，通过法院、司法所等部门联合调解的方式，努力将一些事实清楚、案由简单的纠纷化解在诉讼前。</w:t>
      </w:r>
      <w:r>
        <w:rPr>
          <w:rFonts w:hint="eastAsia" w:ascii="仿宋_GB2312" w:hAnsi="仿宋_GB2312" w:eastAsia="仿宋_GB2312" w:cs="仿宋_GB2312"/>
          <w:b/>
          <w:bCs/>
          <w:color w:val="000000"/>
          <w:sz w:val="32"/>
          <w:szCs w:val="32"/>
        </w:rPr>
        <w:t>（2）访调对接。</w:t>
      </w:r>
      <w:r>
        <w:rPr>
          <w:rFonts w:hint="eastAsia" w:ascii="仿宋_GB2312" w:hAnsi="仿宋_GB2312" w:eastAsia="仿宋_GB2312" w:cs="仿宋_GB2312"/>
          <w:bCs/>
          <w:color w:val="000000"/>
          <w:sz w:val="32"/>
          <w:szCs w:val="32"/>
        </w:rPr>
        <w:t>选派10名律师、5名基层法律服务工作者每周坐诊信访局接待来访群众，引导依法信访；主动对接各乡镇、街道，在信访纠纷发生第一时间介入处置，推动问题解决。</w:t>
      </w:r>
      <w:r>
        <w:rPr>
          <w:rFonts w:hint="eastAsia" w:ascii="仿宋_GB2312" w:hAnsi="仿宋_GB2312" w:eastAsia="仿宋_GB2312" w:cs="仿宋_GB2312"/>
          <w:b/>
          <w:bCs/>
          <w:color w:val="000000"/>
          <w:sz w:val="32"/>
          <w:szCs w:val="32"/>
        </w:rPr>
        <w:t>（3）公调对接。</w:t>
      </w:r>
      <w:r>
        <w:rPr>
          <w:rFonts w:hint="eastAsia" w:ascii="仿宋_GB2312" w:hAnsi="仿宋_GB2312" w:eastAsia="仿宋_GB2312" w:cs="仿宋_GB2312"/>
          <w:bCs/>
          <w:color w:val="000000"/>
          <w:sz w:val="32"/>
          <w:szCs w:val="32"/>
        </w:rPr>
        <w:t>在全区所有派出所建立驻所人民调解室，将借贷纠纷、合同纠纷、邻里纠纷等及时分流至调解室，由专职协调员协调化解，有效缓解基层警方压力。</w:t>
      </w:r>
      <w:r>
        <w:rPr>
          <w:rFonts w:hint="eastAsia" w:ascii="仿宋_GB2312" w:hAnsi="仿宋_GB2312" w:eastAsia="仿宋_GB2312" w:cs="仿宋_GB2312"/>
          <w:b/>
          <w:bCs/>
          <w:color w:val="000000"/>
          <w:sz w:val="32"/>
          <w:szCs w:val="32"/>
        </w:rPr>
        <w:t>（4）援调对接。</w:t>
      </w:r>
      <w:r>
        <w:rPr>
          <w:rFonts w:hint="eastAsia" w:ascii="仿宋_GB2312" w:hAnsi="仿宋_GB2312" w:eastAsia="仿宋_GB2312" w:cs="仿宋_GB2312"/>
          <w:bCs/>
          <w:color w:val="000000"/>
          <w:sz w:val="32"/>
          <w:szCs w:val="32"/>
        </w:rPr>
        <w:t xml:space="preserve">在区公共法律服务大厅设立人民调解窗口，开通法律援助绿色速调通道，为来访群众提供法律咨询和法律援助。今年以来，共通过诉调对接化解矛盾8起，通过访调对接化解矛盾36起，通过公调对接化解矛盾323起，通过援调对接化解矛盾110起。 </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三、网评信息</w:t>
      </w:r>
    </w:p>
    <w:p>
      <w:pPr>
        <w:keepNext w:val="0"/>
        <w:keepLines w:val="0"/>
        <w:pageBreakBefore w:val="0"/>
        <w:kinsoku/>
        <w:wordWrap/>
        <w:overflowPunct/>
        <w:topLinePunct w:val="0"/>
        <w:bidi w:val="0"/>
        <w:spacing w:line="560" w:lineRule="exact"/>
        <w:ind w:leftChars="0" w:firstLine="880" w:firstLineChars="200"/>
        <w:jc w:val="center"/>
        <w:textAlignment w:val="auto"/>
        <w:rPr>
          <w:rFonts w:ascii="方正小标宋简体" w:eastAsia="方正小标宋简体"/>
          <w:sz w:val="44"/>
          <w:szCs w:val="44"/>
        </w:rPr>
      </w:pPr>
      <w:r>
        <w:rPr>
          <w:rFonts w:hint="eastAsia" w:ascii="方正小标宋简体" w:eastAsia="方正小标宋简体"/>
          <w:sz w:val="44"/>
          <w:szCs w:val="44"/>
        </w:rPr>
        <w:t>文档排版格式</w:t>
      </w:r>
    </w:p>
    <w:p>
      <w:pPr>
        <w:keepNext w:val="0"/>
        <w:keepLines w:val="0"/>
        <w:pageBreakBefore w:val="0"/>
        <w:kinsoku/>
        <w:wordWrap/>
        <w:overflowPunct/>
        <w:topLinePunct w:val="0"/>
        <w:bidi w:val="0"/>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纸张：A4</w:t>
      </w:r>
    </w:p>
    <w:p>
      <w:pPr>
        <w:keepNext w:val="0"/>
        <w:keepLines w:val="0"/>
        <w:pageBreakBefore w:val="0"/>
        <w:kinsoku/>
        <w:wordWrap/>
        <w:overflowPunct/>
        <w:topLinePunct w:val="0"/>
        <w:bidi w:val="0"/>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页边距：上2.8厘米、下2.6厘米、左2厘米、右2.2厘米；页眉：1.5厘米，页脚：2.5厘米</w:t>
      </w:r>
    </w:p>
    <w:p>
      <w:pPr>
        <w:keepNext w:val="0"/>
        <w:keepLines w:val="0"/>
        <w:pageBreakBefore w:val="0"/>
        <w:kinsoku/>
        <w:wordWrap/>
        <w:overflowPunct/>
        <w:topLinePunct w:val="0"/>
        <w:bidi w:val="0"/>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段落：缩进左0字符，右0字符，首行缩进2字符；间距前0字符，后0字符；行距固定值28.8磅</w:t>
      </w:r>
    </w:p>
    <w:p>
      <w:pPr>
        <w:keepNext w:val="0"/>
        <w:keepLines w:val="0"/>
        <w:pageBreakBefore w:val="0"/>
        <w:kinsoku/>
        <w:wordWrap/>
        <w:overflowPunct/>
        <w:topLinePunct w:val="0"/>
        <w:bidi w:val="0"/>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页码：-1-（小四宋体），置于外侧</w:t>
      </w:r>
    </w:p>
    <w:p>
      <w:pPr>
        <w:keepNext w:val="0"/>
        <w:keepLines w:val="0"/>
        <w:pageBreakBefore w:val="0"/>
        <w:kinsoku/>
        <w:wordWrap/>
        <w:overflowPunct/>
        <w:topLinePunct w:val="0"/>
        <w:bidi w:val="0"/>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标题：二号方正小标宋简体（不加粗）</w:t>
      </w:r>
    </w:p>
    <w:p>
      <w:pPr>
        <w:keepNext w:val="0"/>
        <w:keepLines w:val="0"/>
        <w:pageBreakBefore w:val="0"/>
        <w:kinsoku/>
        <w:wordWrap/>
        <w:overflowPunct/>
        <w:topLinePunct w:val="0"/>
        <w:bidi w:val="0"/>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作者及单位：16.5磅楷体-GB2312</w:t>
      </w:r>
    </w:p>
    <w:p>
      <w:pPr>
        <w:keepNext w:val="0"/>
        <w:keepLines w:val="0"/>
        <w:pageBreakBefore w:val="0"/>
        <w:kinsoku/>
        <w:wordWrap/>
        <w:overflowPunct/>
        <w:topLinePunct w:val="0"/>
        <w:bidi w:val="0"/>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正文：16.5磅仿宋-GB2312</w:t>
      </w:r>
    </w:p>
    <w:p>
      <w:pPr>
        <w:keepNext w:val="0"/>
        <w:keepLines w:val="0"/>
        <w:pageBreakBefore w:val="0"/>
        <w:kinsoku/>
        <w:wordWrap/>
        <w:overflowPunct/>
        <w:topLinePunct w:val="0"/>
        <w:bidi w:val="0"/>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w:t>
      </w:r>
    </w:p>
    <w:p>
      <w:pPr>
        <w:keepNext w:val="0"/>
        <w:keepLines w:val="0"/>
        <w:pageBreakBefore w:val="0"/>
        <w:kinsoku/>
        <w:wordWrap/>
        <w:overflowPunct/>
        <w:topLinePunct w:val="0"/>
        <w:bidi w:val="0"/>
        <w:spacing w:line="560" w:lineRule="exact"/>
        <w:ind w:lef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标题（方正小标宋简体，二号不加粗）</w:t>
      </w:r>
    </w:p>
    <w:p>
      <w:pPr>
        <w:keepNext w:val="0"/>
        <w:keepLines w:val="0"/>
        <w:pageBreakBefore w:val="0"/>
        <w:tabs>
          <w:tab w:val="left" w:pos="3150"/>
          <w:tab w:val="left" w:pos="3675"/>
        </w:tabs>
        <w:kinsoku/>
        <w:wordWrap/>
        <w:overflowPunct/>
        <w:topLinePunct w:val="0"/>
        <w:bidi w:val="0"/>
        <w:spacing w:line="560" w:lineRule="exact"/>
        <w:ind w:lef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XX县（区）委组织部  XXX</w:t>
      </w:r>
    </w:p>
    <w:p>
      <w:pPr>
        <w:keepNext w:val="0"/>
        <w:keepLines w:val="0"/>
        <w:pageBreakBefore w:val="0"/>
        <w:tabs>
          <w:tab w:val="left" w:pos="3150"/>
          <w:tab w:val="left" w:pos="3675"/>
        </w:tabs>
        <w:kinsoku/>
        <w:wordWrap/>
        <w:overflowPunct/>
        <w:topLinePunct w:val="0"/>
        <w:bidi w:val="0"/>
        <w:spacing w:line="560" w:lineRule="exact"/>
        <w:ind w:lef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或XX县（区）XX镇  XXX</w:t>
      </w:r>
    </w:p>
    <w:p>
      <w:pPr>
        <w:keepNext w:val="0"/>
        <w:keepLines w:val="0"/>
        <w:pageBreakBefore w:val="0"/>
        <w:tabs>
          <w:tab w:val="left" w:pos="3150"/>
          <w:tab w:val="left" w:pos="3675"/>
        </w:tabs>
        <w:kinsoku/>
        <w:wordWrap/>
        <w:overflowPunct/>
        <w:topLinePunct w:val="0"/>
        <w:bidi w:val="0"/>
        <w:spacing w:line="560" w:lineRule="exact"/>
        <w:ind w:leftChars="0"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（16.5磅楷体-GB2312）</w:t>
      </w:r>
    </w:p>
    <w:p>
      <w:pPr>
        <w:keepNext w:val="0"/>
        <w:keepLines w:val="0"/>
        <w:pageBreakBefore w:val="0"/>
        <w:kinsoku/>
        <w:wordWrap/>
        <w:overflowPunct/>
        <w:topLinePunct w:val="0"/>
        <w:bidi w:val="0"/>
        <w:spacing w:line="560" w:lineRule="exact"/>
        <w:ind w:leftChars="0" w:firstLine="660" w:firstLineChars="200"/>
        <w:jc w:val="center"/>
        <w:textAlignment w:val="auto"/>
        <w:rPr>
          <w:rFonts w:ascii="楷体_GB2312" w:eastAsia="楷体_GB2312"/>
          <w:sz w:val="33"/>
          <w:szCs w:val="33"/>
        </w:rPr>
      </w:pPr>
    </w:p>
    <w:p>
      <w:pPr>
        <w:keepNext w:val="0"/>
        <w:keepLines w:val="0"/>
        <w:pageBreakBefore w:val="0"/>
        <w:kinsoku/>
        <w:wordWrap/>
        <w:overflowPunct/>
        <w:topLinePunct w:val="0"/>
        <w:bidi w:val="0"/>
        <w:spacing w:line="560" w:lineRule="exact"/>
        <w:ind w:leftChars="0" w:firstLine="660" w:firstLineChars="200"/>
        <w:textAlignment w:val="auto"/>
        <w:rPr>
          <w:rFonts w:ascii="仿宋_GB2312" w:eastAsia="仿宋_GB2312"/>
          <w:sz w:val="33"/>
          <w:szCs w:val="33"/>
        </w:rPr>
      </w:pPr>
      <w:r>
        <w:rPr>
          <w:rFonts w:ascii="仿宋_GB2312" w:hAnsi="Arial" w:eastAsia="仿宋_GB2312" w:cs="Arial"/>
          <w:sz w:val="33"/>
          <w:szCs w:val="33"/>
        </w:rPr>
        <w:t>XXXXXXXXXXXXXXXXXXXXXXXXXXXXXXXXXXXXXXXXXXXXXXXXXXXXXXXXXXXXXXXXXXXXXXXXXXXXXXXXXXXXX</w:t>
      </w:r>
      <w:r>
        <w:rPr>
          <w:rFonts w:hint="eastAsia" w:ascii="仿宋_GB2312" w:hAnsi="Arial" w:eastAsia="仿宋_GB2312" w:cs="Arial"/>
          <w:sz w:val="33"/>
          <w:szCs w:val="33"/>
        </w:rPr>
        <w:t>。</w:t>
      </w:r>
    </w:p>
    <w:p>
      <w:pPr>
        <w:keepNext w:val="0"/>
        <w:keepLines w:val="0"/>
        <w:pageBreakBefore w:val="0"/>
        <w:kinsoku/>
        <w:wordWrap/>
        <w:overflowPunct/>
        <w:topLinePunct w:val="0"/>
        <w:bidi w:val="0"/>
        <w:spacing w:line="560" w:lineRule="exact"/>
        <w:ind w:leftChars="0" w:firstLine="660" w:firstLineChars="200"/>
        <w:textAlignment w:val="auto"/>
        <w:rPr>
          <w:rFonts w:ascii="仿宋_GB2312" w:hAnsi="Arial" w:eastAsia="仿宋_GB2312" w:cs="Arial"/>
          <w:sz w:val="33"/>
          <w:szCs w:val="33"/>
        </w:rPr>
      </w:pPr>
      <w:r>
        <w:rPr>
          <w:rFonts w:ascii="仿宋_GB2312" w:hAnsi="Arial" w:eastAsia="仿宋_GB2312" w:cs="Arial"/>
          <w:sz w:val="33"/>
          <w:szCs w:val="33"/>
        </w:rPr>
        <w:t>XXXXXXXXXXXXXXXXXXXXXXXXXXXXXXXXXXXXXXXXXXXXXXXXXXXXXXXXXXXXXXXXXXXXXXXXXX</w:t>
      </w:r>
      <w:r>
        <w:rPr>
          <w:rFonts w:hint="eastAsia" w:ascii="仿宋_GB2312" w:hAnsi="Arial" w:eastAsia="仿宋_GB2312" w:cs="Arial"/>
          <w:sz w:val="33"/>
          <w:szCs w:val="33"/>
        </w:rPr>
        <w:t>。（</w:t>
      </w:r>
      <w:r>
        <w:rPr>
          <w:rFonts w:eastAsia="仿宋_GB2312"/>
          <w:sz w:val="33"/>
          <w:szCs w:val="33"/>
        </w:rPr>
        <w:t>16.5</w:t>
      </w:r>
      <w:r>
        <w:rPr>
          <w:rFonts w:hint="eastAsia" w:eastAsia="仿宋_GB2312"/>
          <w:sz w:val="33"/>
          <w:szCs w:val="33"/>
        </w:rPr>
        <w:t>磅仿宋</w:t>
      </w:r>
      <w:r>
        <w:rPr>
          <w:rFonts w:eastAsia="仿宋_GB2312"/>
          <w:sz w:val="33"/>
          <w:szCs w:val="33"/>
        </w:rPr>
        <w:t>-GB2312</w:t>
      </w:r>
      <w:r>
        <w:rPr>
          <w:rFonts w:hint="eastAsia" w:ascii="仿宋_GB2312" w:hAnsi="Arial" w:eastAsia="仿宋_GB2312" w:cs="Arial"/>
          <w:sz w:val="33"/>
          <w:szCs w:val="33"/>
        </w:rPr>
        <w:t>）</w:t>
      </w:r>
    </w:p>
    <w:p>
      <w:pPr>
        <w:keepNext w:val="0"/>
        <w:keepLines w:val="0"/>
        <w:pageBreakBefore w:val="0"/>
        <w:kinsoku/>
        <w:wordWrap/>
        <w:overflowPunct/>
        <w:topLinePunct w:val="0"/>
        <w:bidi w:val="0"/>
        <w:spacing w:line="560" w:lineRule="exact"/>
        <w:ind w:left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p>
    <w:p>
      <w:pPr>
        <w:keepNext w:val="0"/>
        <w:keepLines w:val="0"/>
        <w:pageBreakBefore w:val="0"/>
        <w:kinsoku/>
        <w:wordWrap/>
        <w:overflowPunct/>
        <w:topLinePunct w:val="0"/>
        <w:bidi w:val="0"/>
        <w:spacing w:line="560" w:lineRule="exact"/>
        <w:ind w:left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范文： </w:t>
      </w:r>
    </w:p>
    <w:p>
      <w:pPr>
        <w:keepNext w:val="0"/>
        <w:keepLines w:val="0"/>
        <w:pageBreakBefore w:val="0"/>
        <w:kinsoku/>
        <w:wordWrap/>
        <w:overflowPunct/>
        <w:topLinePunct w:val="0"/>
        <w:bidi w:val="0"/>
        <w:spacing w:line="560" w:lineRule="exact"/>
        <w:ind w:leftChars="0"/>
        <w:jc w:val="center"/>
        <w:textAlignment w:val="auto"/>
        <w:rPr>
          <w:rFonts w:ascii="方正小标宋简体" w:hAnsi="方正小标宋简体" w:eastAsia="方正小标宋简体" w:cs="方正小标宋简体"/>
          <w:bCs/>
          <w:kern w:val="44"/>
          <w:sz w:val="44"/>
          <w:szCs w:val="44"/>
        </w:rPr>
      </w:pPr>
      <w:r>
        <w:rPr>
          <w:rFonts w:hint="eastAsia" w:ascii="黑体" w:hAnsi="黑体" w:eastAsia="黑体" w:cs="黑体"/>
          <w:sz w:val="32"/>
          <w:szCs w:val="32"/>
          <w:lang w:val="en-US" w:eastAsia="zh-CN"/>
        </w:rPr>
        <w:t xml:space="preserve">  </w:t>
      </w:r>
      <w:r>
        <w:rPr>
          <w:rFonts w:hint="eastAsia" w:ascii="方正小标宋简体" w:hAnsi="方正小标宋简体" w:eastAsia="方正小标宋简体" w:cs="方正小标宋简体"/>
          <w:bCs/>
          <w:kern w:val="44"/>
          <w:sz w:val="44"/>
          <w:szCs w:val="44"/>
        </w:rPr>
        <w:t>弘扬抗疫精神 进击全面现代化建设</w:t>
      </w:r>
    </w:p>
    <w:p>
      <w:pPr>
        <w:keepNext w:val="0"/>
        <w:keepLines w:val="0"/>
        <w:pageBreakBefore w:val="0"/>
        <w:kinsoku/>
        <w:wordWrap/>
        <w:overflowPunct/>
        <w:topLinePunct w:val="0"/>
        <w:bidi w:val="0"/>
        <w:spacing w:line="560" w:lineRule="exact"/>
        <w:ind w:leftChars="0"/>
        <w:jc w:val="center"/>
        <w:textAlignment w:val="auto"/>
        <w:rPr>
          <w:rFonts w:ascii="楷体" w:hAnsi="楷体" w:eastAsia="楷体" w:cs="楷体"/>
          <w:color w:val="0F0F0F"/>
          <w:kern w:val="0"/>
          <w:sz w:val="33"/>
          <w:szCs w:val="33"/>
        </w:rPr>
      </w:pPr>
      <w:r>
        <w:rPr>
          <w:rFonts w:hint="eastAsia" w:ascii="楷体" w:hAnsi="楷体" w:eastAsia="楷体" w:cs="楷体"/>
          <w:color w:val="0F0F0F"/>
          <w:kern w:val="0"/>
          <w:sz w:val="33"/>
          <w:szCs w:val="33"/>
        </w:rPr>
        <w:t>团区委 余家玲（加零）</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11月17日，四川省抗击新冠肺炎疫情和防汛救灾表彰大会在成都隆重举行。四川省委书记彭清华在会议上强调，要深入学习贯彻习近平总书记在全国抗击新冠肺炎疫情表彰大会上的重要讲话精神，大力弘扬伟大抗疫精神，进一步凝聚开启新征程、迈向新目标、续写新篇章的磅礴力量，奋力推动治蜀兴川再上新台阶，为夺取全面建设社会主义现代化国家新胜利贡献四川力量。</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2020年是我国全面建成小康社会的决胜之年，这也意味着我国发展即将迈上新的台阶，全国人民马上要戮力同心朝着全面建设社会主义现代化国家的目标而奋斗。而就是在这样一个十分关键的一年里，爆发了新冠肺炎疫情。这一场全人类灾难的出现，的确是</w:t>
      </w:r>
      <w:bookmarkStart w:id="0" w:name="_GoBack"/>
      <w:bookmarkEnd w:id="0"/>
      <w:r>
        <w:rPr>
          <w:rFonts w:hint="eastAsia" w:ascii="仿宋_GB2312" w:hAnsi="仿宋_GB2312" w:eastAsia="仿宋_GB2312" w:cs="仿宋_GB2312"/>
          <w:sz w:val="32"/>
          <w:szCs w:val="32"/>
        </w:rPr>
        <w:t>给我国的建设和发展造成了一定的影响，但是在这场疫情中展现出的精神力量，也可以转化为全面建成社会主义现代化国家的磅礴动力。</w:t>
      </w:r>
    </w:p>
    <w:p>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全面建成社会主义现代化国家需要万众一心、同舟共济的守望相助精神。</w:t>
      </w:r>
      <w:r>
        <w:rPr>
          <w:rFonts w:hint="eastAsia" w:ascii="仿宋_GB2312" w:hAnsi="仿宋_GB2312" w:eastAsia="仿宋_GB2312" w:cs="仿宋_GB2312"/>
          <w:sz w:val="32"/>
          <w:szCs w:val="32"/>
        </w:rPr>
        <w:t>面对疫情，中国人民展现出了空前的凝聚力，330多支医疗队、4万多名军地医护人员紧急驰援湖北地区，极大程度地限制住了疫情的蔓延。在全面建设社会主义现代化国家的进程中，我们应该继续保持这种万众一心的精神，因为我们要建成的社会主义现代化国家不是某一部分人的现代化，不是某些地区的现代化，而是全中国所有人民所有地区的现代化。全国人民要手拉着手，肩并着肩，心往一处想，劲往一处使，互相帮助，共同进步，一起走向全面现代化社会。</w:t>
      </w:r>
    </w:p>
    <w:p>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全面建成社会主义现代化国家需要闻令而动、雷厉风行的英勇战斗精神。</w:t>
      </w:r>
      <w:r>
        <w:rPr>
          <w:rFonts w:hint="eastAsia" w:ascii="仿宋_GB2312" w:hAnsi="仿宋_GB2312" w:eastAsia="仿宋_GB2312" w:cs="仿宋_GB2312"/>
          <w:sz w:val="32"/>
          <w:szCs w:val="32"/>
        </w:rPr>
        <w:t>疫情中，为了能收治更多的感染者，不到十天建成的火神山、雷神山医院让全世界看到了惊人的中国速度；为顾全大局，党中央一声令下，一座千万级别人口的武汉被“封城”，湖北省对人员外流实施全面严格管控。这些都不是偶然，而是坚持中国共产党领导的绝对优势的体现。全面建设社会主义现代化国家，同样离不开党的领导，各级机关干部要严格落实党中央的决策部署，不等不靠，坚决执行，要让党中央的决策变成人民实实在在的幸福。</w:t>
      </w:r>
    </w:p>
    <w:p>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全面建成社会主义现代化国家需要充满信心，敢于胜利的积极乐观精神。</w:t>
      </w:r>
      <w:r>
        <w:rPr>
          <w:rFonts w:hint="eastAsia" w:ascii="仿宋_GB2312" w:hAnsi="仿宋_GB2312" w:eastAsia="仿宋_GB2312" w:cs="仿宋_GB2312"/>
          <w:sz w:val="32"/>
          <w:szCs w:val="32"/>
        </w:rPr>
        <w:t>疫情爆发时，中国共产党就是全中国人民的定心丸，人们知道只要听党的话，坚持党的领导，就一定会打败疫情，迎接胜利。纵观世界各地的疫情发展情况，事实证明，坚持党的领导是绝对正确的选择。中国发展即将迈上新台阶，全面建设社会主义现代化国家是一个不容小觑的艰巨任务，但是在疫情大考面前，中国不仅没有被击倒，而且交出了一张漂亮的答卷，中国人民没有理由不自信。我们要保持积极乐观的精神，以更加高昂的姿态面对新的挑战。</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疫情固然给中国人民带来了一定的影响，但绝对不会让我们停止前进，相反，在疫情中展现出的精神力量会激励着我们面对新时代的挑战，会在社会主义现代化建设进程中迸发出耀眼的光芒。</w:t>
      </w:r>
    </w:p>
    <w:p>
      <w:pPr>
        <w:pStyle w:val="12"/>
        <w:keepNext w:val="0"/>
        <w:keepLines w:val="0"/>
        <w:pageBreakBefore w:val="0"/>
        <w:numPr>
          <w:ilvl w:val="0"/>
          <w:numId w:val="0"/>
        </w:numPr>
        <w:kinsoku/>
        <w:wordWrap/>
        <w:overflowPunct/>
        <w:topLinePunct w:val="0"/>
        <w:bidi w:val="0"/>
        <w:spacing w:line="560" w:lineRule="exact"/>
        <w:ind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四、舆情信息</w:t>
      </w:r>
    </w:p>
    <w:p>
      <w:pPr>
        <w:keepNext w:val="0"/>
        <w:keepLines w:val="0"/>
        <w:pageBreakBefore w:val="0"/>
        <w:widowControl/>
        <w:suppressAutoHyphens/>
        <w:kinsoku/>
        <w:wordWrap/>
        <w:overflowPunct/>
        <w:topLinePunct w:val="0"/>
        <w:autoSpaceDE/>
        <w:autoSpaceDN/>
        <w:bidi w:val="0"/>
        <w:adjustRightInd/>
        <w:spacing w:beforeAutospacing="0" w:afterAutospacing="0" w:line="560" w:lineRule="exact"/>
        <w:ind w:leftChars="0"/>
        <w:jc w:val="center"/>
        <w:textAlignment w:val="auto"/>
        <w:rPr>
          <w:rFonts w:hint="eastAsia" w:ascii="方正小标宋简体" w:hAnsi="方正小标宋简体" w:eastAsia="方正小标宋简体" w:cs="方正小标宋简体"/>
          <w:b w:val="0"/>
          <w:bCs w:val="0"/>
          <w:color w:val="auto"/>
          <w:kern w:val="0"/>
          <w:sz w:val="44"/>
          <w:szCs w:val="44"/>
          <w:u w:val="none"/>
          <w:lang w:bidi="ar"/>
        </w:rPr>
      </w:pPr>
      <w:r>
        <w:rPr>
          <w:rFonts w:hint="eastAsia" w:ascii="方正小标宋简体" w:hAnsi="方正小标宋简体" w:eastAsia="方正小标宋简体" w:cs="方正小标宋简体"/>
          <w:b w:val="0"/>
          <w:bCs w:val="0"/>
          <w:color w:val="auto"/>
          <w:kern w:val="0"/>
          <w:sz w:val="44"/>
          <w:szCs w:val="44"/>
          <w:u w:val="none"/>
          <w:lang w:bidi="ar"/>
        </w:rPr>
        <w:t>关于春节期间“就地过年”的舆情风险</w:t>
      </w:r>
    </w:p>
    <w:p>
      <w:pPr>
        <w:keepNext w:val="0"/>
        <w:keepLines w:val="0"/>
        <w:pageBreakBefore w:val="0"/>
        <w:widowControl/>
        <w:suppressAutoHyphens/>
        <w:kinsoku/>
        <w:wordWrap/>
        <w:overflowPunct/>
        <w:topLinePunct w:val="0"/>
        <w:autoSpaceDE/>
        <w:autoSpaceDN/>
        <w:bidi w:val="0"/>
        <w:adjustRightInd/>
        <w:spacing w:beforeAutospacing="0" w:afterAutospacing="0" w:line="560" w:lineRule="exact"/>
        <w:ind w:leftChars="0"/>
        <w:jc w:val="center"/>
        <w:textAlignment w:val="auto"/>
        <w:rPr>
          <w:rFonts w:hint="eastAsia" w:ascii="方正小标宋简体" w:hAnsi="方正小标宋简体" w:eastAsia="方正小标宋简体" w:cs="方正小标宋简体"/>
          <w:b w:val="0"/>
          <w:bCs w:val="0"/>
          <w:color w:val="auto"/>
          <w:kern w:val="0"/>
          <w:sz w:val="44"/>
          <w:szCs w:val="44"/>
          <w:u w:val="none"/>
          <w:lang w:bidi="ar"/>
        </w:rPr>
      </w:pPr>
      <w:r>
        <w:rPr>
          <w:rFonts w:hint="eastAsia" w:ascii="方正小标宋简体" w:hAnsi="方正小标宋简体" w:eastAsia="方正小标宋简体" w:cs="方正小标宋简体"/>
          <w:b w:val="0"/>
          <w:bCs w:val="0"/>
          <w:color w:val="auto"/>
          <w:kern w:val="0"/>
          <w:sz w:val="44"/>
          <w:szCs w:val="44"/>
          <w:u w:val="none"/>
          <w:lang w:bidi="ar"/>
        </w:rPr>
        <w:t>分析研判</w:t>
      </w:r>
    </w:p>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综合媒体报道，全球疫情大流行仍在高位运行，新型变异株不断出现，我国持续面临较大的疫情输入压力，疫情风险仍然存在。因此，面对即将到来的春节，国内多地先后发出倡议，倡导务工人员等群体在条件允许的情况下“非必要不返乡”，并通过各种措施对就近就地过年人员给予适当补贴或慰问。 </w:t>
      </w:r>
    </w:p>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官方指出各地需因地制宜综合分析，而非全盘“一刀切”。国家卫健委疫情应对处置工作领导小组专家组组长梁万年指出，春节期间是不是“就地过年”要基于风险研判，全国不能“一刀切”，各地应进行综合分析评估，因地制宜地出台相关政策。 </w:t>
      </w:r>
    </w:p>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舆情风险分析研判 </w:t>
      </w:r>
    </w:p>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随着北京、天津、上海、南京等地倡导就地过年的政策，可以推测，之后也会有其他城市陆续提出就地过年的倡议，而一些地区的倡议尚未全面转化为具体有效举措，在大面积推行中，容易引发媒体与网民的忧虑，随之也存在一定的舆情风险需要注意。 </w:t>
      </w:r>
    </w:p>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是返乡遭遇“防控加码”。春节期间人员流动增加，基层治理和政策执行面临“压力测试”。一些地方在实施“合理有序引导群众就地过年”的过程中，可能出现自我施压、层层加码防控标准的问题，加上部分工作人员可能出于“谁接受谁负责”等原因考虑，不想在人员对接过程中担责，出现拦路、劝返、强制隔离等极端情况，由此引发民众不满。这也提醒着人员输出地和输入地的相关部门，应提前建立好畅通的联系沟通渠道，提前做好相关预案，对核酸检测要求、报备渠道、操作流程等进行细化优化，做好相关准备工作。 </w:t>
      </w:r>
    </w:p>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是就地过年政策落实不到位。全国多个省份在倡议就地过年的同时，积极推出多项保障措施，包括留守津贴、消费券、房租减免等。但在政策落实方面，可能出现相关部门未明确补贴分发的具体安排、相关政策宣导不到位等原因，导致部分民众没有及时享受到政策福利，从而引发相关舆情。 </w:t>
      </w:r>
    </w:p>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是“就地过年”成为“就地加班”。对于一部分愿意参加春节生产的务工人员来说，若企业在此期间制定了一些不合理的硬性规定，例如未安排错峰休假、未按时足额支付劳动工资和加班费等，就容易引发员工不满，一旦相关的负面舆情滋生，短时间内极易引发热议，进而造成不可控的结果。 </w:t>
      </w:r>
    </w:p>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四是“年味缺失”提高了舆论对补偿措施的期待。在疫情防控常态化的背景下，“年味儿的缺失”也使得就地过年群体格外期待政府、企业的“补偿举措”。比如所在地是否会采取发红包、补贴、消费券、旅游景区免费等优惠，以及是否开展送年夜饭、免费开展技能培训、才艺比拼等文体活动，来满足民众的“精神食粮”要求等。若相关基层部门未及时推出措施营造节日氛围，可能会引发舆论对就地过年倡议的失望情绪，并发表负面言论给政府形象造成损伤。 </w:t>
      </w:r>
    </w:p>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是留守儿童、空巢老人等特殊群体需格外关注。部分务工人员“就地过年”后，留守儿童、空巢老人的过年问题随之凸显，也容易引发舆论热议。这就要求职能部门把服务向劳务输出地延伸，发挥工会、行业组织等优势，依托户籍所在地党委政府，以“联动”形式做好慰问帮扶，通过开展送年货、年夜饭等活动，积极关照在家乡过年的留守老人与儿童，做好安抚工作。</w:t>
      </w:r>
    </w:p>
    <w:p>
      <w:pPr>
        <w:pStyle w:val="12"/>
        <w:numPr>
          <w:ilvl w:val="0"/>
          <w:numId w:val="0"/>
        </w:numPr>
        <w:ind w:leftChars="200"/>
        <w:rPr>
          <w:rFonts w:hint="default"/>
          <w:lang w:val="en-US" w:eastAsia="zh-CN"/>
        </w:rPr>
      </w:pPr>
    </w:p>
    <w:p>
      <w:pPr>
        <w:pStyle w:val="12"/>
        <w:rPr>
          <w:rFonts w:hint="eastAsia" w:ascii="仿宋_GB2312" w:hAnsi="仿宋_GB2312" w:eastAsia="仿宋_GB2312" w:cs="仿宋_GB2312"/>
          <w:color w:val="000000"/>
          <w:kern w:val="0"/>
          <w:sz w:val="32"/>
          <w:szCs w:val="32"/>
          <w:lang w:val="en-US" w:eastAsia="zh-CN" w:bidi="ar"/>
        </w:rPr>
      </w:pPr>
    </w:p>
    <w:p>
      <w:pPr>
        <w:pStyle w:val="12"/>
        <w:rPr>
          <w:rFonts w:hint="eastAsia" w:ascii="仿宋_GB2312" w:hAnsi="仿宋_GB2312" w:eastAsia="仿宋_GB2312" w:cs="仿宋_GB2312"/>
          <w:color w:val="000000"/>
          <w:kern w:val="0"/>
          <w:sz w:val="32"/>
          <w:szCs w:val="32"/>
          <w:lang w:val="en-US" w:eastAsia="zh-CN" w:bidi="ar"/>
        </w:rPr>
      </w:pPr>
    </w:p>
    <w:p>
      <w:pPr>
        <w:pStyle w:val="12"/>
        <w:rPr>
          <w:rFonts w:hint="eastAsia" w:ascii="仿宋_GB2312" w:hAnsi="仿宋_GB2312" w:eastAsia="仿宋_GB2312" w:cs="仿宋_GB2312"/>
          <w:color w:val="000000"/>
          <w:kern w:val="0"/>
          <w:sz w:val="32"/>
          <w:szCs w:val="32"/>
          <w:lang w:val="en-US" w:eastAsia="zh-CN" w:bidi="ar"/>
        </w:rPr>
      </w:pPr>
    </w:p>
    <w:p>
      <w:pPr>
        <w:pStyle w:val="12"/>
        <w:rPr>
          <w:rFonts w:hint="eastAsia" w:ascii="仿宋_GB2312" w:hAnsi="仿宋_GB2312" w:eastAsia="仿宋_GB2312" w:cs="仿宋_GB2312"/>
          <w:color w:val="000000"/>
          <w:kern w:val="0"/>
          <w:sz w:val="32"/>
          <w:szCs w:val="32"/>
          <w:lang w:val="en-US" w:eastAsia="zh-CN" w:bidi="ar"/>
        </w:rPr>
      </w:pPr>
    </w:p>
    <w:p>
      <w:pPr>
        <w:pStyle w:val="12"/>
        <w:rPr>
          <w:rFonts w:hint="eastAsia" w:ascii="仿宋_GB2312" w:hAnsi="仿宋_GB2312" w:eastAsia="仿宋_GB2312" w:cs="仿宋_GB2312"/>
          <w:color w:val="000000"/>
          <w:kern w:val="0"/>
          <w:sz w:val="32"/>
          <w:szCs w:val="32"/>
          <w:lang w:val="en-US" w:eastAsia="zh-CN" w:bidi="ar"/>
        </w:rPr>
      </w:pPr>
    </w:p>
    <w:p>
      <w:pPr>
        <w:pStyle w:val="12"/>
        <w:rPr>
          <w:rFonts w:hint="eastAsia" w:ascii="仿宋_GB2312" w:hAnsi="仿宋_GB2312" w:eastAsia="仿宋_GB2312" w:cs="仿宋_GB2312"/>
          <w:color w:val="000000"/>
          <w:kern w:val="0"/>
          <w:sz w:val="32"/>
          <w:szCs w:val="32"/>
          <w:lang w:val="en-US" w:eastAsia="zh-CN" w:bidi="ar"/>
        </w:rPr>
      </w:pPr>
    </w:p>
    <w:p>
      <w:pPr>
        <w:pStyle w:val="12"/>
        <w:rPr>
          <w:rFonts w:hint="eastAsia" w:ascii="仿宋_GB2312" w:hAnsi="仿宋_GB2312" w:eastAsia="仿宋_GB2312" w:cs="仿宋_GB2312"/>
          <w:color w:val="000000"/>
          <w:kern w:val="0"/>
          <w:sz w:val="32"/>
          <w:szCs w:val="32"/>
          <w:lang w:val="en-US" w:eastAsia="zh-CN" w:bidi="ar"/>
        </w:rPr>
      </w:pPr>
    </w:p>
    <w:p>
      <w:pPr>
        <w:pStyle w:val="12"/>
        <w:rPr>
          <w:rFonts w:hint="eastAsia" w:ascii="仿宋_GB2312" w:hAnsi="仿宋_GB2312" w:eastAsia="仿宋_GB2312" w:cs="仿宋_GB2312"/>
          <w:color w:val="000000"/>
          <w:kern w:val="0"/>
          <w:sz w:val="32"/>
          <w:szCs w:val="32"/>
          <w:lang w:val="en-US" w:eastAsia="zh-CN" w:bidi="ar"/>
        </w:rPr>
      </w:pPr>
    </w:p>
    <w:p>
      <w:pPr>
        <w:pStyle w:val="12"/>
        <w:rPr>
          <w:rFonts w:hint="eastAsia" w:ascii="仿宋_GB2312" w:hAnsi="仿宋_GB2312" w:eastAsia="仿宋_GB2312" w:cs="仿宋_GB2312"/>
          <w:color w:val="000000"/>
          <w:kern w:val="0"/>
          <w:sz w:val="32"/>
          <w:szCs w:val="32"/>
          <w:lang w:val="en-US" w:eastAsia="zh-CN" w:bidi="ar"/>
        </w:rPr>
      </w:pPr>
    </w:p>
    <w:p>
      <w:pPr>
        <w:pStyle w:val="12"/>
        <w:rPr>
          <w:rFonts w:hint="eastAsia" w:ascii="仿宋_GB2312" w:hAnsi="仿宋_GB2312" w:eastAsia="仿宋_GB2312" w:cs="仿宋_GB2312"/>
          <w:color w:val="000000"/>
          <w:kern w:val="0"/>
          <w:sz w:val="32"/>
          <w:szCs w:val="32"/>
          <w:lang w:val="en-US" w:eastAsia="zh-CN" w:bidi="ar"/>
        </w:rPr>
      </w:pPr>
    </w:p>
    <w:p>
      <w:pPr>
        <w:pStyle w:val="12"/>
        <w:rPr>
          <w:rFonts w:hint="eastAsia" w:ascii="仿宋_GB2312" w:hAnsi="仿宋_GB2312" w:eastAsia="仿宋_GB2312" w:cs="仿宋_GB2312"/>
          <w:color w:val="000000"/>
          <w:kern w:val="0"/>
          <w:sz w:val="32"/>
          <w:szCs w:val="32"/>
          <w:lang w:val="en-US" w:eastAsia="zh-CN" w:bidi="ar"/>
        </w:rPr>
      </w:pPr>
    </w:p>
    <w:p>
      <w:pPr>
        <w:pStyle w:val="12"/>
        <w:rPr>
          <w:rFonts w:hint="eastAsia" w:ascii="仿宋_GB2312" w:hAnsi="仿宋_GB2312" w:eastAsia="仿宋_GB2312" w:cs="仿宋_GB2312"/>
          <w:color w:val="000000"/>
          <w:kern w:val="0"/>
          <w:sz w:val="32"/>
          <w:szCs w:val="32"/>
          <w:lang w:val="en-US" w:eastAsia="zh-CN" w:bidi="ar"/>
        </w:rPr>
      </w:pPr>
    </w:p>
    <w:p>
      <w:pPr>
        <w:pStyle w:val="12"/>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val="0"/>
        <w:spacing w:line="560" w:lineRule="exact"/>
        <w:ind w:leftChars="0"/>
        <w:textAlignment w:val="auto"/>
        <w:rPr>
          <w:rFonts w:hint="eastAsia" w:ascii="仿宋_GB2312" w:hAnsi="仿宋_GB2312" w:eastAsia="仿宋_GB2312" w:cs="仿宋_GB2312"/>
          <w:sz w:val="32"/>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9"/>
        <w:rFonts w:ascii="宋体"/>
        <w:sz w:val="28"/>
        <w:szCs w:val="28"/>
      </w:rPr>
    </w:pPr>
    <w:r>
      <w:rPr>
        <w:rStyle w:val="9"/>
        <w:rFonts w:ascii="宋体" w:hAnsi="宋体"/>
        <w:sz w:val="28"/>
        <w:szCs w:val="28"/>
      </w:rPr>
      <w:t xml:space="preserve">— </w:t>
    </w: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7</w:t>
    </w:r>
    <w:r>
      <w:rPr>
        <w:rStyle w:val="9"/>
        <w:rFonts w:ascii="宋体" w:hAnsi="宋体"/>
        <w:sz w:val="28"/>
        <w:szCs w:val="28"/>
      </w:rPr>
      <w:fldChar w:fldCharType="end"/>
    </w:r>
    <w:r>
      <w:rPr>
        <w:rStyle w:val="9"/>
        <w:rFonts w:ascii="宋体" w:hAnsi="宋体"/>
        <w:sz w:val="28"/>
        <w:szCs w:val="28"/>
      </w:rPr>
      <w:t xml:space="preserve"> —</w:t>
    </w:r>
  </w:p>
  <w:p>
    <w:pPr>
      <w:pStyle w:val="2"/>
      <w:ind w:right="360" w:firstLine="360"/>
      <w:jc w:val="center"/>
    </w:pPr>
    <w:r>
      <w:t xml:space="preserve"> </w: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8707CC"/>
    <w:multiLevelType w:val="singleLevel"/>
    <w:tmpl w:val="FE8707C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1NjdlZTkzOGVlNTUxMzA5MDYxMmQyM2U2ODlmNDgifQ=="/>
  </w:docVars>
  <w:rsids>
    <w:rsidRoot w:val="00520799"/>
    <w:rsid w:val="000130F0"/>
    <w:rsid w:val="00055FEF"/>
    <w:rsid w:val="000662C1"/>
    <w:rsid w:val="00066F20"/>
    <w:rsid w:val="000825B2"/>
    <w:rsid w:val="0008630E"/>
    <w:rsid w:val="000932FB"/>
    <w:rsid w:val="000973F0"/>
    <w:rsid w:val="000F2392"/>
    <w:rsid w:val="00100CD5"/>
    <w:rsid w:val="00115BD6"/>
    <w:rsid w:val="001404DB"/>
    <w:rsid w:val="0017699B"/>
    <w:rsid w:val="00180660"/>
    <w:rsid w:val="00186D76"/>
    <w:rsid w:val="00193D8C"/>
    <w:rsid w:val="001B44B3"/>
    <w:rsid w:val="001C2338"/>
    <w:rsid w:val="00203ECE"/>
    <w:rsid w:val="002130B5"/>
    <w:rsid w:val="00215D3E"/>
    <w:rsid w:val="00224539"/>
    <w:rsid w:val="00231E1E"/>
    <w:rsid w:val="00235877"/>
    <w:rsid w:val="00237544"/>
    <w:rsid w:val="002410D7"/>
    <w:rsid w:val="002413A9"/>
    <w:rsid w:val="002548CC"/>
    <w:rsid w:val="00257F79"/>
    <w:rsid w:val="002601ED"/>
    <w:rsid w:val="00261524"/>
    <w:rsid w:val="00262770"/>
    <w:rsid w:val="00273F00"/>
    <w:rsid w:val="00276C57"/>
    <w:rsid w:val="002A2ECC"/>
    <w:rsid w:val="002A3B18"/>
    <w:rsid w:val="002E09F1"/>
    <w:rsid w:val="0031595A"/>
    <w:rsid w:val="00331F81"/>
    <w:rsid w:val="003469F4"/>
    <w:rsid w:val="00352E09"/>
    <w:rsid w:val="00364B1A"/>
    <w:rsid w:val="00365CC2"/>
    <w:rsid w:val="003721C9"/>
    <w:rsid w:val="0038409D"/>
    <w:rsid w:val="003859B2"/>
    <w:rsid w:val="003B4C06"/>
    <w:rsid w:val="003B5A29"/>
    <w:rsid w:val="003C725A"/>
    <w:rsid w:val="003E6A24"/>
    <w:rsid w:val="003E7167"/>
    <w:rsid w:val="00400866"/>
    <w:rsid w:val="00434F01"/>
    <w:rsid w:val="00456786"/>
    <w:rsid w:val="004635EF"/>
    <w:rsid w:val="004831B4"/>
    <w:rsid w:val="00485F3C"/>
    <w:rsid w:val="004A6927"/>
    <w:rsid w:val="004B5F34"/>
    <w:rsid w:val="004E7903"/>
    <w:rsid w:val="004E7931"/>
    <w:rsid w:val="005151BB"/>
    <w:rsid w:val="00520799"/>
    <w:rsid w:val="00520A8F"/>
    <w:rsid w:val="0053157A"/>
    <w:rsid w:val="00531C5A"/>
    <w:rsid w:val="005614BD"/>
    <w:rsid w:val="005909F2"/>
    <w:rsid w:val="00592EDE"/>
    <w:rsid w:val="005940BD"/>
    <w:rsid w:val="00596EDD"/>
    <w:rsid w:val="005C3213"/>
    <w:rsid w:val="00612F31"/>
    <w:rsid w:val="00646895"/>
    <w:rsid w:val="0066011F"/>
    <w:rsid w:val="006A2611"/>
    <w:rsid w:val="006A3E1F"/>
    <w:rsid w:val="006B4517"/>
    <w:rsid w:val="006B45EC"/>
    <w:rsid w:val="006B4A35"/>
    <w:rsid w:val="006C616B"/>
    <w:rsid w:val="006D5A41"/>
    <w:rsid w:val="006E5169"/>
    <w:rsid w:val="006F1F99"/>
    <w:rsid w:val="006F3ED1"/>
    <w:rsid w:val="006F69E7"/>
    <w:rsid w:val="007025F1"/>
    <w:rsid w:val="00723AFE"/>
    <w:rsid w:val="007264C5"/>
    <w:rsid w:val="007319D0"/>
    <w:rsid w:val="00740544"/>
    <w:rsid w:val="007937F9"/>
    <w:rsid w:val="007A5DB1"/>
    <w:rsid w:val="007E5387"/>
    <w:rsid w:val="007E661F"/>
    <w:rsid w:val="007F44E5"/>
    <w:rsid w:val="00802156"/>
    <w:rsid w:val="00812AEC"/>
    <w:rsid w:val="00822A51"/>
    <w:rsid w:val="00841106"/>
    <w:rsid w:val="00874F0D"/>
    <w:rsid w:val="00877238"/>
    <w:rsid w:val="008858A3"/>
    <w:rsid w:val="00895281"/>
    <w:rsid w:val="008F3BA0"/>
    <w:rsid w:val="009074C5"/>
    <w:rsid w:val="00934537"/>
    <w:rsid w:val="00942736"/>
    <w:rsid w:val="00963020"/>
    <w:rsid w:val="00987AEC"/>
    <w:rsid w:val="0099395F"/>
    <w:rsid w:val="009A61FC"/>
    <w:rsid w:val="009B6380"/>
    <w:rsid w:val="009C6D0B"/>
    <w:rsid w:val="009E05B1"/>
    <w:rsid w:val="009F23CB"/>
    <w:rsid w:val="00A06EBA"/>
    <w:rsid w:val="00A1522B"/>
    <w:rsid w:val="00A2333C"/>
    <w:rsid w:val="00A6314E"/>
    <w:rsid w:val="00A63EB5"/>
    <w:rsid w:val="00A755CF"/>
    <w:rsid w:val="00AA6136"/>
    <w:rsid w:val="00AD6976"/>
    <w:rsid w:val="00AE2C0F"/>
    <w:rsid w:val="00AF2BCF"/>
    <w:rsid w:val="00B046D2"/>
    <w:rsid w:val="00B64592"/>
    <w:rsid w:val="00B70F52"/>
    <w:rsid w:val="00B742F6"/>
    <w:rsid w:val="00B77B1A"/>
    <w:rsid w:val="00B90F5D"/>
    <w:rsid w:val="00B950F0"/>
    <w:rsid w:val="00BC3921"/>
    <w:rsid w:val="00BD4784"/>
    <w:rsid w:val="00C00098"/>
    <w:rsid w:val="00C4177B"/>
    <w:rsid w:val="00C52A1A"/>
    <w:rsid w:val="00C546AE"/>
    <w:rsid w:val="00C61AF6"/>
    <w:rsid w:val="00C85A9B"/>
    <w:rsid w:val="00C86D26"/>
    <w:rsid w:val="00C876C9"/>
    <w:rsid w:val="00CB054B"/>
    <w:rsid w:val="00CB1E4E"/>
    <w:rsid w:val="00CB440E"/>
    <w:rsid w:val="00CD7D95"/>
    <w:rsid w:val="00CF2102"/>
    <w:rsid w:val="00D215BF"/>
    <w:rsid w:val="00D3088A"/>
    <w:rsid w:val="00D327DB"/>
    <w:rsid w:val="00D80E30"/>
    <w:rsid w:val="00D835F2"/>
    <w:rsid w:val="00DC02F3"/>
    <w:rsid w:val="00DF4602"/>
    <w:rsid w:val="00E05BBB"/>
    <w:rsid w:val="00E37F64"/>
    <w:rsid w:val="00E40DD5"/>
    <w:rsid w:val="00E46B17"/>
    <w:rsid w:val="00E54EB4"/>
    <w:rsid w:val="00EB2EB7"/>
    <w:rsid w:val="00EE785C"/>
    <w:rsid w:val="00EF2266"/>
    <w:rsid w:val="00EF3EBB"/>
    <w:rsid w:val="00EF5678"/>
    <w:rsid w:val="00F127CB"/>
    <w:rsid w:val="00F14CF3"/>
    <w:rsid w:val="00F1548A"/>
    <w:rsid w:val="00F27364"/>
    <w:rsid w:val="00F47178"/>
    <w:rsid w:val="00F53FD7"/>
    <w:rsid w:val="00F66CD5"/>
    <w:rsid w:val="00FA52A9"/>
    <w:rsid w:val="00FC2204"/>
    <w:rsid w:val="00FD7675"/>
    <w:rsid w:val="00FE2A3B"/>
    <w:rsid w:val="00FF24EC"/>
    <w:rsid w:val="01231D21"/>
    <w:rsid w:val="029650DA"/>
    <w:rsid w:val="0673535C"/>
    <w:rsid w:val="07B70611"/>
    <w:rsid w:val="07F37B4D"/>
    <w:rsid w:val="08722801"/>
    <w:rsid w:val="09A12D46"/>
    <w:rsid w:val="0A6412D4"/>
    <w:rsid w:val="0F2B5B5D"/>
    <w:rsid w:val="11DA2608"/>
    <w:rsid w:val="1365285F"/>
    <w:rsid w:val="15E24E30"/>
    <w:rsid w:val="163C306E"/>
    <w:rsid w:val="164D2A84"/>
    <w:rsid w:val="16865709"/>
    <w:rsid w:val="17AF5283"/>
    <w:rsid w:val="1B571779"/>
    <w:rsid w:val="1E12484C"/>
    <w:rsid w:val="20681E6C"/>
    <w:rsid w:val="2119224B"/>
    <w:rsid w:val="29713CCC"/>
    <w:rsid w:val="2A2E4B91"/>
    <w:rsid w:val="2F1676D6"/>
    <w:rsid w:val="2F9E1F0D"/>
    <w:rsid w:val="30762945"/>
    <w:rsid w:val="34F703C0"/>
    <w:rsid w:val="36C50C62"/>
    <w:rsid w:val="39605573"/>
    <w:rsid w:val="3BFE3C70"/>
    <w:rsid w:val="3DD92605"/>
    <w:rsid w:val="3E6E2723"/>
    <w:rsid w:val="3FA829A1"/>
    <w:rsid w:val="4249351B"/>
    <w:rsid w:val="49C12A59"/>
    <w:rsid w:val="4B073487"/>
    <w:rsid w:val="4D0E7249"/>
    <w:rsid w:val="4DD40CCF"/>
    <w:rsid w:val="4FDA6D8E"/>
    <w:rsid w:val="55217A88"/>
    <w:rsid w:val="5917342D"/>
    <w:rsid w:val="5BA43C29"/>
    <w:rsid w:val="5BD94061"/>
    <w:rsid w:val="5EBB6C4B"/>
    <w:rsid w:val="5EFC0B7D"/>
    <w:rsid w:val="61CA63C6"/>
    <w:rsid w:val="62AB002B"/>
    <w:rsid w:val="62D26B6B"/>
    <w:rsid w:val="65762E9F"/>
    <w:rsid w:val="65A1191E"/>
    <w:rsid w:val="667D36B4"/>
    <w:rsid w:val="69463C04"/>
    <w:rsid w:val="6A2E41A4"/>
    <w:rsid w:val="6C0B5F22"/>
    <w:rsid w:val="6DC12645"/>
    <w:rsid w:val="6EBA2AFC"/>
    <w:rsid w:val="71CB0FD7"/>
    <w:rsid w:val="736272ED"/>
    <w:rsid w:val="79A33422"/>
    <w:rsid w:val="7B135F1B"/>
    <w:rsid w:val="7E2F272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ocked="1"/>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6"/>
    <w:qFormat/>
    <w:locked/>
    <w:uiPriority w:val="99"/>
    <w:pPr>
      <w:spacing w:before="100" w:beforeAutospacing="1" w:after="100" w:afterAutospacing="1"/>
      <w:jc w:val="left"/>
      <w:outlineLvl w:val="0"/>
    </w:pPr>
    <w:rPr>
      <w:rFonts w:ascii="宋体" w:hAnsi="宋体"/>
      <w:b/>
      <w:kern w:val="44"/>
      <w:sz w:val="48"/>
      <w:szCs w:val="48"/>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17"/>
    <w:qFormat/>
    <w:uiPriority w:val="99"/>
    <w:pPr>
      <w:tabs>
        <w:tab w:val="center" w:pos="4153"/>
        <w:tab w:val="right" w:pos="8306"/>
      </w:tabs>
      <w:snapToGrid w:val="0"/>
      <w:jc w:val="left"/>
    </w:pPr>
    <w:rPr>
      <w:sz w:val="18"/>
      <w:szCs w:val="18"/>
    </w:rPr>
  </w:style>
  <w:style w:type="paragraph" w:styleId="4">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kern w:val="0"/>
      <w:szCs w:val="21"/>
    </w:rPr>
  </w:style>
  <w:style w:type="character" w:styleId="8">
    <w:name w:val="Strong"/>
    <w:basedOn w:val="7"/>
    <w:qFormat/>
    <w:locked/>
    <w:uiPriority w:val="99"/>
    <w:rPr>
      <w:rFonts w:cs="Times New Roman"/>
      <w:b/>
      <w:bCs/>
    </w:rPr>
  </w:style>
  <w:style w:type="character" w:styleId="9">
    <w:name w:val="page number"/>
    <w:basedOn w:val="7"/>
    <w:qFormat/>
    <w:uiPriority w:val="99"/>
    <w:rPr>
      <w:rFonts w:cs="Times New Roman"/>
    </w:rPr>
  </w:style>
  <w:style w:type="character" w:styleId="10">
    <w:name w:val="FollowedHyperlink"/>
    <w:basedOn w:val="7"/>
    <w:qFormat/>
    <w:uiPriority w:val="99"/>
    <w:rPr>
      <w:rFonts w:cs="Times New Roman"/>
      <w:color w:val="005599"/>
      <w:u w:val="none"/>
    </w:rPr>
  </w:style>
  <w:style w:type="character" w:styleId="11">
    <w:name w:val="Hyperlink"/>
    <w:basedOn w:val="7"/>
    <w:qFormat/>
    <w:uiPriority w:val="99"/>
    <w:rPr>
      <w:rFonts w:cs="Times New Roman"/>
      <w:color w:val="005599"/>
      <w:u w:val="none"/>
    </w:rPr>
  </w:style>
  <w:style w:type="paragraph" w:customStyle="1" w:styleId="12">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3">
    <w:name w:val="常用样式（方正仿宋简）"/>
    <w:basedOn w:val="1"/>
    <w:next w:val="1"/>
    <w:qFormat/>
    <w:uiPriority w:val="99"/>
    <w:pPr>
      <w:spacing w:line="560" w:lineRule="exact"/>
      <w:ind w:firstLine="640" w:firstLineChars="200"/>
    </w:pPr>
    <w:rPr>
      <w:rFonts w:ascii="Times New Roman" w:hAnsi="Times New Roman"/>
      <w:sz w:val="32"/>
      <w:szCs w:val="32"/>
    </w:rPr>
  </w:style>
  <w:style w:type="paragraph" w:customStyle="1" w:styleId="14">
    <w:name w:val="章标题"/>
    <w:basedOn w:val="1"/>
    <w:next w:val="15"/>
    <w:qFormat/>
    <w:uiPriority w:val="99"/>
    <w:pPr>
      <w:widowControl/>
      <w:spacing w:before="158" w:after="153" w:line="323" w:lineRule="atLeast"/>
      <w:ind w:right="-120"/>
      <w:jc w:val="center"/>
      <w:textAlignment w:val="baseline"/>
    </w:pPr>
    <w:rPr>
      <w:color w:val="FF0000"/>
      <w:sz w:val="18"/>
    </w:rPr>
  </w:style>
  <w:style w:type="paragraph" w:customStyle="1" w:styleId="15">
    <w:name w:val="节标题"/>
    <w:basedOn w:val="1"/>
    <w:next w:val="1"/>
    <w:qFormat/>
    <w:uiPriority w:val="99"/>
    <w:pPr>
      <w:widowControl/>
      <w:spacing w:line="289" w:lineRule="atLeast"/>
      <w:jc w:val="center"/>
      <w:textAlignment w:val="baseline"/>
    </w:pPr>
    <w:rPr>
      <w:color w:val="000000"/>
      <w:sz w:val="28"/>
    </w:rPr>
  </w:style>
  <w:style w:type="character" w:customStyle="1" w:styleId="16">
    <w:name w:val="Heading 1 Char"/>
    <w:basedOn w:val="7"/>
    <w:link w:val="3"/>
    <w:qFormat/>
    <w:locked/>
    <w:uiPriority w:val="99"/>
    <w:rPr>
      <w:rFonts w:ascii="Calibri" w:hAnsi="Calibri" w:cs="Times New Roman"/>
      <w:b/>
      <w:bCs/>
      <w:kern w:val="44"/>
      <w:sz w:val="44"/>
      <w:szCs w:val="44"/>
    </w:rPr>
  </w:style>
  <w:style w:type="character" w:customStyle="1" w:styleId="17">
    <w:name w:val="Footer Char"/>
    <w:basedOn w:val="7"/>
    <w:link w:val="2"/>
    <w:qFormat/>
    <w:locked/>
    <w:uiPriority w:val="99"/>
    <w:rPr>
      <w:rFonts w:ascii="Calibri" w:hAnsi="Calibri" w:eastAsia="宋体" w:cs="Times New Roman"/>
      <w:kern w:val="2"/>
      <w:sz w:val="18"/>
      <w:szCs w:val="18"/>
    </w:rPr>
  </w:style>
  <w:style w:type="character" w:customStyle="1" w:styleId="18">
    <w:name w:val="Header Char"/>
    <w:basedOn w:val="7"/>
    <w:link w:val="4"/>
    <w:qFormat/>
    <w:locked/>
    <w:uiPriority w:val="99"/>
    <w:rPr>
      <w:rFonts w:ascii="Calibri" w:hAnsi="Calibri" w:eastAsia="宋体" w:cs="Times New Roman"/>
      <w:kern w:val="2"/>
      <w:sz w:val="18"/>
      <w:szCs w:val="18"/>
    </w:rPr>
  </w:style>
  <w:style w:type="character" w:customStyle="1" w:styleId="19">
    <w:name w:val="font2"/>
    <w:basedOn w:val="7"/>
    <w:qFormat/>
    <w:uiPriority w:val="99"/>
    <w:rPr>
      <w:rFonts w:cs="Times New Roman"/>
    </w:rPr>
  </w:style>
  <w:style w:type="character" w:customStyle="1" w:styleId="20">
    <w:name w:val="fontend"/>
    <w:basedOn w:val="7"/>
    <w:qFormat/>
    <w:uiPriority w:val="99"/>
    <w:rPr>
      <w:rFonts w:cs="Times New Roman"/>
    </w:rPr>
  </w:style>
  <w:style w:type="character" w:customStyle="1" w:styleId="21">
    <w:name w:val="bds_more"/>
    <w:basedOn w:val="7"/>
    <w:qFormat/>
    <w:uiPriority w:val="99"/>
    <w:rPr>
      <w:rFonts w:ascii="宋体" w:hAnsi="宋体" w:eastAsia="宋体" w:cs="宋体"/>
    </w:rPr>
  </w:style>
  <w:style w:type="character" w:customStyle="1" w:styleId="22">
    <w:name w:val="bds_more1"/>
    <w:basedOn w:val="7"/>
    <w:qFormat/>
    <w:uiPriority w:val="99"/>
    <w:rPr>
      <w:rFonts w:cs="Times New Roman"/>
    </w:rPr>
  </w:style>
  <w:style w:type="character" w:customStyle="1" w:styleId="23">
    <w:name w:val="bds_more2"/>
    <w:basedOn w:val="7"/>
    <w:qFormat/>
    <w:uiPriority w:val="99"/>
    <w:rPr>
      <w:rFonts w:cs="Times New Roman"/>
    </w:rPr>
  </w:style>
  <w:style w:type="character" w:customStyle="1" w:styleId="24">
    <w:name w:val="bds_nopic"/>
    <w:basedOn w:val="7"/>
    <w:qFormat/>
    <w:uiPriority w:val="99"/>
    <w:rPr>
      <w:rFonts w:cs="Times New Roman"/>
    </w:rPr>
  </w:style>
  <w:style w:type="character" w:customStyle="1" w:styleId="25">
    <w:name w:val="bds_nopic1"/>
    <w:basedOn w:val="7"/>
    <w:qFormat/>
    <w:uiPriority w:val="99"/>
    <w:rPr>
      <w:rFonts w:cs="Times New Roman"/>
    </w:rPr>
  </w:style>
  <w:style w:type="character" w:customStyle="1" w:styleId="26">
    <w:name w:val="bds_nopic2"/>
    <w:basedOn w:val="7"/>
    <w:qFormat/>
    <w:uiPriority w:val="99"/>
    <w:rPr>
      <w:rFonts w:cs="Times New Roman"/>
    </w:rPr>
  </w:style>
  <w:style w:type="character" w:customStyle="1" w:styleId="27">
    <w:name w:val="Char Char"/>
    <w:basedOn w:val="7"/>
    <w:qFormat/>
    <w:uiPriority w:val="99"/>
    <w:rPr>
      <w:rFonts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8</Pages>
  <Words>3655</Words>
  <Characters>3912</Characters>
  <Lines>0</Lines>
  <Paragraphs>0</Paragraphs>
  <TotalTime>0</TotalTime>
  <ScaleCrop>false</ScaleCrop>
  <LinksUpToDate>false</LinksUpToDate>
  <CharactersWithSpaces>4064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2019-02-14T06:06:00Z</dcterms:created>
  <dc:creator>Administrator</dc:creator>
  <cp:lastModifiedBy>Administrator</cp:lastModifiedBy>
  <cp:lastPrinted>2022-04-15T07:52:00Z</cp:lastPrinted>
  <dcterms:modified xsi:type="dcterms:W3CDTF">2023-07-13T08:31:37Z</dcterms:modified>
  <dc:title>遂船司法发〔2017〕21号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B901FE5B4F004DD4BD03956EAADDA032</vt:lpwstr>
  </property>
</Properties>
</file>