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268"/>
        <w:gridCol w:w="842"/>
        <w:gridCol w:w="125"/>
        <w:gridCol w:w="800"/>
        <w:gridCol w:w="155"/>
        <w:gridCol w:w="661"/>
        <w:gridCol w:w="2867"/>
        <w:gridCol w:w="156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关于提前下达船山区2023年中央和省级财政衔接推进乡村振兴补助资金分配结果的公告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  <w:bookmarkStart w:id="0" w:name="_GoBack"/>
            <w:bookmarkEnd w:id="0"/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844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以工代赈任务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分配发展改革局390万元用于老池镇2023年中央财政以工代赈项目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分配区发展改革局454万元用于支持规划内易地扶贫搬迁贷款贴息补助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159.05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129.05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分配桂花镇159.05万元用于2个产业发展项目、4个乡村建设项目建设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分配河沙镇290万元用于4个产业发展项目、1个乡村建设项目建设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145.04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105.04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分配老池镇145.04万元用于2个产业发展项目、3个乡村建设项目建设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389.45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309.45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分配龙凤镇389.45万元用于3个产业发展项目、2个乡村建设项目建设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186.55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166.55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分配仁里镇186.55万元用于3个产业发展项目、2个乡村建设项目建设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分配唐家乡130万元用于1个产业发展项目、3个乡村建设项目建设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279.05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279.05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分配永兴镇279.05万元用于4个产业发展项目、5个乡村建设项目建设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分配现代农业园区管委会160万元用于2个现代农业园农产品品牌推广项目、2个永河园核心区人居环境整治项目建设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273.86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273.86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分配乡村振兴局273.86万元用于1个全区2023年度到户资金项目、1个雨露计划、1个船山区农产品品牌提升建设项目建设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30177B90"/>
    <w:rsid w:val="06943EF1"/>
    <w:rsid w:val="30177B90"/>
    <w:rsid w:val="3BCD78A8"/>
    <w:rsid w:val="4ED05A08"/>
    <w:rsid w:val="566E3B76"/>
    <w:rsid w:val="699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971</Characters>
  <Lines>0</Lines>
  <Paragraphs>0</Paragraphs>
  <TotalTime>1</TotalTime>
  <ScaleCrop>false</ScaleCrop>
  <LinksUpToDate>false</LinksUpToDate>
  <CharactersWithSpaces>971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2022-03-01T06:36:00Z</dcterms:created>
  <dc:creator>Farewell</dc:creator>
  <cp:lastModifiedBy>涓涓阿</cp:lastModifiedBy>
  <dcterms:modified xsi:type="dcterms:W3CDTF">2023-02-28T03:14:33Z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F84F82F2B73C447399D63A92A5A0922F</vt:lpwstr>
  </property>
</Properties>
</file>