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7BD4">
      <w:pPr>
        <w:adjustRightInd w:val="0"/>
        <w:spacing w:line="600" w:lineRule="exact"/>
        <w:ind w:left="0" w:leftChars="0" w:firstLine="0" w:firstLineChars="0"/>
        <w:jc w:val="center"/>
        <w:rPr>
          <w:rFonts w:hint="eastAsia" w:ascii="仿宋" w:hAnsi="仿宋" w:eastAsia="仿宋" w:cs="仿宋"/>
          <w:b/>
          <w:bCs/>
          <w:color w:val="000000"/>
          <w:kern w:val="0"/>
          <w:sz w:val="31"/>
          <w:szCs w:val="31"/>
          <w:lang w:val="en-US" w:eastAsia="zh-CN" w:bidi="ar"/>
        </w:rPr>
      </w:pPr>
      <w:bookmarkStart w:id="0" w:name="_GoBack"/>
      <w:bookmarkEnd w:id="0"/>
      <w:r>
        <w:rPr>
          <w:rFonts w:hint="eastAsia" w:asciiTheme="majorEastAsia" w:hAnsiTheme="majorEastAsia" w:eastAsiaTheme="majorEastAsia"/>
          <w:b/>
          <w:bCs/>
          <w:sz w:val="44"/>
          <w:szCs w:val="44"/>
          <w:lang w:val="en-US" w:eastAsia="zh-CN"/>
        </w:rPr>
        <w:t>部分不合格项目解读</w:t>
      </w:r>
    </w:p>
    <w:p w14:paraId="3CAECCBB">
      <w:pPr>
        <w:pStyle w:val="2"/>
        <w:bidi w:val="0"/>
      </w:pPr>
      <w:r>
        <w:t>镉(以Cd计)</w:t>
      </w:r>
    </w:p>
    <w:p w14:paraId="4CF78490">
      <w:pPr>
        <w:bidi w:val="0"/>
        <w:rPr>
          <w:rFonts w:hint="default"/>
          <w:b w:val="0"/>
          <w:bCs w:val="0"/>
          <w:lang w:val="en-US" w:eastAsia="zh-CN"/>
        </w:rPr>
      </w:pPr>
      <w:r>
        <w:rPr>
          <w:b w:val="0"/>
          <w:bCs w:val="0"/>
          <w:lang w:val="en-US" w:eastAsia="zh-CN"/>
        </w:rPr>
        <w:t>镉是一种蓄积性的重金属元素，可通过食物链进入人体。</w:t>
      </w:r>
      <w:r>
        <w:rPr>
          <w:rFonts w:hint="default"/>
          <w:b w:val="0"/>
          <w:bCs w:val="0"/>
          <w:lang w:val="en-US" w:eastAsia="zh-CN"/>
        </w:rPr>
        <w:t>长期食用镉超标的食品，可能会对人体肾脏和肝脏造成损害，还会影响免疫系统，甚至可能对儿童高级神经活动有损害。《食品安全国家标准 食品中污染物限量》（GB 2762-20</w:t>
      </w:r>
      <w:r>
        <w:rPr>
          <w:rFonts w:hint="eastAsia"/>
          <w:b w:val="0"/>
          <w:bCs w:val="0"/>
          <w:lang w:val="en-US" w:eastAsia="zh-CN"/>
        </w:rPr>
        <w:t>22</w:t>
      </w:r>
      <w:r>
        <w:rPr>
          <w:rFonts w:hint="default"/>
          <w:b w:val="0"/>
          <w:bCs w:val="0"/>
          <w:lang w:val="en-US" w:eastAsia="zh-CN"/>
        </w:rPr>
        <w:t>）中规定，</w:t>
      </w:r>
      <w:r>
        <w:rPr>
          <w:rFonts w:hint="eastAsia"/>
          <w:b w:val="0"/>
          <w:bCs w:val="0"/>
          <w:lang w:val="en-US" w:eastAsia="zh-CN"/>
        </w:rPr>
        <w:t>大葱</w:t>
      </w:r>
      <w:r>
        <w:rPr>
          <w:rFonts w:hint="default"/>
          <w:b w:val="0"/>
          <w:bCs w:val="0"/>
          <w:lang w:val="en-US" w:eastAsia="zh-CN"/>
        </w:rPr>
        <w:t>中镉（以 Cd 计）的最大残留限量值</w:t>
      </w:r>
      <w:r>
        <w:rPr>
          <w:rFonts w:hint="eastAsia"/>
          <w:b w:val="0"/>
          <w:bCs w:val="0"/>
          <w:lang w:val="en-US" w:eastAsia="zh-CN"/>
        </w:rPr>
        <w:t>均</w:t>
      </w:r>
      <w:r>
        <w:rPr>
          <w:rFonts w:hint="default"/>
          <w:b w:val="0"/>
          <w:bCs w:val="0"/>
          <w:lang w:val="en-US" w:eastAsia="zh-CN"/>
        </w:rPr>
        <w:t>为0.05mg/kg</w:t>
      </w:r>
      <w:r>
        <w:rPr>
          <w:rFonts w:hint="eastAsia"/>
          <w:b w:val="0"/>
          <w:bCs w:val="0"/>
          <w:lang w:val="en-US" w:eastAsia="zh-CN"/>
        </w:rPr>
        <w:t>，姜</w:t>
      </w:r>
      <w:r>
        <w:rPr>
          <w:rFonts w:hint="default"/>
          <w:b w:val="0"/>
          <w:bCs w:val="0"/>
          <w:lang w:val="en-US" w:eastAsia="zh-CN"/>
        </w:rPr>
        <w:t>中镉（以 Cd 计）的最大残留限量值</w:t>
      </w:r>
      <w:r>
        <w:rPr>
          <w:rFonts w:hint="eastAsia"/>
          <w:b w:val="0"/>
          <w:bCs w:val="0"/>
          <w:lang w:val="en-US" w:eastAsia="zh-CN"/>
        </w:rPr>
        <w:t>均</w:t>
      </w:r>
      <w:r>
        <w:rPr>
          <w:rFonts w:hint="default"/>
          <w:b w:val="0"/>
          <w:bCs w:val="0"/>
          <w:lang w:val="en-US" w:eastAsia="zh-CN"/>
        </w:rPr>
        <w:t>为0.</w:t>
      </w:r>
      <w:r>
        <w:rPr>
          <w:rFonts w:hint="eastAsia"/>
          <w:b w:val="0"/>
          <w:bCs w:val="0"/>
          <w:lang w:val="en-US" w:eastAsia="zh-CN"/>
        </w:rPr>
        <w:t>1</w:t>
      </w:r>
      <w:r>
        <w:rPr>
          <w:rFonts w:hint="default"/>
          <w:b w:val="0"/>
          <w:bCs w:val="0"/>
          <w:lang w:val="en-US" w:eastAsia="zh-CN"/>
        </w:rPr>
        <w:t>mg/kg。食用农产品中镉（以 Cd 计）检测值超标的原因，可能是由于其生长过程中富集环境的镉元素。</w:t>
      </w:r>
    </w:p>
    <w:p w14:paraId="4560296D">
      <w:pPr>
        <w:pStyle w:val="2"/>
        <w:bidi w:val="0"/>
        <w:rPr>
          <w:rFonts w:ascii="仿宋_GB2312" w:hAnsi="仿宋_GB2312" w:eastAsia="仿宋_GB2312" w:cs="仿宋_GB2312"/>
          <w:color w:val="000000"/>
          <w:kern w:val="0"/>
          <w:sz w:val="31"/>
          <w:szCs w:val="31"/>
          <w:lang w:val="en-US" w:eastAsia="zh-CN" w:bidi="ar"/>
        </w:rPr>
      </w:pPr>
      <w:r>
        <w:rPr>
          <w:rFonts w:hint="eastAsia"/>
          <w:lang w:val="en-US" w:eastAsia="zh-CN"/>
        </w:rPr>
        <w:t>铅（以 Pb 计）</w:t>
      </w:r>
    </w:p>
    <w:p w14:paraId="7BCA9056">
      <w:r>
        <w:rPr>
          <w:rFonts w:ascii="仿宋_GB2312" w:hAnsi="仿宋_GB2312" w:eastAsia="仿宋_GB2312" w:cs="仿宋_GB2312"/>
          <w:color w:val="000000"/>
          <w:kern w:val="0"/>
          <w:sz w:val="31"/>
          <w:szCs w:val="31"/>
          <w:lang w:val="en-US" w:eastAsia="zh-CN" w:bidi="ar"/>
        </w:rPr>
        <w:t>铅是最常见的重金属元素污染物之一，可通过食物链进</w:t>
      </w:r>
      <w:r>
        <w:rPr>
          <w:rFonts w:hint="default" w:ascii="仿宋_GB2312" w:hAnsi="仿宋_GB2312" w:eastAsia="仿宋_GB2312" w:cs="仿宋_GB2312"/>
          <w:color w:val="000000"/>
          <w:kern w:val="0"/>
          <w:sz w:val="31"/>
          <w:szCs w:val="31"/>
          <w:lang w:val="en-US" w:eastAsia="zh-CN" w:bidi="ar"/>
        </w:rPr>
        <w:t>入人体蓄积且排除缓慢。长期食用铅超标的食物，可能出现头晕、恶心、呕吐、腹痛、腹泻、心慌等症状，对神经、造血、消化、肾脏、心血管和内分泌等多个系统造成危害。《食品安全国家标准 食品中污染物限量》（</w:t>
      </w:r>
      <w:r>
        <w:rPr>
          <w:rFonts w:hint="default"/>
          <w:b w:val="0"/>
          <w:bCs w:val="0"/>
          <w:lang w:val="en-US" w:eastAsia="zh-CN"/>
        </w:rPr>
        <w:t>GB 2762-2022</w:t>
      </w:r>
      <w:r>
        <w:rPr>
          <w:rFonts w:hint="default" w:ascii="仿宋_GB2312" w:hAnsi="仿宋_GB2312" w:eastAsia="仿宋_GB2312" w:cs="仿宋_GB2312"/>
          <w:color w:val="000000"/>
          <w:kern w:val="0"/>
          <w:sz w:val="31"/>
          <w:szCs w:val="31"/>
          <w:lang w:val="en-US" w:eastAsia="zh-CN" w:bidi="ar"/>
        </w:rPr>
        <w:t>）中规定，</w:t>
      </w:r>
      <w:r>
        <w:rPr>
          <w:rFonts w:hint="eastAsia" w:ascii="仿宋_GB2312" w:hAnsi="仿宋_GB2312" w:eastAsia="仿宋_GB2312" w:cs="仿宋_GB2312"/>
          <w:color w:val="000000"/>
          <w:kern w:val="0"/>
          <w:sz w:val="31"/>
          <w:szCs w:val="31"/>
          <w:lang w:val="en-US" w:eastAsia="zh-CN" w:bidi="ar"/>
        </w:rPr>
        <w:t>姜中</w:t>
      </w:r>
      <w:r>
        <w:rPr>
          <w:rFonts w:ascii="仿宋_GB2312" w:hAnsi="仿宋_GB2312" w:eastAsia="仿宋_GB2312" w:cs="仿宋_GB2312"/>
          <w:color w:val="000000"/>
          <w:kern w:val="0"/>
          <w:sz w:val="31"/>
          <w:szCs w:val="31"/>
          <w:lang w:val="en-US" w:eastAsia="zh-CN" w:bidi="ar"/>
        </w:rPr>
        <w:t>铅</w:t>
      </w:r>
      <w:r>
        <w:rPr>
          <w:rFonts w:hint="default" w:ascii="仿宋_GB2312" w:hAnsi="仿宋_GB2312" w:eastAsia="仿宋_GB2312" w:cs="仿宋_GB2312"/>
          <w:color w:val="000000"/>
          <w:kern w:val="0"/>
          <w:sz w:val="31"/>
          <w:szCs w:val="31"/>
          <w:lang w:val="en-US" w:eastAsia="zh-CN" w:bidi="ar"/>
        </w:rPr>
        <w:t>的最大</w:t>
      </w:r>
      <w:r>
        <w:rPr>
          <w:rFonts w:hint="eastAsia" w:ascii="仿宋_GB2312" w:hAnsi="仿宋_GB2312" w:eastAsia="仿宋_GB2312" w:cs="仿宋_GB2312"/>
          <w:color w:val="000000"/>
          <w:kern w:val="0"/>
          <w:sz w:val="31"/>
          <w:szCs w:val="31"/>
          <w:lang w:val="en-US" w:eastAsia="zh-CN" w:bidi="ar"/>
        </w:rPr>
        <w:t>残留</w:t>
      </w:r>
      <w:r>
        <w:rPr>
          <w:rFonts w:hint="default" w:ascii="仿宋_GB2312" w:hAnsi="仿宋_GB2312" w:eastAsia="仿宋_GB2312" w:cs="仿宋_GB2312"/>
          <w:color w:val="000000"/>
          <w:kern w:val="0"/>
          <w:sz w:val="31"/>
          <w:szCs w:val="31"/>
          <w:lang w:val="en-US" w:eastAsia="zh-CN" w:bidi="ar"/>
        </w:rPr>
        <w:t>限量值为</w:t>
      </w:r>
      <w:r>
        <w:rPr>
          <w:rFonts w:hint="eastAsia"/>
          <w:b w:val="0"/>
          <w:bCs w:val="0"/>
          <w:lang w:val="en-US" w:eastAsia="zh-CN"/>
        </w:rPr>
        <w:t>0.2</w:t>
      </w:r>
      <w:r>
        <w:rPr>
          <w:rFonts w:hint="default"/>
          <w:b w:val="0"/>
          <w:bCs w:val="0"/>
          <w:lang w:val="en-US" w:eastAsia="zh-CN"/>
        </w:rPr>
        <w:t>mg/kg</w:t>
      </w:r>
      <w:r>
        <w:rPr>
          <w:rFonts w:hint="default"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姜</w:t>
      </w:r>
      <w:r>
        <w:rPr>
          <w:rFonts w:hint="default" w:ascii="仿宋_GB2312" w:hAnsi="仿宋_GB2312" w:eastAsia="仿宋_GB2312" w:cs="仿宋_GB2312"/>
          <w:color w:val="000000"/>
          <w:kern w:val="0"/>
          <w:sz w:val="31"/>
          <w:szCs w:val="31"/>
          <w:lang w:val="en-US" w:eastAsia="zh-CN" w:bidi="ar"/>
        </w:rPr>
        <w:t>中铅超标的原因可能是其生长过程中富集环境中的铅元素</w:t>
      </w:r>
      <w:r>
        <w:rPr>
          <w:rFonts w:hint="eastAsia" w:ascii="仿宋_GB2312" w:hAnsi="仿宋_GB2312" w:eastAsia="仿宋_GB2312" w:cs="仿宋_GB2312"/>
          <w:color w:val="000000"/>
          <w:kern w:val="0"/>
          <w:sz w:val="31"/>
          <w:szCs w:val="31"/>
          <w:lang w:val="en-US" w:eastAsia="zh-CN" w:bidi="ar"/>
        </w:rPr>
        <w:t>，也可能是</w:t>
      </w:r>
      <w:r>
        <w:rPr>
          <w:rFonts w:hint="default" w:ascii="仿宋_GB2312" w:hAnsi="仿宋_GB2312" w:eastAsia="仿宋_GB2312" w:cs="仿宋_GB2312"/>
          <w:color w:val="000000"/>
          <w:kern w:val="0"/>
          <w:sz w:val="31"/>
          <w:szCs w:val="31"/>
          <w:lang w:val="en-US" w:eastAsia="zh-CN" w:bidi="ar"/>
        </w:rPr>
        <w:t>由于生产企业对原料把关不严格，使用了铅含量超标的原料。</w:t>
      </w:r>
    </w:p>
    <w:p w14:paraId="2DE7E387">
      <w:pPr>
        <w:pStyle w:val="2"/>
        <w:bidi w:val="0"/>
        <w:rPr>
          <w:rFonts w:hint="default"/>
          <w:lang w:val="en-US" w:eastAsia="zh-CN"/>
        </w:rPr>
      </w:pPr>
      <w:r>
        <w:t>噻虫胺</w:t>
      </w:r>
    </w:p>
    <w:p w14:paraId="4CFACD93">
      <w:pPr>
        <w:bidi w:val="0"/>
      </w:pPr>
      <w:r>
        <w:rPr>
          <w:lang w:val="en-US" w:eastAsia="zh-CN"/>
        </w:rPr>
        <w:t>噻虫胺属新烟碱类杀虫剂，具有内吸性、触杀和胃毒作</w:t>
      </w:r>
      <w:r>
        <w:rPr>
          <w:rFonts w:hint="default"/>
          <w:lang w:val="en-US" w:eastAsia="zh-CN"/>
        </w:rPr>
        <w:t>用，对蚜虫、斑潜蝇等有较好防效。少量的残留不会引起人体急性中毒，但长期食用噻虫胺超标的食品，对人体健康可能有一定影响。《食品安全国家标准 食品中农药最大残留限量》（GB 2763-2021）中规定，噻虫胺</w:t>
      </w:r>
      <w:r>
        <w:rPr>
          <w:rFonts w:hint="eastAsia"/>
          <w:lang w:val="en-US" w:eastAsia="zh-CN"/>
        </w:rPr>
        <w:t>在辣椒</w:t>
      </w:r>
      <w:r>
        <w:rPr>
          <w:rFonts w:hint="default"/>
          <w:lang w:val="en-US" w:eastAsia="zh-CN"/>
        </w:rPr>
        <w:t>中的最大残留限量值为0.0</w:t>
      </w:r>
      <w:r>
        <w:rPr>
          <w:rFonts w:hint="eastAsia"/>
          <w:lang w:val="en-US" w:eastAsia="zh-CN"/>
        </w:rPr>
        <w:t>5</w:t>
      </w:r>
      <w:r>
        <w:rPr>
          <w:rFonts w:hint="default"/>
          <w:lang w:val="en-US" w:eastAsia="zh-CN"/>
        </w:rPr>
        <w:t>mg/kg。</w:t>
      </w:r>
      <w:r>
        <w:rPr>
          <w:rFonts w:hint="eastAsia"/>
          <w:lang w:val="en-US" w:eastAsia="zh-CN"/>
        </w:rPr>
        <w:t>辣椒</w:t>
      </w:r>
      <w:r>
        <w:rPr>
          <w:rFonts w:hint="default"/>
          <w:lang w:val="en-US" w:eastAsia="zh-CN"/>
        </w:rPr>
        <w:t>中噻虫胺残留量超标的原因，可能是为快速控制虫害，加大用药量或未遵守采摘间隔期规定，致使上市销售的产品中残留量超标。</w:t>
      </w:r>
    </w:p>
    <w:p w14:paraId="233CF9E4">
      <w:pPr>
        <w:pStyle w:val="2"/>
        <w:bidi w:val="0"/>
        <w:rPr>
          <w:rFonts w:hint="default"/>
          <w:lang w:val="en-US" w:eastAsia="zh-CN"/>
        </w:rPr>
      </w:pPr>
      <w:r>
        <w:t>氯氟氰菊酯和高效氯氟氰菊酯</w:t>
      </w:r>
    </w:p>
    <w:p w14:paraId="127D947D">
      <w:pPr>
        <w:bidi w:val="0"/>
        <w:rPr>
          <w:rFonts w:hint="default"/>
          <w:lang w:val="en-US" w:eastAsia="zh-CN"/>
        </w:rPr>
      </w:pPr>
      <w:r>
        <w:rPr>
          <w:lang w:val="en-US" w:eastAsia="zh-CN"/>
        </w:rPr>
        <w:t>氯氟氰菊酯和高效氯氟氰菊酯，是一种拟除虫菊酯类农</w:t>
      </w:r>
      <w:r>
        <w:rPr>
          <w:rFonts w:hint="default"/>
          <w:lang w:val="en-US" w:eastAsia="zh-CN"/>
        </w:rPr>
        <w:t>药，适用防治棉花、花生、大豆、果树、蔬菜、烟草上多种害虫、害螨，也可用于防治多种地表和公共卫生害虫。少量的农药残留不会引起人体急性中毒，但长期食用氯氟氰菊酯超标的食品，对人体健康有一定影响。《食品安全国家标准食品中农药最大残留限量》（GB 2763-2021）中规定，</w:t>
      </w:r>
      <w:r>
        <w:rPr>
          <w:rFonts w:hint="eastAsia"/>
          <w:lang w:val="en-US" w:eastAsia="zh-CN"/>
        </w:rPr>
        <w:t>红薯中</w:t>
      </w:r>
      <w:r>
        <w:rPr>
          <w:rFonts w:hint="default"/>
          <w:lang w:val="en-US" w:eastAsia="zh-CN"/>
        </w:rPr>
        <w:t>中氯氟氰菊酯和高效氯氟氰菊酯残留量不得超过0.</w:t>
      </w:r>
      <w:r>
        <w:rPr>
          <w:rFonts w:hint="eastAsia"/>
          <w:lang w:val="en-US" w:eastAsia="zh-CN"/>
        </w:rPr>
        <w:t>01</w:t>
      </w:r>
      <w:r>
        <w:rPr>
          <w:rFonts w:hint="default"/>
          <w:lang w:val="en-US" w:eastAsia="zh-CN"/>
        </w:rPr>
        <w:t>mg/kg。</w:t>
      </w:r>
      <w:r>
        <w:rPr>
          <w:rFonts w:hint="eastAsia"/>
          <w:lang w:val="en-US" w:eastAsia="zh-CN"/>
        </w:rPr>
        <w:t>红薯</w:t>
      </w:r>
      <w:r>
        <w:rPr>
          <w:rFonts w:hint="default"/>
          <w:lang w:val="en-US" w:eastAsia="zh-CN"/>
        </w:rPr>
        <w:t>中氯氟氰菊酯和高效氯氟氰菊酯超标可能是农户为控制虫害，加大了用药量或未遵守采摘间隔期规定，致使上市销售的产品中残留量超标。</w:t>
      </w:r>
    </w:p>
    <w:p w14:paraId="40E8FA4F">
      <w:pPr>
        <w:pStyle w:val="2"/>
        <w:bidi w:val="0"/>
      </w:pPr>
      <w:r>
        <w:t>二氧化硫残留量</w:t>
      </w:r>
    </w:p>
    <w:p w14:paraId="2C8B26DB">
      <w:pPr>
        <w:bidi w:val="0"/>
        <w:rPr>
          <w:rFonts w:hint="default"/>
          <w:lang w:val="en-US" w:eastAsia="zh-CN"/>
        </w:rPr>
      </w:pPr>
      <w:r>
        <w:rPr>
          <w:lang w:val="en-US" w:eastAsia="zh-CN"/>
        </w:rPr>
        <w:t xml:space="preserve">二氧化硫是食品加工中常用的漂白剂和防腐剂，具有漂 </w:t>
      </w:r>
      <w:r>
        <w:rPr>
          <w:rFonts w:hint="default"/>
          <w:lang w:val="en-US" w:eastAsia="zh-CN"/>
        </w:rPr>
        <w:t>白、防腐和抗氧化作用。少量二氧化硫进入人体不会对身体造成健康危害，但</w:t>
      </w:r>
      <w:r>
        <w:rPr>
          <w:lang w:val="en-US" w:eastAsia="zh-CN"/>
        </w:rPr>
        <w:t>过量摄入会导致恶心、咽喉不适，长期接触可能引发钙流失及维生素B破坏‌‌</w:t>
      </w:r>
      <w:r>
        <w:rPr>
          <w:rFonts w:hint="default"/>
          <w:lang w:val="en-US" w:eastAsia="zh-CN"/>
        </w:rPr>
        <w:t>。《食品安全国家标准 食品添加剂使用标准》（GB 2760-20</w:t>
      </w:r>
      <w:r>
        <w:rPr>
          <w:rFonts w:hint="eastAsia"/>
          <w:lang w:val="en-US" w:eastAsia="zh-CN"/>
        </w:rPr>
        <w:t>2</w:t>
      </w:r>
      <w:r>
        <w:rPr>
          <w:rFonts w:hint="default"/>
          <w:lang w:val="en-US" w:eastAsia="zh-CN"/>
        </w:rPr>
        <w:t>4）中规定，</w:t>
      </w:r>
      <w:r>
        <w:rPr>
          <w:rFonts w:hint="eastAsia"/>
          <w:lang w:val="en-US" w:eastAsia="zh-CN"/>
        </w:rPr>
        <w:t>生姜中不得使用</w:t>
      </w:r>
      <w:r>
        <w:rPr>
          <w:rFonts w:hint="default"/>
          <w:lang w:val="en-US" w:eastAsia="zh-CN"/>
        </w:rPr>
        <w:t>二氧化硫。</w:t>
      </w:r>
      <w:r>
        <w:rPr>
          <w:rFonts w:hint="eastAsia"/>
          <w:lang w:val="en-US" w:eastAsia="zh-CN"/>
        </w:rPr>
        <w:t>生姜中检出</w:t>
      </w:r>
      <w:r>
        <w:rPr>
          <w:rFonts w:hint="default"/>
          <w:lang w:val="en-US" w:eastAsia="zh-CN"/>
        </w:rPr>
        <w:t>二氧化硫残留</w:t>
      </w:r>
      <w:r>
        <w:rPr>
          <w:rFonts w:hint="eastAsia"/>
          <w:lang w:val="en-US" w:eastAsia="zh-CN"/>
        </w:rPr>
        <w:t>量</w:t>
      </w:r>
      <w:r>
        <w:rPr>
          <w:rFonts w:hint="default"/>
          <w:lang w:val="en-US" w:eastAsia="zh-CN"/>
        </w:rPr>
        <w:t>的原因可能是生产企业为掩盖劣质原料变质痕迹或降低果蔬褐变反应，超限量使用焦亚硫酸钾等含硫添加剂。</w:t>
      </w:r>
    </w:p>
    <w:p w14:paraId="1EDDE67B">
      <w:pPr>
        <w:pStyle w:val="2"/>
        <w:bidi w:val="0"/>
        <w:rPr>
          <w:lang w:val="en-US" w:eastAsia="zh-CN"/>
        </w:rPr>
      </w:pPr>
      <w:r>
        <w:rPr>
          <w:lang w:val="en-US" w:eastAsia="zh-CN"/>
        </w:rPr>
        <w:t>噻虫嗪</w:t>
      </w:r>
    </w:p>
    <w:p w14:paraId="2EA9FDB0">
      <w:pPr>
        <w:bidi w:val="0"/>
        <w:rPr>
          <w:rFonts w:hint="default"/>
          <w:lang w:val="en-US" w:eastAsia="zh-CN"/>
        </w:rPr>
      </w:pPr>
      <w:r>
        <w:rPr>
          <w:lang w:val="en-US" w:eastAsia="zh-CN"/>
        </w:rPr>
        <w:t>噻虫嗪是烟碱类杀虫剂，具有胃毒、触杀和内吸作用，</w:t>
      </w:r>
      <w:r>
        <w:rPr>
          <w:rFonts w:hint="default"/>
          <w:lang w:val="en-US" w:eastAsia="zh-CN"/>
        </w:rPr>
        <w:t>对蚜虫等有较好防效。少量的残留不会引起人体急性中毒，但长期食用噻虫嗪超标的食品，对人体健康可能有一定影响。《食品安全国家标准 食品中农药最大残留限量》（GB 2763-2021）中规定，噻虫嗪在</w:t>
      </w:r>
      <w:r>
        <w:rPr>
          <w:rFonts w:hint="eastAsia"/>
          <w:lang w:val="en-US" w:eastAsia="zh-CN"/>
        </w:rPr>
        <w:t>大葱</w:t>
      </w:r>
      <w:r>
        <w:rPr>
          <w:rFonts w:hint="default"/>
          <w:lang w:val="en-US" w:eastAsia="zh-CN"/>
        </w:rPr>
        <w:t>中的最大残留限量值为0.3mg/kg，</w:t>
      </w:r>
      <w:r>
        <w:rPr>
          <w:rFonts w:hint="eastAsia"/>
          <w:lang w:val="en-US" w:eastAsia="zh-CN"/>
        </w:rPr>
        <w:t>大葱</w:t>
      </w:r>
      <w:r>
        <w:rPr>
          <w:rFonts w:hint="default"/>
          <w:lang w:val="en-US" w:eastAsia="zh-CN"/>
        </w:rPr>
        <w:t>中噻虫嗪残留量超标的原因，可能是为快速控制虫害，加大用药量或未遵守采摘间隔期规定，致使上市销售的产品中残留量超标。</w:t>
      </w:r>
    </w:p>
    <w:p w14:paraId="05D95BB3">
      <w:pPr>
        <w:pStyle w:val="2"/>
        <w:bidi w:val="0"/>
      </w:pPr>
      <w:r>
        <w:rPr>
          <w:lang w:val="en-US" w:eastAsia="zh-CN"/>
        </w:rPr>
        <w:t>联苯菊酯</w:t>
      </w:r>
    </w:p>
    <w:p w14:paraId="6A83FE1C">
      <w:pPr>
        <w:bidi w:val="0"/>
        <w:rPr>
          <w:rFonts w:hint="default"/>
          <w:lang w:val="en-US" w:eastAsia="zh-CN"/>
        </w:rPr>
      </w:pPr>
      <w:r>
        <w:rPr>
          <w:lang w:val="en-US" w:eastAsia="zh-CN"/>
        </w:rPr>
        <w:t>联苯菊酯属于拟除虫菊酯类农药，常用于谷物、果树、蔬菜等作物杀虫、杀螨。长期食用联苯菊酯超标的食品，对人体健康有一定影响。《食品安全国家标准 食品中农药最大残留限量》（</w:t>
      </w:r>
      <w:r>
        <w:rPr>
          <w:rFonts w:hint="default"/>
          <w:lang w:val="en-US" w:eastAsia="zh-CN"/>
        </w:rPr>
        <w:t>GB 2763-2021</w:t>
      </w:r>
      <w:r>
        <w:rPr>
          <w:lang w:val="en-US" w:eastAsia="zh-CN"/>
        </w:rPr>
        <w:t>）中规定，柑、橘中联苯菊酯残留限量为不得超过</w:t>
      </w:r>
      <w:r>
        <w:rPr>
          <w:rFonts w:hint="default"/>
          <w:lang w:val="en-US" w:eastAsia="zh-CN"/>
        </w:rPr>
        <w:t>0.05mg/kg</w:t>
      </w:r>
      <w:r>
        <w:rPr>
          <w:lang w:val="en-US" w:eastAsia="zh-CN"/>
        </w:rPr>
        <w:t>。柑、橘中联苯菊酯残留量超标的原因，可能是为快速控制虫害，加大用药量或未遵守采摘间隔期规定，致使上市销售的产品中残留量超标。</w:t>
      </w:r>
    </w:p>
    <w:p w14:paraId="052A805E">
      <w:pPr>
        <w:pStyle w:val="2"/>
        <w:bidi w:val="0"/>
        <w:rPr>
          <w:rFonts w:hint="default"/>
          <w:lang w:val="en-US" w:eastAsia="zh-CN"/>
        </w:rPr>
      </w:pPr>
      <w:r>
        <w:rPr>
          <w:rFonts w:hint="default"/>
          <w:lang w:val="en-US" w:eastAsia="zh-CN"/>
        </w:rPr>
        <w:t>黄曲霉毒素B₁</w:t>
      </w:r>
    </w:p>
    <w:p w14:paraId="6B0A6B4F">
      <w:pPr>
        <w:bidi w:val="0"/>
        <w:rPr>
          <w:rFonts w:hint="eastAsia"/>
          <w:lang w:val="en-US" w:eastAsia="zh-CN"/>
        </w:rPr>
      </w:pPr>
      <w:r>
        <w:rPr>
          <w:rFonts w:hint="eastAsia"/>
          <w:lang w:val="en-US" w:eastAsia="zh-CN"/>
        </w:rPr>
        <w:t>黄曲霉毒素B</w:t>
      </w:r>
      <w:r>
        <w:rPr>
          <w:rFonts w:hint="eastAsia"/>
          <w:vertAlign w:val="subscript"/>
          <w:lang w:val="en-US" w:eastAsia="zh-CN"/>
        </w:rPr>
        <w:t>1</w:t>
      </w:r>
      <w:r>
        <w:rPr>
          <w:rFonts w:hint="eastAsia"/>
          <w:lang w:val="en-US" w:eastAsia="zh-CN"/>
        </w:rPr>
        <w:t>是污染农产品与食品最常见的真菌毒素之一，</w:t>
      </w:r>
      <w:r>
        <w:rPr>
          <w:lang w:val="en-US" w:eastAsia="zh-CN"/>
        </w:rPr>
        <w:t>多见于发霉的粮食及其制品中，菌落呈黄绿色，所以叫黄曲霉。黄曲霉毒素是黄曲霉、寄生曲霉等产生的代谢产物。</w:t>
      </w:r>
      <w:r>
        <w:rPr>
          <w:rFonts w:hint="eastAsia"/>
          <w:lang w:val="en-US" w:eastAsia="zh-CN"/>
        </w:rPr>
        <w:t>黄曲霉毒素B</w:t>
      </w:r>
      <w:r>
        <w:rPr>
          <w:rFonts w:hint="eastAsia"/>
          <w:vertAlign w:val="subscript"/>
          <w:lang w:val="en-US" w:eastAsia="zh-CN"/>
        </w:rPr>
        <w:t>1</w:t>
      </w:r>
      <w:r>
        <w:rPr>
          <w:rFonts w:hint="eastAsia"/>
          <w:lang w:val="en-US" w:eastAsia="zh-CN"/>
        </w:rPr>
        <w:t>是坚果炒货、粮食加工品的高风险项目。根据《食品安全国家标准 食品真菌毒素》（GB 2761-2017）的要求，花生限量为20.0µg/kg，不合格的原因可能是原辅料质量不好，在种植、采收、运输过程受污染，含有黄曲霉毒素B</w:t>
      </w:r>
      <w:r>
        <w:rPr>
          <w:rFonts w:hint="eastAsia"/>
          <w:vertAlign w:val="subscript"/>
          <w:lang w:val="en-US" w:eastAsia="zh-CN"/>
        </w:rPr>
        <w:t>1</w:t>
      </w:r>
      <w:r>
        <w:rPr>
          <w:rFonts w:hint="eastAsia"/>
          <w:lang w:val="en-US" w:eastAsia="zh-CN"/>
        </w:rPr>
        <w:t>，加工后导致食品黄曲霉毒素B</w:t>
      </w:r>
      <w:r>
        <w:rPr>
          <w:rFonts w:hint="eastAsia"/>
          <w:vertAlign w:val="subscript"/>
          <w:lang w:val="en-US" w:eastAsia="zh-CN"/>
        </w:rPr>
        <w:t>1</w:t>
      </w:r>
      <w:r>
        <w:rPr>
          <w:rFonts w:hint="eastAsia"/>
          <w:lang w:val="en-US" w:eastAsia="zh-CN"/>
        </w:rPr>
        <w:t>超标，</w:t>
      </w:r>
      <w:r>
        <w:rPr>
          <w:rFonts w:hint="eastAsia" w:ascii="Arial" w:hAnsi="Arial" w:eastAsia="宋体" w:cs="Arial"/>
          <w:i w:val="0"/>
          <w:iCs w:val="0"/>
          <w:caps w:val="0"/>
          <w:color w:val="333333"/>
          <w:spacing w:val="0"/>
          <w:sz w:val="21"/>
          <w:szCs w:val="21"/>
          <w:shd w:val="clear" w:fill="FFFFFF"/>
          <w:lang w:val="en-US" w:eastAsia="zh-CN"/>
        </w:rPr>
        <w:t>也可能是</w:t>
      </w:r>
      <w:r>
        <w:rPr>
          <w:rFonts w:hint="eastAsia"/>
          <w:lang w:val="en-US" w:eastAsia="zh-CN"/>
        </w:rPr>
        <w:t>包装材料密封性不好，会导致空气中的水分和微生物进入，产生黄曲霉，导致食品发霉变质，进一步污染食品。</w:t>
      </w:r>
    </w:p>
    <w:sectPr>
      <w:footerReference r:id="rId5" w:type="default"/>
      <w:footerReference r:id="rId6" w:type="even"/>
      <w:pgSz w:w="11906" w:h="16838"/>
      <w:pgMar w:top="1247" w:right="1797" w:bottom="1247" w:left="179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A4E5">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14:paraId="49060C7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C88">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C382DA6">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6493B4C"/>
    <w:rsid w:val="17916918"/>
    <w:rsid w:val="183D6089"/>
    <w:rsid w:val="18BB6DEF"/>
    <w:rsid w:val="190D6CD1"/>
    <w:rsid w:val="1BFC1542"/>
    <w:rsid w:val="1C25186E"/>
    <w:rsid w:val="1E252CB4"/>
    <w:rsid w:val="1F754098"/>
    <w:rsid w:val="2B921448"/>
    <w:rsid w:val="2DAE1D69"/>
    <w:rsid w:val="31AA57D8"/>
    <w:rsid w:val="32203B36"/>
    <w:rsid w:val="380A073B"/>
    <w:rsid w:val="38A60179"/>
    <w:rsid w:val="395976F9"/>
    <w:rsid w:val="3D2A4005"/>
    <w:rsid w:val="413526FC"/>
    <w:rsid w:val="4CD0259D"/>
    <w:rsid w:val="4FC14E92"/>
    <w:rsid w:val="51CA7999"/>
    <w:rsid w:val="54634F1C"/>
    <w:rsid w:val="561847B0"/>
    <w:rsid w:val="562C4D84"/>
    <w:rsid w:val="568C0DA2"/>
    <w:rsid w:val="56F30534"/>
    <w:rsid w:val="60FB320B"/>
    <w:rsid w:val="647C26AD"/>
    <w:rsid w:val="65C452BF"/>
    <w:rsid w:val="663C005E"/>
    <w:rsid w:val="694F7894"/>
    <w:rsid w:val="6A5570D7"/>
    <w:rsid w:val="6B001F61"/>
    <w:rsid w:val="6DF374C3"/>
    <w:rsid w:val="6FB80C80"/>
    <w:rsid w:val="6FBA6BC5"/>
    <w:rsid w:val="721C7DF8"/>
    <w:rsid w:val="73264794"/>
    <w:rsid w:val="74656E59"/>
    <w:rsid w:val="74A928B0"/>
    <w:rsid w:val="78EC211E"/>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16"/>
    <w:qFormat/>
    <w:uiPriority w:val="9"/>
    <w:pPr>
      <w:widowControl/>
      <w:spacing w:beforeAutospacing="1" w:afterAutospacing="1"/>
      <w:ind w:firstLine="0" w:firstLineChars="0"/>
      <w:jc w:val="left"/>
      <w:outlineLvl w:val="0"/>
    </w:pPr>
    <w:rPr>
      <w:rFonts w:ascii="宋体" w:hAnsi="宋体" w:cs="宋体"/>
      <w:b/>
      <w:bCs/>
      <w:kern w:val="36"/>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仿宋" w:cs="宋体"/>
      <w:b/>
      <w:bCs/>
      <w:kern w:val="36"/>
      <w:sz w:val="32"/>
      <w:szCs w:val="48"/>
    </w:rPr>
  </w:style>
  <w:style w:type="character" w:customStyle="1" w:styleId="17">
    <w:name w:val="页脚 Char"/>
    <w:basedOn w:val="11"/>
    <w:link w:val="7"/>
    <w:qFormat/>
    <w:uiPriority w:val="0"/>
    <w:rPr>
      <w:rFonts w:ascii="Times New Roman" w:hAnsi="Times New Roman" w:eastAsia="宋体" w:cs="Times New Roman"/>
      <w:sz w:val="18"/>
      <w:szCs w:val="18"/>
    </w:rPr>
  </w:style>
  <w:style w:type="character" w:customStyle="1" w:styleId="18">
    <w:name w:val="页眉 Char"/>
    <w:basedOn w:val="11"/>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4</Pages>
  <Words>1655</Words>
  <Characters>1798</Characters>
  <Lines>31</Lines>
  <Paragraphs>8</Paragraphs>
  <TotalTime>18</TotalTime>
  <ScaleCrop>false</ScaleCrop>
  <LinksUpToDate>false</LinksUpToDate>
  <CharactersWithSpaces>1822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pawn</cp:lastModifiedBy>
  <cp:lastPrinted>2020-12-22T09:14:00Z</cp:lastPrinted>
  <dcterms:modified xsi:type="dcterms:W3CDTF">2025-09-16T03:44:18Z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2E02EE12C46443E9A222C65E0BAB2506_13</vt:lpwstr>
  </property>
  <property fmtid="{D5CDD505-2E9C-101B-9397-08002B2CF9AE}" pid="4" name="KSOTemplateDocerSaveRecord">
    <vt:lpwstr>eyJoZGlkIjoiMzdkZGM3YzZjOWY0ZmM1M2Q0YWUxNTZkZmQwODkxMWQiLCJ1c2VySWQiOiI0NDcwODA2MjIifQ==</vt:lpwstr>
  </property>
</Properties>
</file>