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9128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附件2</w:t>
      </w:r>
    </w:p>
    <w:p w14:paraId="061A5B7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color w:val="auto"/>
          <w:sz w:val="32"/>
          <w:szCs w:val="32"/>
          <w:lang w:val="en-US" w:eastAsia="zh-CN"/>
        </w:rPr>
      </w:pPr>
    </w:p>
    <w:p w14:paraId="56AB69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遂宁市船山区集体土地上房屋征收房票</w:t>
      </w:r>
    </w:p>
    <w:p w14:paraId="17C4FA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安置实施细则</w:t>
      </w:r>
      <w:r>
        <w:rPr>
          <w:rFonts w:hint="eastAsia" w:ascii="Times New Roman" w:hAnsi="Times New Roman" w:eastAsia="方正小标宋简体" w:cs="Times New Roman"/>
          <w:color w:val="auto"/>
          <w:sz w:val="44"/>
          <w:szCs w:val="44"/>
          <w:lang w:eastAsia="zh-CN"/>
        </w:rPr>
        <w:t>（</w:t>
      </w:r>
      <w:r>
        <w:rPr>
          <w:rFonts w:hint="eastAsia" w:ascii="Times New Roman" w:hAnsi="Times New Roman" w:eastAsia="方正小标宋简体" w:cs="Times New Roman"/>
          <w:color w:val="auto"/>
          <w:sz w:val="44"/>
          <w:szCs w:val="44"/>
          <w:lang w:val="en-US" w:eastAsia="zh-CN"/>
        </w:rPr>
        <w:t>试行</w:t>
      </w:r>
      <w:r>
        <w:rPr>
          <w:rFonts w:hint="eastAsia" w:ascii="Times New Roman" w:hAnsi="Times New Roman" w:eastAsia="方正小标宋简体" w:cs="Times New Roman"/>
          <w:color w:val="auto"/>
          <w:sz w:val="44"/>
          <w:szCs w:val="44"/>
          <w:lang w:eastAsia="zh-CN"/>
        </w:rPr>
        <w:t>）</w:t>
      </w:r>
    </w:p>
    <w:p w14:paraId="2ABD90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Arial Unicode MS" w:cs="Times New Roman"/>
          <w:color w:val="auto"/>
          <w:sz w:val="44"/>
          <w:szCs w:val="44"/>
          <w:lang w:eastAsia="zh-CN"/>
        </w:rPr>
      </w:pPr>
      <w:r>
        <w:rPr>
          <w:rFonts w:hint="default" w:ascii="Times New Roman" w:hAnsi="Times New Roman" w:eastAsia="楷体" w:cs="Times New Roman"/>
          <w:color w:val="auto"/>
          <w:sz w:val="44"/>
          <w:szCs w:val="44"/>
          <w:lang w:eastAsia="zh-CN"/>
        </w:rPr>
        <w:t>（</w:t>
      </w:r>
      <w:r>
        <w:rPr>
          <w:rFonts w:hint="eastAsia" w:ascii="Times New Roman" w:hAnsi="Times New Roman" w:eastAsia="楷体" w:cs="Times New Roman"/>
          <w:color w:val="auto"/>
          <w:sz w:val="44"/>
          <w:szCs w:val="44"/>
          <w:lang w:val="en-US" w:eastAsia="zh-CN"/>
        </w:rPr>
        <w:t>征求意见稿</w:t>
      </w:r>
      <w:r>
        <w:rPr>
          <w:rFonts w:hint="default" w:ascii="Times New Roman" w:hAnsi="Times New Roman" w:eastAsia="楷体" w:cs="Times New Roman"/>
          <w:color w:val="auto"/>
          <w:sz w:val="44"/>
          <w:szCs w:val="44"/>
          <w:lang w:eastAsia="zh-CN"/>
        </w:rPr>
        <w:t>）</w:t>
      </w:r>
    </w:p>
    <w:p w14:paraId="0B88B00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14:paraId="15ED35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第一章  总则</w:t>
      </w:r>
    </w:p>
    <w:p w14:paraId="3FE362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第一条【目的依据】</w:t>
      </w:r>
    </w:p>
    <w:p w14:paraId="408E84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规范集体土地上房屋征收补偿安置工作，有效缩短集体土地征收群众过渡周期，满足被征收人多元化安置需求，保障被征收人合法权益，根据《遂宁市人民政府〈关于公布实施全市征地地上附着物和青苗补偿标准〉的通知》（</w:t>
      </w:r>
      <w:r>
        <w:rPr>
          <w:rFonts w:hint="default" w:ascii="Times New Roman" w:hAnsi="Times New Roman" w:eastAsia="仿宋_GB2312" w:cs="Times New Roman"/>
          <w:i w:val="0"/>
          <w:iCs w:val="0"/>
          <w:caps w:val="0"/>
          <w:color w:val="auto"/>
          <w:spacing w:val="0"/>
          <w:sz w:val="31"/>
          <w:szCs w:val="31"/>
          <w:shd w:val="clear" w:fill="FFFFFF"/>
        </w:rPr>
        <w:t>遂府函〔2024〕218号</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i w:val="0"/>
          <w:iCs w:val="0"/>
          <w:caps w:val="0"/>
          <w:color w:val="auto"/>
          <w:spacing w:val="0"/>
          <w:sz w:val="31"/>
          <w:szCs w:val="31"/>
          <w:shd w:val="clear" w:fill="FFFFFF"/>
          <w:lang w:eastAsia="zh-CN"/>
        </w:rPr>
        <w:t>、</w:t>
      </w:r>
      <w:r>
        <w:rPr>
          <w:rFonts w:hint="default" w:ascii="Times New Roman" w:hAnsi="Times New Roman" w:eastAsia="仿宋_GB2312" w:cs="Times New Roman"/>
          <w:color w:val="auto"/>
          <w:sz w:val="32"/>
          <w:szCs w:val="32"/>
          <w:lang w:val="en-US" w:eastAsia="zh-CN"/>
        </w:rPr>
        <w:t>《遂宁市主城区房票安置实施办法》（遂建行规〔2025〕1号）等规定，结合船山区实际，制定本细则。</w:t>
      </w:r>
    </w:p>
    <w:p w14:paraId="5ACAFD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第二条【房票定义】</w:t>
      </w:r>
    </w:p>
    <w:p w14:paraId="2119D9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房票是指房屋征收部门将货币补偿金额以记名凭证形式核发给被征收人，用于在政府搭建的房源平台中自主选购商品房的结算凭证。房票安置是货币补偿的一种补充方式，兼具货币补偿的灵活性与产权调换的保障性。</w:t>
      </w:r>
    </w:p>
    <w:p w14:paraId="003B82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房票应载明安置对象户主及家庭成员、身份证号、联系方式、房票面积、房票价值等信息。房票为</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联实物票据，分为消费联、存根联一、存根联二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存根联</w:t>
      </w: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。消费联发放给房票安置对象用于购买商品房使用，存根联一由区</w:t>
      </w:r>
      <w:r>
        <w:rPr>
          <w:rFonts w:hint="eastAsia" w:ascii="Times New Roman" w:hAnsi="Times New Roman" w:eastAsia="仿宋_GB2312" w:cs="Times New Roman"/>
          <w:color w:val="auto"/>
          <w:sz w:val="32"/>
          <w:szCs w:val="32"/>
          <w:lang w:val="en-US" w:eastAsia="zh-CN"/>
        </w:rPr>
        <w:t>财政局留存、存根联二由</w:t>
      </w:r>
      <w:r>
        <w:rPr>
          <w:rFonts w:hint="default" w:ascii="Times New Roman" w:hAnsi="Times New Roman" w:eastAsia="仿宋_GB2312" w:cs="Times New Roman"/>
          <w:color w:val="auto"/>
          <w:sz w:val="32"/>
          <w:szCs w:val="32"/>
          <w:lang w:val="en-US" w:eastAsia="zh-CN"/>
        </w:rPr>
        <w:t>自然资源和规划局留存，存根联</w:t>
      </w: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由房票安置实施单位留存。</w:t>
      </w:r>
    </w:p>
    <w:p w14:paraId="0127CA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第三条【适用范围】</w:t>
      </w:r>
    </w:p>
    <w:p w14:paraId="338733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本办法适用于船山区集体土地征地搬迁、受山洪地质灾害威胁村（居）民避险搬迁等征收搬迁安置补偿工作。分新启动项目和历史遗留项目。</w:t>
      </w:r>
    </w:p>
    <w:p w14:paraId="19784E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1.新启动项目：船山区范围内因公共利益新启动的集体土地上房屋征收项目。</w:t>
      </w:r>
    </w:p>
    <w:p w14:paraId="3C52C7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2.历史遗留项目：在遵守我区现有住房安置政策的情况下，已签订住房安置协议但未全面落实住房安置的对象，或已签订货币补偿协议但未全额领取资金的对象。</w:t>
      </w:r>
    </w:p>
    <w:p w14:paraId="30A157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第四条【基本原则】</w:t>
      </w:r>
    </w:p>
    <w:p w14:paraId="0BEFBF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1.政府主导：区政府统筹房源筹集、房票核发及资金监管，确保政策公平性。</w:t>
      </w:r>
    </w:p>
    <w:p w14:paraId="656489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2.自愿参与：被征收人可自愿选择房票安置，房地产开发企业自愿申请纳入房源平台。</w:t>
      </w:r>
    </w:p>
    <w:p w14:paraId="23F702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3.动态管理：房源信息、价格及房票使用规则全程公开，接受社会监督。</w:t>
      </w:r>
    </w:p>
    <w:p w14:paraId="59E0E3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4.尽快使用：被征收拆迁人申请房票安置，自核发之日起计算，房票使用有效期不超过12个月，房票持有人应在有效期内尽快使用。</w:t>
      </w:r>
    </w:p>
    <w:p w14:paraId="27C3F1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确因各种原因到期未使用的，可向核发单位申请房票退回，核发单位应签订补充协议，按协议约定的其他方式进行安置。</w:t>
      </w:r>
    </w:p>
    <w:p w14:paraId="4C1E46D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第二章  房源管理</w:t>
      </w:r>
    </w:p>
    <w:p w14:paraId="23A529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第五条【房源筹集】</w:t>
      </w:r>
    </w:p>
    <w:p w14:paraId="7B25AD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区住房和城乡建设局在船山区内通过公开征集建立</w:t>
      </w:r>
      <w:r>
        <w:rPr>
          <w:rFonts w:hint="eastAsia" w:ascii="Times New Roman" w:hAnsi="Times New Roman" w:eastAsia="仿宋_GB2312" w:cs="Times New Roman"/>
          <w:color w:val="auto"/>
          <w:sz w:val="32"/>
          <w:szCs w:val="32"/>
          <w:lang w:val="en-US" w:eastAsia="zh-CN"/>
        </w:rPr>
        <w:t>房票房源</w:t>
      </w:r>
      <w:r>
        <w:rPr>
          <w:rFonts w:hint="default" w:ascii="Times New Roman" w:hAnsi="Times New Roman" w:eastAsia="仿宋_GB2312" w:cs="Times New Roman"/>
          <w:color w:val="auto"/>
          <w:sz w:val="32"/>
          <w:szCs w:val="32"/>
          <w:lang w:val="en-US" w:eastAsia="zh-CN"/>
        </w:rPr>
        <w:t>，纳入房源需满足以下条件：</w:t>
      </w:r>
    </w:p>
    <w:p w14:paraId="55807D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1.已取得商品房预售许可证或现房销售的住宅、商业、办公及车位；</w:t>
      </w:r>
    </w:p>
    <w:p w14:paraId="14A9B8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2.房地产开发企业自愿提供的定制房源或存量土地开发项目；</w:t>
      </w:r>
    </w:p>
    <w:p w14:paraId="6BD37F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3.预售房源需主体封顶且一年内可交付，五证齐全，无信访或法律纠纷。</w:t>
      </w:r>
    </w:p>
    <w:p w14:paraId="351DC6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第六条【房源要求】</w:t>
      </w:r>
    </w:p>
    <w:p w14:paraId="36E09E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1.开发企业需承诺房源价格不高于备案价，并公示楼盘位置、户型、交房时间等信息。</w:t>
      </w:r>
    </w:p>
    <w:p w14:paraId="2070CC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2.实行价格备案和动态调整机制，确保房源价格与市场接轨。</w:t>
      </w:r>
    </w:p>
    <w:p w14:paraId="28DE99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3.开发企业需提供优质服务，不得区别对待房票购房者。</w:t>
      </w:r>
    </w:p>
    <w:p w14:paraId="339A20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第七条【退出机制】</w:t>
      </w:r>
    </w:p>
    <w:p w14:paraId="1D6B9F4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开发企业退出</w:t>
      </w:r>
      <w:r>
        <w:rPr>
          <w:rFonts w:hint="eastAsia" w:ascii="Times New Roman" w:hAnsi="Times New Roman" w:eastAsia="仿宋_GB2312" w:cs="Times New Roman"/>
          <w:color w:val="auto"/>
          <w:sz w:val="32"/>
          <w:szCs w:val="32"/>
          <w:lang w:val="en-US" w:eastAsia="zh-CN"/>
        </w:rPr>
        <w:t>房票房源</w:t>
      </w:r>
      <w:r>
        <w:rPr>
          <w:rFonts w:hint="default" w:ascii="Times New Roman" w:hAnsi="Times New Roman" w:eastAsia="仿宋_GB2312" w:cs="Times New Roman"/>
          <w:color w:val="auto"/>
          <w:sz w:val="32"/>
          <w:szCs w:val="32"/>
          <w:lang w:val="en-US" w:eastAsia="zh-CN"/>
        </w:rPr>
        <w:t>需提前3个月申请，且无未解决的预购纠纷。</w:t>
      </w:r>
    </w:p>
    <w:p w14:paraId="69FE21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第三章  房票管理</w:t>
      </w:r>
    </w:p>
    <w:p w14:paraId="7E88BB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第八条【房票金额】</w:t>
      </w:r>
    </w:p>
    <w:p w14:paraId="10CCB9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房票价值为房屋征收搬迁补偿金额加使用房票的政策性奖励之和。</w:t>
      </w:r>
    </w:p>
    <w:p w14:paraId="6EF108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房屋征收搬迁补偿资金：是指</w:t>
      </w:r>
      <w:r>
        <w:rPr>
          <w:rFonts w:hint="default" w:ascii="Times New Roman" w:hAnsi="Times New Roman" w:eastAsia="仿宋_GB2312" w:cs="Times New Roman"/>
          <w:color w:val="auto"/>
          <w:sz w:val="32"/>
          <w:szCs w:val="32"/>
          <w:lang w:val="en-US" w:eastAsia="zh-CN"/>
        </w:rPr>
        <w:t>住房安置协议</w:t>
      </w:r>
      <w:r>
        <w:rPr>
          <w:rFonts w:hint="eastAsia" w:ascii="Times New Roman" w:hAnsi="Times New Roman" w:eastAsia="仿宋_GB2312" w:cs="Times New Roman"/>
          <w:color w:val="auto"/>
          <w:sz w:val="32"/>
          <w:szCs w:val="32"/>
          <w:lang w:val="en-US" w:eastAsia="zh-CN"/>
        </w:rPr>
        <w:t>安置面积×拟安置点评估价+协议明确的各项补偿或政策奖励；或货币安置协议所确定的补偿金额+协议明确的各项补偿或政策奖励。</w:t>
      </w:r>
    </w:p>
    <w:p w14:paraId="57CCB9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使用房票的政策性奖励：是指按照房票交易购房总面积×400元/平方米。逾期未使用的，不再享受政策性奖励。</w:t>
      </w:r>
    </w:p>
    <w:p w14:paraId="168C1B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第九条【房票核发】</w:t>
      </w:r>
    </w:p>
    <w:p w14:paraId="3D13CE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1.被征收人签订补偿协议后，</w:t>
      </w:r>
      <w:r>
        <w:rPr>
          <w:rFonts w:hint="eastAsia" w:ascii="Times New Roman" w:hAnsi="Times New Roman" w:eastAsia="仿宋_GB2312" w:cs="Times New Roman"/>
          <w:color w:val="auto"/>
          <w:sz w:val="32"/>
          <w:szCs w:val="32"/>
          <w:lang w:val="en-US" w:eastAsia="zh-CN"/>
        </w:rPr>
        <w:t>向征收部门提交房票安置申请，</w:t>
      </w:r>
      <w:r>
        <w:rPr>
          <w:rFonts w:hint="default" w:ascii="Times New Roman" w:hAnsi="Times New Roman" w:eastAsia="仿宋_GB2312" w:cs="Times New Roman"/>
          <w:color w:val="auto"/>
          <w:sz w:val="32"/>
          <w:szCs w:val="32"/>
          <w:lang w:val="en-US" w:eastAsia="zh-CN"/>
        </w:rPr>
        <w:t>征收部门核发实名制房票，载明持有人、票面金额、有效期等信息。</w:t>
      </w:r>
      <w:r>
        <w:rPr>
          <w:rFonts w:hint="eastAsia" w:ascii="Times New Roman" w:hAnsi="Times New Roman" w:eastAsia="仿宋_GB2312" w:cs="Times New Roman"/>
          <w:color w:val="auto"/>
          <w:sz w:val="32"/>
          <w:szCs w:val="32"/>
          <w:lang w:val="en-US" w:eastAsia="zh-CN"/>
        </w:rPr>
        <w:t>房票持有人持房票自主选购我区房票房源的商品房，并签订购房合同，购房合同中应明确房票使用面值。单次使用房票面值应不低于房票总面值的90%。</w:t>
      </w:r>
    </w:p>
    <w:p w14:paraId="4131EE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2.房票可分割为多张或合并使用</w:t>
      </w:r>
      <w:r>
        <w:rPr>
          <w:rFonts w:hint="eastAsia" w:ascii="Times New Roman" w:hAnsi="Times New Roman" w:eastAsia="仿宋_GB2312" w:cs="Times New Roman"/>
          <w:color w:val="auto"/>
          <w:sz w:val="32"/>
          <w:szCs w:val="32"/>
          <w:lang w:val="en-US" w:eastAsia="zh-CN"/>
        </w:rPr>
        <w:t>。被征收拆迁人持房票购买多套商品房的，房票分割一次，分割后，其记载的使用期限等事项不变。被征收人持本持有人名下多张房票的可合并使用。</w:t>
      </w:r>
    </w:p>
    <w:p w14:paraId="7A853FF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3.</w:t>
      </w:r>
      <w:r>
        <w:rPr>
          <w:rFonts w:hint="eastAsia" w:ascii="Times New Roman" w:hAnsi="Times New Roman" w:eastAsia="仿宋_GB2312" w:cs="Times New Roman"/>
          <w:color w:val="auto"/>
          <w:sz w:val="32"/>
          <w:szCs w:val="32"/>
          <w:lang w:val="en-US" w:eastAsia="zh-CN"/>
        </w:rPr>
        <w:t>房票发放流程包括房票申请、房票印制、房票使用、购房结算等环节，具体按第四章操作流程执行。</w:t>
      </w:r>
    </w:p>
    <w:p w14:paraId="2D66D6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第十条【房票转让与继承】</w:t>
      </w:r>
    </w:p>
    <w:p w14:paraId="648517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1.房票转让：转让人须在遂宁市行政区域内以户为单位至少拥有一套住房，经户内全员签字同意并办理公证后，可将房票转让一次。房票转让后有效期不变。</w:t>
      </w:r>
    </w:p>
    <w:p w14:paraId="7B1EB0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2.房票继承：持有人死亡的，其合法继承人可凭继承公证书办理更名手续。</w:t>
      </w:r>
    </w:p>
    <w:p w14:paraId="5E2E41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第十一条【房票补发】</w:t>
      </w:r>
    </w:p>
    <w:p w14:paraId="31BBB1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房票遗失的，需在市级报刊登遗失声明，10个工作日后申请补办，原票同时作废。</w:t>
      </w:r>
    </w:p>
    <w:p w14:paraId="518F7C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第四章  操作流程</w:t>
      </w:r>
    </w:p>
    <w:p w14:paraId="371290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第十二条【协议签订】</w:t>
      </w:r>
    </w:p>
    <w:p w14:paraId="1B3923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1.被征收人与征收部门签订《房屋征收补偿协议》，明确选择房票安置方式。</w:t>
      </w:r>
    </w:p>
    <w:p w14:paraId="7C0C1B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2.签订《房票安置补充协议》，约定房票金额、数量、使用规则及奖励条款。</w:t>
      </w:r>
    </w:p>
    <w:p w14:paraId="446073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第十三条【提出申请】</w:t>
      </w:r>
    </w:p>
    <w:p w14:paraId="55437F3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被征收人根据《房票安置补充协议》填报《船山区集体土地房屋房票申请审批表》，明确申请房票总额。</w:t>
      </w:r>
    </w:p>
    <w:p w14:paraId="4EDCEC9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征收部门审核通过后，向区自规局提出房票制作申请。</w:t>
      </w:r>
    </w:p>
    <w:p w14:paraId="60D2C9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第十四条【房票印制】</w:t>
      </w:r>
    </w:p>
    <w:p w14:paraId="7DC2E53A">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1.印制单位。</w:t>
      </w:r>
      <w:r>
        <w:rPr>
          <w:rFonts w:hint="default" w:ascii="Times New Roman" w:hAnsi="Times New Roman" w:eastAsia="仿宋_GB2312" w:cs="Times New Roman"/>
          <w:color w:val="auto"/>
          <w:sz w:val="32"/>
          <w:szCs w:val="32"/>
          <w:lang w:val="en-US" w:eastAsia="zh-CN"/>
        </w:rPr>
        <w:t>房票内容由区住建局统一提供，房票印制由船山区财政局负责。</w:t>
      </w:r>
    </w:p>
    <w:p w14:paraId="1D4E41BB">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 xml:space="preserve">2.房票内容 </w:t>
      </w:r>
    </w:p>
    <w:p w14:paraId="31655062">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（1）主要信息。</w:t>
      </w:r>
      <w:r>
        <w:rPr>
          <w:rFonts w:hint="default" w:ascii="Times New Roman" w:hAnsi="Times New Roman" w:eastAsia="仿宋_GB2312" w:cs="Times New Roman"/>
          <w:color w:val="auto"/>
          <w:sz w:val="32"/>
          <w:szCs w:val="32"/>
          <w:highlight w:val="none"/>
          <w:lang w:val="en-US" w:eastAsia="zh-CN"/>
        </w:rPr>
        <w:t>房票上印制填写以下内容：凭证名称，备案号，项目名称，实施单位，持有人信息〔被征收（拆迁）人姓名及身份证号〕，房票协议编号及协议签订时间，房票金额〔统一印制固定格式空白面值，具体金额由征收（拆迁）实施单位根据《房票安置协议》填写〕，审批信息（实施单位签章、经办人签名、房票发放日期及使用截止时间）。</w:t>
      </w:r>
    </w:p>
    <w:p w14:paraId="188FFCEA">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（2）房票联数。</w:t>
      </w:r>
      <w:r>
        <w:rPr>
          <w:rFonts w:hint="default" w:ascii="Times New Roman" w:hAnsi="Times New Roman" w:eastAsia="仿宋_GB2312" w:cs="Times New Roman"/>
          <w:b w:val="0"/>
          <w:bCs w:val="0"/>
          <w:color w:val="auto"/>
          <w:sz w:val="32"/>
          <w:szCs w:val="32"/>
          <w:highlight w:val="none"/>
          <w:lang w:val="en-US" w:eastAsia="zh-CN"/>
        </w:rPr>
        <w:t>房票一式</w:t>
      </w:r>
      <w:r>
        <w:rPr>
          <w:rFonts w:hint="eastAsia"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lang w:val="en-US" w:eastAsia="zh-CN"/>
        </w:rPr>
        <w:t xml:space="preserve">联，由区财政局、区自规局、实施单位、被征收（拆迁）人各执一联。 </w:t>
      </w:r>
    </w:p>
    <w:p w14:paraId="0B021E3C">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highlight w:val="none"/>
          <w:lang w:val="en-US" w:eastAsia="zh-CN"/>
        </w:rPr>
        <w:t>（3）使用说明。</w:t>
      </w:r>
      <w:r>
        <w:rPr>
          <w:rFonts w:hint="default" w:ascii="Times New Roman" w:hAnsi="Times New Roman" w:eastAsia="仿宋_GB2312" w:cs="Times New Roman"/>
          <w:b w:val="0"/>
          <w:bCs w:val="0"/>
          <w:color w:val="auto"/>
          <w:sz w:val="32"/>
          <w:szCs w:val="32"/>
          <w:highlight w:val="none"/>
          <w:lang w:val="en-US" w:eastAsia="zh-CN"/>
        </w:rPr>
        <w:t>房票仅限被征</w:t>
      </w:r>
      <w:r>
        <w:rPr>
          <w:rFonts w:hint="default" w:ascii="Times New Roman" w:hAnsi="Times New Roman" w:eastAsia="仿宋_GB2312" w:cs="Times New Roman"/>
          <w:color w:val="auto"/>
          <w:sz w:val="32"/>
          <w:szCs w:val="32"/>
          <w:lang w:val="en-US" w:eastAsia="zh-CN"/>
        </w:rPr>
        <w:t>收（拆迁）人及配偶、父母子女等房屋共有人使用购房，可转让、继承，严禁通过房票质押、抵押、非法套现等方式转让给第三方。</w:t>
      </w:r>
    </w:p>
    <w:p w14:paraId="06882E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第十五条【房票使用】</w:t>
      </w:r>
    </w:p>
    <w:p w14:paraId="78C36715">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1.房票使用：被征收人凭房票在</w:t>
      </w:r>
      <w:r>
        <w:rPr>
          <w:rFonts w:hint="eastAsia" w:ascii="Times New Roman" w:hAnsi="Times New Roman" w:eastAsia="仿宋_GB2312" w:cs="Times New Roman"/>
          <w:color w:val="auto"/>
          <w:sz w:val="32"/>
          <w:szCs w:val="32"/>
          <w:lang w:val="en-US" w:eastAsia="zh-CN"/>
        </w:rPr>
        <w:t>房票房源</w:t>
      </w:r>
      <w:r>
        <w:rPr>
          <w:rFonts w:hint="default" w:ascii="Times New Roman" w:hAnsi="Times New Roman" w:eastAsia="仿宋_GB2312" w:cs="Times New Roman"/>
          <w:color w:val="auto"/>
          <w:sz w:val="32"/>
          <w:szCs w:val="32"/>
          <w:lang w:val="en-US" w:eastAsia="zh-CN"/>
        </w:rPr>
        <w:t>中选购住宅、商业、办公及车位等不动产；购买商业、办公、车位的，被征收家庭须至少保留一套住房。</w:t>
      </w:r>
    </w:p>
    <w:p w14:paraId="14BDA11A">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2.使用比例：被征收家庭房票在</w:t>
      </w:r>
      <w:r>
        <w:rPr>
          <w:rFonts w:hint="default" w:ascii="Times New Roman" w:hAnsi="Times New Roman" w:eastAsia="仿宋_GB2312" w:cs="Times New Roman"/>
          <w:b w:val="0"/>
          <w:bCs w:val="0"/>
          <w:color w:val="auto"/>
          <w:kern w:val="2"/>
          <w:sz w:val="32"/>
          <w:szCs w:val="32"/>
          <w:lang w:val="en-US" w:eastAsia="zh-CN" w:bidi="ar-SA"/>
        </w:rPr>
        <w:t>12个月内使用，且</w:t>
      </w:r>
      <w:r>
        <w:rPr>
          <w:rFonts w:hint="default" w:ascii="Times New Roman" w:hAnsi="Times New Roman" w:eastAsia="仿宋_GB2312" w:cs="Times New Roman"/>
          <w:color w:val="auto"/>
          <w:sz w:val="32"/>
          <w:szCs w:val="32"/>
          <w:lang w:val="en-US" w:eastAsia="zh-CN"/>
        </w:rPr>
        <w:t>使用面额达</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0%以上的，剩余部分可提取现金。</w:t>
      </w:r>
    </w:p>
    <w:p w14:paraId="3DD2B3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3.房票可抵扣购房款，不足部分可申请公积金或商业贷款。</w:t>
      </w:r>
    </w:p>
    <w:p w14:paraId="4E791D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第十六条【购房结算】</w:t>
      </w:r>
    </w:p>
    <w:p w14:paraId="7B615F1F">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被征收人选定房屋后，与开发企业签订购房合同并完成网签。</w:t>
      </w:r>
    </w:p>
    <w:p w14:paraId="36EB3B3D">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房产开发企业完成网签备案并缴纳维修基金和相关税费后，持房票消费联（房屋所有人联）及《商品房购买合同》以及相关证明材料向征收实施单位申请结算，征收实施单位根据房票结算情况向区人民政府申请房票结算资金，并经相关程序决策后，区财政局将房票结算资金预算到征收实施单位，由其与房产开发企业及被征收（拆迁）人分别结算，并按国库集中支付程序拨付。</w:t>
      </w:r>
    </w:p>
    <w:p w14:paraId="1AA99A10">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征收实施单位审核无误、房源按约交付后，征收实施单位原则上以6个月为一次结算点，开发企业首次申请结算支付比例不高于90%，剩余10%在办证后予以兑付。</w:t>
      </w:r>
      <w:r>
        <w:rPr>
          <w:rFonts w:hint="default" w:ascii="Times New Roman" w:hAnsi="Times New Roman" w:eastAsia="仿宋_GB2312" w:cs="Times New Roman"/>
          <w:color w:val="auto"/>
          <w:sz w:val="32"/>
          <w:szCs w:val="32"/>
          <w:lang w:val="en-US" w:eastAsia="zh-CN"/>
        </w:rPr>
        <w:t>。</w:t>
      </w:r>
    </w:p>
    <w:p w14:paraId="698D1E3E">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4.被征收（拆迁）人在房产开发企业购买商品房，超出房票票面价值的部分，由被征收（拆迁）人自行负责向房产</w:t>
      </w:r>
      <w:r>
        <w:rPr>
          <w:rFonts w:hint="default" w:ascii="Times New Roman" w:hAnsi="Times New Roman" w:eastAsia="仿宋_GB2312" w:cs="Times New Roman"/>
          <w:color w:val="auto"/>
          <w:sz w:val="32"/>
          <w:szCs w:val="32"/>
          <w:highlight w:val="none"/>
          <w:shd w:val="clear" w:color="auto" w:fill="auto"/>
          <w:lang w:val="en-US" w:eastAsia="zh-CN"/>
        </w:rPr>
        <w:t>企业支付；购房后购房券票面价值剩余的部分，由实施单位6个月内以货币形式支付给被征收（拆迁）人，且比例不大于购房券票面价值的 1</w:t>
      </w:r>
      <w:r>
        <w:rPr>
          <w:rFonts w:hint="eastAsia" w:ascii="Times New Roman" w:hAnsi="Times New Roman" w:eastAsia="仿宋_GB2312" w:cs="Times New Roman"/>
          <w:color w:val="auto"/>
          <w:sz w:val="32"/>
          <w:szCs w:val="32"/>
          <w:highlight w:val="none"/>
          <w:shd w:val="clear" w:color="auto" w:fill="auto"/>
          <w:lang w:val="en-US" w:eastAsia="zh-CN"/>
        </w:rPr>
        <w:t>0</w:t>
      </w:r>
      <w:r>
        <w:rPr>
          <w:rFonts w:hint="default" w:ascii="Times New Roman" w:hAnsi="Times New Roman" w:eastAsia="仿宋_GB2312" w:cs="Times New Roman"/>
          <w:color w:val="auto"/>
          <w:sz w:val="32"/>
          <w:szCs w:val="32"/>
          <w:highlight w:val="none"/>
          <w:shd w:val="clear" w:color="auto" w:fill="auto"/>
          <w:lang w:val="en-US" w:eastAsia="zh-CN"/>
        </w:rPr>
        <w:t>%。</w:t>
      </w:r>
    </w:p>
    <w:p w14:paraId="290772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第五章  激励措施</w:t>
      </w:r>
    </w:p>
    <w:p w14:paraId="2831E2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第十七条【奖励政策】</w:t>
      </w:r>
    </w:p>
    <w:p w14:paraId="59AC37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.被征收家庭在12个月内使用房票比例达到100%的，按票面</w:t>
      </w:r>
      <w:r>
        <w:rPr>
          <w:rFonts w:hint="eastAsia" w:ascii="Times New Roman" w:hAnsi="Times New Roman" w:eastAsia="仿宋_GB2312" w:cs="Times New Roman"/>
          <w:color w:val="auto"/>
          <w:sz w:val="32"/>
          <w:szCs w:val="32"/>
          <w:lang w:val="en-US" w:eastAsia="zh-CN"/>
        </w:rPr>
        <w:t>总</w:t>
      </w:r>
      <w:r>
        <w:rPr>
          <w:rFonts w:hint="default" w:ascii="Times New Roman" w:hAnsi="Times New Roman" w:eastAsia="仿宋_GB2312" w:cs="Times New Roman"/>
          <w:color w:val="auto"/>
          <w:sz w:val="32"/>
          <w:szCs w:val="32"/>
          <w:lang w:val="en-US" w:eastAsia="zh-CN"/>
        </w:rPr>
        <w:t>金额的5%给予奖励；使用比例达85%但未满100%的，按票面</w:t>
      </w:r>
      <w:r>
        <w:rPr>
          <w:rFonts w:hint="eastAsia" w:ascii="Times New Roman" w:hAnsi="Times New Roman" w:eastAsia="仿宋_GB2312" w:cs="Times New Roman"/>
          <w:color w:val="auto"/>
          <w:sz w:val="32"/>
          <w:szCs w:val="32"/>
          <w:lang w:val="en-US" w:eastAsia="zh-CN"/>
        </w:rPr>
        <w:t>总</w:t>
      </w:r>
      <w:r>
        <w:rPr>
          <w:rFonts w:hint="default" w:ascii="Times New Roman" w:hAnsi="Times New Roman" w:eastAsia="仿宋_GB2312" w:cs="Times New Roman"/>
          <w:color w:val="auto"/>
          <w:sz w:val="32"/>
          <w:szCs w:val="32"/>
          <w:lang w:val="en-US" w:eastAsia="zh-CN"/>
        </w:rPr>
        <w:t>金额的3%给予奖励。奖励资金经征收实施单位审核后6个月内兑付。</w:t>
      </w:r>
    </w:p>
    <w:p w14:paraId="6D43EBA2">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.纳入</w:t>
      </w:r>
      <w:r>
        <w:rPr>
          <w:rFonts w:hint="default" w:ascii="Times New Roman" w:hAnsi="Times New Roman" w:eastAsia="仿宋_GB2312" w:cs="Times New Roman"/>
          <w:color w:val="auto"/>
          <w:sz w:val="32"/>
          <w:szCs w:val="32"/>
          <w:lang w:eastAsia="zh-CN"/>
        </w:rPr>
        <w:t>遂宁市</w:t>
      </w:r>
      <w:r>
        <w:rPr>
          <w:rFonts w:hint="default" w:ascii="Times New Roman" w:hAnsi="Times New Roman" w:eastAsia="仿宋_GB2312" w:cs="Times New Roman"/>
          <w:color w:val="auto"/>
          <w:sz w:val="32"/>
          <w:szCs w:val="32"/>
          <w:lang w:val="en-US" w:eastAsia="zh-CN"/>
        </w:rPr>
        <w:t>促进房地产业高质量发展若干政策措施</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val="en-US" w:eastAsia="zh-CN"/>
        </w:rPr>
        <w:t>补助范围</w:t>
      </w:r>
      <w:r>
        <w:rPr>
          <w:rFonts w:hint="eastAsia" w:ascii="Times New Roman" w:hAnsi="Times New Roman" w:eastAsia="仿宋_GB2312" w:cs="Times New Roman"/>
          <w:color w:val="auto"/>
          <w:sz w:val="32"/>
          <w:szCs w:val="32"/>
          <w:lang w:val="en-US" w:eastAsia="zh-CN"/>
        </w:rPr>
        <w:t>，政策激励可叠加享受。</w:t>
      </w:r>
    </w:p>
    <w:p w14:paraId="6D1E6E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第六章  监督与管理</w:t>
      </w:r>
    </w:p>
    <w:p w14:paraId="57231D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第十八条【部门职责】</w:t>
      </w:r>
    </w:p>
    <w:p w14:paraId="7FC37D66">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1.区住建局负责房源审核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全过程监管，定期公开房源和交易信息。</w:t>
      </w:r>
    </w:p>
    <w:p w14:paraId="60CD97BE">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2.区自然资源和规划局负责被征收人身份及资格核实。</w:t>
      </w:r>
    </w:p>
    <w:p w14:paraId="41F2E3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3.区财政局负责资金保障、房票印制等。</w:t>
      </w:r>
    </w:p>
    <w:p w14:paraId="4BDF8A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4.征收实施单位确保房票依法使用，做好房票金额认定以及资金结算等工作，严禁房票质押、套现等行为。</w:t>
      </w:r>
    </w:p>
    <w:p w14:paraId="45888C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第十九条【企业责任】</w:t>
      </w:r>
    </w:p>
    <w:p w14:paraId="6652AB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开发企业存在弄虚作假、区别对待房票购房人或有其他违规行为的，记入信用档案并依法追究责任，情节严重的取消</w:t>
      </w:r>
      <w:r>
        <w:rPr>
          <w:rFonts w:hint="eastAsia" w:ascii="Times New Roman" w:hAnsi="Times New Roman" w:eastAsia="仿宋_GB2312" w:cs="Times New Roman"/>
          <w:color w:val="auto"/>
          <w:sz w:val="32"/>
          <w:szCs w:val="32"/>
          <w:lang w:val="en-US" w:eastAsia="zh-CN"/>
        </w:rPr>
        <w:t>房票房源</w:t>
      </w:r>
      <w:r>
        <w:rPr>
          <w:rFonts w:hint="default" w:ascii="Times New Roman" w:hAnsi="Times New Roman" w:eastAsia="仿宋_GB2312" w:cs="Times New Roman"/>
          <w:color w:val="auto"/>
          <w:sz w:val="32"/>
          <w:szCs w:val="32"/>
          <w:lang w:val="en-US" w:eastAsia="zh-CN"/>
        </w:rPr>
        <w:t>准入资格。</w:t>
      </w:r>
    </w:p>
    <w:p w14:paraId="04F1F4A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第七章  附则</w:t>
      </w:r>
    </w:p>
    <w:p w14:paraId="74BD6F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第二十条【解释权】</w:t>
      </w:r>
    </w:p>
    <w:p w14:paraId="596E7F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本细则由遂宁市船山区自然资源和规划局负责解释。</w:t>
      </w:r>
    </w:p>
    <w:p w14:paraId="028D20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第二十一条【有效期】</w:t>
      </w:r>
    </w:p>
    <w:p w14:paraId="3800C1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本细则自2025年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  ）</w:t>
      </w:r>
      <w:r>
        <w:rPr>
          <w:rFonts w:hint="default" w:ascii="Times New Roman" w:hAnsi="Times New Roman" w:eastAsia="仿宋_GB2312" w:cs="Times New Roman"/>
          <w:color w:val="auto"/>
          <w:sz w:val="32"/>
          <w:szCs w:val="32"/>
          <w:lang w:val="en-US" w:eastAsia="zh-CN"/>
        </w:rPr>
        <w:t>日起施行，有效期1年。</w:t>
      </w:r>
    </w:p>
    <w:p w14:paraId="37FEB63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lang w:val="en-US" w:eastAsia="zh-CN"/>
        </w:rPr>
      </w:pPr>
    </w:p>
    <w:p w14:paraId="2313E5C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lang w:val="en-US" w:eastAsia="zh-CN"/>
        </w:rPr>
      </w:pPr>
    </w:p>
    <w:p w14:paraId="593EA7D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3EC65C-A8B1-4A4B-8CA8-59501B4C9B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9B135BF-5393-46CE-8793-CAF308265B4C}"/>
  </w:font>
  <w:font w:name="仿宋_GB2312">
    <w:panose1 w:val="02010609030101010101"/>
    <w:charset w:val="86"/>
    <w:family w:val="modern"/>
    <w:pitch w:val="default"/>
    <w:sig w:usb0="00000001" w:usb1="080E0000" w:usb2="00000000" w:usb3="00000000" w:csb0="00040000" w:csb1="00000000"/>
    <w:embedRegular r:id="rId3" w:fontKey="{74EAB769-EA83-4B2B-8A6E-0C1486BE8F4F}"/>
  </w:font>
  <w:font w:name="方正小标宋简体">
    <w:panose1 w:val="02000000000000000000"/>
    <w:charset w:val="86"/>
    <w:family w:val="script"/>
    <w:pitch w:val="default"/>
    <w:sig w:usb0="00000001" w:usb1="08000000" w:usb2="00000000" w:usb3="00000000" w:csb0="00040000" w:csb1="00000000"/>
    <w:embedRegular r:id="rId4" w:fontKey="{D01B29AB-95FC-4D2B-9DB5-A1D60D774B12}"/>
  </w:font>
  <w:font w:name="Arial Unicode MS">
    <w:panose1 w:val="020B0604020202020204"/>
    <w:charset w:val="86"/>
    <w:family w:val="auto"/>
    <w:pitch w:val="default"/>
    <w:sig w:usb0="FFFFFFFF" w:usb1="E9FFFFFF" w:usb2="0000003F" w:usb3="00000000" w:csb0="603F01FF" w:csb1="FFFF0000"/>
    <w:embedRegular r:id="rId5" w:fontKey="{07E30A69-05E3-43E3-8688-0B6390295A56}"/>
  </w:font>
  <w:font w:name="楷体">
    <w:panose1 w:val="02010609060101010101"/>
    <w:charset w:val="86"/>
    <w:family w:val="auto"/>
    <w:pitch w:val="default"/>
    <w:sig w:usb0="800002BF" w:usb1="38CF7CFA" w:usb2="00000016" w:usb3="00000000" w:csb0="00040001" w:csb1="00000000"/>
    <w:embedRegular r:id="rId6" w:fontKey="{7BEC4AA6-A86F-4FEE-81CA-2665C3B6DB39}"/>
  </w:font>
  <w:font w:name="楷体_GB2312">
    <w:panose1 w:val="02010609030101010101"/>
    <w:charset w:val="86"/>
    <w:family w:val="auto"/>
    <w:pitch w:val="default"/>
    <w:sig w:usb0="00000001" w:usb1="080E0000" w:usb2="00000000" w:usb3="00000000" w:csb0="00040000" w:csb1="00000000"/>
    <w:embedRegular r:id="rId7" w:fontKey="{9CE394DC-5CBF-41CA-AD53-02971820E55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018B5"/>
    <w:multiLevelType w:val="singleLevel"/>
    <w:tmpl w:val="970018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C1DDC"/>
    <w:rsid w:val="3CAC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2025-09-03T08:55:00Z</dcterms:created>
  <dc:creator>方出旭旭</dc:creator>
  <cp:lastModifiedBy>方出旭旭</cp:lastModifiedBy>
  <dcterms:modified xsi:type="dcterms:W3CDTF">2025-09-03T08:56:00Z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A3716C20C118465F90C3B696047A9E5A_11</vt:lpwstr>
  </property>
  <property fmtid="{D5CDD505-2E9C-101B-9397-08002B2CF9AE}" pid="4" name="KSOTemplateDocerSaveRecord">
    <vt:lpwstr>eyJoZGlkIjoiNTg5MTc0ZGY2NTY2Mjg5YjEzYTcwMjhjYWNiNWI2MzIiLCJ1c2VySWQiOiIyMjg5MDEwNTIifQ==</vt:lpwstr>
  </property>
</Properties>
</file>