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700" w:lineRule="exact"/>
        <w:ind w:right="0"/>
        <w:jc w:val="both"/>
        <w:textAlignment w:val="auto"/>
        <w:rPr>
          <w:rFonts w:hint="default" w:ascii="Times New Roman" w:hAnsi="Times New Roman" w:eastAsia="仿宋" w:cs="Times New Roman"/>
          <w:color w:val="auto"/>
          <w:spacing w:val="-10"/>
          <w:kern w:val="2"/>
          <w:sz w:val="32"/>
          <w:szCs w:val="32"/>
          <w:lang w:val="en-US" w:eastAsia="zh-CN" w:bidi="ar-SA"/>
        </w:rPr>
      </w:pPr>
      <w:bookmarkStart w:id="0" w:name="_GoBack"/>
      <w:bookmarkEnd w:id="0"/>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700" w:lineRule="exact"/>
        <w:ind w:right="0"/>
        <w:jc w:val="right"/>
        <w:textAlignment w:val="auto"/>
        <w:rPr>
          <w:rFonts w:hint="default" w:ascii="Times New Roman" w:hAnsi="Times New Roman" w:eastAsia="仿宋" w:cs="Times New Roman"/>
          <w:color w:val="auto"/>
          <w:spacing w:val="-10"/>
          <w:kern w:val="2"/>
          <w:sz w:val="32"/>
          <w:szCs w:val="32"/>
          <w:lang w:val="en-US" w:eastAsia="zh-CN" w:bidi="ar-SA"/>
        </w:rPr>
      </w:pPr>
      <w:r>
        <w:rPr>
          <w:rFonts w:hint="default" w:ascii="Times New Roman" w:hAnsi="Times New Roman" w:eastAsia="仿宋_GB2312" w:cs="Times New Roman"/>
          <w:color w:val="auto"/>
          <w:sz w:val="32"/>
          <w:szCs w:val="32"/>
          <w:lang w:val="en-US" w:eastAsia="zh-CN"/>
        </w:rPr>
        <w:t>遂船环评</w:t>
      </w:r>
      <w:r>
        <w:rPr>
          <w:rFonts w:hint="eastAsia" w:ascii="仿宋_GB2312" w:hAnsi="仿宋_GB2312" w:eastAsia="仿宋_GB2312" w:cs="仿宋_GB2312"/>
          <w:color w:val="auto"/>
          <w:spacing w:val="-10"/>
          <w:kern w:val="2"/>
          <w:sz w:val="32"/>
          <w:szCs w:val="32"/>
          <w:lang w:val="en-US" w:eastAsia="zh-CN" w:bidi="ar-SA"/>
        </w:rPr>
        <w:t>〔</w:t>
      </w:r>
      <w:r>
        <w:rPr>
          <w:rFonts w:hint="default" w:ascii="Times New Roman" w:hAnsi="Times New Roman" w:eastAsia="仿宋" w:cs="Times New Roman"/>
          <w:color w:val="auto"/>
          <w:spacing w:val="-10"/>
          <w:kern w:val="2"/>
          <w:sz w:val="32"/>
          <w:szCs w:val="32"/>
          <w:lang w:val="en-US" w:eastAsia="zh-CN" w:bidi="ar-SA"/>
        </w:rPr>
        <w:t>2025</w:t>
      </w:r>
      <w:r>
        <w:rPr>
          <w:rFonts w:hint="eastAsia" w:ascii="仿宋_GB2312" w:hAnsi="仿宋_GB2312" w:eastAsia="仿宋_GB2312" w:cs="仿宋_GB2312"/>
          <w:color w:val="auto"/>
          <w:spacing w:val="-10"/>
          <w:kern w:val="2"/>
          <w:sz w:val="32"/>
          <w:szCs w:val="32"/>
          <w:lang w:val="en-US" w:eastAsia="zh-CN" w:bidi="ar-SA"/>
        </w:rPr>
        <w:t>〕</w:t>
      </w:r>
      <w:r>
        <w:rPr>
          <w:rFonts w:hint="eastAsia" w:ascii="Times New Roman" w:hAnsi="Times New Roman" w:eastAsia="仿宋" w:cs="Times New Roman"/>
          <w:color w:val="auto"/>
          <w:spacing w:val="-10"/>
          <w:kern w:val="2"/>
          <w:sz w:val="32"/>
          <w:szCs w:val="32"/>
          <w:lang w:val="en-US" w:eastAsia="zh-CN" w:bidi="ar-SA"/>
        </w:rPr>
        <w:t>5</w:t>
      </w:r>
      <w:r>
        <w:rPr>
          <w:rFonts w:hint="default" w:ascii="Times New Roman" w:hAnsi="Times New Roman" w:eastAsia="仿宋" w:cs="Times New Roman"/>
          <w:color w:val="auto"/>
          <w:spacing w:val="-10"/>
          <w:kern w:val="2"/>
          <w:sz w:val="32"/>
          <w:szCs w:val="32"/>
          <w:lang w:val="en-US" w:eastAsia="zh-CN" w:bidi="ar-SA"/>
        </w:rPr>
        <w:t>号</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遂宁高新区高端数控刀具表面处理项目</w:t>
      </w:r>
      <w:r>
        <w:rPr>
          <w:rFonts w:hint="default" w:ascii="Times New Roman" w:hAnsi="Times New Roman" w:eastAsia="方正小标宋简体" w:cs="Times New Roman"/>
          <w:bCs/>
          <w:sz w:val="44"/>
        </w:rPr>
        <w:t>环境影响报告表的批复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60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 w:cs="Times New Roman"/>
          <w:color w:val="auto"/>
          <w:spacing w:val="-10"/>
          <w:kern w:val="2"/>
          <w:sz w:val="32"/>
          <w:szCs w:val="32"/>
          <w:lang w:val="en-US" w:eastAsia="zh-CN" w:bidi="ar-SA"/>
        </w:rPr>
        <w:t>邦普刀具遂宁新材料技术有限公司</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遂宁高新区高端数控刀具表面处理项目</w:t>
      </w:r>
      <w:r>
        <w:rPr>
          <w:rFonts w:hint="eastAsia" w:ascii="Times New Roman" w:hAnsi="Times New Roman" w:eastAsia="仿宋_GB2312" w:cs="Times New Roman"/>
          <w:color w:val="auto"/>
          <w:spacing w:val="-10"/>
          <w:kern w:val="0"/>
          <w:sz w:val="32"/>
          <w:szCs w:val="32"/>
          <w:lang w:eastAsia="zh-CN"/>
        </w:rPr>
        <w:t>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600" w:lineRule="exact"/>
        <w:ind w:firstLine="60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pacing w:val="-10"/>
          <w:kern w:val="2"/>
          <w:sz w:val="32"/>
          <w:szCs w:val="32"/>
          <w:lang w:val="en-US" w:eastAsia="zh-CN" w:bidi="ar-SA"/>
        </w:rPr>
        <w:t>一、</w:t>
      </w:r>
      <w:r>
        <w:rPr>
          <w:rFonts w:hint="default" w:ascii="Times New Roman" w:hAnsi="Times New Roman" w:eastAsia="黑体" w:cs="Times New Roman"/>
          <w:color w:val="auto"/>
          <w:sz w:val="30"/>
          <w:szCs w:val="30"/>
          <w:lang w:val="en-US" w:eastAsia="zh-CN"/>
        </w:rPr>
        <w:t>项目位于</w:t>
      </w:r>
      <w:r>
        <w:rPr>
          <w:rFonts w:hint="default" w:ascii="Times New Roman" w:hAnsi="Times New Roman" w:eastAsia="黑体" w:cs="Times New Roman"/>
          <w:color w:val="auto"/>
          <w:sz w:val="32"/>
          <w:szCs w:val="32"/>
          <w:lang w:val="en-US" w:eastAsia="zh-CN"/>
        </w:rPr>
        <w:t>遂宁高新区物流大道140号，项目拟投资8000万元</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其中环保投资281万元。</w:t>
      </w:r>
      <w:r>
        <w:rPr>
          <w:rFonts w:hint="default" w:ascii="Times New Roman" w:hAnsi="Times New Roman" w:eastAsia="仿宋_GB2312" w:cs="Times New Roman"/>
          <w:color w:val="auto"/>
          <w:sz w:val="32"/>
          <w:szCs w:val="32"/>
          <w:lang w:val="en-US" w:eastAsia="zh-CN"/>
        </w:rPr>
        <w:t>项目在遂宁高新技术产业园区内扩建，新增租赁4#标准厂房3000平方米，对标准厂房进行改造，新增建设高端数控刀具表面处理生产线，购置PVD4台、CVD6台、压机10台、周边磨床36台、喷砂机9台等设备，项目建成后年加工高端数控刀具3000万件。项目符合国家产业政策和相关规划，严格按照报告表中所列项目的地点、规模、性质和拟采取的环境保护措施实</w:t>
      </w:r>
      <w:r>
        <w:rPr>
          <w:rFonts w:hint="default" w:ascii="Times New Roman" w:hAnsi="Times New Roman" w:eastAsia="仿宋_GB2312" w:cs="Times New Roman"/>
          <w:color w:val="auto"/>
          <w:sz w:val="32"/>
          <w:szCs w:val="32"/>
        </w:rPr>
        <w:t>施，对环境的不利影响能够得到缓解和控制，我局原则同意该报告表结论。你单位应全面落实报告表中提出各项环境保护对策措施和本批复要求。</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sectPr>
          <w:footerReference r:id="rId3" w:type="default"/>
          <w:pgSz w:w="11906" w:h="16838"/>
          <w:pgMar w:top="2098" w:right="1474" w:bottom="1984" w:left="1587" w:header="851" w:footer="1587" w:gutter="0"/>
          <w:pgNumType w:fmt="decimal" w:start="2"/>
          <w:cols w:space="0" w:num="1"/>
          <w:rtlGutter w:val="0"/>
          <w:docGrid w:type="lines" w:linePitch="318" w:charSpace="0"/>
        </w:sectPr>
      </w:pP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2"/>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600" w:lineRule="exact"/>
        <w:ind w:right="0" w:rightChars="0" w:firstLine="643" w:firstLineChars="200"/>
        <w:jc w:val="both"/>
        <w:textAlignment w:val="auto"/>
        <w:rPr>
          <w:rFonts w:hint="eastAsia" w:ascii="Times New Roman" w:hAnsi="Times New Roman" w:eastAsia="仿宋" w:cs="Times New Roman"/>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（一）</w:t>
      </w:r>
      <w:r>
        <w:rPr>
          <w:rFonts w:hint="default" w:ascii="楷体_GB2312" w:hAnsi="楷体_GB2312" w:eastAsia="楷体_GB2312" w:cs="楷体_GB2312"/>
          <w:b/>
          <w:bCs/>
          <w:color w:val="auto"/>
          <w:kern w:val="2"/>
          <w:sz w:val="32"/>
          <w:szCs w:val="32"/>
          <w:lang w:val="en-US" w:eastAsia="zh-CN" w:bidi="ar-SA"/>
        </w:rPr>
        <w:t>严格按照报告表要求，落实废</w:t>
      </w:r>
      <w:r>
        <w:rPr>
          <w:rFonts w:hint="eastAsia" w:ascii="楷体_GB2312" w:hAnsi="楷体_GB2312" w:eastAsia="楷体_GB2312" w:cs="楷体_GB2312"/>
          <w:b/>
          <w:bCs/>
          <w:color w:val="auto"/>
          <w:kern w:val="2"/>
          <w:sz w:val="32"/>
          <w:szCs w:val="32"/>
          <w:lang w:val="en-US" w:eastAsia="zh-CN" w:bidi="ar-SA"/>
        </w:rPr>
        <w:t>水</w:t>
      </w:r>
      <w:r>
        <w:rPr>
          <w:rFonts w:hint="default" w:ascii="楷体_GB2312" w:hAnsi="楷体_GB2312" w:eastAsia="楷体_GB2312" w:cs="楷体_GB2312"/>
          <w:b/>
          <w:bCs/>
          <w:color w:val="auto"/>
          <w:kern w:val="2"/>
          <w:sz w:val="32"/>
          <w:szCs w:val="32"/>
          <w:lang w:val="en-US" w:eastAsia="zh-CN" w:bidi="ar-SA"/>
        </w:rPr>
        <w:t>处置措施。</w:t>
      </w:r>
      <w:r>
        <w:rPr>
          <w:rFonts w:hint="eastAsia" w:ascii="Times New Roman" w:hAnsi="Times New Roman" w:eastAsia="仿宋_GB2312" w:cs="Times New Roman"/>
          <w:color w:val="auto"/>
          <w:kern w:val="2"/>
          <w:sz w:val="32"/>
          <w:szCs w:val="32"/>
          <w:lang w:val="en-US" w:eastAsia="zh-CN" w:bidi="ar-SA"/>
        </w:rPr>
        <w:t>CVD尾气处理废水和碱液喷淋废水进入低温蒸发装置，冷凝液排入园区预处理池，浓缩液交具有危废资质单位合理处置。超声波清洗废水和车间拖地废水隔油沉淀处理后与企业其他废水一并进入园区预处理池，最终进入高新工业污水处理厂。</w:t>
      </w:r>
    </w:p>
    <w:p>
      <w:pPr>
        <w:keepNext w:val="0"/>
        <w:keepLines w:val="0"/>
        <w:pageBreakBefore w:val="0"/>
        <w:widowControl w:val="0"/>
        <w:kinsoku/>
        <w:overflowPunct/>
        <w:autoSpaceDE w:val="0"/>
        <w:autoSpaceDN w:val="0"/>
        <w:bidi w:val="0"/>
        <w:adjustRightInd w:val="0"/>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w:t>
      </w:r>
      <w:r>
        <w:rPr>
          <w:rFonts w:hint="default" w:ascii="楷体_GB2312" w:hAnsi="楷体_GB2312" w:eastAsia="楷体_GB2312" w:cs="楷体_GB2312"/>
          <w:b/>
          <w:bCs/>
          <w:color w:val="auto"/>
          <w:kern w:val="2"/>
          <w:sz w:val="32"/>
          <w:szCs w:val="32"/>
          <w:lang w:val="en-US" w:eastAsia="zh-CN" w:bidi="ar-SA"/>
        </w:rPr>
        <w:t>严格按照报告表要求，落实废气处置措施。</w:t>
      </w:r>
      <w:r>
        <w:rPr>
          <w:rFonts w:hint="eastAsia" w:ascii="Times New Roman" w:hAnsi="Times New Roman" w:eastAsia="仿宋_GB2312" w:cs="Times New Roman"/>
          <w:color w:val="auto"/>
          <w:kern w:val="2"/>
          <w:sz w:val="32"/>
          <w:szCs w:val="32"/>
          <w:lang w:val="en-US" w:eastAsia="zh-CN" w:bidi="ar-SA"/>
        </w:rPr>
        <w:t>CVD涂</w:t>
      </w:r>
      <w:r>
        <w:rPr>
          <w:rFonts w:hint="default" w:ascii="Times New Roman" w:hAnsi="Times New Roman" w:eastAsia="仿宋_GB2312" w:cs="Times New Roman"/>
          <w:color w:val="auto"/>
          <w:kern w:val="2"/>
          <w:sz w:val="32"/>
          <w:szCs w:val="32"/>
          <w:lang w:val="en-US" w:eastAsia="zh-CN" w:bidi="ar-SA"/>
        </w:rPr>
        <w:t>层废气经碱中和喷淋处理后经排气筒排放；PVD涂层废气经布袋除尘处理后经排气筒排放；干式喷砂粉尘经布袋除尘处理后经排气筒排放；磨床油雾通过自带油雾回收收集，</w:t>
      </w:r>
      <w:r>
        <w:rPr>
          <w:rFonts w:hint="default" w:ascii="Times New Roman" w:hAnsi="Times New Roman" w:eastAsia="仿宋_GB2312"/>
          <w:color w:val="000000" w:themeColor="text1"/>
          <w:sz w:val="32"/>
          <w:szCs w:val="32"/>
          <w14:textFill>
            <w14:solidFill>
              <w14:schemeClr w14:val="tx1"/>
            </w14:solidFill>
          </w14:textFill>
        </w:rPr>
        <w:t>对未回收的油雾通过排气筒排放</w:t>
      </w:r>
      <w:r>
        <w:rPr>
          <w:rFonts w:hint="default" w:ascii="Times New Roman" w:hAnsi="Times New Roman" w:eastAsia="仿宋_GB2312" w:cs="Times New Roman"/>
          <w:color w:val="auto"/>
          <w:kern w:val="2"/>
          <w:sz w:val="32"/>
          <w:szCs w:val="32"/>
          <w:lang w:val="en-US" w:eastAsia="zh-CN" w:bidi="ar-SA"/>
        </w:rPr>
        <w:t>；抛光粉尘依托现有布袋除尘处理；食堂油烟设置油烟净化器</w:t>
      </w:r>
      <w:r>
        <w:rPr>
          <w:rFonts w:hint="default" w:ascii="Times New Roman" w:hAnsi="Times New Roman" w:eastAsia="仿宋_GB2312"/>
          <w:color w:val="000000" w:themeColor="text1"/>
          <w:sz w:val="32"/>
          <w:szCs w:val="32"/>
          <w14:textFill>
            <w14:solidFill>
              <w14:schemeClr w14:val="tx1"/>
            </w14:solidFill>
          </w14:textFill>
        </w:rPr>
        <w:t>处理后于屋顶排放</w:t>
      </w:r>
      <w:r>
        <w:rPr>
          <w:rFonts w:hint="default" w:ascii="Times New Roman" w:hAnsi="Times New Roman" w:eastAsia="仿宋_GB2312" w:cs="Times New Roman"/>
          <w:color w:val="auto"/>
          <w:kern w:val="2"/>
          <w:sz w:val="32"/>
          <w:szCs w:val="32"/>
          <w:lang w:val="en-US" w:eastAsia="zh-CN" w:bidi="ar-SA"/>
        </w:rPr>
        <w:t>；锅炉设置低氮燃烧。</w:t>
      </w:r>
    </w:p>
    <w:p>
      <w:pPr>
        <w:keepNext w:val="0"/>
        <w:keepLines w:val="0"/>
        <w:pageBreakBefore w:val="0"/>
        <w:widowControl w:val="0"/>
        <w:kinsoku/>
        <w:overflowPunct/>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（三）</w:t>
      </w:r>
      <w:r>
        <w:rPr>
          <w:rFonts w:hint="default" w:ascii="楷体_GB2312" w:hAnsi="楷体_GB2312" w:eastAsia="楷体_GB2312" w:cs="楷体_GB2312"/>
          <w:b/>
          <w:bCs/>
          <w:color w:val="auto"/>
          <w:sz w:val="32"/>
          <w:szCs w:val="32"/>
          <w:lang w:val="en-US" w:eastAsia="zh-CN"/>
        </w:rPr>
        <w:t>严格按照报告表要求，落实噪声处置措施。</w:t>
      </w:r>
      <w:r>
        <w:rPr>
          <w:rFonts w:hint="eastAsia" w:ascii="Times New Roman" w:hAnsi="Times New Roman" w:eastAsia="仿宋_GB2312" w:cs="Times New Roman"/>
          <w:color w:val="auto"/>
          <w:kern w:val="2"/>
          <w:sz w:val="32"/>
          <w:szCs w:val="32"/>
          <w:lang w:val="en-US" w:eastAsia="zh-CN" w:bidi="ar-SA"/>
        </w:rPr>
        <w:t>合理布局，选用低噪声设备，柔性连接，安装消声器、设置隔声、减振等装置，并定期对设备进行维护。</w:t>
      </w:r>
    </w:p>
    <w:p>
      <w:pPr>
        <w:keepNext w:val="0"/>
        <w:keepLines w:val="0"/>
        <w:pageBreakBefore w:val="0"/>
        <w:widowControl w:val="0"/>
        <w:kinsoku/>
        <w:overflowPunct/>
        <w:bidi w:val="0"/>
        <w:snapToGrid/>
        <w:spacing w:line="60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（四）</w:t>
      </w:r>
      <w:r>
        <w:rPr>
          <w:rFonts w:hint="default" w:ascii="楷体_GB2312" w:hAnsi="楷体_GB2312" w:eastAsia="楷体_GB2312" w:cs="楷体_GB2312"/>
          <w:b/>
          <w:bCs/>
          <w:color w:val="auto"/>
          <w:sz w:val="32"/>
          <w:szCs w:val="32"/>
          <w:lang w:val="en-US" w:eastAsia="zh-CN"/>
        </w:rPr>
        <w:t>严格按照报告表要求，落实固废处置措施。</w:t>
      </w:r>
      <w:r>
        <w:rPr>
          <w:rFonts w:hint="eastAsia" w:ascii="Times New Roman" w:hAnsi="Times New Roman" w:eastAsia="仿宋_GB2312" w:cs="Times New Roman"/>
          <w:color w:val="auto"/>
          <w:kern w:val="2"/>
          <w:sz w:val="32"/>
          <w:szCs w:val="32"/>
          <w:lang w:val="en-US" w:eastAsia="zh-CN" w:bidi="ar-SA"/>
        </w:rPr>
        <w:t>废磨削油、废含油抹布和手套、隔油池废油、清洗废液、浓缩液等危险废物依托现有危险废物暂存间规范暂存，</w:t>
      </w:r>
      <w:r>
        <w:rPr>
          <w:rFonts w:hint="default" w:ascii="Times New Roman" w:hAnsi="Times New Roman" w:eastAsia="仿宋_GB2312" w:cs="Times New Roman"/>
          <w:color w:val="auto"/>
          <w:kern w:val="2"/>
          <w:sz w:val="32"/>
          <w:szCs w:val="32"/>
          <w:lang w:val="en-US" w:eastAsia="zh-CN" w:bidi="ar-SA"/>
        </w:rPr>
        <w:t>交由有资质单位处置。</w:t>
      </w:r>
    </w:p>
    <w:p>
      <w:pPr>
        <w:keepNext w:val="0"/>
        <w:keepLines w:val="0"/>
        <w:pageBreakBefore w:val="0"/>
        <w:widowControl w:val="0"/>
        <w:kinsoku/>
        <w:overflowPunct/>
        <w:bidi w:val="0"/>
        <w:snapToGrid/>
        <w:spacing w:line="600" w:lineRule="exac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（五）严格按照报告表要求，落实土壤及地下水污染防治措施。</w:t>
      </w:r>
      <w:r>
        <w:rPr>
          <w:rFonts w:hint="eastAsia" w:ascii="楷体_GB2312" w:hAnsi="楷体_GB2312" w:eastAsia="楷体_GB2312" w:cs="楷体_GB2312"/>
          <w:b w:val="0"/>
          <w:bCs w:val="0"/>
          <w:color w:val="auto"/>
          <w:sz w:val="32"/>
          <w:szCs w:val="32"/>
          <w:lang w:val="en-US" w:eastAsia="zh-CN"/>
        </w:rPr>
        <w:t>新增</w:t>
      </w:r>
      <w:r>
        <w:rPr>
          <w:rFonts w:hint="eastAsia" w:ascii="Times New Roman" w:hAnsi="Times New Roman" w:eastAsia="仿宋_GB2312" w:cs="Times New Roman"/>
          <w:color w:val="auto"/>
          <w:kern w:val="2"/>
          <w:sz w:val="32"/>
          <w:szCs w:val="32"/>
          <w:lang w:val="en-US" w:eastAsia="zh-CN" w:bidi="ar-SA"/>
        </w:rPr>
        <w:t>精磨区域、中和站、危化品库房为重点防渗区，其他区域进行一般地面硬化。</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三、项目建设必须严格执行配套建设的环境保护设施与主体工程同时设计、同时施工、同时投产使用的环境保护“三同时’制度。</w:t>
      </w:r>
      <w:r>
        <w:rPr>
          <w:rFonts w:hint="default" w:ascii="Times New Roman" w:hAnsi="Times New Roman" w:eastAsia="仿宋_GB2312" w:cs="Times New Roman"/>
          <w:caps w:val="0"/>
          <w:smallCaps w:val="0"/>
          <w:color w:val="auto"/>
          <w:sz w:val="32"/>
          <w:szCs w:val="32"/>
          <w:lang w:val="en-US" w:eastAsia="zh-CN" w:bidi="ar"/>
        </w:rPr>
        <w:t>项目竣工后，应按相关规定对配套建设的环境保护设施和采取的环境保护措施进行自主竣工验收，并依法向社会公开验收报告。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四、请遂宁市船山生态环境保护综合行政执法大队对该项目的环境保护“三同时”制度执行情况进行监管。</w:t>
      </w:r>
    </w:p>
    <w:p>
      <w:pPr>
        <w:pStyle w:val="5"/>
        <w:keepNext w:val="0"/>
        <w:keepLines w:val="0"/>
        <w:pageBreakBefore w:val="0"/>
        <w:widowControl w:val="0"/>
        <w:kinsoku/>
        <w:overflowPunct/>
        <w:bidi w:val="0"/>
        <w:snapToGrid/>
        <w:spacing w:beforeLines="0" w:afterLines="0" w:line="600" w:lineRule="exact"/>
        <w:jc w:val="both"/>
        <w:textAlignment w:val="auto"/>
        <w:rPr>
          <w:rFonts w:hint="eastAsia" w:eastAsia="仿宋_GB2312"/>
          <w:lang w:eastAsia="zh-CN"/>
        </w:rPr>
      </w:pPr>
    </w:p>
    <w:p>
      <w:pPr>
        <w:keepNext w:val="0"/>
        <w:keepLines w:val="0"/>
        <w:pageBreakBefore w:val="0"/>
        <w:widowControl w:val="0"/>
        <w:kinsoku/>
        <w:overflowPunct/>
        <w:bidi w:val="0"/>
        <w:snapToGrid/>
        <w:spacing w:line="600" w:lineRule="exact"/>
        <w:textAlignment w:val="auto"/>
        <w:rPr>
          <w:rFonts w:hint="eastAsia"/>
          <w:lang w:eastAsia="zh-CN"/>
        </w:rPr>
      </w:pPr>
    </w:p>
    <w:p>
      <w:pPr>
        <w:pStyle w:val="5"/>
        <w:keepNext w:val="0"/>
        <w:keepLines w:val="0"/>
        <w:pageBreakBefore w:val="0"/>
        <w:widowControl w:val="0"/>
        <w:kinsoku/>
        <w:overflowPunct/>
        <w:bidi w:val="0"/>
        <w:snapToGrid/>
        <w:spacing w:beforeLines="0" w:afterLines="0" w:line="600" w:lineRule="exact"/>
        <w:textAlignment w:val="auto"/>
        <w:rPr>
          <w:rFonts w:hint="eastAsia"/>
          <w:lang w:eastAsia="zh-CN"/>
        </w:rPr>
      </w:pPr>
    </w:p>
    <w:p>
      <w:pPr>
        <w:keepNext w:val="0"/>
        <w:keepLines w:val="0"/>
        <w:pageBreakBefore w:val="0"/>
        <w:widowControl w:val="0"/>
        <w:tabs>
          <w:tab w:val="left" w:pos="8280"/>
          <w:tab w:val="left" w:pos="8460"/>
        </w:tabs>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60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p>
      <w:pPr>
        <w:widowControl/>
        <w:spacing w:line="600" w:lineRule="exact"/>
        <w:ind w:firstLine="640" w:firstLineChars="200"/>
        <w:rPr>
          <w:rFonts w:ascii="Times New Roman" w:hAnsi="Times New Roman" w:eastAsia="仿宋_GB2312"/>
          <w:kern w:val="0"/>
          <w:sz w:val="32"/>
          <w:szCs w:val="32"/>
          <w:lang w:bidi="ar"/>
        </w:rPr>
      </w:pPr>
    </w:p>
    <w:p>
      <w:pPr>
        <w:bidi w:val="0"/>
        <w:rPr>
          <w:rFonts w:ascii="Calibri" w:hAnsi="Calibri"/>
          <w:kern w:val="2"/>
          <w:sz w:val="21"/>
          <w:szCs w:val="24"/>
          <w:lang w:val="en-US" w:eastAsia="zh-CN" w:bidi="ar-SA"/>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tabs>
          <w:tab w:val="left" w:pos="615"/>
        </w:tabs>
        <w:bidi w:val="0"/>
        <w:jc w:val="left"/>
        <w:rPr>
          <w:lang w:val="en-US" w:eastAsia="zh-CN"/>
        </w:rPr>
      </w:pPr>
      <w:r>
        <w:rPr>
          <w:rFonts w:hint="eastAsia"/>
          <w:lang w:val="en-US" w:eastAsia="zh-CN"/>
        </w:rPr>
        <w:tab/>
      </w:r>
    </w:p>
    <w:tbl>
      <w:tblPr>
        <w:tblStyle w:val="7"/>
        <w:tblpPr w:leftFromText="180" w:rightFromText="180" w:vertAnchor="text" w:horzAnchor="page" w:tblpX="1685" w:tblpY="6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atLeast"/>
        </w:trPr>
        <w:tc>
          <w:tcPr>
            <w:tcW w:w="88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default" w:ascii="仿宋_GB2312" w:hAnsi="仿宋_GB2312" w:eastAsia="仿宋_GB2312" w:cs="仿宋_GB2312"/>
                <w:snapToGrid/>
                <w:kern w:val="0"/>
                <w:sz w:val="28"/>
                <w:szCs w:val="28"/>
                <w:vertAlign w:val="baseline"/>
                <w:lang w:val="en-US" w:eastAsia="zh-CN"/>
              </w:rPr>
            </w:pPr>
            <w:r>
              <w:rPr>
                <w:rFonts w:hint="eastAsia" w:ascii="仿宋_GB2312" w:hAnsi="仿宋_GB2312" w:eastAsia="仿宋_GB2312" w:cs="仿宋_GB2312"/>
                <w:snapToGrid/>
                <w:kern w:val="0"/>
                <w:sz w:val="28"/>
                <w:szCs w:val="28"/>
                <w:vertAlign w:val="baseline"/>
                <w:lang w:val="en-US" w:eastAsia="zh-CN"/>
              </w:rPr>
              <w:t xml:space="preserve">遂宁市船山生态环境局                  </w:t>
            </w:r>
            <w:r>
              <w:rPr>
                <w:rFonts w:hint="eastAsia" w:ascii="Times New Roman" w:hAnsi="Times New Roman" w:eastAsia="仿宋_GB2312" w:cs="仿宋"/>
                <w:snapToGrid/>
                <w:kern w:val="0"/>
                <w:sz w:val="28"/>
                <w:szCs w:val="28"/>
                <w:lang w:val="en-US" w:eastAsia="zh-CN" w:bidi="ar-SA"/>
              </w:rPr>
              <w:t>2025年9月2</w:t>
            </w:r>
            <w:r>
              <w:rPr>
                <w:rFonts w:hint="eastAsia" w:ascii="仿宋_GB2312" w:hAnsi="仿宋_GB2312" w:eastAsia="仿宋_GB2312" w:cs="仿宋_GB2312"/>
                <w:snapToGrid/>
                <w:kern w:val="0"/>
                <w:sz w:val="28"/>
                <w:szCs w:val="28"/>
                <w:vertAlign w:val="baseline"/>
                <w:lang w:val="en-US" w:eastAsia="zh-CN"/>
              </w:rPr>
              <w:t>日印发</w:t>
            </w:r>
          </w:p>
        </w:tc>
      </w:tr>
    </w:tbl>
    <w:p>
      <w:pPr>
        <w:pStyle w:val="2"/>
        <w:keepNext w:val="0"/>
        <w:keepLines w:val="0"/>
        <w:pageBreakBefore w:val="0"/>
        <w:widowControl w:val="0"/>
        <w:kinsoku/>
        <w:wordWrap w:val="0"/>
        <w:overflowPunct/>
        <w:topLinePunct w:val="0"/>
        <w:autoSpaceDE/>
        <w:autoSpaceDN/>
        <w:bidi w:val="0"/>
        <w:adjustRightInd/>
        <w:snapToGrid/>
        <w:spacing w:after="0" w:line="560" w:lineRule="exact"/>
        <w:jc w:val="both"/>
        <w:textAlignment w:val="auto"/>
        <w:rPr>
          <w:rFonts w:hint="default" w:ascii="Times New Roman" w:hAnsi="Times New Roman" w:eastAsia="仿宋_GB2312"/>
          <w:color w:val="auto"/>
          <w:sz w:val="32"/>
          <w:szCs w:val="32"/>
          <w:lang w:val="en-US" w:eastAsia="zh-CN"/>
        </w:rPr>
      </w:pPr>
    </w:p>
    <w:sectPr>
      <w:footerReference r:id="rId4" w:type="default"/>
      <w:pgSz w:w="11906" w:h="16838"/>
      <w:pgMar w:top="2098" w:right="1474" w:bottom="1984" w:left="1587" w:header="851" w:footer="1587"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0C62C8"/>
    <w:rsid w:val="008043DE"/>
    <w:rsid w:val="043A3F7F"/>
    <w:rsid w:val="06A61794"/>
    <w:rsid w:val="08F316BF"/>
    <w:rsid w:val="0A8A0B75"/>
    <w:rsid w:val="0A8C6FE9"/>
    <w:rsid w:val="0C2E0D87"/>
    <w:rsid w:val="0C610401"/>
    <w:rsid w:val="0E1E5E3A"/>
    <w:rsid w:val="0EBF037C"/>
    <w:rsid w:val="1041196E"/>
    <w:rsid w:val="10787E19"/>
    <w:rsid w:val="109C6B98"/>
    <w:rsid w:val="128B7671"/>
    <w:rsid w:val="132C6A5A"/>
    <w:rsid w:val="13833692"/>
    <w:rsid w:val="138C102F"/>
    <w:rsid w:val="18271053"/>
    <w:rsid w:val="198F1879"/>
    <w:rsid w:val="19917187"/>
    <w:rsid w:val="1AB34BB2"/>
    <w:rsid w:val="1BC4626A"/>
    <w:rsid w:val="1E8A6C20"/>
    <w:rsid w:val="1F0B5E6E"/>
    <w:rsid w:val="1F3B1453"/>
    <w:rsid w:val="1FE43755"/>
    <w:rsid w:val="217407BE"/>
    <w:rsid w:val="25A14C29"/>
    <w:rsid w:val="26B73169"/>
    <w:rsid w:val="28667DC8"/>
    <w:rsid w:val="28C63019"/>
    <w:rsid w:val="29DF2316"/>
    <w:rsid w:val="2A7D0F92"/>
    <w:rsid w:val="2E511C68"/>
    <w:rsid w:val="31B85EED"/>
    <w:rsid w:val="31BC6DB2"/>
    <w:rsid w:val="31E24069"/>
    <w:rsid w:val="321502BA"/>
    <w:rsid w:val="333C1993"/>
    <w:rsid w:val="374643BF"/>
    <w:rsid w:val="38762532"/>
    <w:rsid w:val="3A7754FB"/>
    <w:rsid w:val="3A8B163D"/>
    <w:rsid w:val="3DA80861"/>
    <w:rsid w:val="3E582B66"/>
    <w:rsid w:val="3F6F5603"/>
    <w:rsid w:val="3FA5067B"/>
    <w:rsid w:val="3FF43642"/>
    <w:rsid w:val="427C7F99"/>
    <w:rsid w:val="42995069"/>
    <w:rsid w:val="456B4C42"/>
    <w:rsid w:val="462B78FB"/>
    <w:rsid w:val="493140A5"/>
    <w:rsid w:val="4AC25A4D"/>
    <w:rsid w:val="4E7E543D"/>
    <w:rsid w:val="4EC46FC0"/>
    <w:rsid w:val="4FC719C2"/>
    <w:rsid w:val="53193986"/>
    <w:rsid w:val="5328717E"/>
    <w:rsid w:val="546A778A"/>
    <w:rsid w:val="55424358"/>
    <w:rsid w:val="556904FD"/>
    <w:rsid w:val="564A6100"/>
    <w:rsid w:val="569B6EDB"/>
    <w:rsid w:val="576C79DF"/>
    <w:rsid w:val="59560B9C"/>
    <w:rsid w:val="5CA93065"/>
    <w:rsid w:val="5D0E0CB8"/>
    <w:rsid w:val="5DD74679"/>
    <w:rsid w:val="61B06439"/>
    <w:rsid w:val="63206066"/>
    <w:rsid w:val="63D12B27"/>
    <w:rsid w:val="65D542BB"/>
    <w:rsid w:val="66B71A94"/>
    <w:rsid w:val="670219DF"/>
    <w:rsid w:val="678533E6"/>
    <w:rsid w:val="68062FD3"/>
    <w:rsid w:val="68375408"/>
    <w:rsid w:val="6D276C08"/>
    <w:rsid w:val="6DEF76A4"/>
    <w:rsid w:val="6F0D5441"/>
    <w:rsid w:val="74DF5235"/>
    <w:rsid w:val="77BB52E1"/>
    <w:rsid w:val="77CE5D53"/>
    <w:rsid w:val="7842045C"/>
    <w:rsid w:val="79D60872"/>
    <w:rsid w:val="7B08579A"/>
    <w:rsid w:val="7B5D5641"/>
    <w:rsid w:val="7F5B5068"/>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10"/>
    <w:next w:val="1"/>
    <w:qFormat/>
    <w:uiPriority w:val="0"/>
    <w:pPr>
      <w:widowControl w:val="0"/>
      <w:autoSpaceDE w:val="0"/>
      <w:autoSpaceDN w:val="0"/>
      <w:adjustRightInd w:val="0"/>
    </w:pPr>
    <w:rPr>
      <w:rFonts w:ascii="宋体" w:eastAsia="宋体" w:cs="宋体"/>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1204</Words>
  <Characters>1241</Characters>
  <Lines>0</Lines>
  <Paragraphs>0</Paragraphs>
  <TotalTime>3</TotalTime>
  <ScaleCrop>false</ScaleCrop>
  <LinksUpToDate>false</LinksUpToDate>
  <CharactersWithSpaces>1300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 </cp:lastModifiedBy>
  <cp:lastPrinted>2025-09-03T02:49:00Z</cp:lastPrinted>
  <dcterms:modified xsi:type="dcterms:W3CDTF">2025-09-04T07:34:37Z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933EBAD92972405D9A634B9B97D846F8_13</vt:lpwstr>
  </property>
  <property fmtid="{D5CDD505-2E9C-101B-9397-08002B2CF9AE}" pid="4" name="KSOTemplateDocerSaveRecord">
    <vt:lpwstr>eyJoZGlkIjoiNDBhY2I4MWEwYzU3MTg4ZGUxNWJjMWE3MzA2OTBjNGIiLCJ1c2VySWQiOiI0MTAyMjQyMzMifQ==</vt:lpwstr>
  </property>
</Properties>
</file>