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9A4F4">
      <w:pPr>
        <w:spacing w:line="6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关于拟对建设项目环境影响评价文件作出审批意见的公示</w:t>
      </w:r>
    </w:p>
    <w:p w14:paraId="7EEA051D">
      <w:pPr>
        <w:spacing w:line="600" w:lineRule="exact"/>
        <w:jc w:val="center"/>
        <w:rPr>
          <w:rFonts w:eastAsia="仿宋"/>
          <w:sz w:val="32"/>
          <w:szCs w:val="32"/>
        </w:rPr>
      </w:pPr>
    </w:p>
    <w:p w14:paraId="7233D94F">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根据建设项目环境影响评价审批程序的有关规定，经审议，我局拟对</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个建设项目环境影响报告表作出批复决定。为保证此次审议工作的严肃性和公正性，现将建设项目环境影响报告表的基本情况予以公示。公示期为20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日</w:t>
      </w:r>
      <w:r>
        <w:rPr>
          <w:rFonts w:hint="eastAsia" w:ascii="Times New Roman" w:hAnsi="Times New Roman" w:eastAsia="仿宋" w:cs="Times New Roman"/>
          <w:sz w:val="32"/>
          <w:szCs w:val="32"/>
          <w:lang w:eastAsia="zh-CN"/>
        </w:rPr>
        <w:t>至</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日（共5个工作日）。</w:t>
      </w:r>
    </w:p>
    <w:p w14:paraId="121260EB">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联系电话：0825-6810213</w:t>
      </w:r>
    </w:p>
    <w:p w14:paraId="53F718B1">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通讯地址：遂宁市船山区</w:t>
      </w:r>
      <w:r>
        <w:rPr>
          <w:rFonts w:hint="default" w:ascii="Times New Roman" w:hAnsi="Times New Roman" w:eastAsia="仿宋" w:cs="Times New Roman"/>
          <w:sz w:val="32"/>
          <w:szCs w:val="32"/>
          <w:lang w:eastAsia="zh-CN"/>
        </w:rPr>
        <w:t>天宫南路</w:t>
      </w:r>
      <w:r>
        <w:rPr>
          <w:rFonts w:hint="default" w:ascii="Times New Roman" w:hAnsi="Times New Roman" w:eastAsia="仿宋" w:cs="Times New Roman"/>
          <w:sz w:val="32"/>
          <w:szCs w:val="32"/>
          <w:lang w:val="en-US" w:eastAsia="zh-CN"/>
        </w:rPr>
        <w:t>156号</w:t>
      </w:r>
      <w:r>
        <w:rPr>
          <w:rFonts w:hint="default" w:ascii="Times New Roman" w:hAnsi="Times New Roman" w:eastAsia="仿宋" w:cs="Times New Roman"/>
          <w:sz w:val="32"/>
          <w:szCs w:val="32"/>
        </w:rPr>
        <w:t>遂宁市船山</w:t>
      </w:r>
      <w:r>
        <w:rPr>
          <w:rFonts w:hint="default" w:ascii="Times New Roman" w:hAnsi="Times New Roman" w:eastAsia="仿宋" w:cs="Times New Roman"/>
          <w:sz w:val="32"/>
          <w:szCs w:val="32"/>
          <w:lang w:eastAsia="zh-CN"/>
        </w:rPr>
        <w:t>生态</w:t>
      </w:r>
      <w:r>
        <w:rPr>
          <w:rFonts w:hint="default" w:ascii="Times New Roman" w:hAnsi="Times New Roman" w:eastAsia="仿宋" w:cs="Times New Roman"/>
          <w:sz w:val="32"/>
          <w:szCs w:val="32"/>
        </w:rPr>
        <w:t>环境局</w:t>
      </w:r>
    </w:p>
    <w:p w14:paraId="7DAED78E">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听证告知：依据《中华人民共和国行政许可法》，自公示起五日内申请人、利害关系人可对以下拟作出的建设项目环境影响评价文件批复决定要求听证。</w:t>
      </w:r>
    </w:p>
    <w:p w14:paraId="1D18F396">
      <w:pPr>
        <w:spacing w:line="600" w:lineRule="exact"/>
        <w:ind w:firstLine="640" w:firstLineChars="200"/>
        <w:rPr>
          <w:rFonts w:hint="default" w:ascii="Times New Roman" w:hAnsi="Times New Roman" w:eastAsia="仿宋" w:cs="Times New Roman"/>
          <w:sz w:val="32"/>
          <w:szCs w:val="32"/>
        </w:rPr>
      </w:pPr>
    </w:p>
    <w:p w14:paraId="23CEE184">
      <w:pPr>
        <w:spacing w:line="600" w:lineRule="exact"/>
        <w:ind w:firstLine="640" w:firstLineChars="200"/>
        <w:rPr>
          <w:rFonts w:hint="default" w:ascii="Times New Roman" w:hAnsi="Times New Roman" w:eastAsia="仿宋" w:cs="Times New Roman"/>
          <w:sz w:val="32"/>
          <w:szCs w:val="32"/>
        </w:rPr>
      </w:pPr>
    </w:p>
    <w:p w14:paraId="776C74FB">
      <w:pPr>
        <w:spacing w:line="600" w:lineRule="exact"/>
        <w:ind w:firstLine="9600" w:firstLineChars="3000"/>
        <w:rPr>
          <w:rFonts w:hint="default" w:ascii="Times New Roman" w:hAnsi="Times New Roman" w:eastAsia="仿宋" w:cs="Times New Roman"/>
          <w:sz w:val="32"/>
          <w:szCs w:val="32"/>
        </w:rPr>
      </w:pPr>
    </w:p>
    <w:p w14:paraId="644DE607">
      <w:pPr>
        <w:spacing w:line="600" w:lineRule="exact"/>
        <w:ind w:firstLine="9280" w:firstLineChars="29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遂宁市船山生态环境局</w:t>
      </w:r>
    </w:p>
    <w:p w14:paraId="5B0F2493">
      <w:pPr>
        <w:spacing w:line="600" w:lineRule="exact"/>
        <w:ind w:firstLine="9600" w:firstLineChars="30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日</w:t>
      </w:r>
    </w:p>
    <w:p w14:paraId="6F575EE0">
      <w:pPr>
        <w:spacing w:line="600" w:lineRule="exact"/>
        <w:ind w:firstLine="9600" w:firstLineChars="3000"/>
        <w:rPr>
          <w:rFonts w:hint="eastAsia" w:ascii="仿宋_GB2312" w:eastAsia="仿宋_GB2312"/>
          <w:sz w:val="32"/>
          <w:szCs w:val="32"/>
        </w:rPr>
      </w:pPr>
    </w:p>
    <w:p w14:paraId="184C032C">
      <w:pPr>
        <w:spacing w:line="600" w:lineRule="exact"/>
        <w:ind w:firstLine="9600" w:firstLineChars="3000"/>
        <w:rPr>
          <w:rFonts w:hint="eastAsia" w:ascii="仿宋_GB2312" w:eastAsia="仿宋_GB2312"/>
          <w:sz w:val="32"/>
          <w:szCs w:val="32"/>
        </w:rPr>
      </w:pPr>
    </w:p>
    <w:p w14:paraId="091620DD">
      <w:pPr>
        <w:spacing w:line="600" w:lineRule="exact"/>
        <w:ind w:firstLine="9600" w:firstLineChars="3000"/>
        <w:rPr>
          <w:rFonts w:hint="eastAsia" w:ascii="仿宋_GB2312" w:eastAsia="仿宋_GB2312"/>
          <w:sz w:val="32"/>
          <w:szCs w:val="32"/>
        </w:rPr>
      </w:pPr>
    </w:p>
    <w:p w14:paraId="6B899839">
      <w:pPr>
        <w:spacing w:line="600" w:lineRule="exact"/>
        <w:rPr>
          <w:rFonts w:hint="eastAsia" w:ascii="仿宋_GB2312" w:eastAsia="仿宋_GB2312"/>
          <w:sz w:val="32"/>
          <w:szCs w:val="32"/>
        </w:rPr>
      </w:pPr>
    </w:p>
    <w:p w14:paraId="56B1A4BC">
      <w:pPr>
        <w:numPr>
          <w:ilvl w:val="0"/>
          <w:numId w:val="1"/>
        </w:num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拟批准的建设项目</w:t>
      </w:r>
    </w:p>
    <w:p w14:paraId="3B788BE2">
      <w:pPr>
        <w:spacing w:line="576" w:lineRule="exact"/>
        <w:jc w:val="center"/>
        <w:rPr>
          <w:rFonts w:hint="eastAsia" w:ascii="仿宋" w:hAnsi="仿宋" w:eastAsia="仿宋" w:cs="仿宋"/>
          <w:spacing w:val="-10"/>
          <w:sz w:val="30"/>
          <w:szCs w:val="30"/>
        </w:rPr>
      </w:pPr>
    </w:p>
    <w:tbl>
      <w:tblPr>
        <w:tblStyle w:val="15"/>
        <w:tblpPr w:leftFromText="180" w:rightFromText="180" w:vertAnchor="text" w:horzAnchor="page" w:tblpX="784" w:tblpY="604"/>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25"/>
        <w:gridCol w:w="962"/>
        <w:gridCol w:w="975"/>
        <w:gridCol w:w="1225"/>
        <w:gridCol w:w="3543"/>
        <w:gridCol w:w="6063"/>
      </w:tblGrid>
      <w:tr w14:paraId="726B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663" w:type="dxa"/>
            <w:vAlign w:val="center"/>
          </w:tcPr>
          <w:p w14:paraId="0210022B">
            <w:pPr>
              <w:keepNext w:val="0"/>
              <w:keepLines w:val="0"/>
              <w:pageBreakBefore w:val="0"/>
              <w:kinsoku/>
              <w:wordWrap/>
              <w:overflowPunct/>
              <w:topLinePunct w:val="0"/>
              <w:autoSpaceDE/>
              <w:autoSpaceDN/>
              <w:bidi w:val="0"/>
              <w:spacing w:line="240" w:lineRule="atLeast"/>
              <w:jc w:val="center"/>
              <w:rPr>
                <w:rFonts w:hint="eastAsia" w:ascii="仿宋" w:hAnsi="仿宋" w:eastAsia="仿宋" w:cs="仿宋"/>
                <w:color w:val="auto"/>
                <w:spacing w:val="-10"/>
                <w:kern w:val="2"/>
                <w:sz w:val="30"/>
                <w:szCs w:val="30"/>
                <w:lang w:val="en-US" w:eastAsia="zh-CN" w:bidi="ar-SA"/>
              </w:rPr>
            </w:pPr>
            <w:r>
              <w:rPr>
                <w:rFonts w:hint="eastAsia" w:ascii="仿宋" w:hAnsi="仿宋" w:eastAsia="仿宋" w:cs="仿宋"/>
                <w:color w:val="auto"/>
                <w:spacing w:val="-10"/>
                <w:kern w:val="2"/>
                <w:sz w:val="30"/>
                <w:szCs w:val="30"/>
                <w:lang w:val="en-US" w:eastAsia="zh-CN" w:bidi="ar-SA"/>
              </w:rPr>
              <w:t>序号</w:t>
            </w:r>
          </w:p>
        </w:tc>
        <w:tc>
          <w:tcPr>
            <w:tcW w:w="1425" w:type="dxa"/>
            <w:vAlign w:val="center"/>
          </w:tcPr>
          <w:p w14:paraId="1B6D0B89">
            <w:pPr>
              <w:keepNext w:val="0"/>
              <w:keepLines w:val="0"/>
              <w:pageBreakBefore w:val="0"/>
              <w:kinsoku/>
              <w:wordWrap/>
              <w:overflowPunct/>
              <w:topLinePunct w:val="0"/>
              <w:autoSpaceDE/>
              <w:autoSpaceDN/>
              <w:bidi w:val="0"/>
              <w:spacing w:line="240" w:lineRule="atLeast"/>
              <w:jc w:val="center"/>
              <w:rPr>
                <w:rFonts w:hint="eastAsia" w:ascii="仿宋" w:hAnsi="仿宋" w:eastAsia="仿宋" w:cs="仿宋"/>
                <w:color w:val="auto"/>
                <w:spacing w:val="-10"/>
                <w:kern w:val="2"/>
                <w:sz w:val="30"/>
                <w:szCs w:val="30"/>
                <w:lang w:val="en-US" w:eastAsia="zh-CN" w:bidi="ar-SA"/>
              </w:rPr>
            </w:pPr>
            <w:r>
              <w:rPr>
                <w:rFonts w:hint="eastAsia" w:ascii="仿宋" w:hAnsi="仿宋" w:eastAsia="仿宋" w:cs="仿宋"/>
                <w:color w:val="auto"/>
                <w:spacing w:val="-10"/>
                <w:kern w:val="2"/>
                <w:sz w:val="30"/>
                <w:szCs w:val="30"/>
                <w:lang w:val="en-US" w:eastAsia="zh-CN" w:bidi="ar-SA"/>
              </w:rPr>
              <w:t>项目名称</w:t>
            </w:r>
          </w:p>
        </w:tc>
        <w:tc>
          <w:tcPr>
            <w:tcW w:w="962" w:type="dxa"/>
            <w:vAlign w:val="center"/>
          </w:tcPr>
          <w:p w14:paraId="1D46AEFB">
            <w:pPr>
              <w:keepNext w:val="0"/>
              <w:keepLines w:val="0"/>
              <w:pageBreakBefore w:val="0"/>
              <w:kinsoku/>
              <w:wordWrap/>
              <w:overflowPunct/>
              <w:topLinePunct w:val="0"/>
              <w:autoSpaceDE/>
              <w:autoSpaceDN/>
              <w:bidi w:val="0"/>
              <w:spacing w:line="240" w:lineRule="atLeast"/>
              <w:jc w:val="center"/>
              <w:rPr>
                <w:rFonts w:hint="eastAsia" w:ascii="仿宋" w:hAnsi="仿宋" w:eastAsia="仿宋" w:cs="仿宋"/>
                <w:color w:val="auto"/>
                <w:spacing w:val="-10"/>
                <w:kern w:val="2"/>
                <w:sz w:val="30"/>
                <w:szCs w:val="30"/>
                <w:lang w:val="en-US" w:eastAsia="zh-CN" w:bidi="ar-SA"/>
              </w:rPr>
            </w:pPr>
            <w:r>
              <w:rPr>
                <w:rFonts w:hint="eastAsia" w:ascii="仿宋" w:hAnsi="仿宋" w:eastAsia="仿宋" w:cs="仿宋"/>
                <w:color w:val="auto"/>
                <w:spacing w:val="-10"/>
                <w:kern w:val="2"/>
                <w:sz w:val="30"/>
                <w:szCs w:val="30"/>
                <w:lang w:val="en-US" w:eastAsia="zh-CN" w:bidi="ar-SA"/>
              </w:rPr>
              <w:t>建设地点</w:t>
            </w:r>
          </w:p>
        </w:tc>
        <w:tc>
          <w:tcPr>
            <w:tcW w:w="975" w:type="dxa"/>
            <w:vAlign w:val="center"/>
          </w:tcPr>
          <w:p w14:paraId="4A9E2752">
            <w:pPr>
              <w:keepNext w:val="0"/>
              <w:keepLines w:val="0"/>
              <w:pageBreakBefore w:val="0"/>
              <w:kinsoku/>
              <w:wordWrap/>
              <w:overflowPunct/>
              <w:topLinePunct w:val="0"/>
              <w:autoSpaceDE/>
              <w:autoSpaceDN/>
              <w:bidi w:val="0"/>
              <w:spacing w:line="240" w:lineRule="atLeast"/>
              <w:jc w:val="center"/>
              <w:rPr>
                <w:rFonts w:hint="eastAsia" w:ascii="仿宋" w:hAnsi="仿宋" w:eastAsia="仿宋" w:cs="仿宋"/>
                <w:color w:val="auto"/>
                <w:spacing w:val="-10"/>
                <w:kern w:val="2"/>
                <w:sz w:val="30"/>
                <w:szCs w:val="30"/>
                <w:lang w:val="en-US" w:eastAsia="zh-CN" w:bidi="ar-SA"/>
              </w:rPr>
            </w:pPr>
            <w:r>
              <w:rPr>
                <w:rFonts w:hint="eastAsia" w:ascii="仿宋" w:hAnsi="仿宋" w:eastAsia="仿宋" w:cs="仿宋"/>
                <w:color w:val="auto"/>
                <w:spacing w:val="-10"/>
                <w:kern w:val="2"/>
                <w:sz w:val="30"/>
                <w:szCs w:val="30"/>
                <w:lang w:val="en-US" w:eastAsia="zh-CN" w:bidi="ar-SA"/>
              </w:rPr>
              <w:t>建设单位</w:t>
            </w:r>
          </w:p>
        </w:tc>
        <w:tc>
          <w:tcPr>
            <w:tcW w:w="1225" w:type="dxa"/>
            <w:vAlign w:val="center"/>
          </w:tcPr>
          <w:p w14:paraId="3161AE5B">
            <w:pPr>
              <w:keepNext w:val="0"/>
              <w:keepLines w:val="0"/>
              <w:pageBreakBefore w:val="0"/>
              <w:kinsoku/>
              <w:wordWrap/>
              <w:overflowPunct/>
              <w:topLinePunct w:val="0"/>
              <w:autoSpaceDE/>
              <w:autoSpaceDN/>
              <w:bidi w:val="0"/>
              <w:spacing w:line="240" w:lineRule="atLeast"/>
              <w:jc w:val="center"/>
              <w:rPr>
                <w:rFonts w:hint="eastAsia" w:ascii="仿宋" w:hAnsi="仿宋" w:eastAsia="仿宋" w:cs="仿宋"/>
                <w:color w:val="auto"/>
                <w:spacing w:val="-10"/>
                <w:kern w:val="2"/>
                <w:sz w:val="30"/>
                <w:szCs w:val="30"/>
                <w:lang w:val="en-US" w:eastAsia="zh-CN" w:bidi="ar-SA"/>
              </w:rPr>
            </w:pPr>
            <w:r>
              <w:rPr>
                <w:rFonts w:hint="eastAsia" w:ascii="仿宋" w:hAnsi="仿宋" w:eastAsia="仿宋" w:cs="仿宋"/>
                <w:color w:val="auto"/>
                <w:spacing w:val="-10"/>
                <w:kern w:val="2"/>
                <w:sz w:val="30"/>
                <w:szCs w:val="30"/>
                <w:lang w:val="en-US" w:eastAsia="zh-CN" w:bidi="ar-SA"/>
              </w:rPr>
              <w:t>环境影响评价机构</w:t>
            </w:r>
          </w:p>
        </w:tc>
        <w:tc>
          <w:tcPr>
            <w:tcW w:w="3543" w:type="dxa"/>
            <w:vAlign w:val="center"/>
          </w:tcPr>
          <w:p w14:paraId="3BBD6C62">
            <w:pPr>
              <w:keepNext w:val="0"/>
              <w:keepLines w:val="0"/>
              <w:pageBreakBefore w:val="0"/>
              <w:kinsoku/>
              <w:wordWrap/>
              <w:overflowPunct/>
              <w:topLinePunct w:val="0"/>
              <w:autoSpaceDE/>
              <w:autoSpaceDN/>
              <w:bidi w:val="0"/>
              <w:spacing w:line="240" w:lineRule="atLeast"/>
              <w:jc w:val="center"/>
              <w:rPr>
                <w:rFonts w:hint="eastAsia" w:ascii="仿宋" w:hAnsi="仿宋" w:eastAsia="仿宋" w:cs="仿宋"/>
                <w:color w:val="auto"/>
                <w:spacing w:val="-10"/>
                <w:kern w:val="2"/>
                <w:sz w:val="30"/>
                <w:szCs w:val="30"/>
                <w:lang w:val="en-US" w:eastAsia="zh-CN" w:bidi="ar-SA"/>
              </w:rPr>
            </w:pPr>
            <w:r>
              <w:rPr>
                <w:rFonts w:hint="eastAsia" w:ascii="仿宋" w:hAnsi="仿宋" w:eastAsia="仿宋" w:cs="仿宋"/>
                <w:color w:val="auto"/>
                <w:spacing w:val="-10"/>
                <w:kern w:val="2"/>
                <w:sz w:val="30"/>
                <w:szCs w:val="30"/>
                <w:lang w:val="en-US" w:eastAsia="zh-CN" w:bidi="ar-SA"/>
              </w:rPr>
              <w:t>项目概况</w:t>
            </w:r>
          </w:p>
        </w:tc>
        <w:tc>
          <w:tcPr>
            <w:tcW w:w="6063" w:type="dxa"/>
            <w:vAlign w:val="center"/>
          </w:tcPr>
          <w:p w14:paraId="5A063D4C">
            <w:pPr>
              <w:keepNext w:val="0"/>
              <w:keepLines w:val="0"/>
              <w:pageBreakBefore w:val="0"/>
              <w:kinsoku/>
              <w:wordWrap/>
              <w:overflowPunct/>
              <w:topLinePunct w:val="0"/>
              <w:autoSpaceDE/>
              <w:autoSpaceDN/>
              <w:bidi w:val="0"/>
              <w:spacing w:line="240" w:lineRule="atLeast"/>
              <w:jc w:val="center"/>
              <w:rPr>
                <w:rFonts w:hint="eastAsia" w:ascii="仿宋" w:hAnsi="仿宋" w:eastAsia="仿宋" w:cs="仿宋"/>
                <w:spacing w:val="-10"/>
                <w:sz w:val="30"/>
                <w:szCs w:val="30"/>
              </w:rPr>
            </w:pPr>
            <w:r>
              <w:rPr>
                <w:rFonts w:hint="eastAsia" w:ascii="仿宋" w:hAnsi="仿宋" w:eastAsia="仿宋" w:cs="仿宋"/>
                <w:color w:val="auto"/>
                <w:spacing w:val="-10"/>
                <w:kern w:val="2"/>
                <w:sz w:val="30"/>
                <w:szCs w:val="30"/>
                <w:lang w:val="en-US" w:eastAsia="zh-CN" w:bidi="ar-SA"/>
              </w:rPr>
              <w:t>报告（表）提出的主要环境影响及预防或者减轻不良环境影响的对策和措施</w:t>
            </w:r>
          </w:p>
        </w:tc>
      </w:tr>
      <w:tr w14:paraId="665A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trPr>
        <w:tc>
          <w:tcPr>
            <w:tcW w:w="663" w:type="dxa"/>
            <w:vAlign w:val="top"/>
          </w:tcPr>
          <w:p w14:paraId="1F6197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11</w:t>
            </w:r>
          </w:p>
        </w:tc>
        <w:tc>
          <w:tcPr>
            <w:tcW w:w="1425" w:type="dxa"/>
            <w:shd w:val="clear" w:color="auto" w:fill="auto"/>
            <w:vAlign w:val="top"/>
          </w:tcPr>
          <w:p w14:paraId="3887FAF0">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遂宁市桂焱建材有限公司升级改造项目</w:t>
            </w:r>
          </w:p>
        </w:tc>
        <w:tc>
          <w:tcPr>
            <w:tcW w:w="962" w:type="dxa"/>
            <w:shd w:val="clear" w:color="auto" w:fill="auto"/>
            <w:vAlign w:val="top"/>
          </w:tcPr>
          <w:p w14:paraId="6521438A">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遂宁市船山区桂花镇桂圆桥村一、二社</w:t>
            </w:r>
          </w:p>
        </w:tc>
        <w:tc>
          <w:tcPr>
            <w:tcW w:w="975" w:type="dxa"/>
            <w:shd w:val="clear" w:color="auto" w:fill="auto"/>
            <w:vAlign w:val="top"/>
          </w:tcPr>
          <w:p w14:paraId="60340723">
            <w:pPr>
              <w:spacing w:line="600" w:lineRule="exact"/>
              <w:rPr>
                <w:rFonts w:hint="eastAsia" w:ascii="Times New Roman" w:hAnsi="Times New Roman" w:eastAsia="仿宋" w:cs="Times New Roman"/>
                <w:color w:val="auto"/>
                <w:spacing w:val="-10"/>
                <w:kern w:val="2"/>
                <w:sz w:val="32"/>
                <w:szCs w:val="32"/>
                <w:lang w:val="en-US" w:eastAsia="zh-CN" w:bidi="ar-SA"/>
              </w:rPr>
            </w:pPr>
            <w:r>
              <w:rPr>
                <w:rFonts w:hint="eastAsia" w:ascii="Times New Roman" w:hAnsi="Times New Roman" w:eastAsia="仿宋" w:cs="Times New Roman"/>
                <w:color w:val="auto"/>
                <w:spacing w:val="-10"/>
                <w:kern w:val="2"/>
                <w:sz w:val="32"/>
                <w:szCs w:val="32"/>
                <w:lang w:val="en-US" w:eastAsia="zh-CN" w:bidi="ar-SA"/>
              </w:rPr>
              <w:t>遂宁市桂焱建材有限责任公司</w:t>
            </w:r>
          </w:p>
          <w:p w14:paraId="6E56A9D6">
            <w:pPr>
              <w:spacing w:line="600" w:lineRule="exact"/>
              <w:rPr>
                <w:rFonts w:hint="eastAsia" w:ascii="Times New Roman" w:hAnsi="Times New Roman" w:eastAsia="仿宋" w:cs="Times New Roman"/>
                <w:color w:val="auto"/>
                <w:spacing w:val="-10"/>
                <w:kern w:val="2"/>
                <w:sz w:val="32"/>
                <w:szCs w:val="32"/>
                <w:lang w:val="en-US" w:eastAsia="zh-CN" w:bidi="ar-SA"/>
              </w:rPr>
            </w:pPr>
          </w:p>
        </w:tc>
        <w:tc>
          <w:tcPr>
            <w:tcW w:w="1225" w:type="dxa"/>
            <w:shd w:val="clear" w:color="auto" w:fill="auto"/>
            <w:vAlign w:val="top"/>
          </w:tcPr>
          <w:p w14:paraId="16E59186">
            <w:pPr>
              <w:spacing w:line="600" w:lineRule="exact"/>
              <w:rPr>
                <w:rFonts w:hint="eastAsia" w:ascii="Times New Roman" w:hAnsi="Times New Roman" w:eastAsia="仿宋" w:cs="Times New Roman"/>
                <w:color w:val="auto"/>
                <w:spacing w:val="-10"/>
                <w:kern w:val="2"/>
                <w:sz w:val="32"/>
                <w:szCs w:val="32"/>
                <w:lang w:val="en-US" w:eastAsia="zh-CN" w:bidi="ar-SA"/>
              </w:rPr>
            </w:pPr>
            <w:r>
              <w:rPr>
                <w:rFonts w:hint="eastAsia" w:ascii="Times New Roman" w:hAnsi="Times New Roman" w:eastAsia="仿宋" w:cs="Times New Roman"/>
                <w:color w:val="auto"/>
                <w:spacing w:val="-10"/>
                <w:kern w:val="2"/>
                <w:sz w:val="32"/>
                <w:szCs w:val="32"/>
                <w:lang w:val="en-US" w:eastAsia="zh-CN" w:bidi="ar-SA"/>
              </w:rPr>
              <w:t>四川恒达环创科技有限公司</w:t>
            </w:r>
          </w:p>
        </w:tc>
        <w:tc>
          <w:tcPr>
            <w:tcW w:w="3543" w:type="dxa"/>
            <w:vAlign w:val="top"/>
          </w:tcPr>
          <w:p w14:paraId="6A028E32">
            <w:pPr>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根据遂船府办发</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2014</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81号文件，遂府办函</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2013</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69号文件精神，遂宁市桂焱建材有限责任公司由六家砖瓦企业合并组成，于2016年开工建设，2017年投产，窑体有效宽度9.88米，有效高度1.85米，窑体长度160米，陈化仓11000立方米，750-650砖机一台，年产能8000万匹，主要产品为烧结页岩空心砖，为了更好地环保，节能，现将环保设施升级改造。不增加砖厂产能。</w:t>
            </w:r>
          </w:p>
          <w:p w14:paraId="02471075">
            <w:pPr>
              <w:pageBreakBefore w:val="0"/>
              <w:widowControl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项目投资：500万元</w:t>
            </w:r>
            <w:r>
              <w:rPr>
                <w:rFonts w:hint="eastAsia" w:ascii="Times New Roman" w:hAnsi="Times New Roman" w:cs="Times New Roman"/>
                <w:color w:val="auto"/>
                <w:lang w:val="en-US" w:eastAsia="zh-CN"/>
              </w:rPr>
              <w:t>。</w:t>
            </w:r>
          </w:p>
          <w:p w14:paraId="4A098A72">
            <w:pPr>
              <w:autoSpaceDE w:val="0"/>
              <w:autoSpaceDN w:val="0"/>
              <w:adjustRightInd w:val="0"/>
              <w:ind w:firstLine="600" w:firstLineChars="200"/>
              <w:rPr>
                <w:rFonts w:hint="eastAsia" w:ascii="仿宋" w:hAnsi="仿宋" w:eastAsia="仿宋" w:cs="仿宋"/>
                <w:color w:val="auto"/>
                <w:sz w:val="30"/>
                <w:szCs w:val="30"/>
                <w:lang w:val="en-US" w:eastAsia="zh-CN"/>
              </w:rPr>
            </w:pPr>
          </w:p>
        </w:tc>
        <w:tc>
          <w:tcPr>
            <w:tcW w:w="6063" w:type="dxa"/>
            <w:vAlign w:val="top"/>
          </w:tcPr>
          <w:p w14:paraId="57692D4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jc w:val="left"/>
              <w:rPr>
                <w:rFonts w:hint="eastAsia" w:ascii="Helvetica" w:hAnsi="Helvetica" w:eastAsia="Helvetica" w:cs="Helvetica"/>
                <w:i w:val="0"/>
                <w:iCs w:val="0"/>
                <w:caps w:val="0"/>
                <w:color w:val="000000"/>
                <w:spacing w:val="0"/>
                <w:sz w:val="24"/>
                <w:szCs w:val="24"/>
                <w:lang w:val="en-US" w:eastAsia="zh-CN"/>
              </w:rPr>
            </w:pPr>
            <w:r>
              <w:rPr>
                <w:rFonts w:hint="default" w:ascii="Helvetica" w:hAnsi="Helvetica" w:eastAsia="Helvetica" w:cs="Helvetica"/>
                <w:i w:val="0"/>
                <w:iCs w:val="0"/>
                <w:caps w:val="0"/>
                <w:color w:val="000000"/>
                <w:spacing w:val="0"/>
                <w:sz w:val="24"/>
                <w:szCs w:val="24"/>
              </w:rPr>
              <w:t>1、 废水：</w:t>
            </w:r>
            <w:r>
              <w:rPr>
                <w:rFonts w:hint="eastAsia" w:ascii="Helvetica" w:hAnsi="Helvetica" w:eastAsia="Helvetica" w:cs="Helvetica"/>
                <w:i w:val="0"/>
                <w:iCs w:val="0"/>
                <w:caps w:val="0"/>
                <w:color w:val="000000"/>
                <w:spacing w:val="0"/>
                <w:sz w:val="24"/>
                <w:szCs w:val="24"/>
                <w:lang w:val="en-US" w:eastAsia="zh-CN"/>
              </w:rPr>
              <w:t>项目无生产废水外排，生活污水经化粪池处理后用作周边农田施肥。</w:t>
            </w:r>
          </w:p>
          <w:p w14:paraId="733848A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jc w:val="left"/>
              <w:rPr>
                <w:rFonts w:hint="default" w:ascii="Helvetica" w:hAnsi="Helvetica" w:eastAsia="Helvetica" w:cs="Helvetica"/>
                <w:i w:val="0"/>
                <w:iCs w:val="0"/>
                <w:caps w:val="0"/>
                <w:color w:val="000000"/>
                <w:spacing w:val="0"/>
                <w:sz w:val="24"/>
                <w:szCs w:val="24"/>
                <w:lang w:val="en-US" w:eastAsia="zh-CN"/>
              </w:rPr>
            </w:pPr>
            <w:r>
              <w:rPr>
                <w:rFonts w:hint="default" w:ascii="Helvetica" w:hAnsi="Helvetica" w:eastAsia="Helvetica" w:cs="Helvetica"/>
                <w:i w:val="0"/>
                <w:iCs w:val="0"/>
                <w:caps w:val="0"/>
                <w:color w:val="000000"/>
                <w:spacing w:val="0"/>
                <w:sz w:val="24"/>
                <w:szCs w:val="24"/>
                <w:lang w:val="en-US" w:eastAsia="zh-CN"/>
              </w:rPr>
              <w:t>2、 废气:项目拟通过引风机将废气引入</w:t>
            </w:r>
            <w:r>
              <w:rPr>
                <w:rFonts w:hint="eastAsia" w:ascii="Helvetica" w:hAnsi="Helvetica" w:eastAsia="Helvetica" w:cs="Helvetica"/>
                <w:i w:val="0"/>
                <w:iCs w:val="0"/>
                <w:caps w:val="0"/>
                <w:color w:val="000000"/>
                <w:spacing w:val="0"/>
                <w:sz w:val="24"/>
                <w:szCs w:val="24"/>
                <w:lang w:val="en-US" w:eastAsia="zh-CN"/>
              </w:rPr>
              <w:t>一套</w:t>
            </w:r>
            <w:r>
              <w:rPr>
                <w:rFonts w:hint="default" w:ascii="Helvetica" w:hAnsi="Helvetica" w:eastAsia="Helvetica" w:cs="Helvetica"/>
                <w:i w:val="0"/>
                <w:iCs w:val="0"/>
                <w:caps w:val="0"/>
                <w:color w:val="000000"/>
                <w:spacing w:val="0"/>
                <w:sz w:val="24"/>
                <w:szCs w:val="24"/>
                <w:lang w:val="en-US" w:eastAsia="zh-CN"/>
              </w:rPr>
              <w:t>脱硫除尘装置中进行处置，废气经脱硫除尘后，通过</w:t>
            </w:r>
            <w:r>
              <w:rPr>
                <w:rFonts w:hint="eastAsia" w:ascii="Helvetica" w:hAnsi="Helvetica" w:eastAsia="Helvetica" w:cs="Helvetica"/>
                <w:i w:val="0"/>
                <w:iCs w:val="0"/>
                <w:caps w:val="0"/>
                <w:color w:val="000000"/>
                <w:spacing w:val="0"/>
                <w:sz w:val="24"/>
                <w:szCs w:val="24"/>
                <w:lang w:val="en-US" w:eastAsia="zh-CN"/>
              </w:rPr>
              <w:t>28m</w:t>
            </w:r>
            <w:r>
              <w:rPr>
                <w:rFonts w:hint="default" w:ascii="Helvetica" w:hAnsi="Helvetica" w:eastAsia="Helvetica" w:cs="Helvetica"/>
                <w:i w:val="0"/>
                <w:iCs w:val="0"/>
                <w:caps w:val="0"/>
                <w:color w:val="000000"/>
                <w:spacing w:val="0"/>
                <w:sz w:val="24"/>
                <w:szCs w:val="24"/>
                <w:lang w:val="en-US" w:eastAsia="zh-CN"/>
              </w:rPr>
              <w:t>高排气筒</w:t>
            </w:r>
            <w:r>
              <w:rPr>
                <w:rFonts w:hint="eastAsia" w:ascii="Helvetica" w:hAnsi="Helvetica" w:eastAsia="Helvetica" w:cs="Helvetica"/>
                <w:i w:val="0"/>
                <w:iCs w:val="0"/>
                <w:caps w:val="0"/>
                <w:color w:val="000000"/>
                <w:spacing w:val="0"/>
                <w:sz w:val="24"/>
                <w:szCs w:val="24"/>
                <w:lang w:val="en-US" w:eastAsia="zh-CN"/>
              </w:rPr>
              <w:t>（</w:t>
            </w:r>
            <w:r>
              <w:rPr>
                <w:rFonts w:hint="default" w:ascii="Helvetica" w:hAnsi="Helvetica" w:eastAsia="Helvetica" w:cs="Helvetica"/>
                <w:i w:val="0"/>
                <w:iCs w:val="0"/>
                <w:caps w:val="0"/>
                <w:color w:val="000000"/>
                <w:spacing w:val="0"/>
                <w:sz w:val="24"/>
                <w:szCs w:val="24"/>
                <w:lang w:val="en-US" w:eastAsia="zh-CN"/>
              </w:rPr>
              <w:t>DA001</w:t>
            </w:r>
            <w:r>
              <w:rPr>
                <w:rFonts w:hint="eastAsia" w:ascii="Helvetica" w:hAnsi="Helvetica" w:eastAsia="Helvetica" w:cs="Helvetica"/>
                <w:i w:val="0"/>
                <w:iCs w:val="0"/>
                <w:caps w:val="0"/>
                <w:color w:val="000000"/>
                <w:spacing w:val="0"/>
                <w:sz w:val="24"/>
                <w:szCs w:val="24"/>
                <w:lang w:val="en-US" w:eastAsia="zh-CN"/>
              </w:rPr>
              <w:t>）</w:t>
            </w:r>
            <w:r>
              <w:rPr>
                <w:rFonts w:hint="default" w:ascii="Helvetica" w:hAnsi="Helvetica" w:eastAsia="Helvetica" w:cs="Helvetica"/>
                <w:i w:val="0"/>
                <w:iCs w:val="0"/>
                <w:caps w:val="0"/>
                <w:color w:val="000000"/>
                <w:spacing w:val="0"/>
                <w:sz w:val="24"/>
                <w:szCs w:val="24"/>
                <w:lang w:val="en-US" w:eastAsia="zh-CN"/>
              </w:rPr>
              <w:t>排放。本项目的脱硫为双碱法脱硫。本工程脱硫吸收剂采用外购双碱，双碱为钠钙双碱，钠钙双碱法是以NaOH溶液为第</w:t>
            </w:r>
            <w:r>
              <w:rPr>
                <w:rFonts w:hint="eastAsia" w:ascii="Helvetica" w:hAnsi="Helvetica" w:eastAsia="Helvetica" w:cs="Helvetica"/>
                <w:i w:val="0"/>
                <w:iCs w:val="0"/>
                <w:caps w:val="0"/>
                <w:color w:val="000000"/>
                <w:spacing w:val="0"/>
                <w:sz w:val="24"/>
                <w:szCs w:val="24"/>
                <w:lang w:val="en-US" w:eastAsia="zh-CN"/>
              </w:rPr>
              <w:t>一</w:t>
            </w:r>
            <w:r>
              <w:rPr>
                <w:rFonts w:hint="default" w:ascii="Helvetica" w:hAnsi="Helvetica" w:eastAsia="Helvetica" w:cs="Helvetica"/>
                <w:i w:val="0"/>
                <w:iCs w:val="0"/>
                <w:caps w:val="0"/>
                <w:color w:val="000000"/>
                <w:spacing w:val="0"/>
                <w:sz w:val="24"/>
                <w:szCs w:val="24"/>
                <w:lang w:val="en-US" w:eastAsia="zh-CN"/>
              </w:rPr>
              <w:t>碱吸收烟气中的SO</w:t>
            </w:r>
            <w:r>
              <w:rPr>
                <w:rFonts w:hint="eastAsia" w:ascii="Helvetica" w:hAnsi="Helvetica" w:eastAsia="Helvetica" w:cs="Helvetica"/>
                <w:i w:val="0"/>
                <w:iCs w:val="0"/>
                <w:caps w:val="0"/>
                <w:color w:val="000000"/>
                <w:spacing w:val="0"/>
                <w:sz w:val="24"/>
                <w:szCs w:val="24"/>
                <w:lang w:val="en-US" w:eastAsia="zh-CN"/>
              </w:rPr>
              <w:t>2</w:t>
            </w:r>
            <w:r>
              <w:rPr>
                <w:rFonts w:hint="default" w:ascii="Helvetica" w:hAnsi="Helvetica" w:eastAsia="Helvetica" w:cs="Helvetica"/>
                <w:i w:val="0"/>
                <w:iCs w:val="0"/>
                <w:caps w:val="0"/>
                <w:color w:val="000000"/>
                <w:spacing w:val="0"/>
                <w:sz w:val="24"/>
                <w:szCs w:val="24"/>
                <w:lang w:val="en-US" w:eastAsia="zh-CN"/>
              </w:rPr>
              <w:t>，然后再用石灰石或石灰作为第二碱，对吸收液进行再生，产生CaSO、CaSO沉淀，并把沉淀物移出系统。再生后的吸收液主要含钠碱，不易引起系统结构堵塞。澄清后的吸收液送回吸收塔循环使用。它综合了石灰法和钠碱法的优点，同时也避免了石灰法和钠碱法的缺点。</w:t>
            </w:r>
            <w:r>
              <w:rPr>
                <w:rFonts w:hint="eastAsia" w:ascii="Times New Roman" w:hAnsi="Times New Roman" w:eastAsia="宋体" w:cs="Times New Roman"/>
                <w:color w:val="auto"/>
                <w:sz w:val="21"/>
                <w:szCs w:val="21"/>
                <w:lang w:val="en-US" w:eastAsia="zh-CN"/>
              </w:rPr>
              <w:t>破碎筛分粉尘</w:t>
            </w:r>
            <w:r>
              <w:rPr>
                <w:rFonts w:hint="eastAsia" w:ascii="Times New Roman" w:hAnsi="Times New Roman" w:cs="Times New Roman"/>
                <w:color w:val="auto"/>
                <w:sz w:val="21"/>
                <w:szCs w:val="21"/>
                <w:lang w:val="en-US" w:eastAsia="zh-CN"/>
              </w:rPr>
              <w:t>处理措施为</w:t>
            </w:r>
            <w:r>
              <w:rPr>
                <w:rFonts w:hint="default" w:ascii="Times New Roman" w:hAnsi="Times New Roman" w:eastAsia="宋体" w:cs="Times New Roman"/>
                <w:color w:val="auto"/>
                <w:lang w:val="en-US" w:eastAsia="zh-CN"/>
              </w:rPr>
              <w:t>封闭厂房+</w:t>
            </w:r>
            <w:r>
              <w:rPr>
                <w:rFonts w:hint="eastAsia" w:ascii="Times New Roman" w:hAnsi="Times New Roman" w:eastAsia="宋体" w:cs="Times New Roman"/>
                <w:color w:val="auto"/>
                <w:lang w:val="en-US" w:eastAsia="zh-CN"/>
              </w:rPr>
              <w:t>袋式除尘</w:t>
            </w:r>
            <w:r>
              <w:rPr>
                <w:rFonts w:hint="eastAsia" w:ascii="Times New Roman" w:hAnsi="Times New Roman" w:cs="Times New Roman"/>
                <w:color w:val="auto"/>
                <w:lang w:val="en-US" w:eastAsia="zh-CN"/>
              </w:rPr>
              <w:t>和</w:t>
            </w:r>
            <w:r>
              <w:rPr>
                <w:rFonts w:hint="eastAsia" w:ascii="Times New Roman" w:hAnsi="Times New Roman" w:eastAsia="宋体" w:cs="Times New Roman"/>
                <w:color w:val="auto"/>
                <w:lang w:val="en-US" w:eastAsia="zh-CN"/>
              </w:rPr>
              <w:t>二级水喷淋</w:t>
            </w:r>
            <w:r>
              <w:rPr>
                <w:rFonts w:hint="eastAsia" w:ascii="Times New Roman" w:hAnsi="Times New Roman" w:cs="Times New Roman"/>
                <w:color w:val="auto"/>
                <w:lang w:val="en-US" w:eastAsia="zh-CN"/>
              </w:rPr>
              <w:t>。</w:t>
            </w:r>
            <w:bookmarkStart w:id="0" w:name="_GoBack"/>
            <w:bookmarkEnd w:id="0"/>
          </w:p>
          <w:p w14:paraId="53AE10B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jc w:val="left"/>
              <w:rPr>
                <w:rFonts w:hint="eastAsia" w:ascii="Helvetica" w:hAnsi="Helvetica" w:eastAsia="Helvetica" w:cs="Helvetica"/>
                <w:i w:val="0"/>
                <w:iCs w:val="0"/>
                <w:caps w:val="0"/>
                <w:color w:val="000000"/>
                <w:spacing w:val="0"/>
                <w:sz w:val="24"/>
                <w:szCs w:val="24"/>
                <w:lang w:val="en-US" w:eastAsia="zh-CN"/>
              </w:rPr>
            </w:pPr>
            <w:r>
              <w:rPr>
                <w:rFonts w:hint="eastAsia" w:ascii="Helvetica" w:hAnsi="Helvetica" w:eastAsia="Helvetica" w:cs="Helvetica"/>
                <w:i w:val="0"/>
                <w:iCs w:val="0"/>
                <w:caps w:val="0"/>
                <w:color w:val="000000"/>
                <w:spacing w:val="0"/>
                <w:sz w:val="24"/>
                <w:szCs w:val="24"/>
                <w:lang w:val="en-US" w:eastAsia="zh-CN"/>
              </w:rPr>
              <w:t>3</w:t>
            </w:r>
            <w:r>
              <w:rPr>
                <w:rFonts w:hint="default" w:ascii="Helvetica" w:hAnsi="Helvetica" w:eastAsia="Helvetica" w:cs="Helvetica"/>
                <w:i w:val="0"/>
                <w:iCs w:val="0"/>
                <w:caps w:val="0"/>
                <w:color w:val="000000"/>
                <w:spacing w:val="0"/>
                <w:sz w:val="24"/>
                <w:szCs w:val="24"/>
                <w:lang w:val="en-US" w:eastAsia="zh-CN"/>
              </w:rPr>
              <w:t>、噪声：</w:t>
            </w:r>
            <w:r>
              <w:rPr>
                <w:rFonts w:hint="eastAsia" w:ascii="Helvetica" w:hAnsi="Helvetica" w:eastAsia="Helvetica" w:cs="Helvetica"/>
                <w:i w:val="0"/>
                <w:iCs w:val="0"/>
                <w:caps w:val="0"/>
                <w:color w:val="000000"/>
                <w:spacing w:val="0"/>
                <w:sz w:val="24"/>
                <w:szCs w:val="24"/>
                <w:lang w:val="en-US" w:eastAsia="zh-CN"/>
              </w:rPr>
              <w:t>项目</w:t>
            </w:r>
            <w:r>
              <w:rPr>
                <w:rFonts w:hint="default" w:ascii="Helvetica" w:hAnsi="Helvetica" w:eastAsia="Helvetica" w:cs="Helvetica"/>
                <w:i w:val="0"/>
                <w:iCs w:val="0"/>
                <w:caps w:val="0"/>
                <w:color w:val="000000"/>
                <w:spacing w:val="0"/>
                <w:sz w:val="24"/>
                <w:szCs w:val="24"/>
                <w:lang w:val="en-US" w:eastAsia="zh-CN"/>
              </w:rPr>
              <w:t>不新增噪声设备，不会新增噪声排放量。</w:t>
            </w:r>
          </w:p>
          <w:p w14:paraId="68F2265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jc w:val="left"/>
              <w:rPr>
                <w:rFonts w:hint="default" w:ascii="Helvetica" w:hAnsi="Helvetica" w:eastAsia="Helvetica" w:cs="Helvetica"/>
                <w:i w:val="0"/>
                <w:iCs w:val="0"/>
                <w:caps w:val="0"/>
                <w:color w:val="000000"/>
                <w:spacing w:val="0"/>
                <w:sz w:val="24"/>
                <w:szCs w:val="24"/>
                <w:lang w:val="en-US" w:eastAsia="zh-CN"/>
              </w:rPr>
            </w:pPr>
            <w:r>
              <w:rPr>
                <w:rFonts w:hint="default" w:ascii="Helvetica" w:hAnsi="Helvetica" w:eastAsia="Helvetica" w:cs="Helvetica"/>
                <w:i w:val="0"/>
                <w:iCs w:val="0"/>
                <w:caps w:val="0"/>
                <w:color w:val="000000"/>
                <w:spacing w:val="0"/>
                <w:sz w:val="24"/>
                <w:szCs w:val="24"/>
                <w:lang w:val="en-US" w:eastAsia="zh-CN"/>
              </w:rPr>
              <w:t>4.固废：</w:t>
            </w:r>
            <w:r>
              <w:rPr>
                <w:rFonts w:hint="eastAsia" w:ascii="Helvetica" w:hAnsi="Helvetica" w:eastAsia="Helvetica" w:cs="Helvetica"/>
                <w:i w:val="0"/>
                <w:iCs w:val="0"/>
                <w:caps w:val="0"/>
                <w:color w:val="000000"/>
                <w:spacing w:val="0"/>
                <w:sz w:val="24"/>
                <w:szCs w:val="24"/>
                <w:lang w:val="en-US" w:eastAsia="zh-CN"/>
              </w:rPr>
              <w:t>废砖坯及废砖、除尘器收集粉尘、湿式脱硫粉尘、生产区收尘人工回收制砖；生活垃圾</w:t>
            </w:r>
            <w:r>
              <w:rPr>
                <w:rFonts w:hint="default" w:ascii="Helvetica" w:hAnsi="Helvetica" w:eastAsia="Helvetica" w:cs="Helvetica"/>
                <w:i w:val="0"/>
                <w:iCs w:val="0"/>
                <w:caps w:val="0"/>
                <w:color w:val="000000"/>
                <w:spacing w:val="0"/>
                <w:sz w:val="24"/>
                <w:szCs w:val="24"/>
                <w:lang w:val="en-US" w:eastAsia="zh-CN"/>
              </w:rPr>
              <w:t>交由环卫清运</w:t>
            </w:r>
            <w:r>
              <w:rPr>
                <w:rFonts w:hint="eastAsia" w:ascii="Helvetica" w:hAnsi="Helvetica" w:eastAsia="Helvetica" w:cs="Helvetica"/>
                <w:i w:val="0"/>
                <w:iCs w:val="0"/>
                <w:caps w:val="0"/>
                <w:color w:val="000000"/>
                <w:spacing w:val="0"/>
                <w:sz w:val="24"/>
                <w:szCs w:val="24"/>
                <w:lang w:val="en-US" w:eastAsia="zh-CN"/>
              </w:rPr>
              <w:t>；废脱硫石膏外售于附近水泥厂；危险废物种类：废机油桶、废机油、废含油棉纱抹布经收集后暂存于危废暂存间，定期交有资质的单位处置。</w:t>
            </w:r>
          </w:p>
          <w:p w14:paraId="2834649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jc w:val="left"/>
              <w:rPr>
                <w:rFonts w:hint="eastAsia"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5、土壤及地下水保护：</w:t>
            </w:r>
            <w:r>
              <w:rPr>
                <w:rFonts w:hint="eastAsia" w:ascii="Helvetica" w:hAnsi="Helvetica" w:eastAsia="Helvetica" w:cs="Helvetica"/>
                <w:i w:val="0"/>
                <w:iCs w:val="0"/>
                <w:caps w:val="0"/>
                <w:color w:val="000000"/>
                <w:spacing w:val="0"/>
                <w:sz w:val="24"/>
                <w:szCs w:val="24"/>
                <w:lang w:eastAsia="zh-CN"/>
              </w:rPr>
              <w:t>进行分区防渗，</w:t>
            </w:r>
            <w:r>
              <w:rPr>
                <w:rFonts w:hint="eastAsia" w:ascii="Helvetica" w:hAnsi="Helvetica" w:eastAsia="Helvetica" w:cs="Helvetica"/>
                <w:i w:val="0"/>
                <w:iCs w:val="0"/>
                <w:caps w:val="0"/>
                <w:color w:val="000000"/>
                <w:spacing w:val="0"/>
                <w:sz w:val="24"/>
                <w:szCs w:val="24"/>
                <w:lang w:val="en-US" w:eastAsia="zh-CN"/>
              </w:rPr>
              <w:t>对危废暂存区进行重点防渗；对生产区、化粪池、沉淀池等已采取防渗混凝土防渗；对办公生活区等进行简单防渗</w:t>
            </w:r>
            <w:r>
              <w:rPr>
                <w:rFonts w:hint="default" w:ascii="Helvetica" w:hAnsi="Helvetica" w:eastAsia="Helvetica" w:cs="Helvetica"/>
                <w:i w:val="0"/>
                <w:iCs w:val="0"/>
                <w:caps w:val="0"/>
                <w:color w:val="000000"/>
                <w:spacing w:val="0"/>
                <w:sz w:val="24"/>
                <w:szCs w:val="24"/>
              </w:rPr>
              <w:t>。</w:t>
            </w:r>
          </w:p>
          <w:p w14:paraId="01FE0159">
            <w:pPr>
              <w:autoSpaceDE w:val="0"/>
              <w:autoSpaceDN w:val="0"/>
              <w:adjustRightInd w:val="0"/>
              <w:ind w:firstLine="600" w:firstLineChars="200"/>
              <w:rPr>
                <w:rFonts w:hint="eastAsia" w:ascii="仿宋" w:hAnsi="仿宋" w:eastAsia="宋体" w:cs="仿宋"/>
                <w:color w:val="auto"/>
                <w:sz w:val="30"/>
                <w:szCs w:val="30"/>
                <w:lang w:val="en-US" w:eastAsia="zh-CN"/>
              </w:rPr>
            </w:pPr>
          </w:p>
        </w:tc>
      </w:tr>
    </w:tbl>
    <w:p w14:paraId="07138F65"/>
    <w:sectPr>
      <w:headerReference r:id="rId5" w:type="first"/>
      <w:footerReference r:id="rId8" w:type="first"/>
      <w:headerReference r:id="rId3" w:type="default"/>
      <w:footerReference r:id="rId6" w:type="default"/>
      <w:headerReference r:id="rId4" w:type="even"/>
      <w:footerReference r:id="rId7" w:type="even"/>
      <w:pgSz w:w="16838" w:h="11906" w:orient="landscape"/>
      <w:pgMar w:top="935" w:right="1800" w:bottom="62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CD50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0B70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C7C3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DAFF">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3F374">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BC1EB">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C2DDF"/>
    <w:multiLevelType w:val="multilevel"/>
    <w:tmpl w:val="00CC2DDF"/>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0145E32"/>
    <w:rsid w:val="015A2317"/>
    <w:rsid w:val="01674F86"/>
    <w:rsid w:val="03F629ED"/>
    <w:rsid w:val="0B7430F8"/>
    <w:rsid w:val="0C09417C"/>
    <w:rsid w:val="0C6C56BD"/>
    <w:rsid w:val="0D346D6D"/>
    <w:rsid w:val="0E477199"/>
    <w:rsid w:val="0FFD5E0B"/>
    <w:rsid w:val="106C789B"/>
    <w:rsid w:val="108D6F43"/>
    <w:rsid w:val="10D64FCF"/>
    <w:rsid w:val="11E36690"/>
    <w:rsid w:val="12E44667"/>
    <w:rsid w:val="1369511C"/>
    <w:rsid w:val="16C2311A"/>
    <w:rsid w:val="1A3A1B8F"/>
    <w:rsid w:val="1A7F18ED"/>
    <w:rsid w:val="1C203450"/>
    <w:rsid w:val="1C524832"/>
    <w:rsid w:val="20395362"/>
    <w:rsid w:val="21405730"/>
    <w:rsid w:val="21AF5917"/>
    <w:rsid w:val="23761E3F"/>
    <w:rsid w:val="23C23646"/>
    <w:rsid w:val="261D1AE1"/>
    <w:rsid w:val="26A3789E"/>
    <w:rsid w:val="27125B1A"/>
    <w:rsid w:val="2B72111F"/>
    <w:rsid w:val="2E512B1C"/>
    <w:rsid w:val="2EA6043A"/>
    <w:rsid w:val="2FC40C7B"/>
    <w:rsid w:val="2FD15625"/>
    <w:rsid w:val="30337DF3"/>
    <w:rsid w:val="308E72D3"/>
    <w:rsid w:val="30B3544D"/>
    <w:rsid w:val="32E25C58"/>
    <w:rsid w:val="32FB07C8"/>
    <w:rsid w:val="348E0923"/>
    <w:rsid w:val="35AD697B"/>
    <w:rsid w:val="36D40AFA"/>
    <w:rsid w:val="38371546"/>
    <w:rsid w:val="393248B4"/>
    <w:rsid w:val="393F71E6"/>
    <w:rsid w:val="3A006916"/>
    <w:rsid w:val="3CDA54E5"/>
    <w:rsid w:val="3D497D5E"/>
    <w:rsid w:val="3D9E7272"/>
    <w:rsid w:val="3EF74453"/>
    <w:rsid w:val="40841EDB"/>
    <w:rsid w:val="40C75B8D"/>
    <w:rsid w:val="447E32B6"/>
    <w:rsid w:val="44BA3EA7"/>
    <w:rsid w:val="47297723"/>
    <w:rsid w:val="47431C53"/>
    <w:rsid w:val="480037BE"/>
    <w:rsid w:val="48D77567"/>
    <w:rsid w:val="4B9956D1"/>
    <w:rsid w:val="4BCF4084"/>
    <w:rsid w:val="4E4677A8"/>
    <w:rsid w:val="50A11FE0"/>
    <w:rsid w:val="50A431F1"/>
    <w:rsid w:val="50FF1BFD"/>
    <w:rsid w:val="516C79C1"/>
    <w:rsid w:val="53816226"/>
    <w:rsid w:val="53933738"/>
    <w:rsid w:val="569714EE"/>
    <w:rsid w:val="5A6D5520"/>
    <w:rsid w:val="5AE91D44"/>
    <w:rsid w:val="5F9A3D8F"/>
    <w:rsid w:val="5FA369DB"/>
    <w:rsid w:val="61C00558"/>
    <w:rsid w:val="625D2C9A"/>
    <w:rsid w:val="63156151"/>
    <w:rsid w:val="63581D46"/>
    <w:rsid w:val="63A73796"/>
    <w:rsid w:val="6430660E"/>
    <w:rsid w:val="6483767E"/>
    <w:rsid w:val="66D55648"/>
    <w:rsid w:val="6A2970D9"/>
    <w:rsid w:val="6B8C5D73"/>
    <w:rsid w:val="6C591C44"/>
    <w:rsid w:val="6F8569DB"/>
    <w:rsid w:val="700E3DE5"/>
    <w:rsid w:val="70282FC5"/>
    <w:rsid w:val="70F3042F"/>
    <w:rsid w:val="71F664CE"/>
    <w:rsid w:val="734D36C7"/>
    <w:rsid w:val="73DE5EB2"/>
    <w:rsid w:val="75937E6F"/>
    <w:rsid w:val="7D9C6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2"/>
    <w:autoRedefine/>
    <w:qFormat/>
    <w:uiPriority w:val="0"/>
    <w:pPr>
      <w:adjustRightInd w:val="0"/>
      <w:spacing w:line="360" w:lineRule="auto"/>
      <w:jc w:val="left"/>
      <w:textAlignment w:val="baseline"/>
    </w:pPr>
    <w:rPr>
      <w:b/>
      <w:kern w:val="0"/>
      <w:sz w:val="24"/>
    </w:rPr>
  </w:style>
  <w:style w:type="paragraph" w:styleId="4">
    <w:name w:val="annotation text"/>
    <w:basedOn w:val="1"/>
    <w:qFormat/>
    <w:uiPriority w:val="0"/>
    <w:pPr>
      <w:jc w:val="left"/>
    </w:pPr>
    <w:rPr>
      <w:rFonts w:ascii="Times New Roman" w:hAnsi="Times New Roman" w:eastAsia="宋体" w:cs="Times New Roman"/>
      <w:kern w:val="0"/>
      <w:sz w:val="20"/>
    </w:r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leftChars="200"/>
    </w:pPr>
    <w:rPr>
      <w:kern w:val="0"/>
      <w:sz w:val="24"/>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next w:val="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样式5"/>
    <w:basedOn w:val="10"/>
    <w:autoRedefine/>
    <w:qFormat/>
    <w:uiPriority w:val="0"/>
    <w:pPr>
      <w:ind w:firstLine="480" w:firstLineChars="200"/>
      <w:jc w:val="left"/>
    </w:pPr>
    <w:rPr>
      <w:rFonts w:ascii="Times New Roman"/>
    </w:rPr>
  </w:style>
  <w:style w:type="paragraph" w:customStyle="1" w:styleId="10">
    <w:name w:val="样式3"/>
    <w:basedOn w:val="11"/>
    <w:autoRedefine/>
    <w:qFormat/>
    <w:uiPriority w:val="0"/>
    <w:pPr>
      <w:spacing w:line="240" w:lineRule="exact"/>
      <w:ind w:right="248" w:rightChars="118"/>
      <w:jc w:val="left"/>
    </w:pPr>
    <w:rPr>
      <w:rFonts w:ascii="宋体" w:hAnsi="宋体" w:eastAsia="宋体" w:cs="宋体"/>
      <w:bCs/>
      <w:color w:val="000000"/>
      <w:szCs w:val="18"/>
    </w:rPr>
  </w:style>
  <w:style w:type="paragraph" w:customStyle="1" w:styleId="11">
    <w:name w:val="正文缩进1"/>
    <w:basedOn w:val="1"/>
    <w:autoRedefine/>
    <w:qFormat/>
    <w:uiPriority w:val="0"/>
    <w:pPr>
      <w:spacing w:line="520" w:lineRule="exact"/>
      <w:ind w:firstLine="624"/>
    </w:pPr>
    <w:rPr>
      <w:sz w:val="2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5"/>
    <w:autoRedefine/>
    <w:unhideWhenUsed/>
    <w:qFormat/>
    <w:uiPriority w:val="99"/>
    <w:pPr>
      <w:ind w:firstLine="420" w:firstLineChars="100"/>
    </w:pPr>
  </w:style>
  <w:style w:type="paragraph" w:styleId="14">
    <w:name w:val="Body Text First Indent 2"/>
    <w:basedOn w:val="6"/>
    <w:autoRedefine/>
    <w:qFormat/>
    <w:uiPriority w:val="0"/>
    <w:pPr>
      <w:spacing w:after="120" w:line="240" w:lineRule="auto"/>
      <w:ind w:left="420" w:leftChars="200" w:firstLine="420" w:firstLineChars="200"/>
    </w:pPr>
    <w:rPr>
      <w:rFonts w:ascii="Times New Roman"/>
      <w:sz w:val="21"/>
      <w:szCs w:val="24"/>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1"/>
    <w:autoRedefine/>
    <w:qFormat/>
    <w:uiPriority w:val="0"/>
    <w:pPr>
      <w:widowControl w:val="0"/>
      <w:autoSpaceDE w:val="0"/>
      <w:autoSpaceDN w:val="0"/>
      <w:adjustRightInd w:val="0"/>
      <w:spacing w:line="360" w:lineRule="auto"/>
      <w:jc w:val="both"/>
    </w:pPr>
    <w:rPr>
      <w:rFonts w:ascii="宋体" w:hAnsi="Times New Roman" w:eastAsia="宋体" w:cs="宋体"/>
      <w:color w:val="000000"/>
      <w:kern w:val="2"/>
      <w:sz w:val="24"/>
      <w:szCs w:val="24"/>
      <w:lang w:val="en-US" w:eastAsia="zh-CN" w:bidi="ar-SA"/>
    </w:rPr>
  </w:style>
  <w:style w:type="paragraph" w:customStyle="1" w:styleId="19">
    <w:name w:val="正文1"/>
    <w:basedOn w:val="1"/>
    <w:next w:val="1"/>
    <w:autoRedefine/>
    <w:qFormat/>
    <w:uiPriority w:val="0"/>
    <w:pPr>
      <w:adjustRightInd w:val="0"/>
      <w:snapToGrid w:val="0"/>
      <w:spacing w:line="500" w:lineRule="atLeast"/>
      <w:ind w:firstLine="567"/>
    </w:pPr>
    <w:rPr>
      <w:sz w:val="28"/>
    </w:rPr>
  </w:style>
  <w:style w:type="paragraph" w:customStyle="1" w:styleId="20">
    <w:name w:val="+正文"/>
    <w:basedOn w:val="1"/>
    <w:autoRedefine/>
    <w:qFormat/>
    <w:uiPriority w:val="0"/>
    <w:pPr>
      <w:spacing w:line="360" w:lineRule="auto"/>
      <w:ind w:firstLine="200" w:firstLineChars="200"/>
    </w:pPr>
    <w:rPr>
      <w:sz w:val="24"/>
      <w:szCs w:val="28"/>
    </w:rPr>
  </w:style>
  <w:style w:type="paragraph" w:customStyle="1" w:styleId="21">
    <w:name w:val="Default"/>
    <w:basedOn w:val="22"/>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3">
    <w:name w:val="章标题"/>
    <w:basedOn w:val="1"/>
    <w:next w:val="24"/>
    <w:autoRedefine/>
    <w:qFormat/>
    <w:uiPriority w:val="99"/>
    <w:pPr>
      <w:widowControl/>
      <w:spacing w:line="323" w:lineRule="atLeast"/>
      <w:ind w:right="-120"/>
      <w:jc w:val="center"/>
      <w:textAlignment w:val="baseline"/>
    </w:pPr>
    <w:rPr>
      <w:color w:val="FF0000"/>
      <w:kern w:val="0"/>
      <w:sz w:val="18"/>
      <w:szCs w:val="18"/>
    </w:rPr>
  </w:style>
  <w:style w:type="paragraph" w:customStyle="1" w:styleId="24">
    <w:name w:val="节标题"/>
    <w:basedOn w:val="1"/>
    <w:next w:val="1"/>
    <w:autoRedefine/>
    <w:qFormat/>
    <w:uiPriority w:val="99"/>
    <w:pPr>
      <w:widowControl/>
      <w:spacing w:line="289" w:lineRule="atLeast"/>
      <w:jc w:val="center"/>
      <w:textAlignment w:val="baseline"/>
    </w:pPr>
    <w:rPr>
      <w:color w:val="000000"/>
      <w:kern w:val="0"/>
      <w:sz w:val="28"/>
      <w:szCs w:val="28"/>
    </w:rPr>
  </w:style>
  <w:style w:type="paragraph" w:customStyle="1" w:styleId="25">
    <w:name w:val="报告"/>
    <w:basedOn w:val="1"/>
    <w:autoRedefine/>
    <w:qFormat/>
    <w:uiPriority w:val="0"/>
    <w:pPr>
      <w:adjustRightInd w:val="0"/>
      <w:spacing w:line="360" w:lineRule="auto"/>
      <w:ind w:firstLine="505"/>
      <w:textAlignment w:val="center"/>
    </w:pPr>
    <w:rPr>
      <w:rFonts w:ascii="TimesNewRoman" w:hAnsi="TimesNewRoman"/>
      <w:kern w:val="0"/>
      <w:sz w:val="24"/>
      <w:szCs w:val="20"/>
    </w:rPr>
  </w:style>
  <w:style w:type="paragraph" w:customStyle="1" w:styleId="26">
    <w:name w:val="环评正文"/>
    <w:basedOn w:val="1"/>
    <w:autoRedefine/>
    <w:qFormat/>
    <w:uiPriority w:val="0"/>
    <w:pPr>
      <w:adjustRightInd w:val="0"/>
      <w:snapToGrid w:val="0"/>
      <w:spacing w:line="420" w:lineRule="auto"/>
      <w:ind w:firstLine="720" w:firstLineChars="200"/>
      <w:jc w:val="left"/>
    </w:pPr>
    <w:rPr>
      <w:rFonts w:hint="eastAsia" w:ascii="宋体" w:hAnsi="宋体" w:eastAsia="宋体" w:cs="宋体"/>
      <w:sz w:val="24"/>
      <w:szCs w:val="21"/>
    </w:rPr>
  </w:style>
  <w:style w:type="paragraph" w:customStyle="1" w:styleId="27">
    <w:name w:val="页末正文"/>
    <w:basedOn w:val="1"/>
    <w:autoRedefine/>
    <w:qFormat/>
    <w:uiPriority w:val="0"/>
    <w:pPr>
      <w:spacing w:after="240" w:line="480" w:lineRule="exact"/>
      <w:ind w:firstLine="560" w:firstLineChars="200"/>
    </w:pPr>
    <w:rPr>
      <w:rFonts w:eastAsia="楷体_GB2312"/>
      <w:color w:val="000000"/>
      <w:sz w:val="28"/>
      <w:szCs w:val="20"/>
    </w:rPr>
  </w:style>
  <w:style w:type="paragraph" w:customStyle="1" w:styleId="28">
    <w:name w:val="文本111"/>
    <w:autoRedefine/>
    <w:qFormat/>
    <w:uiPriority w:val="0"/>
    <w:pPr>
      <w:widowControl w:val="0"/>
      <w:adjustRightInd w:val="0"/>
      <w:snapToGrid w:val="0"/>
      <w:spacing w:line="360" w:lineRule="auto"/>
      <w:ind w:firstLine="720" w:firstLineChars="200"/>
      <w:jc w:val="both"/>
    </w:pPr>
    <w:rPr>
      <w:rFonts w:ascii="Times New Roman" w:hAnsi="Times New Roman" w:eastAsia="宋体" w:cs="宋体"/>
      <w:bCs/>
      <w:kern w:val="2"/>
      <w:sz w:val="24"/>
      <w:szCs w:val="21"/>
      <w:lang w:val="en-US" w:eastAsia="zh-CN" w:bidi="ar-SA"/>
    </w:rPr>
  </w:style>
  <w:style w:type="paragraph" w:styleId="29">
    <w:name w:val="No Spacing"/>
    <w:qFormat/>
    <w:uiPriority w:val="1"/>
    <w:pPr>
      <w:jc w:val="center"/>
    </w:pPr>
    <w:rPr>
      <w:rFonts w:ascii="Times New Roman" w:hAnsi="Times New Roman" w:eastAsia="宋体" w:cs="Times New Roman"/>
      <w:kern w:val="2"/>
      <w:sz w:val="18"/>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1016</Words>
  <Characters>1094</Characters>
  <Lines>0</Lines>
  <Paragraphs>0</Paragraphs>
  <TotalTime>0</TotalTime>
  <ScaleCrop>false</ScaleCrop>
  <LinksUpToDate>false</LinksUpToDate>
  <CharactersWithSpaces>1096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cp:lastModifiedBy>
  <dcterms:modified xsi:type="dcterms:W3CDTF">2025-09-01T07:57:51Z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54A9026FC2724AD88F8DDDBA4B9FB020_13</vt:lpwstr>
  </property>
  <property fmtid="{D5CDD505-2E9C-101B-9397-08002B2CF9AE}" pid="4" name="KSOTemplateDocerSaveRecord">
    <vt:lpwstr>eyJoZGlkIjoiMDJiYmFhZDE1ZDU0NTM1OTM0NzE1MDViOTk0MTM1MWYiLCJ1c2VySWQiOiI0MjYwODA3MjIifQ==</vt:lpwstr>
  </property>
</Properties>
</file>