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9A4F4">
      <w:pPr>
        <w:spacing w:line="6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关于拟对建设项目环境影响评价文件作出审批意见的公示</w:t>
      </w:r>
    </w:p>
    <w:p w14:paraId="7EEA051D">
      <w:pPr>
        <w:spacing w:line="600" w:lineRule="exact"/>
        <w:jc w:val="center"/>
        <w:rPr>
          <w:rFonts w:eastAsia="仿宋"/>
          <w:sz w:val="32"/>
          <w:szCs w:val="32"/>
        </w:rPr>
      </w:pPr>
    </w:p>
    <w:p w14:paraId="7233D94F">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根据建设项目环境影响评价审批程序的有关规定，经审议，我局拟对</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个建设项目环境影响报告表作出批复决定。为保证此次审议工作的严肃性和公正性，现将建设项目环境影响报告表的基本情况予以公示。公示期为20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26</w:t>
      </w:r>
      <w:r>
        <w:rPr>
          <w:rFonts w:hint="default" w:ascii="Times New Roman" w:hAnsi="Times New Roman" w:eastAsia="仿宋" w:cs="Times New Roman"/>
          <w:sz w:val="32"/>
          <w:szCs w:val="32"/>
        </w:rPr>
        <w:t>日</w:t>
      </w:r>
      <w:r>
        <w:rPr>
          <w:rFonts w:hint="eastAsia" w:ascii="Times New Roman" w:hAnsi="Times New Roman" w:eastAsia="仿宋" w:cs="Times New Roman"/>
          <w:sz w:val="32"/>
          <w:szCs w:val="32"/>
          <w:lang w:eastAsia="zh-CN"/>
        </w:rPr>
        <w:t>至</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w:t>
      </w:r>
      <w:bookmarkStart w:id="0" w:name="_GoBack"/>
      <w:bookmarkEnd w:id="0"/>
      <w:r>
        <w:rPr>
          <w:rFonts w:hint="default" w:ascii="Times New Roman" w:hAnsi="Times New Roman" w:eastAsia="仿宋" w:cs="Times New Roman"/>
          <w:sz w:val="32"/>
          <w:szCs w:val="32"/>
        </w:rPr>
        <w:t>日（共5个工作日）。</w:t>
      </w:r>
    </w:p>
    <w:p w14:paraId="121260EB">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联系电话：0825-6810213</w:t>
      </w:r>
    </w:p>
    <w:p w14:paraId="53F718B1">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通讯地址：遂宁市船山区</w:t>
      </w:r>
      <w:r>
        <w:rPr>
          <w:rFonts w:hint="default" w:ascii="Times New Roman" w:hAnsi="Times New Roman" w:eastAsia="仿宋" w:cs="Times New Roman"/>
          <w:sz w:val="32"/>
          <w:szCs w:val="32"/>
          <w:lang w:eastAsia="zh-CN"/>
        </w:rPr>
        <w:t>天宫南路</w:t>
      </w:r>
      <w:r>
        <w:rPr>
          <w:rFonts w:hint="default" w:ascii="Times New Roman" w:hAnsi="Times New Roman" w:eastAsia="仿宋" w:cs="Times New Roman"/>
          <w:sz w:val="32"/>
          <w:szCs w:val="32"/>
          <w:lang w:val="en-US" w:eastAsia="zh-CN"/>
        </w:rPr>
        <w:t>156号</w:t>
      </w:r>
      <w:r>
        <w:rPr>
          <w:rFonts w:hint="default" w:ascii="Times New Roman" w:hAnsi="Times New Roman" w:eastAsia="仿宋" w:cs="Times New Roman"/>
          <w:sz w:val="32"/>
          <w:szCs w:val="32"/>
        </w:rPr>
        <w:t>遂宁市船山</w:t>
      </w:r>
      <w:r>
        <w:rPr>
          <w:rFonts w:hint="default" w:ascii="Times New Roman" w:hAnsi="Times New Roman" w:eastAsia="仿宋" w:cs="Times New Roman"/>
          <w:sz w:val="32"/>
          <w:szCs w:val="32"/>
          <w:lang w:eastAsia="zh-CN"/>
        </w:rPr>
        <w:t>生态</w:t>
      </w:r>
      <w:r>
        <w:rPr>
          <w:rFonts w:hint="default" w:ascii="Times New Roman" w:hAnsi="Times New Roman" w:eastAsia="仿宋" w:cs="Times New Roman"/>
          <w:sz w:val="32"/>
          <w:szCs w:val="32"/>
        </w:rPr>
        <w:t>环境局</w:t>
      </w:r>
    </w:p>
    <w:p w14:paraId="7DAED78E">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听证告知：依据《中华人民共和国行政许可法》，自公示起五日内申请人、利害关系人可对以下拟作出的建设项目环境影响评价文件批复决定要求听证。</w:t>
      </w:r>
    </w:p>
    <w:p w14:paraId="1D18F396">
      <w:pPr>
        <w:spacing w:line="600" w:lineRule="exact"/>
        <w:ind w:firstLine="640" w:firstLineChars="200"/>
        <w:rPr>
          <w:rFonts w:hint="default" w:ascii="Times New Roman" w:hAnsi="Times New Roman" w:eastAsia="仿宋" w:cs="Times New Roman"/>
          <w:sz w:val="32"/>
          <w:szCs w:val="32"/>
        </w:rPr>
      </w:pPr>
    </w:p>
    <w:p w14:paraId="23CEE184">
      <w:pPr>
        <w:spacing w:line="600" w:lineRule="exact"/>
        <w:ind w:firstLine="640" w:firstLineChars="200"/>
        <w:rPr>
          <w:rFonts w:hint="default" w:ascii="Times New Roman" w:hAnsi="Times New Roman" w:eastAsia="仿宋" w:cs="Times New Roman"/>
          <w:sz w:val="32"/>
          <w:szCs w:val="32"/>
        </w:rPr>
      </w:pPr>
    </w:p>
    <w:p w14:paraId="776C74FB">
      <w:pPr>
        <w:spacing w:line="600" w:lineRule="exact"/>
        <w:ind w:firstLine="9600" w:firstLineChars="3000"/>
        <w:rPr>
          <w:rFonts w:hint="default" w:ascii="Times New Roman" w:hAnsi="Times New Roman" w:eastAsia="仿宋" w:cs="Times New Roman"/>
          <w:sz w:val="32"/>
          <w:szCs w:val="32"/>
        </w:rPr>
      </w:pPr>
    </w:p>
    <w:p w14:paraId="644DE607">
      <w:pPr>
        <w:spacing w:line="600" w:lineRule="exact"/>
        <w:ind w:firstLine="9280" w:firstLineChars="29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遂宁市船山生态环境局</w:t>
      </w:r>
    </w:p>
    <w:p w14:paraId="5B0F2493">
      <w:pPr>
        <w:spacing w:line="600" w:lineRule="exact"/>
        <w:ind w:firstLine="9600" w:firstLineChars="30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26</w:t>
      </w:r>
      <w:r>
        <w:rPr>
          <w:rFonts w:hint="default" w:ascii="Times New Roman" w:hAnsi="Times New Roman" w:eastAsia="仿宋" w:cs="Times New Roman"/>
          <w:sz w:val="32"/>
          <w:szCs w:val="32"/>
        </w:rPr>
        <w:t>日</w:t>
      </w:r>
    </w:p>
    <w:p w14:paraId="6F575EE0">
      <w:pPr>
        <w:spacing w:line="600" w:lineRule="exact"/>
        <w:ind w:firstLine="9600" w:firstLineChars="3000"/>
        <w:rPr>
          <w:rFonts w:hint="eastAsia" w:ascii="仿宋_GB2312" w:eastAsia="仿宋_GB2312"/>
          <w:sz w:val="32"/>
          <w:szCs w:val="32"/>
        </w:rPr>
      </w:pPr>
    </w:p>
    <w:p w14:paraId="184C032C">
      <w:pPr>
        <w:spacing w:line="600" w:lineRule="exact"/>
        <w:ind w:firstLine="9600" w:firstLineChars="3000"/>
        <w:rPr>
          <w:rFonts w:hint="eastAsia" w:ascii="仿宋_GB2312" w:eastAsia="仿宋_GB2312"/>
          <w:sz w:val="32"/>
          <w:szCs w:val="32"/>
        </w:rPr>
      </w:pPr>
    </w:p>
    <w:p w14:paraId="091620DD">
      <w:pPr>
        <w:spacing w:line="600" w:lineRule="exact"/>
        <w:ind w:firstLine="9600" w:firstLineChars="3000"/>
        <w:rPr>
          <w:rFonts w:hint="eastAsia" w:ascii="仿宋_GB2312" w:eastAsia="仿宋_GB2312"/>
          <w:sz w:val="32"/>
          <w:szCs w:val="32"/>
        </w:rPr>
      </w:pPr>
    </w:p>
    <w:p w14:paraId="6B899839">
      <w:pPr>
        <w:spacing w:line="600" w:lineRule="exact"/>
        <w:rPr>
          <w:rFonts w:hint="eastAsia" w:ascii="仿宋_GB2312" w:eastAsia="仿宋_GB2312"/>
          <w:sz w:val="32"/>
          <w:szCs w:val="32"/>
        </w:rPr>
      </w:pPr>
    </w:p>
    <w:p w14:paraId="56B1A4BC">
      <w:pPr>
        <w:numPr>
          <w:ilvl w:val="0"/>
          <w:numId w:val="1"/>
        </w:num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拟批准的建设项目</w:t>
      </w:r>
    </w:p>
    <w:p w14:paraId="3B788BE2">
      <w:pPr>
        <w:spacing w:line="576" w:lineRule="exact"/>
        <w:jc w:val="center"/>
        <w:rPr>
          <w:rFonts w:hint="eastAsia" w:ascii="仿宋" w:hAnsi="仿宋" w:eastAsia="仿宋" w:cs="仿宋"/>
          <w:spacing w:val="-10"/>
          <w:sz w:val="30"/>
          <w:szCs w:val="30"/>
        </w:rPr>
      </w:pPr>
    </w:p>
    <w:tbl>
      <w:tblPr>
        <w:tblStyle w:val="15"/>
        <w:tblpPr w:leftFromText="180" w:rightFromText="180" w:vertAnchor="text" w:horzAnchor="page" w:tblpX="784" w:tblpY="604"/>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25"/>
        <w:gridCol w:w="962"/>
        <w:gridCol w:w="975"/>
        <w:gridCol w:w="1225"/>
        <w:gridCol w:w="3543"/>
        <w:gridCol w:w="6063"/>
      </w:tblGrid>
      <w:tr w14:paraId="726B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663" w:type="dxa"/>
            <w:vAlign w:val="center"/>
          </w:tcPr>
          <w:p w14:paraId="0210022B">
            <w:pPr>
              <w:keepNext w:val="0"/>
              <w:keepLines w:val="0"/>
              <w:pageBreakBefore w:val="0"/>
              <w:kinsoku/>
              <w:wordWrap/>
              <w:overflowPunct/>
              <w:topLinePunct w:val="0"/>
              <w:autoSpaceDE/>
              <w:autoSpaceDN/>
              <w:bidi w:val="0"/>
              <w:spacing w:line="240" w:lineRule="atLeast"/>
              <w:jc w:val="center"/>
              <w:rPr>
                <w:rFonts w:hint="eastAsia" w:ascii="仿宋" w:hAnsi="仿宋" w:eastAsia="仿宋" w:cs="仿宋"/>
                <w:color w:val="auto"/>
                <w:spacing w:val="-10"/>
                <w:kern w:val="2"/>
                <w:sz w:val="30"/>
                <w:szCs w:val="30"/>
                <w:lang w:val="en-US" w:eastAsia="zh-CN" w:bidi="ar-SA"/>
              </w:rPr>
            </w:pPr>
            <w:r>
              <w:rPr>
                <w:rFonts w:hint="eastAsia" w:ascii="仿宋" w:hAnsi="仿宋" w:eastAsia="仿宋" w:cs="仿宋"/>
                <w:color w:val="auto"/>
                <w:spacing w:val="-10"/>
                <w:kern w:val="2"/>
                <w:sz w:val="30"/>
                <w:szCs w:val="30"/>
                <w:lang w:val="en-US" w:eastAsia="zh-CN" w:bidi="ar-SA"/>
              </w:rPr>
              <w:t>序号</w:t>
            </w:r>
          </w:p>
        </w:tc>
        <w:tc>
          <w:tcPr>
            <w:tcW w:w="1425" w:type="dxa"/>
            <w:vAlign w:val="center"/>
          </w:tcPr>
          <w:p w14:paraId="1B6D0B89">
            <w:pPr>
              <w:keepNext w:val="0"/>
              <w:keepLines w:val="0"/>
              <w:pageBreakBefore w:val="0"/>
              <w:kinsoku/>
              <w:wordWrap/>
              <w:overflowPunct/>
              <w:topLinePunct w:val="0"/>
              <w:autoSpaceDE/>
              <w:autoSpaceDN/>
              <w:bidi w:val="0"/>
              <w:spacing w:line="240" w:lineRule="atLeast"/>
              <w:jc w:val="center"/>
              <w:rPr>
                <w:rFonts w:hint="eastAsia" w:ascii="仿宋" w:hAnsi="仿宋" w:eastAsia="仿宋" w:cs="仿宋"/>
                <w:color w:val="auto"/>
                <w:spacing w:val="-10"/>
                <w:kern w:val="2"/>
                <w:sz w:val="30"/>
                <w:szCs w:val="30"/>
                <w:lang w:val="en-US" w:eastAsia="zh-CN" w:bidi="ar-SA"/>
              </w:rPr>
            </w:pPr>
            <w:r>
              <w:rPr>
                <w:rFonts w:hint="eastAsia" w:ascii="仿宋" w:hAnsi="仿宋" w:eastAsia="仿宋" w:cs="仿宋"/>
                <w:color w:val="auto"/>
                <w:spacing w:val="-10"/>
                <w:kern w:val="2"/>
                <w:sz w:val="30"/>
                <w:szCs w:val="30"/>
                <w:lang w:val="en-US" w:eastAsia="zh-CN" w:bidi="ar-SA"/>
              </w:rPr>
              <w:t>项目名称</w:t>
            </w:r>
          </w:p>
        </w:tc>
        <w:tc>
          <w:tcPr>
            <w:tcW w:w="962" w:type="dxa"/>
            <w:vAlign w:val="center"/>
          </w:tcPr>
          <w:p w14:paraId="1D46AEFB">
            <w:pPr>
              <w:keepNext w:val="0"/>
              <w:keepLines w:val="0"/>
              <w:pageBreakBefore w:val="0"/>
              <w:kinsoku/>
              <w:wordWrap/>
              <w:overflowPunct/>
              <w:topLinePunct w:val="0"/>
              <w:autoSpaceDE/>
              <w:autoSpaceDN/>
              <w:bidi w:val="0"/>
              <w:spacing w:line="240" w:lineRule="atLeast"/>
              <w:jc w:val="center"/>
              <w:rPr>
                <w:rFonts w:hint="eastAsia" w:ascii="仿宋" w:hAnsi="仿宋" w:eastAsia="仿宋" w:cs="仿宋"/>
                <w:color w:val="auto"/>
                <w:spacing w:val="-10"/>
                <w:kern w:val="2"/>
                <w:sz w:val="30"/>
                <w:szCs w:val="30"/>
                <w:lang w:val="en-US" w:eastAsia="zh-CN" w:bidi="ar-SA"/>
              </w:rPr>
            </w:pPr>
            <w:r>
              <w:rPr>
                <w:rFonts w:hint="eastAsia" w:ascii="仿宋" w:hAnsi="仿宋" w:eastAsia="仿宋" w:cs="仿宋"/>
                <w:color w:val="auto"/>
                <w:spacing w:val="-10"/>
                <w:kern w:val="2"/>
                <w:sz w:val="30"/>
                <w:szCs w:val="30"/>
                <w:lang w:val="en-US" w:eastAsia="zh-CN" w:bidi="ar-SA"/>
              </w:rPr>
              <w:t>建设地点</w:t>
            </w:r>
          </w:p>
        </w:tc>
        <w:tc>
          <w:tcPr>
            <w:tcW w:w="975" w:type="dxa"/>
            <w:vAlign w:val="center"/>
          </w:tcPr>
          <w:p w14:paraId="4A9E2752">
            <w:pPr>
              <w:keepNext w:val="0"/>
              <w:keepLines w:val="0"/>
              <w:pageBreakBefore w:val="0"/>
              <w:kinsoku/>
              <w:wordWrap/>
              <w:overflowPunct/>
              <w:topLinePunct w:val="0"/>
              <w:autoSpaceDE/>
              <w:autoSpaceDN/>
              <w:bidi w:val="0"/>
              <w:spacing w:line="240" w:lineRule="atLeast"/>
              <w:jc w:val="center"/>
              <w:rPr>
                <w:rFonts w:hint="eastAsia" w:ascii="仿宋" w:hAnsi="仿宋" w:eastAsia="仿宋" w:cs="仿宋"/>
                <w:color w:val="auto"/>
                <w:spacing w:val="-10"/>
                <w:kern w:val="2"/>
                <w:sz w:val="30"/>
                <w:szCs w:val="30"/>
                <w:lang w:val="en-US" w:eastAsia="zh-CN" w:bidi="ar-SA"/>
              </w:rPr>
            </w:pPr>
            <w:r>
              <w:rPr>
                <w:rFonts w:hint="eastAsia" w:ascii="仿宋" w:hAnsi="仿宋" w:eastAsia="仿宋" w:cs="仿宋"/>
                <w:color w:val="auto"/>
                <w:spacing w:val="-10"/>
                <w:kern w:val="2"/>
                <w:sz w:val="30"/>
                <w:szCs w:val="30"/>
                <w:lang w:val="en-US" w:eastAsia="zh-CN" w:bidi="ar-SA"/>
              </w:rPr>
              <w:t>建设单位</w:t>
            </w:r>
          </w:p>
        </w:tc>
        <w:tc>
          <w:tcPr>
            <w:tcW w:w="1225" w:type="dxa"/>
            <w:vAlign w:val="center"/>
          </w:tcPr>
          <w:p w14:paraId="3161AE5B">
            <w:pPr>
              <w:keepNext w:val="0"/>
              <w:keepLines w:val="0"/>
              <w:pageBreakBefore w:val="0"/>
              <w:kinsoku/>
              <w:wordWrap/>
              <w:overflowPunct/>
              <w:topLinePunct w:val="0"/>
              <w:autoSpaceDE/>
              <w:autoSpaceDN/>
              <w:bidi w:val="0"/>
              <w:spacing w:line="240" w:lineRule="atLeast"/>
              <w:jc w:val="center"/>
              <w:rPr>
                <w:rFonts w:hint="eastAsia" w:ascii="仿宋" w:hAnsi="仿宋" w:eastAsia="仿宋" w:cs="仿宋"/>
                <w:color w:val="auto"/>
                <w:spacing w:val="-10"/>
                <w:kern w:val="2"/>
                <w:sz w:val="30"/>
                <w:szCs w:val="30"/>
                <w:lang w:val="en-US" w:eastAsia="zh-CN" w:bidi="ar-SA"/>
              </w:rPr>
            </w:pPr>
            <w:r>
              <w:rPr>
                <w:rFonts w:hint="eastAsia" w:ascii="仿宋" w:hAnsi="仿宋" w:eastAsia="仿宋" w:cs="仿宋"/>
                <w:color w:val="auto"/>
                <w:spacing w:val="-10"/>
                <w:kern w:val="2"/>
                <w:sz w:val="30"/>
                <w:szCs w:val="30"/>
                <w:lang w:val="en-US" w:eastAsia="zh-CN" w:bidi="ar-SA"/>
              </w:rPr>
              <w:t>环评影响评价机构</w:t>
            </w:r>
          </w:p>
        </w:tc>
        <w:tc>
          <w:tcPr>
            <w:tcW w:w="3543" w:type="dxa"/>
            <w:vAlign w:val="center"/>
          </w:tcPr>
          <w:p w14:paraId="3BBD6C62">
            <w:pPr>
              <w:keepNext w:val="0"/>
              <w:keepLines w:val="0"/>
              <w:pageBreakBefore w:val="0"/>
              <w:kinsoku/>
              <w:wordWrap/>
              <w:overflowPunct/>
              <w:topLinePunct w:val="0"/>
              <w:autoSpaceDE/>
              <w:autoSpaceDN/>
              <w:bidi w:val="0"/>
              <w:spacing w:line="240" w:lineRule="atLeast"/>
              <w:jc w:val="center"/>
              <w:rPr>
                <w:rFonts w:hint="eastAsia" w:ascii="仿宋" w:hAnsi="仿宋" w:eastAsia="仿宋" w:cs="仿宋"/>
                <w:color w:val="auto"/>
                <w:spacing w:val="-10"/>
                <w:kern w:val="2"/>
                <w:sz w:val="30"/>
                <w:szCs w:val="30"/>
                <w:lang w:val="en-US" w:eastAsia="zh-CN" w:bidi="ar-SA"/>
              </w:rPr>
            </w:pPr>
            <w:r>
              <w:rPr>
                <w:rFonts w:hint="eastAsia" w:ascii="仿宋" w:hAnsi="仿宋" w:eastAsia="仿宋" w:cs="仿宋"/>
                <w:color w:val="auto"/>
                <w:spacing w:val="-10"/>
                <w:kern w:val="2"/>
                <w:sz w:val="30"/>
                <w:szCs w:val="30"/>
                <w:lang w:val="en-US" w:eastAsia="zh-CN" w:bidi="ar-SA"/>
              </w:rPr>
              <w:t>项目概况</w:t>
            </w:r>
          </w:p>
        </w:tc>
        <w:tc>
          <w:tcPr>
            <w:tcW w:w="6063" w:type="dxa"/>
            <w:vAlign w:val="center"/>
          </w:tcPr>
          <w:p w14:paraId="5A063D4C">
            <w:pPr>
              <w:keepNext w:val="0"/>
              <w:keepLines w:val="0"/>
              <w:pageBreakBefore w:val="0"/>
              <w:kinsoku/>
              <w:wordWrap/>
              <w:overflowPunct/>
              <w:topLinePunct w:val="0"/>
              <w:autoSpaceDE/>
              <w:autoSpaceDN/>
              <w:bidi w:val="0"/>
              <w:spacing w:line="240" w:lineRule="atLeast"/>
              <w:jc w:val="center"/>
              <w:rPr>
                <w:rFonts w:hint="eastAsia" w:ascii="仿宋" w:hAnsi="仿宋" w:eastAsia="仿宋" w:cs="仿宋"/>
                <w:spacing w:val="-10"/>
                <w:sz w:val="30"/>
                <w:szCs w:val="30"/>
              </w:rPr>
            </w:pPr>
            <w:r>
              <w:rPr>
                <w:rFonts w:hint="eastAsia" w:ascii="仿宋" w:hAnsi="仿宋" w:eastAsia="仿宋" w:cs="仿宋"/>
                <w:color w:val="auto"/>
                <w:spacing w:val="-10"/>
                <w:kern w:val="2"/>
                <w:sz w:val="30"/>
                <w:szCs w:val="30"/>
                <w:lang w:val="en-US" w:eastAsia="zh-CN" w:bidi="ar-SA"/>
              </w:rPr>
              <w:t>报告（表）提出的主要环境影响及预防或者减轻不良环境影响的对策和措施</w:t>
            </w:r>
          </w:p>
        </w:tc>
      </w:tr>
      <w:tr w14:paraId="665A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trPr>
        <w:tc>
          <w:tcPr>
            <w:tcW w:w="663" w:type="dxa"/>
            <w:vAlign w:val="top"/>
          </w:tcPr>
          <w:p w14:paraId="1F6197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11</w:t>
            </w:r>
          </w:p>
        </w:tc>
        <w:tc>
          <w:tcPr>
            <w:tcW w:w="1425" w:type="dxa"/>
            <w:vAlign w:val="top"/>
          </w:tcPr>
          <w:p w14:paraId="3887FAF0">
            <w:pPr>
              <w:spacing w:line="600" w:lineRule="exact"/>
              <w:rPr>
                <w:rFonts w:hint="eastAsia" w:ascii="仿宋" w:hAnsi="仿宋" w:eastAsia="仿宋" w:cs="仿宋"/>
                <w:color w:val="auto"/>
                <w:sz w:val="30"/>
                <w:szCs w:val="30"/>
                <w:lang w:val="en-US" w:eastAsia="zh-CN"/>
              </w:rPr>
            </w:pPr>
            <w:r>
              <w:rPr>
                <w:rFonts w:hint="eastAsia" w:ascii="Times New Roman" w:hAnsi="Times New Roman" w:eastAsia="仿宋" w:cs="Times New Roman"/>
                <w:color w:val="auto"/>
                <w:spacing w:val="-10"/>
                <w:kern w:val="2"/>
                <w:sz w:val="32"/>
                <w:szCs w:val="32"/>
                <w:lang w:val="en-US" w:eastAsia="zh-CN" w:bidi="ar-SA"/>
              </w:rPr>
              <w:t>遂宁高新区高端数控刀具表面处理项目</w:t>
            </w:r>
          </w:p>
        </w:tc>
        <w:tc>
          <w:tcPr>
            <w:tcW w:w="962" w:type="dxa"/>
            <w:vAlign w:val="top"/>
          </w:tcPr>
          <w:p w14:paraId="6521438A">
            <w:pPr>
              <w:spacing w:line="600" w:lineRule="exact"/>
              <w:rPr>
                <w:rFonts w:hint="eastAsia" w:ascii="仿宋" w:hAnsi="仿宋" w:eastAsia="仿宋" w:cs="仿宋"/>
                <w:color w:val="auto"/>
                <w:sz w:val="30"/>
                <w:szCs w:val="30"/>
                <w:lang w:val="en-US" w:eastAsia="zh-CN"/>
              </w:rPr>
            </w:pPr>
            <w:r>
              <w:rPr>
                <w:rFonts w:hint="eastAsia" w:ascii="Times New Roman" w:hAnsi="Times New Roman" w:eastAsia="仿宋" w:cs="Times New Roman"/>
                <w:color w:val="auto"/>
                <w:spacing w:val="-10"/>
                <w:kern w:val="2"/>
                <w:sz w:val="32"/>
                <w:szCs w:val="32"/>
                <w:lang w:val="en-US" w:eastAsia="zh-CN" w:bidi="ar-SA"/>
              </w:rPr>
              <w:t>遂宁高新区物流大道140 号遂宁高新技术产业园区</w:t>
            </w:r>
          </w:p>
        </w:tc>
        <w:tc>
          <w:tcPr>
            <w:tcW w:w="975" w:type="dxa"/>
            <w:vAlign w:val="top"/>
          </w:tcPr>
          <w:p w14:paraId="3BD75300">
            <w:pPr>
              <w:spacing w:line="600" w:lineRule="exact"/>
              <w:rPr>
                <w:rFonts w:hint="eastAsia" w:ascii="仿宋" w:hAnsi="仿宋" w:eastAsia="仿宋" w:cs="仿宋"/>
                <w:color w:val="auto"/>
                <w:sz w:val="30"/>
                <w:szCs w:val="30"/>
                <w:lang w:val="en-US" w:eastAsia="zh-CN"/>
              </w:rPr>
            </w:pPr>
            <w:r>
              <w:rPr>
                <w:rFonts w:hint="eastAsia" w:ascii="Times New Roman" w:hAnsi="Times New Roman" w:eastAsia="仿宋" w:cs="Times New Roman"/>
                <w:color w:val="auto"/>
                <w:spacing w:val="-10"/>
                <w:kern w:val="2"/>
                <w:sz w:val="32"/>
                <w:szCs w:val="32"/>
                <w:lang w:val="en-US" w:eastAsia="zh-CN" w:bidi="ar-SA"/>
              </w:rPr>
              <w:t>邦普刀具遂宁新材料技术有限公司</w:t>
            </w:r>
          </w:p>
        </w:tc>
        <w:tc>
          <w:tcPr>
            <w:tcW w:w="1225" w:type="dxa"/>
            <w:vAlign w:val="top"/>
          </w:tcPr>
          <w:p w14:paraId="16E59186">
            <w:pPr>
              <w:spacing w:line="600" w:lineRule="exact"/>
              <w:rPr>
                <w:rFonts w:hint="eastAsia" w:ascii="仿宋" w:hAnsi="仿宋" w:eastAsia="仿宋" w:cs="仿宋"/>
                <w:color w:val="auto"/>
                <w:sz w:val="30"/>
                <w:szCs w:val="30"/>
                <w:lang w:val="en-US" w:eastAsia="zh-CN"/>
              </w:rPr>
            </w:pPr>
            <w:r>
              <w:rPr>
                <w:rFonts w:hint="eastAsia" w:ascii="Times New Roman" w:hAnsi="Times New Roman" w:eastAsia="仿宋" w:cs="Times New Roman"/>
                <w:color w:val="auto"/>
                <w:spacing w:val="-10"/>
                <w:kern w:val="2"/>
                <w:sz w:val="32"/>
                <w:szCs w:val="32"/>
                <w:lang w:val="en-US" w:eastAsia="zh-CN" w:bidi="ar-SA"/>
              </w:rPr>
              <w:t>四川川品全过程工程咨询有限公司</w:t>
            </w:r>
          </w:p>
        </w:tc>
        <w:tc>
          <w:tcPr>
            <w:tcW w:w="3543" w:type="dxa"/>
            <w:vAlign w:val="top"/>
          </w:tcPr>
          <w:p w14:paraId="765920B9">
            <w:pPr>
              <w:pStyle w:val="14"/>
              <w:ind w:firstLine="42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项目拟投资</w:t>
            </w:r>
            <w:r>
              <w:rPr>
                <w:color w:val="000000" w:themeColor="text1"/>
                <w14:textFill>
                  <w14:solidFill>
                    <w14:schemeClr w14:val="tx1"/>
                  </w14:solidFill>
                </w14:textFill>
              </w:rPr>
              <w:t>8000</w:t>
            </w:r>
            <w:r>
              <w:rPr>
                <w:rFonts w:hint="eastAsia" w:ascii="仿宋" w:hAnsi="仿宋" w:eastAsia="仿宋" w:cs="仿宋"/>
                <w:color w:val="auto"/>
                <w:sz w:val="30"/>
                <w:szCs w:val="30"/>
                <w:lang w:val="en-US" w:eastAsia="zh-CN"/>
              </w:rPr>
              <w:t>万元,其中环保投资281万元。项目在遂宁高新技术产业园区内扩建，新增租赁4#标准厂房3000平方米，对标准厂房进行改造，新增建设高端数控刀具表面处理生产线，购置PVD4台、CVD6台、压机10台、周边磨床36台、喷砂机9台等设备，项目建成后年加工高端数控刀具3000万件。</w:t>
            </w:r>
          </w:p>
          <w:p w14:paraId="3F6F0634">
            <w:pPr>
              <w:autoSpaceDE w:val="0"/>
              <w:autoSpaceDN w:val="0"/>
              <w:adjustRightInd w:val="0"/>
              <w:ind w:firstLine="600" w:firstLineChars="200"/>
              <w:rPr>
                <w:rFonts w:hint="eastAsia" w:ascii="仿宋" w:hAnsi="仿宋" w:eastAsia="仿宋" w:cs="仿宋"/>
                <w:color w:val="auto"/>
                <w:sz w:val="30"/>
                <w:szCs w:val="30"/>
                <w:lang w:val="en-US" w:eastAsia="zh-CN"/>
              </w:rPr>
            </w:pPr>
          </w:p>
        </w:tc>
        <w:tc>
          <w:tcPr>
            <w:tcW w:w="6063" w:type="dxa"/>
            <w:vAlign w:val="top"/>
          </w:tcPr>
          <w:p w14:paraId="2270AE62">
            <w:pPr>
              <w:numPr>
                <w:ilvl w:val="0"/>
                <w:numId w:val="2"/>
              </w:numPr>
              <w:autoSpaceDE w:val="0"/>
              <w:autoSpaceDN w:val="0"/>
              <w:adjustRightInd w:val="0"/>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auto"/>
                <w:sz w:val="30"/>
                <w:szCs w:val="30"/>
                <w:lang w:val="en-US" w:eastAsia="zh-CN"/>
              </w:rPr>
              <w:t>废水：</w:t>
            </w:r>
            <w:r>
              <w:rPr>
                <w:rFonts w:hint="eastAsia" w:ascii="仿宋" w:hAnsi="仿宋" w:eastAsia="仿宋" w:cs="仿宋"/>
                <w:color w:val="000000" w:themeColor="text1"/>
                <w:sz w:val="30"/>
                <w:szCs w:val="30"/>
                <w14:textFill>
                  <w14:solidFill>
                    <w14:schemeClr w14:val="tx1"/>
                  </w14:solidFill>
                </w14:textFill>
              </w:rPr>
              <w:t>超声波清洗废水和车间拖地废水经依托现有隔油沉淀处理后排入新建预处理池，纯水制备废水、锅炉废水排入预处理池，CVD尾气处理废水和碱液喷淋废水新增一套低温蒸发装置，冷凝液排入预处理池，浓缩液</w:t>
            </w:r>
            <w:r>
              <w:rPr>
                <w:rFonts w:hint="eastAsia" w:ascii="仿宋" w:hAnsi="仿宋" w:eastAsia="仿宋" w:cs="仿宋"/>
                <w:color w:val="000000" w:themeColor="text1"/>
                <w:sz w:val="30"/>
                <w:szCs w:val="30"/>
                <w:lang w:eastAsia="zh-CN"/>
                <w14:textFill>
                  <w14:solidFill>
                    <w14:schemeClr w14:val="tx1"/>
                  </w14:solidFill>
                </w14:textFill>
              </w:rPr>
              <w:t>交</w:t>
            </w:r>
            <w:r>
              <w:rPr>
                <w:rFonts w:hint="eastAsia" w:ascii="仿宋" w:hAnsi="仿宋" w:eastAsia="仿宋" w:cs="仿宋"/>
                <w:color w:val="000000" w:themeColor="text1"/>
                <w:sz w:val="30"/>
                <w:szCs w:val="30"/>
                <w14:textFill>
                  <w14:solidFill>
                    <w14:schemeClr w14:val="tx1"/>
                  </w14:solidFill>
                </w14:textFill>
              </w:rPr>
              <w:t>具有危废资质单位合理处置。新建食堂隔油池8m</w:t>
            </w:r>
            <w:r>
              <w:rPr>
                <w:rFonts w:hint="eastAsia" w:ascii="仿宋" w:hAnsi="仿宋" w:eastAsia="仿宋" w:cs="仿宋"/>
                <w:color w:val="000000" w:themeColor="text1"/>
                <w:sz w:val="30"/>
                <w:szCs w:val="30"/>
                <w:vertAlign w:val="superscript"/>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，生活污水新建的30m</w:t>
            </w:r>
            <w:r>
              <w:rPr>
                <w:rFonts w:hint="eastAsia" w:ascii="仿宋" w:hAnsi="仿宋" w:eastAsia="仿宋" w:cs="仿宋"/>
                <w:color w:val="000000" w:themeColor="text1"/>
                <w:sz w:val="30"/>
                <w:szCs w:val="30"/>
                <w:vertAlign w:val="superscript"/>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预处理池处理达《污水综合排放标准》（GB8978-1996）中的三级标准后排入园区污水管网。</w:t>
            </w:r>
          </w:p>
          <w:p w14:paraId="50182214">
            <w:pPr>
              <w:numPr>
                <w:ilvl w:val="0"/>
                <w:numId w:val="2"/>
              </w:numPr>
              <w:autoSpaceDE w:val="0"/>
              <w:autoSpaceDN w:val="0"/>
              <w:adjustRightInd w:val="0"/>
              <w:ind w:firstLine="600" w:firstLineChars="20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废气:CVD涂层废气（G1）设置碱中和喷淋处理，PVD涂层废气（G2）设置布袋除尘处理，干式喷砂粉尘（G4）设置布袋除尘处理，磨床油雾自带油雾回收机，锅炉废气（G6）设置低氮燃烧，抛光粉尘（G3）依托现有布袋除尘处理，食堂油烟（G7）设置油烟净化器处理。</w:t>
            </w:r>
          </w:p>
          <w:p w14:paraId="03E37BA5">
            <w:pPr>
              <w:autoSpaceDE w:val="0"/>
              <w:autoSpaceDN w:val="0"/>
              <w:adjustRightInd w:val="0"/>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2、噪声：</w:t>
            </w:r>
            <w:r>
              <w:rPr>
                <w:rFonts w:hint="eastAsia" w:ascii="仿宋" w:hAnsi="仿宋" w:eastAsia="仿宋" w:cs="仿宋"/>
                <w:color w:val="000000" w:themeColor="text1"/>
                <w:sz w:val="30"/>
                <w:szCs w:val="30"/>
                <w14:textFill>
                  <w14:solidFill>
                    <w14:schemeClr w14:val="tx1"/>
                  </w14:solidFill>
                </w14:textFill>
              </w:rPr>
              <w:t>合理布局，选用低噪声设备，柔性连接，安装消声器、设置隔声、减振等装置，定期对设备进行维护</w:t>
            </w:r>
            <w:r>
              <w:rPr>
                <w:rFonts w:hint="eastAsia" w:ascii="仿宋" w:hAnsi="仿宋" w:eastAsia="仿宋" w:cs="仿宋"/>
                <w:color w:val="auto"/>
                <w:sz w:val="30"/>
                <w:szCs w:val="30"/>
                <w:lang w:val="en-US" w:eastAsia="zh-CN"/>
              </w:rPr>
              <w:t>。</w:t>
            </w:r>
          </w:p>
          <w:p w14:paraId="04D62333">
            <w:pPr>
              <w:autoSpaceDE w:val="0"/>
              <w:autoSpaceDN w:val="0"/>
              <w:adjustRightInd w:val="0"/>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4.固废：</w:t>
            </w:r>
            <w:r>
              <w:rPr>
                <w:rFonts w:hint="eastAsia" w:ascii="仿宋" w:hAnsi="仿宋" w:eastAsia="仿宋" w:cs="仿宋"/>
                <w:color w:val="000000" w:themeColor="text1"/>
                <w:sz w:val="30"/>
                <w:szCs w:val="30"/>
                <w14:textFill>
                  <w14:solidFill>
                    <w14:schemeClr w14:val="tx1"/>
                  </w14:solidFill>
                </w14:textFill>
              </w:rPr>
              <w:t>一般固废依托现有一般工业固体暂存区面积约210m</w:t>
            </w:r>
            <w:r>
              <w:rPr>
                <w:rFonts w:hint="eastAsia" w:ascii="仿宋" w:hAnsi="仿宋" w:eastAsia="仿宋" w:cs="仿宋"/>
                <w:color w:val="000000" w:themeColor="text1"/>
                <w:sz w:val="30"/>
                <w:szCs w:val="30"/>
                <w:vertAlign w:val="superscript"/>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，位于2#车间内，新增的不合格品和回收粉尘收集后综合外售，喷砂清洗工序过滤的刚玉粉回用于喷砂工序，低温蒸发系统前处理的沉淀清运处理，生活垃圾定期由环卫清运</w:t>
            </w:r>
            <w:r>
              <w:rPr>
                <w:rFonts w:hint="eastAsia" w:ascii="仿宋" w:hAnsi="仿宋" w:eastAsia="仿宋" w:cs="仿宋"/>
                <w:color w:val="auto"/>
                <w:sz w:val="30"/>
                <w:szCs w:val="30"/>
                <w:lang w:val="en-US" w:eastAsia="zh-CN"/>
              </w:rPr>
              <w:t>。</w:t>
            </w:r>
            <w:r>
              <w:rPr>
                <w:rFonts w:hint="eastAsia" w:ascii="仿宋" w:hAnsi="仿宋" w:eastAsia="仿宋" w:cs="仿宋"/>
                <w:color w:val="000000" w:themeColor="text1"/>
                <w:sz w:val="30"/>
                <w:szCs w:val="30"/>
                <w14:textFill>
                  <w14:solidFill>
                    <w14:schemeClr w14:val="tx1"/>
                  </w14:solidFill>
                </w14:textFill>
              </w:rPr>
              <w:t>危废贮存依托现有危险废物暂存间，面积为60m</w:t>
            </w:r>
            <w:r>
              <w:rPr>
                <w:rFonts w:hint="eastAsia" w:ascii="仿宋" w:hAnsi="仿宋" w:eastAsia="仿宋" w:cs="仿宋"/>
                <w:color w:val="000000" w:themeColor="text1"/>
                <w:sz w:val="30"/>
                <w:szCs w:val="30"/>
                <w:vertAlign w:val="superscript"/>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，位于2#车间，废润滑油、废含油抹布和手套、隔油池废油等分类、分区暂存，交由资质单位处置</w:t>
            </w:r>
            <w:r>
              <w:rPr>
                <w:rFonts w:hint="eastAsia" w:ascii="仿宋" w:hAnsi="仿宋" w:eastAsia="仿宋" w:cs="仿宋"/>
                <w:color w:val="000000" w:themeColor="text1"/>
                <w:sz w:val="30"/>
                <w:szCs w:val="30"/>
                <w:lang w:eastAsia="zh-CN"/>
                <w14:textFill>
                  <w14:solidFill>
                    <w14:schemeClr w14:val="tx1"/>
                  </w14:solidFill>
                </w14:textFill>
              </w:rPr>
              <w:t>。</w:t>
            </w:r>
          </w:p>
          <w:p w14:paraId="01FE0159">
            <w:pPr>
              <w:autoSpaceDE w:val="0"/>
              <w:autoSpaceDN w:val="0"/>
              <w:adjustRightInd w:val="0"/>
              <w:ind w:firstLine="600" w:firstLineChars="200"/>
              <w:rPr>
                <w:rFonts w:hint="eastAsia" w:ascii="仿宋" w:hAnsi="仿宋" w:eastAsia="宋体" w:cs="仿宋"/>
                <w:color w:val="auto"/>
                <w:sz w:val="30"/>
                <w:szCs w:val="30"/>
                <w:lang w:val="en-US" w:eastAsia="zh-CN"/>
              </w:rPr>
            </w:pPr>
            <w:r>
              <w:rPr>
                <w:rFonts w:hint="eastAsia" w:ascii="仿宋" w:hAnsi="仿宋" w:eastAsia="仿宋" w:cs="仿宋"/>
                <w:color w:val="auto"/>
                <w:sz w:val="30"/>
                <w:szCs w:val="30"/>
                <w:lang w:val="en-US" w:eastAsia="zh-CN"/>
              </w:rPr>
              <w:t>5、土壤及地下水保护：</w:t>
            </w:r>
            <w:r>
              <w:rPr>
                <w:rFonts w:hint="eastAsia" w:ascii="仿宋" w:hAnsi="仿宋" w:eastAsia="仿宋" w:cs="仿宋"/>
                <w:color w:val="000000" w:themeColor="text1"/>
                <w:sz w:val="30"/>
                <w:szCs w:val="30"/>
                <w14:textFill>
                  <w14:solidFill>
                    <w14:schemeClr w14:val="tx1"/>
                  </w14:solidFill>
                </w14:textFill>
              </w:rPr>
              <w:t>新增精磨区域、中和站、危化品库房为重点防渗区，其他区域进行一般地面硬化</w:t>
            </w:r>
            <w:r>
              <w:rPr>
                <w:rFonts w:hint="eastAsia" w:ascii="仿宋" w:hAnsi="仿宋" w:eastAsia="仿宋" w:cs="仿宋"/>
                <w:color w:val="000000" w:themeColor="text1"/>
                <w:sz w:val="30"/>
                <w:szCs w:val="30"/>
                <w:lang w:eastAsia="zh-CN"/>
                <w14:textFill>
                  <w14:solidFill>
                    <w14:schemeClr w14:val="tx1"/>
                  </w14:solidFill>
                </w14:textFill>
              </w:rPr>
              <w:t>。</w:t>
            </w:r>
          </w:p>
        </w:tc>
      </w:tr>
    </w:tbl>
    <w:p w14:paraId="1D696C8A"/>
    <w:sectPr>
      <w:headerReference r:id="rId5" w:type="first"/>
      <w:footerReference r:id="rId8" w:type="first"/>
      <w:headerReference r:id="rId3" w:type="default"/>
      <w:footerReference r:id="rId6" w:type="default"/>
      <w:headerReference r:id="rId4" w:type="even"/>
      <w:footerReference r:id="rId7" w:type="even"/>
      <w:pgSz w:w="16838" w:h="11906" w:orient="landscape"/>
      <w:pgMar w:top="935" w:right="1800" w:bottom="62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CD50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0B70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C7C3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DAFF">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3F374">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BC1EB">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64C2E"/>
    <w:multiLevelType w:val="singleLevel"/>
    <w:tmpl w:val="E3364C2E"/>
    <w:lvl w:ilvl="0" w:tentative="0">
      <w:start w:val="1"/>
      <w:numFmt w:val="decimal"/>
      <w:suff w:val="nothing"/>
      <w:lvlText w:val="%1、"/>
      <w:lvlJc w:val="left"/>
    </w:lvl>
  </w:abstractNum>
  <w:abstractNum w:abstractNumId="1">
    <w:nsid w:val="00CC2DDF"/>
    <w:multiLevelType w:val="multilevel"/>
    <w:tmpl w:val="00CC2DDF"/>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0145E32"/>
    <w:rsid w:val="015A2317"/>
    <w:rsid w:val="03F629ED"/>
    <w:rsid w:val="0B7430F8"/>
    <w:rsid w:val="0C09417C"/>
    <w:rsid w:val="0C6C56BD"/>
    <w:rsid w:val="0D346D6D"/>
    <w:rsid w:val="0E477199"/>
    <w:rsid w:val="0FFD5E0B"/>
    <w:rsid w:val="106C789B"/>
    <w:rsid w:val="108D6F43"/>
    <w:rsid w:val="10D64FCF"/>
    <w:rsid w:val="11E36690"/>
    <w:rsid w:val="12E44667"/>
    <w:rsid w:val="16C2311A"/>
    <w:rsid w:val="1A3A1B8F"/>
    <w:rsid w:val="1A7F18ED"/>
    <w:rsid w:val="1C203450"/>
    <w:rsid w:val="1C524832"/>
    <w:rsid w:val="20395362"/>
    <w:rsid w:val="21405730"/>
    <w:rsid w:val="21AF5917"/>
    <w:rsid w:val="23761E3F"/>
    <w:rsid w:val="23C23646"/>
    <w:rsid w:val="261D1AE1"/>
    <w:rsid w:val="26A3789E"/>
    <w:rsid w:val="27125B1A"/>
    <w:rsid w:val="2B72111F"/>
    <w:rsid w:val="2E512B1C"/>
    <w:rsid w:val="2EA6043A"/>
    <w:rsid w:val="2FC40C7B"/>
    <w:rsid w:val="2FD15625"/>
    <w:rsid w:val="30337DF3"/>
    <w:rsid w:val="308E72D3"/>
    <w:rsid w:val="30B3544D"/>
    <w:rsid w:val="32E25C58"/>
    <w:rsid w:val="348E0923"/>
    <w:rsid w:val="35AD697B"/>
    <w:rsid w:val="36D40AFA"/>
    <w:rsid w:val="38371546"/>
    <w:rsid w:val="393248B4"/>
    <w:rsid w:val="393F71E6"/>
    <w:rsid w:val="3A006916"/>
    <w:rsid w:val="3CDA54E5"/>
    <w:rsid w:val="3D497D5E"/>
    <w:rsid w:val="3D9E7272"/>
    <w:rsid w:val="3EF74453"/>
    <w:rsid w:val="40841EDB"/>
    <w:rsid w:val="40C75B8D"/>
    <w:rsid w:val="447E32B6"/>
    <w:rsid w:val="44BA3EA7"/>
    <w:rsid w:val="47297723"/>
    <w:rsid w:val="47431C53"/>
    <w:rsid w:val="480037BE"/>
    <w:rsid w:val="48D77567"/>
    <w:rsid w:val="4B9956D1"/>
    <w:rsid w:val="4BCF4084"/>
    <w:rsid w:val="4E4677A8"/>
    <w:rsid w:val="50A11FE0"/>
    <w:rsid w:val="50A431F1"/>
    <w:rsid w:val="50FF1BFD"/>
    <w:rsid w:val="516C79C1"/>
    <w:rsid w:val="53816226"/>
    <w:rsid w:val="53933738"/>
    <w:rsid w:val="569714EE"/>
    <w:rsid w:val="5A6D5520"/>
    <w:rsid w:val="5AE91D44"/>
    <w:rsid w:val="5DC45E1E"/>
    <w:rsid w:val="5F9A3D8F"/>
    <w:rsid w:val="5FA369DB"/>
    <w:rsid w:val="61C00558"/>
    <w:rsid w:val="625D2C9A"/>
    <w:rsid w:val="63156151"/>
    <w:rsid w:val="63581D46"/>
    <w:rsid w:val="63A73796"/>
    <w:rsid w:val="6430660E"/>
    <w:rsid w:val="6483767E"/>
    <w:rsid w:val="66D55648"/>
    <w:rsid w:val="6A2970D9"/>
    <w:rsid w:val="6B8C5D73"/>
    <w:rsid w:val="6C591C44"/>
    <w:rsid w:val="6F8569DB"/>
    <w:rsid w:val="70282FC5"/>
    <w:rsid w:val="70F3042F"/>
    <w:rsid w:val="71F664CE"/>
    <w:rsid w:val="734D36C7"/>
    <w:rsid w:val="73DE5EB2"/>
    <w:rsid w:val="75937E6F"/>
    <w:rsid w:val="7D9C6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2"/>
    <w:autoRedefine/>
    <w:qFormat/>
    <w:uiPriority w:val="0"/>
    <w:pPr>
      <w:adjustRightInd w:val="0"/>
      <w:spacing w:line="360" w:lineRule="auto"/>
      <w:jc w:val="left"/>
      <w:textAlignment w:val="baseline"/>
    </w:pPr>
    <w:rPr>
      <w:b/>
      <w:kern w:val="0"/>
      <w:sz w:val="24"/>
    </w:rPr>
  </w:style>
  <w:style w:type="paragraph" w:styleId="4">
    <w:name w:val="annotation text"/>
    <w:basedOn w:val="1"/>
    <w:qFormat/>
    <w:uiPriority w:val="0"/>
    <w:pPr>
      <w:jc w:val="left"/>
    </w:pPr>
    <w:rPr>
      <w:rFonts w:ascii="Times New Roman" w:hAnsi="Times New Roman" w:eastAsia="宋体" w:cs="Times New Roman"/>
      <w:kern w:val="0"/>
      <w:sz w:val="20"/>
    </w:r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leftChars="200"/>
    </w:pPr>
    <w:rPr>
      <w:kern w:val="0"/>
      <w:sz w:val="24"/>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next w:val="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样式5"/>
    <w:basedOn w:val="10"/>
    <w:autoRedefine/>
    <w:qFormat/>
    <w:uiPriority w:val="0"/>
    <w:pPr>
      <w:ind w:firstLine="480" w:firstLineChars="200"/>
      <w:jc w:val="left"/>
    </w:pPr>
    <w:rPr>
      <w:rFonts w:ascii="Times New Roman"/>
    </w:rPr>
  </w:style>
  <w:style w:type="paragraph" w:customStyle="1" w:styleId="10">
    <w:name w:val="样式3"/>
    <w:basedOn w:val="11"/>
    <w:autoRedefine/>
    <w:qFormat/>
    <w:uiPriority w:val="0"/>
    <w:pPr>
      <w:spacing w:line="240" w:lineRule="exact"/>
      <w:ind w:right="248" w:rightChars="118"/>
      <w:jc w:val="left"/>
    </w:pPr>
    <w:rPr>
      <w:rFonts w:ascii="宋体" w:hAnsi="宋体" w:eastAsia="宋体" w:cs="宋体"/>
      <w:bCs/>
      <w:color w:val="000000"/>
      <w:szCs w:val="18"/>
    </w:rPr>
  </w:style>
  <w:style w:type="paragraph" w:customStyle="1" w:styleId="11">
    <w:name w:val="正文缩进1"/>
    <w:basedOn w:val="1"/>
    <w:autoRedefine/>
    <w:qFormat/>
    <w:uiPriority w:val="0"/>
    <w:pPr>
      <w:spacing w:line="520" w:lineRule="exact"/>
      <w:ind w:firstLine="624"/>
    </w:pPr>
    <w:rPr>
      <w:sz w:val="2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5"/>
    <w:autoRedefine/>
    <w:unhideWhenUsed/>
    <w:qFormat/>
    <w:uiPriority w:val="99"/>
    <w:pPr>
      <w:ind w:firstLine="420" w:firstLineChars="100"/>
    </w:pPr>
  </w:style>
  <w:style w:type="paragraph" w:styleId="14">
    <w:name w:val="Body Text First Indent 2"/>
    <w:basedOn w:val="6"/>
    <w:autoRedefine/>
    <w:qFormat/>
    <w:uiPriority w:val="0"/>
    <w:pPr>
      <w:spacing w:after="120" w:line="240" w:lineRule="auto"/>
      <w:ind w:left="420" w:leftChars="200" w:firstLine="420" w:firstLineChars="200"/>
    </w:pPr>
    <w:rPr>
      <w:rFonts w:ascii="Times New Roman"/>
      <w:sz w:val="21"/>
      <w:szCs w:val="24"/>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1"/>
    <w:autoRedefine/>
    <w:qFormat/>
    <w:uiPriority w:val="0"/>
    <w:pPr>
      <w:widowControl w:val="0"/>
      <w:autoSpaceDE w:val="0"/>
      <w:autoSpaceDN w:val="0"/>
      <w:adjustRightInd w:val="0"/>
      <w:spacing w:line="360" w:lineRule="auto"/>
      <w:jc w:val="both"/>
    </w:pPr>
    <w:rPr>
      <w:rFonts w:ascii="宋体" w:hAnsi="Times New Roman" w:eastAsia="宋体" w:cs="宋体"/>
      <w:color w:val="000000"/>
      <w:kern w:val="2"/>
      <w:sz w:val="24"/>
      <w:szCs w:val="24"/>
      <w:lang w:val="en-US" w:eastAsia="zh-CN" w:bidi="ar-SA"/>
    </w:rPr>
  </w:style>
  <w:style w:type="paragraph" w:customStyle="1" w:styleId="19">
    <w:name w:val="正文1"/>
    <w:basedOn w:val="1"/>
    <w:next w:val="1"/>
    <w:autoRedefine/>
    <w:qFormat/>
    <w:uiPriority w:val="0"/>
    <w:pPr>
      <w:adjustRightInd w:val="0"/>
      <w:snapToGrid w:val="0"/>
      <w:spacing w:line="500" w:lineRule="atLeast"/>
      <w:ind w:firstLine="567"/>
    </w:pPr>
    <w:rPr>
      <w:sz w:val="28"/>
    </w:rPr>
  </w:style>
  <w:style w:type="paragraph" w:customStyle="1" w:styleId="20">
    <w:name w:val="+正文"/>
    <w:basedOn w:val="1"/>
    <w:autoRedefine/>
    <w:qFormat/>
    <w:uiPriority w:val="0"/>
    <w:pPr>
      <w:spacing w:line="360" w:lineRule="auto"/>
      <w:ind w:firstLine="200" w:firstLineChars="200"/>
    </w:pPr>
    <w:rPr>
      <w:sz w:val="24"/>
      <w:szCs w:val="28"/>
    </w:rPr>
  </w:style>
  <w:style w:type="paragraph" w:customStyle="1" w:styleId="21">
    <w:name w:val="Default"/>
    <w:basedOn w:val="22"/>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3">
    <w:name w:val="章标题"/>
    <w:basedOn w:val="1"/>
    <w:next w:val="24"/>
    <w:autoRedefine/>
    <w:qFormat/>
    <w:uiPriority w:val="99"/>
    <w:pPr>
      <w:widowControl/>
      <w:spacing w:line="323" w:lineRule="atLeast"/>
      <w:ind w:right="-120"/>
      <w:jc w:val="center"/>
      <w:textAlignment w:val="baseline"/>
    </w:pPr>
    <w:rPr>
      <w:color w:val="FF0000"/>
      <w:kern w:val="0"/>
      <w:sz w:val="18"/>
      <w:szCs w:val="18"/>
    </w:rPr>
  </w:style>
  <w:style w:type="paragraph" w:customStyle="1" w:styleId="24">
    <w:name w:val="节标题"/>
    <w:basedOn w:val="1"/>
    <w:next w:val="1"/>
    <w:autoRedefine/>
    <w:qFormat/>
    <w:uiPriority w:val="99"/>
    <w:pPr>
      <w:widowControl/>
      <w:spacing w:line="289" w:lineRule="atLeast"/>
      <w:jc w:val="center"/>
      <w:textAlignment w:val="baseline"/>
    </w:pPr>
    <w:rPr>
      <w:color w:val="000000"/>
      <w:kern w:val="0"/>
      <w:sz w:val="28"/>
      <w:szCs w:val="28"/>
    </w:rPr>
  </w:style>
  <w:style w:type="paragraph" w:customStyle="1" w:styleId="25">
    <w:name w:val="报告"/>
    <w:basedOn w:val="1"/>
    <w:autoRedefine/>
    <w:qFormat/>
    <w:uiPriority w:val="0"/>
    <w:pPr>
      <w:adjustRightInd w:val="0"/>
      <w:spacing w:line="360" w:lineRule="auto"/>
      <w:ind w:firstLine="505"/>
      <w:textAlignment w:val="center"/>
    </w:pPr>
    <w:rPr>
      <w:rFonts w:ascii="TimesNewRoman" w:hAnsi="TimesNewRoman"/>
      <w:kern w:val="0"/>
      <w:sz w:val="24"/>
      <w:szCs w:val="20"/>
    </w:rPr>
  </w:style>
  <w:style w:type="paragraph" w:customStyle="1" w:styleId="26">
    <w:name w:val="环评正文"/>
    <w:basedOn w:val="1"/>
    <w:autoRedefine/>
    <w:qFormat/>
    <w:uiPriority w:val="0"/>
    <w:pPr>
      <w:adjustRightInd w:val="0"/>
      <w:snapToGrid w:val="0"/>
      <w:spacing w:line="420" w:lineRule="auto"/>
      <w:ind w:firstLine="720" w:firstLineChars="200"/>
      <w:jc w:val="left"/>
    </w:pPr>
    <w:rPr>
      <w:rFonts w:hint="eastAsia" w:ascii="宋体" w:hAnsi="宋体" w:eastAsia="宋体" w:cs="宋体"/>
      <w:sz w:val="24"/>
      <w:szCs w:val="21"/>
    </w:rPr>
  </w:style>
  <w:style w:type="paragraph" w:customStyle="1" w:styleId="27">
    <w:name w:val="页末正文"/>
    <w:basedOn w:val="1"/>
    <w:autoRedefine/>
    <w:qFormat/>
    <w:uiPriority w:val="0"/>
    <w:pPr>
      <w:spacing w:after="240" w:line="480" w:lineRule="exact"/>
      <w:ind w:firstLine="560" w:firstLineChars="200"/>
    </w:pPr>
    <w:rPr>
      <w:rFonts w:eastAsia="楷体_GB2312"/>
      <w:color w:val="000000"/>
      <w:sz w:val="28"/>
      <w:szCs w:val="20"/>
    </w:rPr>
  </w:style>
  <w:style w:type="paragraph" w:customStyle="1" w:styleId="28">
    <w:name w:val="文本111"/>
    <w:autoRedefine/>
    <w:qFormat/>
    <w:uiPriority w:val="0"/>
    <w:pPr>
      <w:widowControl w:val="0"/>
      <w:adjustRightInd w:val="0"/>
      <w:snapToGrid w:val="0"/>
      <w:spacing w:line="360" w:lineRule="auto"/>
      <w:ind w:firstLine="720" w:firstLineChars="200"/>
      <w:jc w:val="both"/>
    </w:pPr>
    <w:rPr>
      <w:rFonts w:ascii="Times New Roman" w:hAnsi="Times New Roman" w:eastAsia="宋体" w:cs="宋体"/>
      <w:bCs/>
      <w:kern w:val="2"/>
      <w:sz w:val="24"/>
      <w:szCs w:val="21"/>
      <w:lang w:val="en-US" w:eastAsia="zh-CN" w:bidi="ar-SA"/>
    </w:rPr>
  </w:style>
  <w:style w:type="paragraph" w:styleId="29">
    <w:name w:val="No Spacing"/>
    <w:qFormat/>
    <w:uiPriority w:val="1"/>
    <w:pPr>
      <w:jc w:val="center"/>
    </w:pPr>
    <w:rPr>
      <w:rFonts w:ascii="Times New Roman" w:hAnsi="Times New Roman" w:eastAsia="宋体" w:cs="Times New Roman"/>
      <w:kern w:val="2"/>
      <w:sz w:val="18"/>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266</Words>
  <Characters>291</Characters>
  <Lines>0</Lines>
  <Paragraphs>0</Paragraphs>
  <TotalTime>9</TotalTime>
  <ScaleCrop>false</ScaleCrop>
  <LinksUpToDate>false</LinksUpToDate>
  <CharactersWithSpaces>291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cp:lastModifiedBy>
  <dcterms:modified xsi:type="dcterms:W3CDTF">2025-08-26T01:29:32Z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ACC2F884AAD844F7A4D9D25178E15AD8_13</vt:lpwstr>
  </property>
  <property fmtid="{D5CDD505-2E9C-101B-9397-08002B2CF9AE}" pid="4" name="KSOTemplateDocerSaveRecord">
    <vt:lpwstr>eyJoZGlkIjoiMDJiYmFhZDE1ZDU0NTM1OTM0NzE1MDViOTk0MTM1MWYiLCJ1c2VySWQiOiI0MjYwODA3MjIifQ==</vt:lpwstr>
  </property>
</Properties>
</file>