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u w:val="singl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28"/>
        </w:rPr>
        <w:t>遂宁市船山区综合行政执法局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u w:val="none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u w:val="none"/>
        </w:rPr>
        <w:t>公告送达立案通知书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遂船综执（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eastAsia="zh-CN"/>
        </w:rPr>
        <w:t>河东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）立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公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字〔2025〕第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号</w:t>
      </w:r>
    </w:p>
    <w:p>
      <w:pPr>
        <w:pStyle w:val="2"/>
        <w:keepNext w:val="0"/>
        <w:keepLines w:val="0"/>
        <w:pageBreakBefore w:val="0"/>
        <w:tabs>
          <w:tab w:val="left" w:pos="3747"/>
          <w:tab w:val="left" w:pos="6432"/>
          <w:tab w:val="left" w:pos="6991"/>
          <w:tab w:val="left" w:pos="7553"/>
          <w:tab w:val="left" w:pos="8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atLeas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none"/>
          <w:lang w:val="en-US" w:eastAsia="zh-CN" w:bidi="ar-SA"/>
        </w:rPr>
        <w:t>当事人：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eastAsia="zh-CN"/>
        </w:rPr>
        <w:t>遂宁中泰房地产开发有限公司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none"/>
          <w:lang w:val="en-US" w:eastAsia="zh-CN" w:bidi="ar-SA"/>
        </w:rPr>
        <w:t xml:space="preserve">   </w:t>
      </w:r>
    </w:p>
    <w:p>
      <w:pPr>
        <w:pStyle w:val="2"/>
        <w:keepNext w:val="0"/>
        <w:keepLines w:val="0"/>
        <w:pageBreakBefore w:val="0"/>
        <w:tabs>
          <w:tab w:val="left" w:pos="3747"/>
          <w:tab w:val="left" w:pos="6432"/>
          <w:tab w:val="left" w:pos="6991"/>
          <w:tab w:val="left" w:pos="7553"/>
          <w:tab w:val="left" w:pos="8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atLeas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仿宋" w:cs="Times New Roman"/>
          <w:spacing w:val="-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none"/>
          <w:lang w:val="en-US" w:eastAsia="zh-CN" w:bidi="ar-SA"/>
        </w:rPr>
        <w:t>社会信用代码：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91510903076104674U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none"/>
          <w:lang w:val="en-US" w:eastAsia="zh-CN" w:bidi="ar-SA"/>
        </w:rPr>
        <w:t xml:space="preserve">    </w:t>
      </w:r>
      <w:r>
        <w:rPr>
          <w:rFonts w:hint="default" w:ascii="Times New Roman" w:hAnsi="Times New Roman" w:cs="Times New Roman"/>
          <w:spacing w:val="-2"/>
          <w:u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pacing w:val="-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pacing w:val="-2"/>
          <w:u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" w:cs="Times New Roman"/>
          <w:spacing w:val="-2"/>
          <w:u w:val="non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tabs>
          <w:tab w:val="left" w:pos="3747"/>
          <w:tab w:val="left" w:pos="6432"/>
          <w:tab w:val="left" w:pos="6991"/>
          <w:tab w:val="left" w:pos="7553"/>
          <w:tab w:val="left" w:pos="8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atLeas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仿宋" w:cs="Times New Roman"/>
          <w:spacing w:val="-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4"/>
          <w:rtl w:val="0"/>
          <w:lang w:val="en-US" w:eastAsia="zh-CN"/>
        </w:rPr>
        <w:t>法定代表人：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4"/>
          <w:u w:val="single"/>
          <w:rtl w:val="0"/>
          <w:lang w:val="en-US" w:eastAsia="zh-CN"/>
        </w:rPr>
        <w:t>周世军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4"/>
          <w:rtl w:val="0"/>
          <w:lang w:val="en-US" w:eastAsia="zh-CN"/>
        </w:rPr>
        <w:t xml:space="preserve">     公民身份证号码：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4"/>
          <w:u w:val="single"/>
          <w:rtl w:val="0"/>
          <w:lang w:val="en-US" w:eastAsia="zh-CN"/>
        </w:rPr>
        <w:t>513029********3753</w:t>
      </w:r>
      <w:r>
        <w:rPr>
          <w:rFonts w:hint="default" w:ascii="Times New Roman" w:hAnsi="Times New Roman" w:eastAsia="仿宋" w:cs="Times New Roman"/>
          <w:spacing w:val="-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2"/>
          <w:u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spacing w:val="-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pacing w:val="-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pacing w:val="-2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仿宋" w:cs="Times New Roman"/>
          <w:spacing w:val="-2"/>
          <w:u w:val="none"/>
          <w:lang w:val="en-US" w:eastAsia="zh-CN"/>
        </w:rPr>
        <w:t xml:space="preserve">   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none"/>
          <w:lang w:val="en-US" w:eastAsia="zh-CN" w:bidi="ar-SA"/>
        </w:rPr>
        <w:t>地址：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四川省遂宁市河东新区东升路5号附16号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firstLine="480" w:firstLineChars="200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你（单位）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>涉嫌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24"/>
          <w:szCs w:val="24"/>
          <w:u w:val="single"/>
          <w:lang w:val="en-US" w:eastAsia="zh-CN"/>
        </w:rPr>
        <w:t>在东湖丽景9栋2单元603号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24"/>
          <w:szCs w:val="24"/>
          <w:u w:val="single"/>
        </w:rPr>
        <w:t>未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24"/>
          <w:szCs w:val="24"/>
          <w:u w:val="single"/>
          <w:lang w:eastAsia="zh-CN"/>
        </w:rPr>
        <w:t>按规划条件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24"/>
          <w:szCs w:val="24"/>
          <w:u w:val="single"/>
        </w:rPr>
        <w:t>进行建设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>行为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，违反了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4"/>
          <w:highlight w:val="none"/>
          <w:u w:val="none"/>
          <w:rtl w:val="0"/>
          <w:lang w:val="en-US" w:eastAsia="zh-CN"/>
        </w:rPr>
        <w:t>《中华人民共和国城乡规划法》第四十条第一款的规定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，本局已于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依法立案调查（案件编号：遂船综执（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河东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字〔2025〕第1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号）。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本局执法人员于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2025年8月4日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前往你单位登记的住所（地址：四川省遂宁市河东新区东升路5号附16号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）直接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送达《立案通知书》（文号：遂船综执（河东）立通字〔2025〕第12号）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，因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你单位登记的住所地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为遂宁银行营业场所，现场无任何你单位的经营标识、办公设施及工作人员。另经本局核实，市场监管部门登记信息等合法途径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均未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获取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你单位变更的新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地址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和其他相关信息，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故直接送达，留置送达、邮寄送达、电子送达等其他法定送达方式均无法送达你单位。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现依据《中华人民共和国行政处罚法》第六十一条及《中华人民共和国民事诉讼法》第九十五条的规定，依法向你（单位）公告送达上述文书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公告内容附后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自本公告发布之日起30日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，视为《立案通知书》已送达你（单位）。逾期未行使权利或未配合调查的，视为放弃相关权利，本局将依法作出处理决定，并可能承担不利法律后果。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firstLine="480" w:firstLineChars="200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联系地址：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  <w:lang w:val="en-US" w:eastAsia="zh-CN"/>
        </w:rPr>
        <w:t>遂宁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  <w:lang w:val="en-US" w:eastAsia="zh-CN"/>
        </w:rPr>
        <w:t>河东新区祥云路88号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 xml:space="preserve">  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left="0" w:leftChars="0" w:firstLine="420" w:firstLineChars="175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联系人：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eastAsia="zh-CN"/>
        </w:rPr>
        <w:t>冯斌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、聂飞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 xml:space="preserve">  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left="0" w:leftChars="0" w:firstLine="420" w:firstLineChars="175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联系电话：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0825-2918986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 xml:space="preserve"> 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left="0" w:leftChars="0" w:firstLine="420" w:firstLineChars="175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single"/>
        </w:rPr>
      </w:pP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left="0" w:leftChars="0" w:firstLine="420" w:firstLineChars="175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公告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u w:val="none"/>
        </w:rPr>
        <w:t>期：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u w:val="none"/>
        </w:rPr>
        <w:t>日至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u w:val="none"/>
          <w:lang w:val="en-US" w:eastAsia="zh-CN"/>
        </w:rPr>
        <w:t xml:space="preserve"> 9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u w:val="none"/>
        </w:rPr>
        <w:t xml:space="preserve">日  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left="0" w:leftChars="0" w:firstLine="420" w:firstLineChars="175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公告方式：本级政府门户网站 https://www.chuanshan.gov.cn/home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left="0" w:leftChars="0" w:firstLine="420" w:firstLineChars="175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特此公告。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firstLine="5280" w:firstLineChars="2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firstLine="5280" w:firstLineChars="2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>遂宁市船山区综合行政执法局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firstLine="6000" w:firstLineChars="25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>2025年8月6日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公告内容：</w:t>
      </w:r>
    </w:p>
    <w:p>
      <w:pPr>
        <w:spacing w:line="66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5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pacing w:val="50"/>
          <w:sz w:val="36"/>
          <w:szCs w:val="36"/>
        </w:rPr>
        <w:t>遂宁市船山区综合行政执法局</w:t>
      </w:r>
    </w:p>
    <w:p>
      <w:pPr>
        <w:spacing w:line="66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2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pacing w:val="20"/>
          <w:sz w:val="36"/>
          <w:szCs w:val="36"/>
        </w:rPr>
        <w:t>立案通知书</w:t>
      </w:r>
    </w:p>
    <w:p>
      <w:pPr>
        <w:widowControl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u w:val="single"/>
        </w:rPr>
        <w:t>遂船综执（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u w:val="single"/>
          <w:lang w:eastAsia="zh-CN"/>
        </w:rPr>
        <w:t>河东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u w:val="singl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立通字〔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〕第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 xml:space="preserve"> </w:t>
      </w:r>
    </w:p>
    <w:p>
      <w:pPr>
        <w:widowControl/>
        <w:ind w:firstLine="3780" w:firstLineChars="1800"/>
        <w:jc w:val="left"/>
        <w:rPr>
          <w:rFonts w:hint="default" w:ascii="Times New Roman" w:hAnsi="Times New Roman" w:eastAsia="仿宋_GB2312" w:cs="Times New Roman"/>
          <w:color w:val="000000"/>
        </w:rPr>
      </w:pPr>
    </w:p>
    <w:p>
      <w:pPr>
        <w:wordWrap w:val="0"/>
        <w:spacing w:line="540" w:lineRule="exact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lang w:eastAsia="zh-CN"/>
        </w:rPr>
        <w:t>遂宁中泰房地产开发有限公司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：</w:t>
      </w:r>
      <w:bookmarkStart w:id="0" w:name="_GoBack"/>
      <w:bookmarkEnd w:id="0"/>
    </w:p>
    <w:p>
      <w:pPr>
        <w:widowControl/>
        <w:spacing w:line="5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你（单位）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涉嫌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u w:val="single"/>
          <w:lang w:val="en-US" w:eastAsia="zh-CN"/>
        </w:rPr>
        <w:t>在东湖丽景9栋2单元603号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lang w:eastAsia="zh-CN"/>
        </w:rPr>
        <w:t>未按规划条件进行建设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行为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，本机关已依法予以立案，并将开展进一步调查。调查终结后，本机关将依法作出处理。 </w:t>
      </w:r>
    </w:p>
    <w:p>
      <w:pPr>
        <w:widowControl/>
        <w:spacing w:line="5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根据《中华人民共和国行政处罚法》第五十五条的规定，你（单位）有义务如实回答本机关的询问，并协助本机关依法开展调查或者检查，不得阻挠。 </w:t>
      </w:r>
    </w:p>
    <w:p>
      <w:pPr>
        <w:widowControl/>
        <w:spacing w:line="5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根据《中华人民共和国行政处罚法》第四十五条的规定，你（单位）有权进行陈述和申辩。在本机关调查期间，你（单位）可以陈述事实、理由，提交相应证据。本机关将对你（单位）提出的意见进行复核；你（单位）提出的事实、理由或者证据成立的，本机关将予以采纳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遂宁市船山区综合行政执法局</w:t>
      </w:r>
    </w:p>
    <w:p>
      <w:pPr>
        <w:widowControl/>
        <w:spacing w:line="540" w:lineRule="exact"/>
        <w:ind w:firstLine="6480" w:firstLineChars="27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年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联 系 人：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lang w:eastAsia="zh-CN"/>
        </w:rPr>
        <w:t>冯斌、聂飞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  联系地址：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lang w:eastAsia="zh-CN"/>
        </w:rPr>
        <w:t>市河东新区祥云路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lang w:val="en-US" w:eastAsia="zh-CN"/>
        </w:rPr>
        <w:t>88号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line="540" w:lineRule="exact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lang w:val="en-US" w:eastAsia="zh-CN"/>
        </w:rPr>
        <w:t>0825-2918986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邮政编码：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lang w:val="en-US" w:eastAsia="zh-CN"/>
        </w:rPr>
        <w:t xml:space="preserve">     629000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</w:t>
      </w:r>
    </w:p>
    <w:p>
      <w:pPr>
        <w:widowControl/>
        <w:spacing w:line="540" w:lineRule="exact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</w:pPr>
    </w:p>
    <w:p>
      <w:pPr>
        <w:widowControl/>
        <w:spacing w:line="54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p>
      <w:pPr>
        <w:widowControl/>
        <w:spacing w:line="540" w:lineRule="exact"/>
        <w:jc w:val="left"/>
        <w:rPr>
          <w:rFonts w:hint="default" w:ascii="Times New Roman" w:hAnsi="Times New Roman" w:eastAsia="方正小标宋简体" w:cs="Times New Roman"/>
          <w:color w:val="000000"/>
          <w:spacing w:val="2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注：本通知书一式二联，第一联送当事人，第二联存档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sectPr>
      <w:pgSz w:w="11906" w:h="16838"/>
      <w:pgMar w:top="1270" w:right="1474" w:bottom="127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M2JmYmUyNzcwNGIwMWIwMDc0YzE5NzE1NzZjNDYifQ=="/>
  </w:docVars>
  <w:rsids>
    <w:rsidRoot w:val="60F209A1"/>
    <w:rsid w:val="00FA57CB"/>
    <w:rsid w:val="012810B4"/>
    <w:rsid w:val="014D0B1B"/>
    <w:rsid w:val="02305B97"/>
    <w:rsid w:val="02585DD1"/>
    <w:rsid w:val="02A604E3"/>
    <w:rsid w:val="055A61EA"/>
    <w:rsid w:val="06DE46EF"/>
    <w:rsid w:val="0783410E"/>
    <w:rsid w:val="07C22B6F"/>
    <w:rsid w:val="07D653C6"/>
    <w:rsid w:val="07EA70C4"/>
    <w:rsid w:val="0946657C"/>
    <w:rsid w:val="0B9C06D5"/>
    <w:rsid w:val="0C0004C2"/>
    <w:rsid w:val="0C4F4E43"/>
    <w:rsid w:val="13D11E4E"/>
    <w:rsid w:val="182D1836"/>
    <w:rsid w:val="1B3061E5"/>
    <w:rsid w:val="1C362480"/>
    <w:rsid w:val="1C487302"/>
    <w:rsid w:val="1D7B1BF0"/>
    <w:rsid w:val="1D7C4691"/>
    <w:rsid w:val="1E9F430C"/>
    <w:rsid w:val="1F0B74B4"/>
    <w:rsid w:val="202076CF"/>
    <w:rsid w:val="20F6042F"/>
    <w:rsid w:val="22396826"/>
    <w:rsid w:val="22FF181D"/>
    <w:rsid w:val="25D348C9"/>
    <w:rsid w:val="26321F0A"/>
    <w:rsid w:val="2A6F54DA"/>
    <w:rsid w:val="2C264DF0"/>
    <w:rsid w:val="2DAC07F4"/>
    <w:rsid w:val="2DCC2C44"/>
    <w:rsid w:val="2E9E7D49"/>
    <w:rsid w:val="2FB25428"/>
    <w:rsid w:val="30151110"/>
    <w:rsid w:val="30B31E99"/>
    <w:rsid w:val="31191065"/>
    <w:rsid w:val="3200110E"/>
    <w:rsid w:val="33621DF2"/>
    <w:rsid w:val="34C603ED"/>
    <w:rsid w:val="35415CC5"/>
    <w:rsid w:val="37164DDE"/>
    <w:rsid w:val="371C3DE3"/>
    <w:rsid w:val="37940FB4"/>
    <w:rsid w:val="389D6E50"/>
    <w:rsid w:val="39736BF2"/>
    <w:rsid w:val="441C4E1D"/>
    <w:rsid w:val="457277D5"/>
    <w:rsid w:val="45FC1B37"/>
    <w:rsid w:val="466C691A"/>
    <w:rsid w:val="485A1120"/>
    <w:rsid w:val="489151BF"/>
    <w:rsid w:val="49040A79"/>
    <w:rsid w:val="49D05863"/>
    <w:rsid w:val="49F24ED3"/>
    <w:rsid w:val="4AB90772"/>
    <w:rsid w:val="4C002B75"/>
    <w:rsid w:val="4D9F75D5"/>
    <w:rsid w:val="517F39A6"/>
    <w:rsid w:val="51C63383"/>
    <w:rsid w:val="522E2CD6"/>
    <w:rsid w:val="540D1ECF"/>
    <w:rsid w:val="5452714F"/>
    <w:rsid w:val="545B044E"/>
    <w:rsid w:val="56494582"/>
    <w:rsid w:val="567F7FA4"/>
    <w:rsid w:val="57D92731"/>
    <w:rsid w:val="58117322"/>
    <w:rsid w:val="58490869"/>
    <w:rsid w:val="584F08A1"/>
    <w:rsid w:val="5B5F03A4"/>
    <w:rsid w:val="5CEF0203"/>
    <w:rsid w:val="5D17210E"/>
    <w:rsid w:val="5F1836AC"/>
    <w:rsid w:val="5F27184E"/>
    <w:rsid w:val="60193217"/>
    <w:rsid w:val="60F209A1"/>
    <w:rsid w:val="61120392"/>
    <w:rsid w:val="61CF03CC"/>
    <w:rsid w:val="63E12B7D"/>
    <w:rsid w:val="64FB738F"/>
    <w:rsid w:val="66694836"/>
    <w:rsid w:val="6A3B2E65"/>
    <w:rsid w:val="6A681023"/>
    <w:rsid w:val="6EAD16FA"/>
    <w:rsid w:val="6FFD82E5"/>
    <w:rsid w:val="738337F8"/>
    <w:rsid w:val="76985327"/>
    <w:rsid w:val="77CA132C"/>
    <w:rsid w:val="783C3AB2"/>
    <w:rsid w:val="78AD60B5"/>
    <w:rsid w:val="79D51B05"/>
    <w:rsid w:val="7A4F26D7"/>
    <w:rsid w:val="7A8305FA"/>
    <w:rsid w:val="7B3FA87F"/>
    <w:rsid w:val="7C5E2286"/>
    <w:rsid w:val="7E3D1130"/>
    <w:rsid w:val="7ECB797B"/>
    <w:rsid w:val="EF7FF71F"/>
    <w:rsid w:val="F4B1078B"/>
    <w:rsid w:val="F5B633D6"/>
    <w:rsid w:val="F6BF0E2C"/>
    <w:rsid w:val="FDE3A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6"/>
      <w:ind w:left="108"/>
    </w:pPr>
    <w:rPr>
      <w:rFonts w:ascii="仿宋" w:hAnsi="仿宋" w:eastAsia="仿宋"/>
      <w:sz w:val="28"/>
      <w:szCs w:val="28"/>
    </w:rPr>
  </w:style>
  <w:style w:type="paragraph" w:styleId="3">
    <w:name w:val="Body Text Indent"/>
    <w:basedOn w:val="1"/>
    <w:qFormat/>
    <w:uiPriority w:val="99"/>
    <w:pPr>
      <w:ind w:firstLine="387" w:firstLineChars="200"/>
    </w:pPr>
    <w:rPr>
      <w:rFonts w:ascii="Times New Roman" w:hAnsi="Times New Roman"/>
      <w:kern w:val="0"/>
      <w:sz w:val="20"/>
      <w:szCs w:val="20"/>
      <w:lang w:val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semiHidden/>
    <w:qFormat/>
    <w:uiPriority w:val="99"/>
    <w:pPr>
      <w:spacing w:after="120"/>
      <w:ind w:left="420" w:leftChars="200" w:firstLine="420"/>
    </w:pPr>
    <w:rPr>
      <w:rFonts w:ascii="Calibri" w:hAnsi="Calibri"/>
      <w:kern w:val="2"/>
      <w:sz w:val="21"/>
      <w:szCs w:val="22"/>
      <w:lang w:val="en-US"/>
    </w:rPr>
  </w:style>
  <w:style w:type="paragraph" w:customStyle="1" w:styleId="8">
    <w:name w:val="p0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1040</Words>
  <Characters>1179</Characters>
  <Lines>0</Lines>
  <Paragraphs>0</Paragraphs>
  <TotalTime>0</TotalTime>
  <ScaleCrop>false</ScaleCrop>
  <LinksUpToDate>false</LinksUpToDate>
  <CharactersWithSpaces>1363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2025-05-15T01:37:00Z</dcterms:created>
  <dc:creator>y</dc:creator>
  <cp:lastModifiedBy>堇墨浮华</cp:lastModifiedBy>
  <dcterms:modified xsi:type="dcterms:W3CDTF">2025-08-06T01:14:11Z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89EC267BC52448FEBCB954E19E5EE9AC</vt:lpwstr>
  </property>
  <property fmtid="{D5CDD505-2E9C-101B-9397-08002B2CF9AE}" pid="4" name="KSOTemplateDocerSaveRecord">
    <vt:lpwstr>eyJoZGlkIjoiZjA0NTY4ODYzZmY3NjViNzc3YTU3NzY4ZWUzZDg0M2UiLCJ1c2VySWQiOiIyNzY2MDAxMzUifQ==</vt:lpwstr>
  </property>
</Properties>
</file>