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56A49">
      <w:pPr>
        <w:keepNext w:val="0"/>
        <w:keepLines w:val="0"/>
        <w:pageBreakBefore w:val="0"/>
        <w:widowControl w:val="0"/>
        <w:kinsoku/>
        <w:wordWrap/>
        <w:overflowPunct/>
        <w:topLinePunct w:val="0"/>
        <w:autoSpaceDE/>
        <w:autoSpaceDN/>
        <w:bidi w:val="0"/>
        <w:adjustRightInd w:val="0"/>
        <w:snapToGrid/>
        <w:spacing w:line="700" w:lineRule="exact"/>
        <w:jc w:val="center"/>
        <w:textAlignment w:val="auto"/>
        <w:rPr>
          <w:rFonts w:hint="eastAsia" w:asciiTheme="majorEastAsia" w:hAnsiTheme="majorEastAsia" w:eastAsiaTheme="majorEastAsia"/>
          <w:b/>
          <w:bCs/>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部分不合格项目解读</w:t>
      </w:r>
    </w:p>
    <w:p w14:paraId="482B7BD4">
      <w:pPr>
        <w:bidi w:val="0"/>
        <w:rPr>
          <w:rFonts w:hint="eastAsia"/>
          <w:lang w:val="en-US" w:eastAsia="zh-CN"/>
        </w:rPr>
      </w:pPr>
    </w:p>
    <w:p w14:paraId="1D671220">
      <w:pPr>
        <w:pStyle w:val="2"/>
        <w:bidi w:val="0"/>
      </w:pPr>
      <w:r>
        <w:t>三氯蔗糖</w:t>
      </w:r>
    </w:p>
    <w:p w14:paraId="6F41843D">
      <w:pPr>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三氯蔗糖是一种人工合成甜味剂，甜度为蔗糖的600倍但在白酒中属于禁止添加的物质。根据</w:t>
      </w:r>
      <w:r>
        <w:rPr>
          <w:rFonts w:hint="default"/>
          <w:lang w:val="en-US" w:eastAsia="zh-CN"/>
        </w:rPr>
        <w:t>《食品安全国家标准 食品添加剂使用标准》</w:t>
      </w:r>
      <w:r>
        <w:rPr>
          <w:rFonts w:hint="eastAsia"/>
          <w:lang w:val="en-US" w:eastAsia="zh-CN"/>
        </w:rPr>
        <w:t>（</w:t>
      </w:r>
      <w:r>
        <w:rPr>
          <w:rFonts w:hint="eastAsia" w:ascii="仿宋_GB2312" w:hAnsi="仿宋_GB2312" w:eastAsia="仿宋_GB2312" w:cs="仿宋_GB2312"/>
          <w:color w:val="000000"/>
          <w:kern w:val="0"/>
          <w:sz w:val="31"/>
          <w:szCs w:val="31"/>
          <w:lang w:val="en-US" w:eastAsia="zh-CN" w:bidi="ar"/>
        </w:rPr>
        <w:t>GB 2760-2014）（GB 2760-2024），白酒中不得使用三氯蔗糖，配制酒和发酵酒也需按限量添加。长期过量摄入三氯蔗糖可能干</w:t>
      </w:r>
      <w:bookmarkStart w:id="0" w:name="_GoBack"/>
      <w:bookmarkEnd w:id="0"/>
      <w:r>
        <w:rPr>
          <w:rFonts w:hint="eastAsia" w:ascii="仿宋_GB2312" w:hAnsi="仿宋_GB2312" w:eastAsia="仿宋_GB2312" w:cs="仿宋_GB2312"/>
          <w:color w:val="000000"/>
          <w:kern w:val="0"/>
          <w:sz w:val="31"/>
          <w:szCs w:val="31"/>
          <w:lang w:val="en-US" w:eastAsia="zh-CN" w:bidi="ar"/>
        </w:rPr>
        <w:t>扰肠道菌群平衡,增加肥胖和代谢性疾病风险。白酒中检出三氯蔗糖的原因可能是生产企业为改善口感违规添加，或在生产过程中与其他含三氯蔗糖的原料交叉污染。</w:t>
      </w:r>
    </w:p>
    <w:p w14:paraId="0628EF43">
      <w:pPr>
        <w:pStyle w:val="2"/>
        <w:bidi w:val="0"/>
        <w:rPr>
          <w:lang w:val="en-US" w:eastAsia="zh-CN"/>
        </w:rPr>
      </w:pPr>
      <w:r>
        <w:t>脱氢乙酸及其钠盐(以脱氢乙酸计)</w:t>
      </w:r>
    </w:p>
    <w:p w14:paraId="709661FA">
      <w:pPr>
        <w:bidi w:val="0"/>
        <w:rPr>
          <w:rFonts w:hint="default"/>
          <w:lang w:val="en-US" w:eastAsia="zh-CN"/>
        </w:rPr>
      </w:pPr>
      <w:r>
        <w:rPr>
          <w:lang w:val="en-US" w:eastAsia="zh-CN"/>
        </w:rPr>
        <w:t>脱氢乙酸及其钠盐是一种广谱食品防腐剂。脱氢乙酸毒</w:t>
      </w:r>
      <w:r>
        <w:rPr>
          <w:rFonts w:hint="default"/>
          <w:lang w:val="en-US" w:eastAsia="zh-CN"/>
        </w:rPr>
        <w:t>性较低，按标准规定的范围和使用量使用是安全的。脱氢乙酸及其钠盐能被人体完全吸收，并能抑制人体内多种氧化酶，长期过量摄入脱氢乙酸及其钠盐会危害人体健康。《食品安全国家标准 食品添加剂使用标准》（GB 2760-20</w:t>
      </w:r>
      <w:r>
        <w:rPr>
          <w:rFonts w:hint="eastAsia"/>
          <w:lang w:val="en-US" w:eastAsia="zh-CN"/>
        </w:rPr>
        <w:t>2</w:t>
      </w:r>
      <w:r>
        <w:rPr>
          <w:rFonts w:hint="default"/>
          <w:lang w:val="en-US" w:eastAsia="zh-CN"/>
        </w:rPr>
        <w:t>4）中规定，糕点中不得使用脱氢乙酸及其钠盐（以脱氢乙酸计）。糕点中检出脱氢乙酸及其钠盐（以脱氢乙酸计）项目不合格，可能是生产企业为延长产品保质期或弥补产品生产过程卫生条件不佳而超限量使用了该添加剂；也可能是企业在使用过程中未准确计量造成不合格。</w:t>
      </w:r>
    </w:p>
    <w:p w14:paraId="543315D8">
      <w:pPr>
        <w:pStyle w:val="2"/>
        <w:bidi w:val="0"/>
      </w:pPr>
      <w:r>
        <w:t>防腐剂混合使用时各自用量占其最大使用量的比例之和</w:t>
      </w:r>
    </w:p>
    <w:p w14:paraId="205DEAF2">
      <w:pPr>
        <w:bidi w:val="0"/>
        <w:rPr>
          <w:rFonts w:hint="eastAsia"/>
          <w:lang w:val="en-US" w:eastAsia="zh-CN"/>
        </w:rPr>
      </w:pPr>
      <w:r>
        <w:rPr>
          <w:lang w:val="en-US" w:eastAsia="zh-CN"/>
        </w:rPr>
        <w:t>防腐剂是常见的食品添加剂，指天然或合成的化学成分，用于延缓或抑制由微生物引起的食品腐败变质。长期食用防腐剂超标的食品会对人体健康造成损害</w:t>
      </w:r>
      <w:r>
        <w:rPr>
          <w:rFonts w:hint="default"/>
          <w:lang w:val="en-US" w:eastAsia="zh-CN"/>
        </w:rPr>
        <w:t>。</w:t>
      </w:r>
      <w:r>
        <w:rPr>
          <w:lang w:val="en-US" w:eastAsia="zh-CN"/>
        </w:rPr>
        <w:t>根据《食品安全国家标准 食品添加剂使用标准》（GB 2760—2024）规定，同一功能的防腐剂（如具有相同作用的添加剂）混合使用时，各成分用量占其最大使用量的比例之和不应超过1。防腐剂混合使用时各自用量占其最大使用量的比例之和超标，</w:t>
      </w:r>
      <w:r>
        <w:rPr>
          <w:rFonts w:hint="eastAsia"/>
          <w:lang w:val="en-US" w:eastAsia="zh-CN"/>
        </w:rPr>
        <w:t>可能是因为生产企业</w:t>
      </w:r>
      <w:r>
        <w:rPr>
          <w:lang w:val="en-US" w:eastAsia="zh-CN"/>
        </w:rPr>
        <w:t>未严格按标准计算各添加剂用量比例；</w:t>
      </w:r>
      <w:r>
        <w:rPr>
          <w:rFonts w:hint="eastAsia"/>
          <w:lang w:val="en-US" w:eastAsia="zh-CN"/>
        </w:rPr>
        <w:t>也可能是</w:t>
      </w:r>
      <w:r>
        <w:rPr>
          <w:lang w:val="en-US" w:eastAsia="zh-CN"/>
        </w:rPr>
        <w:t>设备精度不足或操作不规范导致实际添加量偏离理论值</w:t>
      </w:r>
      <w:r>
        <w:rPr>
          <w:rFonts w:hint="default"/>
          <w:lang w:val="en-US" w:eastAsia="zh-CN"/>
        </w:rPr>
        <w:t>。</w:t>
      </w:r>
    </w:p>
    <w:p w14:paraId="40E8FA4F">
      <w:pPr>
        <w:pStyle w:val="2"/>
        <w:bidi w:val="0"/>
      </w:pPr>
      <w:r>
        <w:t>二氧化硫残留量</w:t>
      </w:r>
    </w:p>
    <w:p w14:paraId="2C8B26DB">
      <w:pPr>
        <w:bidi w:val="0"/>
        <w:rPr>
          <w:rFonts w:hint="default"/>
          <w:lang w:val="en-US" w:eastAsia="zh-CN"/>
        </w:rPr>
      </w:pPr>
      <w:r>
        <w:rPr>
          <w:lang w:val="en-US" w:eastAsia="zh-CN"/>
        </w:rPr>
        <w:t xml:space="preserve">二氧化硫是食品加工中常用的漂白剂和防腐剂，具有漂 </w:t>
      </w:r>
      <w:r>
        <w:rPr>
          <w:rFonts w:hint="default"/>
          <w:lang w:val="en-US" w:eastAsia="zh-CN"/>
        </w:rPr>
        <w:t>白、防腐和抗氧化作用。少量二氧化硫进入人体不会对身体造成健康危害，但</w:t>
      </w:r>
      <w:r>
        <w:rPr>
          <w:lang w:val="en-US" w:eastAsia="zh-CN"/>
        </w:rPr>
        <w:t>过量摄入会导致恶心、咽喉不适，长期接触可能引发钙流失及维生素B破坏‌‌</w:t>
      </w:r>
      <w:r>
        <w:rPr>
          <w:rFonts w:hint="default"/>
          <w:lang w:val="en-US" w:eastAsia="zh-CN"/>
        </w:rPr>
        <w:t>。《食品安全国家标准 食品添加剂使用标准》（GB 2760-20</w:t>
      </w:r>
      <w:r>
        <w:rPr>
          <w:rFonts w:hint="eastAsia"/>
          <w:lang w:val="en-US" w:eastAsia="zh-CN"/>
        </w:rPr>
        <w:t>2</w:t>
      </w:r>
      <w:r>
        <w:rPr>
          <w:rFonts w:hint="default"/>
          <w:lang w:val="en-US" w:eastAsia="zh-CN"/>
        </w:rPr>
        <w:t>4）中规定，</w:t>
      </w:r>
      <w:r>
        <w:rPr>
          <w:rFonts w:hint="eastAsia"/>
          <w:lang w:val="en-US" w:eastAsia="zh-CN"/>
        </w:rPr>
        <w:t>酱腌菜中</w:t>
      </w:r>
      <w:r>
        <w:rPr>
          <w:rFonts w:hint="default"/>
          <w:lang w:val="en-US" w:eastAsia="zh-CN"/>
        </w:rPr>
        <w:t>二氧化硫</w:t>
      </w:r>
      <w:r>
        <w:rPr>
          <w:rFonts w:hint="eastAsia"/>
          <w:lang w:val="en-US" w:eastAsia="zh-CN"/>
        </w:rPr>
        <w:t>的最大允许限为0.1</w:t>
      </w:r>
      <w:r>
        <w:rPr>
          <w:lang w:val="en-US" w:eastAsia="zh-CN"/>
        </w:rPr>
        <w:t>g/kg</w:t>
      </w:r>
      <w:r>
        <w:rPr>
          <w:rFonts w:hint="default"/>
          <w:lang w:val="en-US" w:eastAsia="zh-CN"/>
        </w:rPr>
        <w:t>。</w:t>
      </w:r>
      <w:r>
        <w:rPr>
          <w:rFonts w:hint="eastAsia"/>
          <w:lang w:val="en-US" w:eastAsia="zh-CN"/>
        </w:rPr>
        <w:t>酱腌菜</w:t>
      </w:r>
      <w:r>
        <w:rPr>
          <w:rFonts w:hint="default"/>
          <w:lang w:val="en-US" w:eastAsia="zh-CN"/>
        </w:rPr>
        <w:t>中二氧化硫残留</w:t>
      </w:r>
      <w:r>
        <w:rPr>
          <w:rFonts w:hint="eastAsia"/>
          <w:lang w:val="en-US" w:eastAsia="zh-CN"/>
        </w:rPr>
        <w:t>量</w:t>
      </w:r>
      <w:r>
        <w:rPr>
          <w:rFonts w:hint="default"/>
          <w:lang w:val="en-US" w:eastAsia="zh-CN"/>
        </w:rPr>
        <w:t>超标的原因可能是生产企业为掩盖劣质原料变质痕迹或降低果蔬褐变反应，超限量使用焦亚硫酸钾等含硫添加剂。</w:t>
      </w:r>
    </w:p>
    <w:p w14:paraId="7DAEE9B8">
      <w:pPr>
        <w:bidi w:val="0"/>
        <w:rPr>
          <w:rFonts w:hint="default"/>
          <w:lang w:val="en-US" w:eastAsia="zh-CN"/>
        </w:rPr>
      </w:pPr>
    </w:p>
    <w:p w14:paraId="79612DB4">
      <w:pPr>
        <w:bidi w:val="0"/>
        <w:ind w:left="0" w:leftChars="0" w:firstLine="0" w:firstLineChars="0"/>
        <w:rPr>
          <w:rFonts w:hint="default"/>
          <w:lang w:val="en-US" w:eastAsia="zh-CN"/>
        </w:rPr>
      </w:pPr>
    </w:p>
    <w:p w14:paraId="711F1559">
      <w:pPr>
        <w:pStyle w:val="2"/>
        <w:bidi w:val="0"/>
        <w:rPr>
          <w:rFonts w:hint="default"/>
          <w:lang w:val="en-US" w:eastAsia="zh-CN"/>
        </w:rPr>
      </w:pPr>
      <w:r>
        <w:rPr>
          <w:rFonts w:hint="eastAsia"/>
          <w:lang w:val="en-US" w:eastAsia="zh-CN"/>
        </w:rPr>
        <w:t>铅（以 Pb 计）</w:t>
      </w:r>
    </w:p>
    <w:p w14:paraId="62571E96">
      <w:pPr>
        <w:keepNext w:val="0"/>
        <w:keepLines w:val="0"/>
        <w:widowControl/>
        <w:suppressLineNumbers w:val="0"/>
        <w:ind w:firstLine="620" w:firstLineChars="200"/>
        <w:jc w:val="left"/>
        <w:rPr>
          <w:rFonts w:hint="default"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铅是最常见的重金属元素污染物之一，可通过食物链进</w:t>
      </w:r>
      <w:r>
        <w:rPr>
          <w:rFonts w:hint="default" w:ascii="仿宋_GB2312" w:hAnsi="仿宋_GB2312" w:eastAsia="仿宋_GB2312" w:cs="仿宋_GB2312"/>
          <w:color w:val="000000"/>
          <w:kern w:val="0"/>
          <w:sz w:val="31"/>
          <w:szCs w:val="31"/>
          <w:lang w:val="en-US" w:eastAsia="zh-CN" w:bidi="ar"/>
        </w:rPr>
        <w:t>入人体蓄积且排除缓慢。长期食用铅超标的食物，可能出现头晕、恶心、呕吐、腹痛、腹泻、心慌等症状，对神经、造血、消化、肾脏、心血管和内分泌等多个系统造成危害。《食品安全国家标准 食品中污染物限量》（GB 2762-2022）中规定，</w:t>
      </w:r>
      <w:r>
        <w:rPr>
          <w:rFonts w:hint="eastAsia" w:ascii="仿宋_GB2312" w:hAnsi="仿宋_GB2312" w:eastAsia="仿宋_GB2312" w:cs="仿宋_GB2312"/>
          <w:color w:val="000000"/>
          <w:kern w:val="0"/>
          <w:sz w:val="31"/>
          <w:szCs w:val="31"/>
          <w:lang w:val="en-US" w:eastAsia="zh-CN" w:bidi="ar"/>
        </w:rPr>
        <w:t>芹菜中铅（以pb计）</w:t>
      </w:r>
      <w:r>
        <w:rPr>
          <w:rFonts w:hint="default" w:ascii="仿宋_GB2312" w:hAnsi="仿宋_GB2312" w:eastAsia="仿宋_GB2312" w:cs="仿宋_GB2312"/>
          <w:color w:val="000000"/>
          <w:kern w:val="0"/>
          <w:sz w:val="31"/>
          <w:szCs w:val="31"/>
          <w:lang w:val="en-US" w:eastAsia="zh-CN" w:bidi="ar"/>
        </w:rPr>
        <w:t xml:space="preserve">的最大限量值为 </w:t>
      </w:r>
      <w:r>
        <w:rPr>
          <w:rFonts w:hint="eastAsia" w:ascii="仿宋_GB2312" w:hAnsi="仿宋_GB2312" w:eastAsia="仿宋_GB2312" w:cs="仿宋_GB2312"/>
          <w:color w:val="000000"/>
          <w:kern w:val="0"/>
          <w:sz w:val="31"/>
          <w:szCs w:val="31"/>
          <w:lang w:val="en-US" w:eastAsia="zh-CN" w:bidi="ar"/>
        </w:rPr>
        <w:t>0.1</w:t>
      </w:r>
      <w:r>
        <w:rPr>
          <w:rFonts w:hint="default" w:ascii="仿宋_GB2312" w:hAnsi="仿宋_GB2312" w:eastAsia="仿宋_GB2312" w:cs="仿宋_GB2312"/>
          <w:color w:val="000000"/>
          <w:kern w:val="0"/>
          <w:sz w:val="31"/>
          <w:szCs w:val="31"/>
          <w:lang w:val="en-US" w:eastAsia="zh-CN" w:bidi="ar"/>
        </w:rPr>
        <w:t>mg/kg。</w:t>
      </w:r>
      <w:r>
        <w:rPr>
          <w:rFonts w:hint="eastAsia" w:ascii="仿宋_GB2312" w:hAnsi="仿宋_GB2312" w:eastAsia="仿宋_GB2312" w:cs="仿宋_GB2312"/>
          <w:color w:val="000000"/>
          <w:kern w:val="0"/>
          <w:sz w:val="31"/>
          <w:szCs w:val="31"/>
          <w:lang w:val="en-US" w:eastAsia="zh-CN" w:bidi="ar"/>
        </w:rPr>
        <w:t>芹菜</w:t>
      </w:r>
      <w:r>
        <w:rPr>
          <w:rFonts w:hint="default" w:ascii="仿宋_GB2312" w:hAnsi="仿宋_GB2312" w:eastAsia="仿宋_GB2312" w:cs="仿宋_GB2312"/>
          <w:color w:val="000000"/>
          <w:kern w:val="0"/>
          <w:sz w:val="31"/>
          <w:szCs w:val="31"/>
          <w:lang w:val="en-US" w:eastAsia="zh-CN" w:bidi="ar"/>
        </w:rPr>
        <w:t>中铅超标的原因可能是其生长过程中富集环境中的铅元素。</w:t>
      </w:r>
    </w:p>
    <w:p w14:paraId="279EAAC5">
      <w:pPr>
        <w:pStyle w:val="2"/>
        <w:bidi w:val="0"/>
      </w:pPr>
      <w:r>
        <w:t>氰霜唑</w:t>
      </w:r>
    </w:p>
    <w:p w14:paraId="11A5D16A">
      <w:pPr>
        <w:bidi w:val="0"/>
      </w:pPr>
      <w:r>
        <w:rPr>
          <w:lang w:val="en-US" w:eastAsia="zh-CN"/>
        </w:rPr>
        <w:t>氰霜唑是叶面和土壤施用的预防性杀菌剂。食用食品一</w:t>
      </w:r>
      <w:r>
        <w:rPr>
          <w:rFonts w:hint="default"/>
          <w:lang w:val="en-US" w:eastAsia="zh-CN"/>
        </w:rPr>
        <w:t>般不会导致氰霜唑的急性中毒，但长期食用氰霜唑超标的食品，可能对人体存在健康风险。《食品安全国家标准 食品中农药最大残留限量》（GB 2763-2021）中规定，荔枝中氰霜唑最大残留限量为 0.02mg/kg。食品中氰霜唑超标的原因可能是果农在采收前加大了用药量，或未遵守采摘间隔期规定，致使上市销售的产品中残留量超标。</w:t>
      </w:r>
    </w:p>
    <w:p w14:paraId="1A69E634">
      <w:pPr>
        <w:pStyle w:val="2"/>
        <w:bidi w:val="0"/>
      </w:pPr>
      <w:r>
        <w:t>镉(以Cd计)</w:t>
      </w:r>
    </w:p>
    <w:p w14:paraId="12DFE101">
      <w:pPr>
        <w:bidi w:val="0"/>
        <w:rPr>
          <w:rFonts w:hint="default"/>
          <w:lang w:val="en-US" w:eastAsia="zh-CN"/>
        </w:rPr>
      </w:pPr>
      <w:r>
        <w:rPr>
          <w:lang w:val="en-US" w:eastAsia="zh-CN"/>
        </w:rPr>
        <w:t xml:space="preserve">镉是一种蓄积性的重金属元素，可通过食物链进入人体。 </w:t>
      </w:r>
      <w:r>
        <w:rPr>
          <w:rFonts w:hint="default"/>
          <w:lang w:val="en-US" w:eastAsia="zh-CN"/>
        </w:rPr>
        <w:t>长期食用镉超标的食品，可能会对人体肾脏和肝脏造成损害，还会影响免疫系统，甚至可能对儿童高级神经活动有损害。 《食品安全国家标准 食品中污染物限量》（GB 2762-20</w:t>
      </w:r>
      <w:r>
        <w:rPr>
          <w:rFonts w:hint="eastAsia"/>
          <w:lang w:val="en-US" w:eastAsia="zh-CN"/>
        </w:rPr>
        <w:t>22</w:t>
      </w:r>
      <w:r>
        <w:rPr>
          <w:rFonts w:hint="default"/>
          <w:lang w:val="en-US" w:eastAsia="zh-CN"/>
        </w:rPr>
        <w:t>）中规定，</w:t>
      </w:r>
      <w:r>
        <w:rPr>
          <w:rFonts w:hint="eastAsia"/>
          <w:lang w:val="en-US" w:eastAsia="zh-CN"/>
        </w:rPr>
        <w:t>葱</w:t>
      </w:r>
      <w:r>
        <w:rPr>
          <w:rFonts w:hint="default"/>
          <w:lang w:val="en-US" w:eastAsia="zh-CN"/>
        </w:rPr>
        <w:t>中镉（以 Cd 计）的限量值为 0.05mg/kg。食用农产品中镉（以 Cd 计）检测值超标的原因，可能是由于其生长过程中富集环境的镉元素。</w:t>
      </w:r>
    </w:p>
    <w:p w14:paraId="4B8AD484">
      <w:pPr>
        <w:pStyle w:val="2"/>
        <w:bidi w:val="0"/>
        <w:rPr>
          <w:lang w:val="en-US" w:eastAsia="zh-CN"/>
        </w:rPr>
      </w:pPr>
      <w:r>
        <w:rPr>
          <w:lang w:val="en-US" w:eastAsia="zh-CN"/>
        </w:rPr>
        <w:t>水胺硫磷</w:t>
      </w:r>
    </w:p>
    <w:p w14:paraId="4D60260D">
      <w:pPr>
        <w:bidi w:val="0"/>
      </w:pPr>
      <w:r>
        <w:rPr>
          <w:lang w:val="en-US" w:eastAsia="zh-CN"/>
        </w:rPr>
        <w:t xml:space="preserve">水胺硫磷是一种广谱、高效、高毒性、低残留的硫代磷 </w:t>
      </w:r>
      <w:r>
        <w:rPr>
          <w:rFonts w:hint="default"/>
          <w:lang w:val="en-US" w:eastAsia="zh-CN"/>
        </w:rPr>
        <w:t>酰胺类杀虫剂。食用水胺硫磷超标的食品，可能引起口吐白 沫、呼吸衰竭等症状。《食品安全国家标准 食品中农药最大残留限量》（GB 2763-2021）中规定，水胺硫磷在</w:t>
      </w:r>
      <w:r>
        <w:rPr>
          <w:rFonts w:hint="eastAsia"/>
          <w:lang w:val="en-US" w:eastAsia="zh-CN"/>
        </w:rPr>
        <w:t>葱</w:t>
      </w:r>
      <w:r>
        <w:rPr>
          <w:rFonts w:hint="default"/>
          <w:lang w:val="en-US" w:eastAsia="zh-CN"/>
        </w:rPr>
        <w:t>中最大残留限量值为 0.05mg/kg。</w:t>
      </w:r>
      <w:r>
        <w:rPr>
          <w:rFonts w:hint="eastAsia"/>
          <w:lang w:val="en-US" w:eastAsia="zh-CN"/>
        </w:rPr>
        <w:t>葱</w:t>
      </w:r>
      <w:r>
        <w:rPr>
          <w:rFonts w:hint="default"/>
          <w:lang w:val="en-US" w:eastAsia="zh-CN"/>
        </w:rPr>
        <w:t>中水胺硫磷超标的原因，可能是种植户可能为快速控制虫害，擅自加大用药量或未遵守采摘间隔期规定，导致农药残留超标</w:t>
      </w:r>
      <w:r>
        <w:rPr>
          <w:rFonts w:hint="eastAsia"/>
          <w:lang w:val="en-US" w:eastAsia="zh-CN"/>
        </w:rPr>
        <w:t>，也可能是</w:t>
      </w:r>
      <w:r>
        <w:rPr>
          <w:rFonts w:hint="default"/>
          <w:lang w:val="en-US" w:eastAsia="zh-CN"/>
        </w:rPr>
        <w:t>部分生产者未严格执行农药安全间隔期规定，或未按标准施药，导致上市产品中农药残留超标。</w:t>
      </w:r>
    </w:p>
    <w:p w14:paraId="4E0415F7">
      <w:pPr>
        <w:pStyle w:val="2"/>
        <w:bidi w:val="0"/>
        <w:rPr>
          <w:rFonts w:hint="default"/>
          <w:lang w:val="en-US" w:eastAsia="zh-CN"/>
        </w:rPr>
      </w:pPr>
      <w:r>
        <w:t>噻虫胺</w:t>
      </w:r>
    </w:p>
    <w:p w14:paraId="251E4976">
      <w:pPr>
        <w:bidi w:val="0"/>
      </w:pPr>
      <w:r>
        <w:rPr>
          <w:lang w:val="en-US" w:eastAsia="zh-CN"/>
        </w:rPr>
        <w:t>噻虫胺属新烟碱类杀虫剂，具有内吸性、触杀和胃毒作</w:t>
      </w:r>
      <w:r>
        <w:rPr>
          <w:rFonts w:hint="default"/>
          <w:lang w:val="en-US" w:eastAsia="zh-CN"/>
        </w:rPr>
        <w:t>用，对蚜虫、斑潜蝇等有较好防效。少量的残留不会引起人体急性中毒，但长期食用噻虫胺超标的食品，对人体健康可能有一定影响。《食品安全国家标准 食品中农药最大残留限量》（GB 2763-2021）中规定，噻虫胺在</w:t>
      </w:r>
      <w:r>
        <w:rPr>
          <w:rFonts w:hint="eastAsia"/>
          <w:lang w:val="en-US" w:eastAsia="zh-CN"/>
        </w:rPr>
        <w:t>甜椒</w:t>
      </w:r>
      <w:r>
        <w:rPr>
          <w:rFonts w:hint="default"/>
          <w:lang w:val="en-US" w:eastAsia="zh-CN"/>
        </w:rPr>
        <w:t>中的最大残留限量值为 0.0</w:t>
      </w:r>
      <w:r>
        <w:rPr>
          <w:rFonts w:hint="eastAsia"/>
          <w:lang w:val="en-US" w:eastAsia="zh-CN"/>
        </w:rPr>
        <w:t>5</w:t>
      </w:r>
      <w:r>
        <w:rPr>
          <w:rFonts w:hint="default"/>
          <w:lang w:val="en-US" w:eastAsia="zh-CN"/>
        </w:rPr>
        <w:t>mg/kg</w:t>
      </w:r>
      <w:r>
        <w:rPr>
          <w:rFonts w:hint="eastAsia"/>
          <w:lang w:val="en-US" w:eastAsia="zh-CN"/>
        </w:rPr>
        <w:t>，</w:t>
      </w:r>
      <w:r>
        <w:rPr>
          <w:rFonts w:hint="default"/>
          <w:lang w:val="en-US" w:eastAsia="zh-CN"/>
        </w:rPr>
        <w:t>噻虫胺在</w:t>
      </w:r>
      <w:r>
        <w:rPr>
          <w:rFonts w:hint="eastAsia"/>
          <w:lang w:val="en-US" w:eastAsia="zh-CN"/>
        </w:rPr>
        <w:t>芹菜</w:t>
      </w:r>
      <w:r>
        <w:rPr>
          <w:rFonts w:hint="default"/>
          <w:lang w:val="en-US" w:eastAsia="zh-CN"/>
        </w:rPr>
        <w:t>中的最大残留限量值为 0.0</w:t>
      </w:r>
      <w:r>
        <w:rPr>
          <w:rFonts w:hint="eastAsia"/>
          <w:lang w:val="en-US" w:eastAsia="zh-CN"/>
        </w:rPr>
        <w:t>4</w:t>
      </w:r>
      <w:r>
        <w:rPr>
          <w:rFonts w:hint="default"/>
          <w:lang w:val="en-US" w:eastAsia="zh-CN"/>
        </w:rPr>
        <w:t>mg/kg。</w:t>
      </w:r>
      <w:r>
        <w:rPr>
          <w:rFonts w:hint="eastAsia"/>
          <w:lang w:val="en-US" w:eastAsia="zh-CN"/>
        </w:rPr>
        <w:t>甜椒和芹菜</w:t>
      </w:r>
      <w:r>
        <w:rPr>
          <w:rFonts w:hint="default"/>
          <w:lang w:val="en-US" w:eastAsia="zh-CN"/>
        </w:rPr>
        <w:t>中噻虫胺残留量超标的原因，可能是为快速控制虫害，加大用药量或未遵守采摘间隔期规定，致使上市销售的产品中残留量超标。</w:t>
      </w:r>
    </w:p>
    <w:p w14:paraId="47A41135">
      <w:pPr>
        <w:pStyle w:val="2"/>
        <w:bidi w:val="0"/>
        <w:rPr>
          <w:rFonts w:hint="eastAsia"/>
          <w:lang w:val="en-US" w:eastAsia="zh-CN"/>
        </w:rPr>
      </w:pPr>
      <w:r>
        <w:rPr>
          <w:rFonts w:hint="eastAsia"/>
          <w:lang w:val="en-US" w:eastAsia="zh-CN"/>
        </w:rPr>
        <w:t>恩诺沙星</w:t>
      </w:r>
    </w:p>
    <w:p w14:paraId="3B29372E">
      <w:pPr>
        <w:bidi w:val="0"/>
        <w:rPr>
          <w:rFonts w:hint="default"/>
          <w:lang w:val="en-US" w:eastAsia="zh-CN"/>
        </w:rPr>
      </w:pPr>
      <w:r>
        <w:rPr>
          <w:lang w:val="en-US" w:eastAsia="zh-CN"/>
        </w:rPr>
        <w:t>恩诺沙星属喹诺酮类药，具有广谱抗菌作用，被广泛用</w:t>
      </w:r>
      <w:r>
        <w:rPr>
          <w:rFonts w:hint="default"/>
          <w:lang w:val="en-US" w:eastAsia="zh-CN"/>
        </w:rPr>
        <w:t>于畜禽、水产等细菌性疾病的治疗和预防。《食品安全国家标准 食品中兽药最大残留限量》(GB 31650-2019)中规定，恩诺沙星（残留标志物为恩诺沙星与环丙沙星之和）在其他</w:t>
      </w:r>
      <w:r>
        <w:rPr>
          <w:rFonts w:hint="eastAsia"/>
          <w:lang w:val="en-US" w:eastAsia="zh-CN"/>
        </w:rPr>
        <w:t>水产品（牛蛙）和淡水鱼</w:t>
      </w:r>
      <w:r>
        <w:rPr>
          <w:rFonts w:hint="default"/>
          <w:lang w:val="en-US" w:eastAsia="zh-CN"/>
        </w:rPr>
        <w:t>中的最大</w:t>
      </w:r>
      <w:r>
        <w:rPr>
          <w:rFonts w:hint="eastAsia"/>
          <w:lang w:val="en-US" w:eastAsia="zh-CN"/>
        </w:rPr>
        <w:t>允许限</w:t>
      </w:r>
      <w:r>
        <w:rPr>
          <w:rFonts w:hint="default"/>
          <w:lang w:val="en-US" w:eastAsia="zh-CN"/>
        </w:rPr>
        <w:t>为 100μg/kg。其他</w:t>
      </w:r>
      <w:r>
        <w:rPr>
          <w:rFonts w:hint="eastAsia"/>
          <w:lang w:val="en-US" w:eastAsia="zh-CN"/>
        </w:rPr>
        <w:t>水产品（牛蛙）和淡水鱼</w:t>
      </w:r>
      <w:r>
        <w:rPr>
          <w:rFonts w:hint="default"/>
          <w:lang w:val="en-US" w:eastAsia="zh-CN"/>
        </w:rPr>
        <w:t>中恩诺沙星超标的原因可能是养殖户或者经营商贩在养殖和贩卖过程中违规加大用药量，或不遵守休药期规定，致使上市销售产品中的药物残留量超标。</w:t>
      </w:r>
    </w:p>
    <w:p w14:paraId="6F12564F">
      <w:pPr>
        <w:pStyle w:val="2"/>
        <w:bidi w:val="0"/>
        <w:rPr>
          <w:rFonts w:hint="default"/>
          <w:lang w:val="en-US" w:eastAsia="zh-CN"/>
        </w:rPr>
      </w:pPr>
      <w:r>
        <w:t>呋喃西林代谢物</w:t>
      </w:r>
    </w:p>
    <w:p w14:paraId="6B0A6B4F">
      <w:pPr>
        <w:bidi w:val="0"/>
        <w:rPr>
          <w:rFonts w:hint="default"/>
          <w:lang w:val="en-US" w:eastAsia="zh-CN"/>
        </w:rPr>
      </w:pPr>
      <w:r>
        <w:rPr>
          <w:rFonts w:hint="default"/>
          <w:lang w:val="en-US" w:eastAsia="zh-CN"/>
        </w:rPr>
        <w:t>呋喃西林代谢物是一种人工合成的抗菌药，可以治疗牲畜疾病。但由于使用后会在动物源性食品中残留，形成呋喃西林代谢物，并通过食物链传递给人类，长期摄入会引起各种疾病，对人体有致癌、致畸胎等副作用。根据《农业农村部公告第250号》规定，呋喃西林代谢物的限量为不得检出，其超标原因是在牛蛙生产过程中超范围添加所致。</w:t>
      </w:r>
    </w:p>
    <w:sectPr>
      <w:footerReference r:id="rId5" w:type="default"/>
      <w:footerReference r:id="rId6" w:type="even"/>
      <w:pgSz w:w="11906" w:h="16838"/>
      <w:pgMar w:top="1247" w:right="1797" w:bottom="1247" w:left="1797"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A4E5">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separate"/>
    </w:r>
    <w:r>
      <w:rPr>
        <w:rStyle w:val="13"/>
      </w:rPr>
      <w:t>8</w:t>
    </w:r>
    <w:r>
      <w:rPr>
        <w:rStyle w:val="13"/>
      </w:rPr>
      <w:fldChar w:fldCharType="end"/>
    </w:r>
  </w:p>
  <w:p w14:paraId="49060C72">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68C88">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14:paraId="4C382DA6">
    <w:pPr>
      <w:pStyle w:val="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M2E2NDdlNGY5MjVmOTc4MGMzNGYxYmMyZTdjMzYifQ=="/>
  </w:docVars>
  <w:rsids>
    <w:rsidRoot w:val="00263D5F"/>
    <w:rsid w:val="000129D3"/>
    <w:rsid w:val="00026F8E"/>
    <w:rsid w:val="00027484"/>
    <w:rsid w:val="00030C41"/>
    <w:rsid w:val="00034DD6"/>
    <w:rsid w:val="000364E3"/>
    <w:rsid w:val="000408C3"/>
    <w:rsid w:val="00041E66"/>
    <w:rsid w:val="0004380F"/>
    <w:rsid w:val="00052117"/>
    <w:rsid w:val="000559E7"/>
    <w:rsid w:val="00060537"/>
    <w:rsid w:val="00066B75"/>
    <w:rsid w:val="00073CA7"/>
    <w:rsid w:val="00076718"/>
    <w:rsid w:val="00077741"/>
    <w:rsid w:val="000777F9"/>
    <w:rsid w:val="00083E34"/>
    <w:rsid w:val="0009507A"/>
    <w:rsid w:val="0009531D"/>
    <w:rsid w:val="000955DE"/>
    <w:rsid w:val="00095AED"/>
    <w:rsid w:val="000B1F99"/>
    <w:rsid w:val="000B7A42"/>
    <w:rsid w:val="000C42AD"/>
    <w:rsid w:val="000C6CF0"/>
    <w:rsid w:val="000D08BD"/>
    <w:rsid w:val="000E015F"/>
    <w:rsid w:val="000E0756"/>
    <w:rsid w:val="000E242A"/>
    <w:rsid w:val="000E3A6C"/>
    <w:rsid w:val="000E5920"/>
    <w:rsid w:val="000E5D93"/>
    <w:rsid w:val="000F4B51"/>
    <w:rsid w:val="000F750C"/>
    <w:rsid w:val="001006AC"/>
    <w:rsid w:val="001039E0"/>
    <w:rsid w:val="00104D9C"/>
    <w:rsid w:val="00117094"/>
    <w:rsid w:val="0012537D"/>
    <w:rsid w:val="00126853"/>
    <w:rsid w:val="001343CE"/>
    <w:rsid w:val="001348F2"/>
    <w:rsid w:val="00137073"/>
    <w:rsid w:val="00152B06"/>
    <w:rsid w:val="0015349D"/>
    <w:rsid w:val="001546F9"/>
    <w:rsid w:val="001611B2"/>
    <w:rsid w:val="00162630"/>
    <w:rsid w:val="00162C90"/>
    <w:rsid w:val="001632C2"/>
    <w:rsid w:val="00170EA5"/>
    <w:rsid w:val="00175C4A"/>
    <w:rsid w:val="00182974"/>
    <w:rsid w:val="001905BE"/>
    <w:rsid w:val="00195984"/>
    <w:rsid w:val="001966F8"/>
    <w:rsid w:val="0019764B"/>
    <w:rsid w:val="00197E9F"/>
    <w:rsid w:val="001A0808"/>
    <w:rsid w:val="001A1D7E"/>
    <w:rsid w:val="001A289A"/>
    <w:rsid w:val="001A49E5"/>
    <w:rsid w:val="001A4F58"/>
    <w:rsid w:val="001B41C9"/>
    <w:rsid w:val="001B61F4"/>
    <w:rsid w:val="001C0C7D"/>
    <w:rsid w:val="001C18BA"/>
    <w:rsid w:val="001C24A9"/>
    <w:rsid w:val="001C4EE3"/>
    <w:rsid w:val="001C6956"/>
    <w:rsid w:val="001D1C6F"/>
    <w:rsid w:val="001D643C"/>
    <w:rsid w:val="001D7E2E"/>
    <w:rsid w:val="001E4844"/>
    <w:rsid w:val="001E57E6"/>
    <w:rsid w:val="002020E2"/>
    <w:rsid w:val="0020293D"/>
    <w:rsid w:val="00203078"/>
    <w:rsid w:val="0020548E"/>
    <w:rsid w:val="00205652"/>
    <w:rsid w:val="002060CC"/>
    <w:rsid w:val="00207F81"/>
    <w:rsid w:val="00215D3E"/>
    <w:rsid w:val="0022291B"/>
    <w:rsid w:val="00224902"/>
    <w:rsid w:val="00227484"/>
    <w:rsid w:val="00243F26"/>
    <w:rsid w:val="00244388"/>
    <w:rsid w:val="00250832"/>
    <w:rsid w:val="00252A84"/>
    <w:rsid w:val="0025534D"/>
    <w:rsid w:val="00255426"/>
    <w:rsid w:val="00263D5F"/>
    <w:rsid w:val="002661A9"/>
    <w:rsid w:val="002678C2"/>
    <w:rsid w:val="00271636"/>
    <w:rsid w:val="00274B4E"/>
    <w:rsid w:val="00275B01"/>
    <w:rsid w:val="00277FE8"/>
    <w:rsid w:val="00284CD9"/>
    <w:rsid w:val="002927FE"/>
    <w:rsid w:val="0029344F"/>
    <w:rsid w:val="0029483F"/>
    <w:rsid w:val="00296975"/>
    <w:rsid w:val="002A5BFE"/>
    <w:rsid w:val="002A66C5"/>
    <w:rsid w:val="002B18A1"/>
    <w:rsid w:val="002B5856"/>
    <w:rsid w:val="002B79C2"/>
    <w:rsid w:val="002C6453"/>
    <w:rsid w:val="002D0B5E"/>
    <w:rsid w:val="002D30C7"/>
    <w:rsid w:val="002E53D6"/>
    <w:rsid w:val="002F1A55"/>
    <w:rsid w:val="002F34EF"/>
    <w:rsid w:val="002F4259"/>
    <w:rsid w:val="003011CD"/>
    <w:rsid w:val="003012E9"/>
    <w:rsid w:val="00301A62"/>
    <w:rsid w:val="00301A99"/>
    <w:rsid w:val="00304AC8"/>
    <w:rsid w:val="0030653C"/>
    <w:rsid w:val="00306982"/>
    <w:rsid w:val="00311FBF"/>
    <w:rsid w:val="003133B7"/>
    <w:rsid w:val="00321C87"/>
    <w:rsid w:val="00331C3E"/>
    <w:rsid w:val="0033245D"/>
    <w:rsid w:val="003338A6"/>
    <w:rsid w:val="00333F6E"/>
    <w:rsid w:val="003402BB"/>
    <w:rsid w:val="00352C9D"/>
    <w:rsid w:val="00352E39"/>
    <w:rsid w:val="00354447"/>
    <w:rsid w:val="00355A7E"/>
    <w:rsid w:val="00360898"/>
    <w:rsid w:val="00362169"/>
    <w:rsid w:val="003637D2"/>
    <w:rsid w:val="00366E80"/>
    <w:rsid w:val="003808DB"/>
    <w:rsid w:val="003815C1"/>
    <w:rsid w:val="00381D95"/>
    <w:rsid w:val="0038480A"/>
    <w:rsid w:val="00390827"/>
    <w:rsid w:val="00394573"/>
    <w:rsid w:val="003A195F"/>
    <w:rsid w:val="003A33D1"/>
    <w:rsid w:val="003B4780"/>
    <w:rsid w:val="003C6373"/>
    <w:rsid w:val="003C6B7D"/>
    <w:rsid w:val="003E728C"/>
    <w:rsid w:val="003F264F"/>
    <w:rsid w:val="003F28D0"/>
    <w:rsid w:val="004025DB"/>
    <w:rsid w:val="004042FD"/>
    <w:rsid w:val="004141CC"/>
    <w:rsid w:val="00421540"/>
    <w:rsid w:val="00427703"/>
    <w:rsid w:val="004355CA"/>
    <w:rsid w:val="004366DD"/>
    <w:rsid w:val="00437E8F"/>
    <w:rsid w:val="00441693"/>
    <w:rsid w:val="00443CB4"/>
    <w:rsid w:val="00444301"/>
    <w:rsid w:val="0045342D"/>
    <w:rsid w:val="00453605"/>
    <w:rsid w:val="0046743C"/>
    <w:rsid w:val="004675AE"/>
    <w:rsid w:val="004760E7"/>
    <w:rsid w:val="0048079B"/>
    <w:rsid w:val="00482232"/>
    <w:rsid w:val="00482F7A"/>
    <w:rsid w:val="00484142"/>
    <w:rsid w:val="0048548B"/>
    <w:rsid w:val="00486762"/>
    <w:rsid w:val="004868EF"/>
    <w:rsid w:val="004910BD"/>
    <w:rsid w:val="004A32FB"/>
    <w:rsid w:val="004A5EF2"/>
    <w:rsid w:val="004A6B4B"/>
    <w:rsid w:val="004A7883"/>
    <w:rsid w:val="004B4561"/>
    <w:rsid w:val="004C1B5E"/>
    <w:rsid w:val="004C1D95"/>
    <w:rsid w:val="004C35AC"/>
    <w:rsid w:val="004D2093"/>
    <w:rsid w:val="004D7A0A"/>
    <w:rsid w:val="004E0075"/>
    <w:rsid w:val="004E0EEC"/>
    <w:rsid w:val="004E4E17"/>
    <w:rsid w:val="004E5EEE"/>
    <w:rsid w:val="0050076C"/>
    <w:rsid w:val="005010FB"/>
    <w:rsid w:val="00510CB5"/>
    <w:rsid w:val="00512EF8"/>
    <w:rsid w:val="0051740D"/>
    <w:rsid w:val="00530BB7"/>
    <w:rsid w:val="005332E8"/>
    <w:rsid w:val="00536F56"/>
    <w:rsid w:val="00537AE2"/>
    <w:rsid w:val="005416CF"/>
    <w:rsid w:val="00541BF8"/>
    <w:rsid w:val="00546CE4"/>
    <w:rsid w:val="00555947"/>
    <w:rsid w:val="005565FB"/>
    <w:rsid w:val="0055721A"/>
    <w:rsid w:val="0055766F"/>
    <w:rsid w:val="00560D0C"/>
    <w:rsid w:val="00563E17"/>
    <w:rsid w:val="005642E3"/>
    <w:rsid w:val="00564F43"/>
    <w:rsid w:val="00565DC6"/>
    <w:rsid w:val="0056746A"/>
    <w:rsid w:val="00571A3D"/>
    <w:rsid w:val="00571DB6"/>
    <w:rsid w:val="00580CC7"/>
    <w:rsid w:val="00585C3E"/>
    <w:rsid w:val="00586DCF"/>
    <w:rsid w:val="005931F7"/>
    <w:rsid w:val="005A39E1"/>
    <w:rsid w:val="005A5CA4"/>
    <w:rsid w:val="005B50F0"/>
    <w:rsid w:val="005B5B8E"/>
    <w:rsid w:val="005B6521"/>
    <w:rsid w:val="005C2577"/>
    <w:rsid w:val="005C2615"/>
    <w:rsid w:val="005C4DFD"/>
    <w:rsid w:val="005D033C"/>
    <w:rsid w:val="005D53ED"/>
    <w:rsid w:val="005D6C35"/>
    <w:rsid w:val="005E084D"/>
    <w:rsid w:val="005E566A"/>
    <w:rsid w:val="005E5C1B"/>
    <w:rsid w:val="005E641E"/>
    <w:rsid w:val="005F1AA4"/>
    <w:rsid w:val="005F33EE"/>
    <w:rsid w:val="005F49FA"/>
    <w:rsid w:val="006041DF"/>
    <w:rsid w:val="00607B41"/>
    <w:rsid w:val="006175EB"/>
    <w:rsid w:val="00620A95"/>
    <w:rsid w:val="006272AA"/>
    <w:rsid w:val="00630D05"/>
    <w:rsid w:val="00634220"/>
    <w:rsid w:val="006354E7"/>
    <w:rsid w:val="00635FDD"/>
    <w:rsid w:val="00636A76"/>
    <w:rsid w:val="00636AC6"/>
    <w:rsid w:val="00636F6D"/>
    <w:rsid w:val="0064133E"/>
    <w:rsid w:val="00642732"/>
    <w:rsid w:val="00645346"/>
    <w:rsid w:val="00646A80"/>
    <w:rsid w:val="006475C2"/>
    <w:rsid w:val="00650826"/>
    <w:rsid w:val="00650D60"/>
    <w:rsid w:val="00652C20"/>
    <w:rsid w:val="006536FE"/>
    <w:rsid w:val="00657302"/>
    <w:rsid w:val="00661D5D"/>
    <w:rsid w:val="00665C31"/>
    <w:rsid w:val="00670B87"/>
    <w:rsid w:val="00671CC1"/>
    <w:rsid w:val="00676D87"/>
    <w:rsid w:val="00686231"/>
    <w:rsid w:val="0068794A"/>
    <w:rsid w:val="00690518"/>
    <w:rsid w:val="00691CC2"/>
    <w:rsid w:val="00692287"/>
    <w:rsid w:val="006A0392"/>
    <w:rsid w:val="006A1E2A"/>
    <w:rsid w:val="006A2E87"/>
    <w:rsid w:val="006A4BCB"/>
    <w:rsid w:val="006B56D2"/>
    <w:rsid w:val="006C1925"/>
    <w:rsid w:val="006C1E06"/>
    <w:rsid w:val="006C2B65"/>
    <w:rsid w:val="006C424E"/>
    <w:rsid w:val="006D64EA"/>
    <w:rsid w:val="006E57E4"/>
    <w:rsid w:val="006E7A10"/>
    <w:rsid w:val="006F0A77"/>
    <w:rsid w:val="006F2C23"/>
    <w:rsid w:val="006F4009"/>
    <w:rsid w:val="00702BB4"/>
    <w:rsid w:val="007048AC"/>
    <w:rsid w:val="007062CB"/>
    <w:rsid w:val="0071480B"/>
    <w:rsid w:val="00721987"/>
    <w:rsid w:val="00721CEE"/>
    <w:rsid w:val="00733AE1"/>
    <w:rsid w:val="0074656C"/>
    <w:rsid w:val="007479AA"/>
    <w:rsid w:val="0075177F"/>
    <w:rsid w:val="00756E58"/>
    <w:rsid w:val="00762AD7"/>
    <w:rsid w:val="00774E61"/>
    <w:rsid w:val="00775BD4"/>
    <w:rsid w:val="00783949"/>
    <w:rsid w:val="00786155"/>
    <w:rsid w:val="0078765A"/>
    <w:rsid w:val="007915E7"/>
    <w:rsid w:val="007953AC"/>
    <w:rsid w:val="0079653A"/>
    <w:rsid w:val="00796D4D"/>
    <w:rsid w:val="007A0D7F"/>
    <w:rsid w:val="007A283B"/>
    <w:rsid w:val="007C13B5"/>
    <w:rsid w:val="007C2AEC"/>
    <w:rsid w:val="007C329A"/>
    <w:rsid w:val="007C47DF"/>
    <w:rsid w:val="007D427C"/>
    <w:rsid w:val="007D740F"/>
    <w:rsid w:val="007E4323"/>
    <w:rsid w:val="007E6B36"/>
    <w:rsid w:val="007F0089"/>
    <w:rsid w:val="007F0BE5"/>
    <w:rsid w:val="007F2ADB"/>
    <w:rsid w:val="007F7BA9"/>
    <w:rsid w:val="0080090E"/>
    <w:rsid w:val="008020B6"/>
    <w:rsid w:val="00804473"/>
    <w:rsid w:val="00811C7D"/>
    <w:rsid w:val="0081600D"/>
    <w:rsid w:val="00816A43"/>
    <w:rsid w:val="00841F19"/>
    <w:rsid w:val="00842F51"/>
    <w:rsid w:val="008430F4"/>
    <w:rsid w:val="00847FBD"/>
    <w:rsid w:val="00857EDC"/>
    <w:rsid w:val="00861C5B"/>
    <w:rsid w:val="008713C9"/>
    <w:rsid w:val="00875452"/>
    <w:rsid w:val="00882109"/>
    <w:rsid w:val="008826C2"/>
    <w:rsid w:val="0088568E"/>
    <w:rsid w:val="008A31E7"/>
    <w:rsid w:val="008A5229"/>
    <w:rsid w:val="008A74B5"/>
    <w:rsid w:val="008B0E82"/>
    <w:rsid w:val="008B66E3"/>
    <w:rsid w:val="008B71E7"/>
    <w:rsid w:val="008C0C61"/>
    <w:rsid w:val="008C3643"/>
    <w:rsid w:val="008C5A8F"/>
    <w:rsid w:val="008D094B"/>
    <w:rsid w:val="008D27A7"/>
    <w:rsid w:val="008D4ED9"/>
    <w:rsid w:val="008D680D"/>
    <w:rsid w:val="008D7BF2"/>
    <w:rsid w:val="008E0D1A"/>
    <w:rsid w:val="008E18FB"/>
    <w:rsid w:val="008E3951"/>
    <w:rsid w:val="008E4E1A"/>
    <w:rsid w:val="008F1175"/>
    <w:rsid w:val="008F2B32"/>
    <w:rsid w:val="009005F6"/>
    <w:rsid w:val="009130D4"/>
    <w:rsid w:val="0091471F"/>
    <w:rsid w:val="009204CD"/>
    <w:rsid w:val="009251D5"/>
    <w:rsid w:val="009313D3"/>
    <w:rsid w:val="00941438"/>
    <w:rsid w:val="009446BA"/>
    <w:rsid w:val="0095022A"/>
    <w:rsid w:val="00956BAF"/>
    <w:rsid w:val="00960EBA"/>
    <w:rsid w:val="009659F3"/>
    <w:rsid w:val="00972FB6"/>
    <w:rsid w:val="00980F32"/>
    <w:rsid w:val="009828EB"/>
    <w:rsid w:val="00982BE1"/>
    <w:rsid w:val="009839FF"/>
    <w:rsid w:val="0098659E"/>
    <w:rsid w:val="0098711F"/>
    <w:rsid w:val="0098773C"/>
    <w:rsid w:val="00997B0F"/>
    <w:rsid w:val="009A61B1"/>
    <w:rsid w:val="009B5012"/>
    <w:rsid w:val="009B5A4C"/>
    <w:rsid w:val="009C655E"/>
    <w:rsid w:val="009D0846"/>
    <w:rsid w:val="009D3057"/>
    <w:rsid w:val="009D4F31"/>
    <w:rsid w:val="009F7981"/>
    <w:rsid w:val="00A0114E"/>
    <w:rsid w:val="00A0121E"/>
    <w:rsid w:val="00A1058E"/>
    <w:rsid w:val="00A12BB8"/>
    <w:rsid w:val="00A23E57"/>
    <w:rsid w:val="00A23F07"/>
    <w:rsid w:val="00A25884"/>
    <w:rsid w:val="00A25967"/>
    <w:rsid w:val="00A25DD8"/>
    <w:rsid w:val="00A27849"/>
    <w:rsid w:val="00A32C6F"/>
    <w:rsid w:val="00A41E68"/>
    <w:rsid w:val="00A51D92"/>
    <w:rsid w:val="00A542B4"/>
    <w:rsid w:val="00A56D92"/>
    <w:rsid w:val="00A57D1A"/>
    <w:rsid w:val="00A6327F"/>
    <w:rsid w:val="00A66F1A"/>
    <w:rsid w:val="00A70F5D"/>
    <w:rsid w:val="00A84A47"/>
    <w:rsid w:val="00A91B85"/>
    <w:rsid w:val="00A9292F"/>
    <w:rsid w:val="00A93C57"/>
    <w:rsid w:val="00A942D3"/>
    <w:rsid w:val="00A952BE"/>
    <w:rsid w:val="00AA1A8B"/>
    <w:rsid w:val="00AA2932"/>
    <w:rsid w:val="00AB0757"/>
    <w:rsid w:val="00AB256C"/>
    <w:rsid w:val="00AB4D2F"/>
    <w:rsid w:val="00AB502E"/>
    <w:rsid w:val="00AC2EFB"/>
    <w:rsid w:val="00AC5BCB"/>
    <w:rsid w:val="00AD12DB"/>
    <w:rsid w:val="00AD3345"/>
    <w:rsid w:val="00AD7563"/>
    <w:rsid w:val="00AD78C9"/>
    <w:rsid w:val="00AE1692"/>
    <w:rsid w:val="00AE2521"/>
    <w:rsid w:val="00AE7BFE"/>
    <w:rsid w:val="00AF43D8"/>
    <w:rsid w:val="00B02F9C"/>
    <w:rsid w:val="00B11250"/>
    <w:rsid w:val="00B12261"/>
    <w:rsid w:val="00B13BBB"/>
    <w:rsid w:val="00B203F6"/>
    <w:rsid w:val="00B20D1F"/>
    <w:rsid w:val="00B21A73"/>
    <w:rsid w:val="00B32658"/>
    <w:rsid w:val="00B37414"/>
    <w:rsid w:val="00B40033"/>
    <w:rsid w:val="00B42D99"/>
    <w:rsid w:val="00B43418"/>
    <w:rsid w:val="00B448F5"/>
    <w:rsid w:val="00B60A01"/>
    <w:rsid w:val="00B7079B"/>
    <w:rsid w:val="00B73B25"/>
    <w:rsid w:val="00B81D50"/>
    <w:rsid w:val="00B84E5B"/>
    <w:rsid w:val="00B87E61"/>
    <w:rsid w:val="00B9016F"/>
    <w:rsid w:val="00B94114"/>
    <w:rsid w:val="00B94450"/>
    <w:rsid w:val="00BA3342"/>
    <w:rsid w:val="00BA3BF0"/>
    <w:rsid w:val="00BB761A"/>
    <w:rsid w:val="00BC1339"/>
    <w:rsid w:val="00BC4037"/>
    <w:rsid w:val="00BC62FD"/>
    <w:rsid w:val="00BD20D1"/>
    <w:rsid w:val="00BD62B3"/>
    <w:rsid w:val="00BE43A9"/>
    <w:rsid w:val="00BE4C83"/>
    <w:rsid w:val="00BF2FF3"/>
    <w:rsid w:val="00BF36E9"/>
    <w:rsid w:val="00BF5F14"/>
    <w:rsid w:val="00C14106"/>
    <w:rsid w:val="00C27791"/>
    <w:rsid w:val="00C30726"/>
    <w:rsid w:val="00C30A46"/>
    <w:rsid w:val="00C32A99"/>
    <w:rsid w:val="00C34D69"/>
    <w:rsid w:val="00C401BC"/>
    <w:rsid w:val="00C40682"/>
    <w:rsid w:val="00C44ACE"/>
    <w:rsid w:val="00C469B1"/>
    <w:rsid w:val="00C57C08"/>
    <w:rsid w:val="00C63909"/>
    <w:rsid w:val="00C6725B"/>
    <w:rsid w:val="00C72553"/>
    <w:rsid w:val="00C733CC"/>
    <w:rsid w:val="00C75E32"/>
    <w:rsid w:val="00C7647F"/>
    <w:rsid w:val="00C80CC5"/>
    <w:rsid w:val="00C848C0"/>
    <w:rsid w:val="00C84B6A"/>
    <w:rsid w:val="00C87DCD"/>
    <w:rsid w:val="00C9005D"/>
    <w:rsid w:val="00C95EDA"/>
    <w:rsid w:val="00C97A24"/>
    <w:rsid w:val="00CA13F0"/>
    <w:rsid w:val="00CA6124"/>
    <w:rsid w:val="00CB1CBF"/>
    <w:rsid w:val="00CB48BE"/>
    <w:rsid w:val="00CB73F7"/>
    <w:rsid w:val="00CC20BD"/>
    <w:rsid w:val="00CC3EE6"/>
    <w:rsid w:val="00CC3FA2"/>
    <w:rsid w:val="00CC4E25"/>
    <w:rsid w:val="00CC793D"/>
    <w:rsid w:val="00CE4D02"/>
    <w:rsid w:val="00CE4E99"/>
    <w:rsid w:val="00CE7264"/>
    <w:rsid w:val="00CE7C87"/>
    <w:rsid w:val="00CF09D0"/>
    <w:rsid w:val="00CF442E"/>
    <w:rsid w:val="00CF7BE1"/>
    <w:rsid w:val="00D013FC"/>
    <w:rsid w:val="00D0395E"/>
    <w:rsid w:val="00D10138"/>
    <w:rsid w:val="00D14939"/>
    <w:rsid w:val="00D149F7"/>
    <w:rsid w:val="00D219FA"/>
    <w:rsid w:val="00D2317D"/>
    <w:rsid w:val="00D23FC1"/>
    <w:rsid w:val="00D2530A"/>
    <w:rsid w:val="00D368DB"/>
    <w:rsid w:val="00D4589E"/>
    <w:rsid w:val="00D54EDC"/>
    <w:rsid w:val="00D56E16"/>
    <w:rsid w:val="00D6187F"/>
    <w:rsid w:val="00D62E28"/>
    <w:rsid w:val="00D6492B"/>
    <w:rsid w:val="00D730F1"/>
    <w:rsid w:val="00D744D2"/>
    <w:rsid w:val="00D76EA2"/>
    <w:rsid w:val="00D81C52"/>
    <w:rsid w:val="00D8227C"/>
    <w:rsid w:val="00D8521B"/>
    <w:rsid w:val="00D9664B"/>
    <w:rsid w:val="00DA2253"/>
    <w:rsid w:val="00DB3BF3"/>
    <w:rsid w:val="00DB4619"/>
    <w:rsid w:val="00DB50F4"/>
    <w:rsid w:val="00DB531D"/>
    <w:rsid w:val="00DB6B9B"/>
    <w:rsid w:val="00DB79AB"/>
    <w:rsid w:val="00DC4B9E"/>
    <w:rsid w:val="00DC6FDA"/>
    <w:rsid w:val="00DD6DD6"/>
    <w:rsid w:val="00DE0A7F"/>
    <w:rsid w:val="00DE0CEE"/>
    <w:rsid w:val="00DE2B3F"/>
    <w:rsid w:val="00DE3428"/>
    <w:rsid w:val="00DE738F"/>
    <w:rsid w:val="00DF225B"/>
    <w:rsid w:val="00DF50F3"/>
    <w:rsid w:val="00DF74D7"/>
    <w:rsid w:val="00E061DE"/>
    <w:rsid w:val="00E14FDC"/>
    <w:rsid w:val="00E171C6"/>
    <w:rsid w:val="00E2051B"/>
    <w:rsid w:val="00E2129C"/>
    <w:rsid w:val="00E347FB"/>
    <w:rsid w:val="00E56FF9"/>
    <w:rsid w:val="00E62787"/>
    <w:rsid w:val="00E62C65"/>
    <w:rsid w:val="00E64750"/>
    <w:rsid w:val="00E647C3"/>
    <w:rsid w:val="00E7121B"/>
    <w:rsid w:val="00E84C68"/>
    <w:rsid w:val="00E85421"/>
    <w:rsid w:val="00E952DF"/>
    <w:rsid w:val="00EA3EAF"/>
    <w:rsid w:val="00EA6384"/>
    <w:rsid w:val="00EB4EA2"/>
    <w:rsid w:val="00EB61A1"/>
    <w:rsid w:val="00EB770B"/>
    <w:rsid w:val="00EC2991"/>
    <w:rsid w:val="00EC7A2F"/>
    <w:rsid w:val="00ED1128"/>
    <w:rsid w:val="00ED12AE"/>
    <w:rsid w:val="00EE005D"/>
    <w:rsid w:val="00EE22B4"/>
    <w:rsid w:val="00EF4272"/>
    <w:rsid w:val="00EF66B5"/>
    <w:rsid w:val="00F01412"/>
    <w:rsid w:val="00F0599C"/>
    <w:rsid w:val="00F05EBC"/>
    <w:rsid w:val="00F11B6D"/>
    <w:rsid w:val="00F16D1B"/>
    <w:rsid w:val="00F21F51"/>
    <w:rsid w:val="00F3171A"/>
    <w:rsid w:val="00F361AA"/>
    <w:rsid w:val="00F37B05"/>
    <w:rsid w:val="00F37D7D"/>
    <w:rsid w:val="00F504E8"/>
    <w:rsid w:val="00F53FC7"/>
    <w:rsid w:val="00F54FAC"/>
    <w:rsid w:val="00F57844"/>
    <w:rsid w:val="00F57BF9"/>
    <w:rsid w:val="00F61865"/>
    <w:rsid w:val="00F62999"/>
    <w:rsid w:val="00F63B27"/>
    <w:rsid w:val="00F65FC5"/>
    <w:rsid w:val="00F664FE"/>
    <w:rsid w:val="00F73082"/>
    <w:rsid w:val="00F73BEB"/>
    <w:rsid w:val="00F75F11"/>
    <w:rsid w:val="00F95BD0"/>
    <w:rsid w:val="00FA71F6"/>
    <w:rsid w:val="00FA738D"/>
    <w:rsid w:val="00FB0172"/>
    <w:rsid w:val="00FB25EF"/>
    <w:rsid w:val="00FB4764"/>
    <w:rsid w:val="00FC23F3"/>
    <w:rsid w:val="00FD3C3A"/>
    <w:rsid w:val="00FD532F"/>
    <w:rsid w:val="00FD72AF"/>
    <w:rsid w:val="00FE2FFB"/>
    <w:rsid w:val="00FE34DF"/>
    <w:rsid w:val="00FE5501"/>
    <w:rsid w:val="00FF4E85"/>
    <w:rsid w:val="00FF5B0F"/>
    <w:rsid w:val="074F67A3"/>
    <w:rsid w:val="086216F7"/>
    <w:rsid w:val="09A418A8"/>
    <w:rsid w:val="0DD75C98"/>
    <w:rsid w:val="10871BD6"/>
    <w:rsid w:val="11270A41"/>
    <w:rsid w:val="13220D32"/>
    <w:rsid w:val="16493B4C"/>
    <w:rsid w:val="18BB6DEF"/>
    <w:rsid w:val="190D6CD1"/>
    <w:rsid w:val="1C25186E"/>
    <w:rsid w:val="1E252CB4"/>
    <w:rsid w:val="1F754098"/>
    <w:rsid w:val="2B921448"/>
    <w:rsid w:val="2DAE1D69"/>
    <w:rsid w:val="31AA57D8"/>
    <w:rsid w:val="380A073B"/>
    <w:rsid w:val="38A60179"/>
    <w:rsid w:val="395976F9"/>
    <w:rsid w:val="3B0C5B2B"/>
    <w:rsid w:val="3D2A4005"/>
    <w:rsid w:val="413526FC"/>
    <w:rsid w:val="4CD0259D"/>
    <w:rsid w:val="4FC14E92"/>
    <w:rsid w:val="51CA7999"/>
    <w:rsid w:val="52127A77"/>
    <w:rsid w:val="53A97115"/>
    <w:rsid w:val="54634F1C"/>
    <w:rsid w:val="561847B0"/>
    <w:rsid w:val="562C4D84"/>
    <w:rsid w:val="568C0DA2"/>
    <w:rsid w:val="56F30534"/>
    <w:rsid w:val="60FB320B"/>
    <w:rsid w:val="647C26AD"/>
    <w:rsid w:val="65C452BF"/>
    <w:rsid w:val="663C005E"/>
    <w:rsid w:val="694F7894"/>
    <w:rsid w:val="6A5570D7"/>
    <w:rsid w:val="6B001F61"/>
    <w:rsid w:val="6BF32E85"/>
    <w:rsid w:val="6DF374C3"/>
    <w:rsid w:val="6FB80C80"/>
    <w:rsid w:val="6FBA6BC5"/>
    <w:rsid w:val="721C7DF8"/>
    <w:rsid w:val="73264794"/>
    <w:rsid w:val="74656E59"/>
    <w:rsid w:val="7A293BFF"/>
    <w:rsid w:val="7BDE509A"/>
    <w:rsid w:val="7D677B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 w:cs="Times New Roman"/>
      <w:kern w:val="2"/>
      <w:sz w:val="32"/>
      <w:szCs w:val="24"/>
      <w:lang w:val="en-US" w:eastAsia="zh-CN" w:bidi="ar-SA"/>
    </w:rPr>
  </w:style>
  <w:style w:type="paragraph" w:styleId="2">
    <w:name w:val="heading 1"/>
    <w:basedOn w:val="1"/>
    <w:next w:val="1"/>
    <w:link w:val="16"/>
    <w:qFormat/>
    <w:uiPriority w:val="9"/>
    <w:pPr>
      <w:widowControl/>
      <w:spacing w:beforeAutospacing="1" w:afterAutospacing="1"/>
      <w:ind w:firstLine="0" w:firstLineChars="0"/>
      <w:jc w:val="left"/>
      <w:outlineLvl w:val="0"/>
    </w:pPr>
    <w:rPr>
      <w:rFonts w:ascii="宋体" w:hAnsi="宋体" w:cs="宋体"/>
      <w:b/>
      <w:bCs/>
      <w:kern w:val="36"/>
      <w:szCs w:val="48"/>
    </w:rPr>
  </w:style>
  <w:style w:type="paragraph" w:styleId="3">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rPr>
      <w:rFonts w:ascii="宋体" w:hAnsi="宋体" w:cs="宋体"/>
      <w:lang w:val="zh-CN" w:bidi="zh-CN"/>
    </w:rPr>
  </w:style>
  <w:style w:type="paragraph" w:styleId="5">
    <w:name w:val="Subtitle"/>
    <w:basedOn w:val="1"/>
    <w:next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
    <w:name w:val="Balloon Text"/>
    <w:basedOn w:val="1"/>
    <w:link w:val="23"/>
    <w:semiHidden/>
    <w:unhideWhenUsed/>
    <w:qFormat/>
    <w:uiPriority w:val="99"/>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22"/>
    <w:rPr>
      <w:b/>
    </w:rPr>
  </w:style>
  <w:style w:type="character" w:styleId="13">
    <w:name w:val="page number"/>
    <w:qFormat/>
    <w:uiPriority w:val="0"/>
  </w:style>
  <w:style w:type="character" w:styleId="14">
    <w:name w:val="Emphasis"/>
    <w:basedOn w:val="11"/>
    <w:qFormat/>
    <w:uiPriority w:val="20"/>
    <w:rPr>
      <w:i/>
      <w:iCs/>
    </w:rPr>
  </w:style>
  <w:style w:type="character" w:styleId="15">
    <w:name w:val="Hyperlink"/>
    <w:basedOn w:val="11"/>
    <w:semiHidden/>
    <w:unhideWhenUsed/>
    <w:qFormat/>
    <w:uiPriority w:val="99"/>
    <w:rPr>
      <w:color w:val="0000FF"/>
      <w:u w:val="single"/>
    </w:rPr>
  </w:style>
  <w:style w:type="character" w:customStyle="1" w:styleId="16">
    <w:name w:val="标题 1 Char"/>
    <w:basedOn w:val="11"/>
    <w:link w:val="2"/>
    <w:qFormat/>
    <w:uiPriority w:val="9"/>
    <w:rPr>
      <w:rFonts w:ascii="宋体" w:hAnsi="宋体" w:eastAsia="仿宋" w:cs="宋体"/>
      <w:b/>
      <w:bCs/>
      <w:kern w:val="36"/>
      <w:sz w:val="32"/>
      <w:szCs w:val="48"/>
    </w:rPr>
  </w:style>
  <w:style w:type="character" w:customStyle="1" w:styleId="17">
    <w:name w:val="页脚 Char"/>
    <w:basedOn w:val="11"/>
    <w:link w:val="7"/>
    <w:qFormat/>
    <w:uiPriority w:val="0"/>
    <w:rPr>
      <w:rFonts w:ascii="Times New Roman" w:hAnsi="Times New Roman" w:eastAsia="宋体" w:cs="Times New Roman"/>
      <w:sz w:val="18"/>
      <w:szCs w:val="18"/>
    </w:rPr>
  </w:style>
  <w:style w:type="character" w:customStyle="1" w:styleId="18">
    <w:name w:val="页眉 Char"/>
    <w:basedOn w:val="11"/>
    <w:link w:val="8"/>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0">
    <w:name w:val="apple-converted-space"/>
    <w:basedOn w:val="11"/>
    <w:qFormat/>
    <w:uiPriority w:val="0"/>
  </w:style>
  <w:style w:type="character" w:customStyle="1" w:styleId="21">
    <w:name w:val="highlight"/>
    <w:basedOn w:val="11"/>
    <w:qFormat/>
    <w:uiPriority w:val="0"/>
  </w:style>
  <w:style w:type="character" w:customStyle="1" w:styleId="22">
    <w:name w:val="标题 3 Char"/>
    <w:basedOn w:val="11"/>
    <w:link w:val="3"/>
    <w:qFormat/>
    <w:uiPriority w:val="9"/>
    <w:rPr>
      <w:rFonts w:ascii="Times New Roman" w:hAnsi="Times New Roman" w:eastAsia="宋体" w:cs="Times New Roman"/>
      <w:b/>
      <w:bCs/>
      <w:sz w:val="32"/>
      <w:szCs w:val="32"/>
    </w:rPr>
  </w:style>
  <w:style w:type="character" w:customStyle="1" w:styleId="23">
    <w:name w:val="批注框文本 Char"/>
    <w:basedOn w:val="11"/>
    <w:link w:val="6"/>
    <w:semiHidden/>
    <w:qFormat/>
    <w:uiPriority w:val="99"/>
    <w:rPr>
      <w:rFonts w:ascii="Times New Roman" w:hAnsi="Times New Roman" w:eastAsia="宋体" w:cs="Times New Roman"/>
      <w:sz w:val="18"/>
      <w:szCs w:val="18"/>
    </w:rPr>
  </w:style>
  <w:style w:type="paragraph" w:customStyle="1" w:styleId="24">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CFDA</Company>
  <Pages>5</Pages>
  <Words>2203</Words>
  <Characters>2374</Characters>
  <Lines>31</Lines>
  <Paragraphs>8</Paragraphs>
  <TotalTime>4</TotalTime>
  <ScaleCrop>false</ScaleCrop>
  <LinksUpToDate>false</LinksUpToDate>
  <CharactersWithSpaces>2413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2018-03-27T03:33:00Z</dcterms:created>
  <dc:creator>彭小婷</dc:creator>
  <cp:lastModifiedBy>曾淇</cp:lastModifiedBy>
  <cp:lastPrinted>2020-12-22T09:14:00Z</cp:lastPrinted>
  <dcterms:modified xsi:type="dcterms:W3CDTF">2025-08-04T06:44:49Z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FA27119C94084EAE84E26B7DFEC93534_13</vt:lpwstr>
  </property>
  <property fmtid="{D5CDD505-2E9C-101B-9397-08002B2CF9AE}" pid="4" name="KSOTemplateDocerSaveRecord">
    <vt:lpwstr>eyJoZGlkIjoiMzBhYjQ1ODgwM2VmZWE5ZDExNDZlNzhjNWI5ODgwNzciLCJ1c2VySWQiOiI2NDk0NTUwMjIifQ==</vt:lpwstr>
  </property>
</Properties>
</file>