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4FEE2">
      <w:pPr>
        <w:pStyle w:val="4"/>
        <w:keepNext w:val="0"/>
        <w:keepLines w:val="0"/>
        <w:pageBreakBefore w:val="0"/>
        <w:widowControl w:val="0"/>
        <w:kinsoku/>
        <w:wordWrap/>
        <w:overflowPunct/>
        <w:topLinePunct w:val="0"/>
        <w:autoSpaceDE/>
        <w:autoSpaceDN/>
        <w:bidi w:val="0"/>
        <w:spacing w:line="4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130FA4E">
      <w:pPr>
        <w:pStyle w:val="3"/>
        <w:keepNext w:val="0"/>
        <w:keepLines w:val="0"/>
        <w:pageBreakBefore w:val="0"/>
        <w:widowControl w:val="0"/>
        <w:kinsoku/>
        <w:wordWrap/>
        <w:overflowPunct/>
        <w:topLinePunct w:val="0"/>
        <w:autoSpaceDE/>
        <w:autoSpaceDN/>
        <w:bidi w:val="0"/>
        <w:spacing w:line="400" w:lineRule="exact"/>
        <w:textAlignment w:val="auto"/>
        <w:rPr>
          <w:rFonts w:hint="default"/>
          <w:b w:val="0"/>
          <w:color w:val="auto"/>
          <w:sz w:val="36"/>
          <w:szCs w:val="40"/>
          <w:lang w:val="en-US" w:eastAsia="zh-CN"/>
        </w:rPr>
      </w:pPr>
      <w:bookmarkStart w:id="0" w:name="_Toc28628"/>
      <w:r>
        <w:rPr>
          <w:rFonts w:hint="eastAsia"/>
          <w:color w:val="auto"/>
          <w:sz w:val="36"/>
          <w:szCs w:val="40"/>
          <w:lang w:val="en-US" w:eastAsia="zh-CN"/>
        </w:rPr>
        <w:t>遂宁市船山区市场</w:t>
      </w:r>
      <w:bookmarkEnd w:id="0"/>
      <w:r>
        <w:rPr>
          <w:rFonts w:hint="eastAsia"/>
          <w:color w:val="auto"/>
          <w:sz w:val="36"/>
          <w:szCs w:val="40"/>
          <w:lang w:val="en-US" w:eastAsia="zh-CN"/>
        </w:rPr>
        <w:t>监督管</w:t>
      </w:r>
      <w:r>
        <w:rPr>
          <w:rFonts w:hint="eastAsia"/>
          <w:b w:val="0"/>
          <w:color w:val="auto"/>
          <w:sz w:val="36"/>
          <w:szCs w:val="40"/>
          <w:lang w:val="en-US" w:eastAsia="zh-CN"/>
        </w:rPr>
        <w:t>理局部分行政权力事项调整情况表</w:t>
      </w:r>
    </w:p>
    <w:tbl>
      <w:tblPr>
        <w:tblStyle w:val="5"/>
        <w:tblW w:w="15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46"/>
        <w:gridCol w:w="1377"/>
        <w:gridCol w:w="2595"/>
        <w:gridCol w:w="795"/>
        <w:gridCol w:w="4112"/>
        <w:gridCol w:w="1363"/>
        <w:gridCol w:w="2115"/>
        <w:gridCol w:w="735"/>
        <w:gridCol w:w="673"/>
      </w:tblGrid>
      <w:tr w14:paraId="7AF5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02" w:type="dxa"/>
            <w:vMerge w:val="restart"/>
            <w:noWrap/>
            <w:vAlign w:val="center"/>
          </w:tcPr>
          <w:p w14:paraId="27E1FE48">
            <w:pPr>
              <w:keepNext w:val="0"/>
              <w:keepLines w:val="0"/>
              <w:widowControl/>
              <w:suppressLineNumbers w:val="0"/>
              <w:jc w:val="center"/>
              <w:textAlignment w:val="center"/>
              <w:rPr>
                <w:rFonts w:hint="default" w:ascii="Times New Roman" w:hAnsi="Times New Roman" w:eastAsia="黑体" w:cs="Times New Roman"/>
                <w:b w:val="0"/>
                <w:color w:val="auto"/>
                <w:spacing w:val="0"/>
                <w:sz w:val="16"/>
                <w:szCs w:val="16"/>
                <w:highlight w:val="none"/>
              </w:rPr>
            </w:pPr>
            <w:r>
              <w:rPr>
                <w:rFonts w:hint="default" w:ascii="黑体" w:hAnsi="黑体" w:eastAsia="黑体" w:cs="黑体"/>
                <w:b w:val="0"/>
                <w:color w:val="auto"/>
                <w:spacing w:val="0"/>
                <w:sz w:val="21"/>
                <w:szCs w:val="21"/>
                <w:highlight w:val="none"/>
                <w:lang w:val="en-US" w:eastAsia="zh-CN"/>
              </w:rPr>
              <w:t>序号</w:t>
            </w:r>
          </w:p>
        </w:tc>
        <w:tc>
          <w:tcPr>
            <w:tcW w:w="4718" w:type="dxa"/>
            <w:gridSpan w:val="3"/>
            <w:noWrap/>
            <w:vAlign w:val="center"/>
          </w:tcPr>
          <w:p w14:paraId="2222C70F">
            <w:pPr>
              <w:spacing w:line="320" w:lineRule="exact"/>
              <w:jc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权力清单</w:t>
            </w:r>
          </w:p>
        </w:tc>
        <w:tc>
          <w:tcPr>
            <w:tcW w:w="9120" w:type="dxa"/>
            <w:gridSpan w:val="5"/>
            <w:noWrap/>
            <w:vAlign w:val="center"/>
          </w:tcPr>
          <w:p w14:paraId="240169C7">
            <w:pPr>
              <w:spacing w:line="320" w:lineRule="exact"/>
              <w:jc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责任清单</w:t>
            </w:r>
          </w:p>
        </w:tc>
        <w:tc>
          <w:tcPr>
            <w:tcW w:w="673" w:type="dxa"/>
            <w:vMerge w:val="restart"/>
            <w:noWrap/>
            <w:vAlign w:val="center"/>
          </w:tcPr>
          <w:p w14:paraId="41F5F027">
            <w:pPr>
              <w:widowControl/>
              <w:adjustRightInd w:val="0"/>
              <w:snapToGrid w:val="0"/>
              <w:jc w:val="center"/>
              <w:textAlignment w:val="center"/>
              <w:rPr>
                <w:rFonts w:hint="eastAsia" w:ascii="楷体_GB2312" w:hAnsi="楷体_GB2312" w:eastAsia="楷体_GB2312" w:cs="楷体_GB2312"/>
                <w:b w:val="0"/>
                <w:color w:val="auto"/>
                <w:spacing w:val="0"/>
                <w:sz w:val="21"/>
                <w:szCs w:val="21"/>
                <w:highlight w:val="none"/>
              </w:rPr>
            </w:pPr>
            <w:r>
              <w:rPr>
                <w:rFonts w:hint="eastAsia" w:ascii="黑体" w:hAnsi="黑体" w:eastAsia="黑体" w:cs="黑体"/>
                <w:b w:val="0"/>
                <w:color w:val="auto"/>
                <w:spacing w:val="0"/>
                <w:sz w:val="21"/>
                <w:szCs w:val="21"/>
                <w:highlight w:val="none"/>
              </w:rPr>
              <w:t>备注</w:t>
            </w:r>
          </w:p>
        </w:tc>
      </w:tr>
      <w:tr w14:paraId="1DE7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02" w:type="dxa"/>
            <w:vMerge w:val="continue"/>
            <w:noWrap/>
            <w:vAlign w:val="center"/>
          </w:tcPr>
          <w:p w14:paraId="4C83C5DD">
            <w:pPr>
              <w:spacing w:line="320" w:lineRule="exact"/>
              <w:jc w:val="center"/>
              <w:rPr>
                <w:rFonts w:hint="default" w:ascii="Times New Roman" w:hAnsi="Times New Roman" w:eastAsia="黑体" w:cs="Times New Roman"/>
                <w:b w:val="0"/>
                <w:color w:val="auto"/>
                <w:spacing w:val="0"/>
                <w:sz w:val="16"/>
                <w:szCs w:val="16"/>
                <w:highlight w:val="none"/>
              </w:rPr>
            </w:pPr>
          </w:p>
        </w:tc>
        <w:tc>
          <w:tcPr>
            <w:tcW w:w="746" w:type="dxa"/>
            <w:noWrap/>
            <w:vAlign w:val="center"/>
          </w:tcPr>
          <w:p w14:paraId="2DA38054">
            <w:pPr>
              <w:adjustRightInd w:val="0"/>
              <w:snapToGrid w:val="0"/>
              <w:spacing w:line="320" w:lineRule="exact"/>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权力类型</w:t>
            </w:r>
          </w:p>
        </w:tc>
        <w:tc>
          <w:tcPr>
            <w:tcW w:w="1377" w:type="dxa"/>
            <w:noWrap/>
            <w:vAlign w:val="center"/>
          </w:tcPr>
          <w:p w14:paraId="2E8E4BAB">
            <w:pPr>
              <w:adjustRightInd w:val="0"/>
              <w:snapToGrid w:val="0"/>
              <w:spacing w:line="320" w:lineRule="exact"/>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权力名称</w:t>
            </w:r>
          </w:p>
        </w:tc>
        <w:tc>
          <w:tcPr>
            <w:tcW w:w="2595" w:type="dxa"/>
            <w:noWrap/>
            <w:vAlign w:val="center"/>
          </w:tcPr>
          <w:p w14:paraId="71C20ABF">
            <w:pPr>
              <w:adjustRightInd w:val="0"/>
              <w:snapToGrid w:val="0"/>
              <w:spacing w:line="320" w:lineRule="exact"/>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设定依据</w:t>
            </w:r>
          </w:p>
        </w:tc>
        <w:tc>
          <w:tcPr>
            <w:tcW w:w="795" w:type="dxa"/>
            <w:noWrap/>
            <w:vAlign w:val="center"/>
          </w:tcPr>
          <w:p w14:paraId="56D2BDE3">
            <w:pPr>
              <w:adjustRightInd w:val="0"/>
              <w:snapToGrid w:val="0"/>
              <w:spacing w:line="320" w:lineRule="exact"/>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责任主体</w:t>
            </w:r>
          </w:p>
        </w:tc>
        <w:tc>
          <w:tcPr>
            <w:tcW w:w="4112" w:type="dxa"/>
            <w:noWrap/>
            <w:vAlign w:val="center"/>
          </w:tcPr>
          <w:p w14:paraId="2B9935A5">
            <w:pPr>
              <w:adjustRightInd w:val="0"/>
              <w:snapToGrid w:val="0"/>
              <w:spacing w:line="320" w:lineRule="exact"/>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责任事项</w:t>
            </w:r>
          </w:p>
        </w:tc>
        <w:tc>
          <w:tcPr>
            <w:tcW w:w="1363" w:type="dxa"/>
            <w:noWrap/>
            <w:vAlign w:val="center"/>
          </w:tcPr>
          <w:p w14:paraId="45E82F3D">
            <w:pPr>
              <w:adjustRightInd w:val="0"/>
              <w:snapToGrid w:val="0"/>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问责依据</w:t>
            </w:r>
          </w:p>
        </w:tc>
        <w:tc>
          <w:tcPr>
            <w:tcW w:w="2115" w:type="dxa"/>
            <w:noWrap/>
            <w:vAlign w:val="center"/>
          </w:tcPr>
          <w:p w14:paraId="7E960159">
            <w:pPr>
              <w:adjustRightInd w:val="0"/>
              <w:snapToGrid w:val="0"/>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追责情形及免责情形</w:t>
            </w:r>
          </w:p>
        </w:tc>
        <w:tc>
          <w:tcPr>
            <w:tcW w:w="735" w:type="dxa"/>
            <w:noWrap/>
            <w:vAlign w:val="center"/>
          </w:tcPr>
          <w:p w14:paraId="3F06092C">
            <w:pPr>
              <w:adjustRightInd w:val="0"/>
              <w:snapToGrid w:val="0"/>
              <w:jc w:val="center"/>
              <w:textAlignment w:val="center"/>
              <w:rPr>
                <w:rFonts w:hint="eastAsia" w:ascii="黑体" w:hAnsi="黑体" w:eastAsia="黑体" w:cs="黑体"/>
                <w:b w:val="0"/>
                <w:color w:val="auto"/>
                <w:spacing w:val="0"/>
                <w:sz w:val="21"/>
                <w:szCs w:val="21"/>
                <w:highlight w:val="none"/>
              </w:rPr>
            </w:pPr>
            <w:r>
              <w:rPr>
                <w:rFonts w:hint="eastAsia" w:ascii="黑体" w:hAnsi="黑体" w:eastAsia="黑体" w:cs="黑体"/>
                <w:b w:val="0"/>
                <w:color w:val="auto"/>
                <w:spacing w:val="0"/>
                <w:sz w:val="21"/>
                <w:szCs w:val="21"/>
                <w:highlight w:val="none"/>
              </w:rPr>
              <w:t>监督方式</w:t>
            </w:r>
          </w:p>
        </w:tc>
        <w:tc>
          <w:tcPr>
            <w:tcW w:w="673" w:type="dxa"/>
            <w:vMerge w:val="continue"/>
            <w:noWrap/>
            <w:vAlign w:val="center"/>
          </w:tcPr>
          <w:p w14:paraId="648AB049">
            <w:pPr>
              <w:jc w:val="center"/>
              <w:rPr>
                <w:rFonts w:hint="eastAsia" w:ascii="楷体_GB2312" w:hAnsi="楷体_GB2312" w:eastAsia="楷体_GB2312" w:cs="楷体_GB2312"/>
                <w:b w:val="0"/>
                <w:color w:val="auto"/>
                <w:sz w:val="21"/>
                <w:szCs w:val="21"/>
                <w:highlight w:val="none"/>
              </w:rPr>
            </w:pPr>
          </w:p>
        </w:tc>
      </w:tr>
      <w:tr w14:paraId="02A9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29250105">
            <w:pPr>
              <w:keepNext w:val="0"/>
              <w:keepLines w:val="0"/>
              <w:widowControl/>
              <w:suppressLineNumbers w:val="0"/>
              <w:jc w:val="center"/>
              <w:textAlignment w:val="center"/>
              <w:rPr>
                <w:rFonts w:hint="default" w:ascii="Times New Roman" w:hAnsi="Times New Roman" w:eastAsia="仿宋_GB2312" w:cs="Times New Roman"/>
                <w:b w:val="0"/>
                <w:color w:val="auto"/>
                <w:spacing w:val="0"/>
                <w:sz w:val="16"/>
                <w:szCs w:val="16"/>
                <w:highlight w:val="none"/>
                <w:lang w:val="en-US" w:eastAsia="zh-CN"/>
              </w:rPr>
            </w:pPr>
            <w:r>
              <w:rPr>
                <w:rFonts w:hint="default" w:ascii="Times New Roman" w:hAnsi="Times New Roman" w:eastAsia="宋体" w:cs="Times New Roman"/>
                <w:i w:val="0"/>
                <w:color w:val="auto"/>
                <w:kern w:val="0"/>
                <w:sz w:val="16"/>
                <w:szCs w:val="16"/>
                <w:highlight w:val="none"/>
                <w:u w:val="none"/>
                <w:lang w:val="en-US" w:eastAsia="zh-CN" w:bidi="ar"/>
              </w:rPr>
              <w:t>1</w:t>
            </w:r>
          </w:p>
        </w:tc>
        <w:tc>
          <w:tcPr>
            <w:tcW w:w="746" w:type="dxa"/>
            <w:noWrap/>
            <w:vAlign w:val="center"/>
          </w:tcPr>
          <w:p w14:paraId="5A744087">
            <w:pPr>
              <w:keepNext w:val="0"/>
              <w:keepLines w:val="0"/>
              <w:widowControl/>
              <w:suppressLineNumbers w:val="0"/>
              <w:jc w:val="center"/>
              <w:textAlignment w:val="center"/>
              <w:rPr>
                <w:rFonts w:hint="default" w:ascii="Times New Roman" w:hAnsi="Times New Roman" w:eastAsia="方正仿宋简体" w:cs="Times New Roman"/>
                <w:b w:val="0"/>
                <w:bCs w:val="0"/>
                <w:i w:val="0"/>
                <w:iCs w:val="0"/>
                <w:snapToGrid w:val="0"/>
                <w:color w:val="auto"/>
                <w:kern w:val="0"/>
                <w:sz w:val="16"/>
                <w:szCs w:val="16"/>
                <w:highlight w:val="none"/>
                <w:u w:val="none"/>
                <w:shd w:val="clear" w:color="auto" w:fill="auto"/>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235EE84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对生产不符合强制性标准的产品的；销售不符合强制性标准的产品的；进口不符合强制性标准的产品的行政处罚</w:t>
            </w:r>
          </w:p>
        </w:tc>
        <w:tc>
          <w:tcPr>
            <w:tcW w:w="2595" w:type="dxa"/>
            <w:shd w:val="clear" w:color="auto" w:fill="auto"/>
            <w:noWrap/>
            <w:vAlign w:val="center"/>
          </w:tcPr>
          <w:p w14:paraId="083D3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b w:val="0"/>
                <w:bCs w:val="0"/>
                <w:i w:val="0"/>
                <w:iCs w:val="0"/>
                <w:color w:val="auto"/>
                <w:kern w:val="0"/>
                <w:sz w:val="16"/>
                <w:szCs w:val="16"/>
                <w:u w:val="none"/>
                <w:lang w:val="en-US" w:eastAsia="zh-CN" w:bidi="ar"/>
              </w:rPr>
              <w:t>【行政法规】《中华人民共和国标准化法实施条例(2024年修订)》（1990年4月6日中华人民共和国国务院令第53号发布　根据2024年3月10日《国务院关于修改和废止部分行政法规的决定》修订）第二十三条　从事科研、生产、经营的单位和个人，必须严格执行强制性标准。不符合强制性标准的产品，禁止生产、销售和进口。                                                     第三十三条　生产不符合强制性标准的产品的，应当责令其停止生产，并没收产品，监督销毁或作必要技术处理；处以该</w:t>
            </w:r>
            <w:r>
              <w:rPr>
                <w:rFonts w:hint="eastAsia" w:ascii="仿宋_GB2312" w:hAnsi="仿宋_GB2312" w:eastAsia="仿宋_GB2312" w:cs="仿宋_GB2312"/>
                <w:i w:val="0"/>
                <w:iCs w:val="0"/>
                <w:color w:val="auto"/>
                <w:kern w:val="0"/>
                <w:sz w:val="16"/>
                <w:szCs w:val="16"/>
                <w:u w:val="none"/>
                <w:lang w:val="en-US" w:eastAsia="zh-CN" w:bidi="ar"/>
              </w:rPr>
              <w:t>批产品货值金额百分之二十至百分之五十的罚款；对有关责任者处以五千元以下罚款。</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销售不符合强制性标准的商品的，应当责令其停止销售，并限期追回已售出的商品，监督销毁或作必要技术处理；没收违法所得；处以该批商品货值金额百分之十至百分之二十的罚款；对有关责任者处以五千元以下罚款。</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进口不符合强制性标准的产品的，应当封存并没收该产品，监督销毁或作必要技术处理；处以进口产品货值金额百分之二十至百分之五十的罚款；对有关责任者处以五千元以下罚款。</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本条规定的责令停止生产，由有关行政主管部门决定；其他行政处罚由市场监督管理部门决定。</w:t>
            </w:r>
          </w:p>
        </w:tc>
        <w:tc>
          <w:tcPr>
            <w:tcW w:w="795" w:type="dxa"/>
            <w:noWrap/>
            <w:vAlign w:val="center"/>
          </w:tcPr>
          <w:p w14:paraId="25129347">
            <w:pPr>
              <w:keepNext w:val="0"/>
              <w:keepLines w:val="0"/>
              <w:widowControl/>
              <w:suppressLineNumbers w:val="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7E680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color w:val="auto"/>
                <w:spacing w:val="0"/>
                <w:kern w:val="0"/>
                <w:sz w:val="21"/>
                <w:szCs w:val="21"/>
                <w:highlight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502F3673">
            <w:pPr>
              <w:keepNext w:val="0"/>
              <w:keepLines w:val="0"/>
              <w:pageBreakBefore w:val="0"/>
              <w:kinsoku/>
              <w:wordWrap/>
              <w:overflowPunct/>
              <w:topLinePunct w:val="0"/>
              <w:autoSpaceDE/>
              <w:autoSpaceDN/>
              <w:bidi w:val="0"/>
              <w:adjustRightInd/>
              <w:snapToGrid/>
              <w:spacing w:line="240" w:lineRule="exact"/>
              <w:rPr>
                <w:rStyle w:val="8"/>
                <w:rFonts w:hint="default" w:ascii="Times New Roman" w:hAnsi="Times New Roman" w:eastAsia="仿宋_GB2312" w:cs="Times New Roman"/>
                <w:b w:val="0"/>
                <w:bCs w:val="0"/>
                <w:color w:val="auto"/>
                <w:sz w:val="18"/>
                <w:szCs w:val="18"/>
                <w:highlight w:val="none"/>
                <w:u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72612BFE">
            <w:pPr>
              <w:keepNext w:val="0"/>
              <w:keepLines w:val="0"/>
              <w:widowControl/>
              <w:suppressLineNumbers w:val="0"/>
              <w:jc w:val="left"/>
              <w:textAlignment w:val="center"/>
              <w:rPr>
                <w:rFonts w:hint="default" w:ascii="Times New Roman" w:hAnsi="Times New Roman" w:eastAsia="仿宋_GB2312" w:cs="Times New Roman"/>
                <w:b w:val="0"/>
                <w:bCs w:val="0"/>
                <w:color w:val="auto"/>
                <w:spacing w:val="0"/>
                <w:kern w:val="0"/>
                <w:sz w:val="21"/>
                <w:szCs w:val="21"/>
                <w:highlight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2EE8CB15">
            <w:pPr>
              <w:keepNext w:val="0"/>
              <w:keepLines w:val="0"/>
              <w:widowControl/>
              <w:suppressLineNumbers w:val="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043FA9B2">
            <w:pPr>
              <w:keepNext w:val="0"/>
              <w:keepLines w:val="0"/>
              <w:widowControl/>
              <w:suppressLineNumbers w:val="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新增</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停止生产，</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由有关行政主管部门决定</w:t>
            </w:r>
          </w:p>
        </w:tc>
      </w:tr>
      <w:tr w14:paraId="56D2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7D83C5BE">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2</w:t>
            </w:r>
          </w:p>
        </w:tc>
        <w:tc>
          <w:tcPr>
            <w:tcW w:w="746" w:type="dxa"/>
            <w:noWrap/>
            <w:vAlign w:val="center"/>
          </w:tcPr>
          <w:p w14:paraId="1599AD9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612EB25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对从事粮食的食品生产，不符合食品安全法律、法规和标准规定的条件和要求的；对粮食经营活动中的扰乱市场秩序、违法交易等行为的行政处罚</w:t>
            </w:r>
          </w:p>
        </w:tc>
        <w:tc>
          <w:tcPr>
            <w:tcW w:w="2595" w:type="dxa"/>
            <w:shd w:val="clear" w:color="auto" w:fill="auto"/>
            <w:noWrap/>
            <w:vAlign w:val="center"/>
          </w:tcPr>
          <w:p w14:paraId="6B7C2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【行政法规】《粮食流通管理条例》（中华人民共和国国务院令第740号）第四十八条　从事粮食的食品生产，不符合食品安全法律、法规和标准规定的条件和要求的，由市场监督管理部门依照《中华人民共和国食品安全法》、《中华人民共和国食品安全法实施条例》等有关规定予以处罚。                           第五十条　对粮食经营活动中的扰乱市场秩序、违法交易等行为，由市场监督管理部门依照有关法律、法规的规定予以处罚。</w:t>
            </w:r>
          </w:p>
        </w:tc>
        <w:tc>
          <w:tcPr>
            <w:tcW w:w="795" w:type="dxa"/>
            <w:noWrap/>
            <w:vAlign w:val="center"/>
          </w:tcPr>
          <w:p w14:paraId="5F54B77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60470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4AB2EEB8">
            <w:pPr>
              <w:keepNext w:val="0"/>
              <w:keepLines w:val="0"/>
              <w:pageBreakBefore w:val="0"/>
              <w:kinsoku/>
              <w:wordWrap/>
              <w:overflowPunct/>
              <w:topLinePunct w:val="0"/>
              <w:autoSpaceDE/>
              <w:autoSpaceDN/>
              <w:bidi w:val="0"/>
              <w:adjustRightInd/>
              <w:snapToGrid/>
              <w:spacing w:line="240" w:lineRule="exact"/>
              <w:rPr>
                <w:rStyle w:val="8"/>
                <w:rFonts w:hint="default" w:ascii="Times New Roman" w:hAnsi="Times New Roman" w:eastAsia="仿宋_GB2312" w:cs="Times New Roman"/>
                <w:b w:val="0"/>
                <w:bCs w:val="0"/>
                <w:color w:val="auto"/>
                <w:sz w:val="18"/>
                <w:szCs w:val="18"/>
                <w:highlight w:val="none"/>
                <w:u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3B37262C">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11B3629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3AFB3F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新增</w:t>
            </w:r>
          </w:p>
        </w:tc>
      </w:tr>
      <w:tr w14:paraId="32EC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2CED1B39">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3</w:t>
            </w:r>
          </w:p>
        </w:tc>
        <w:tc>
          <w:tcPr>
            <w:tcW w:w="746" w:type="dxa"/>
            <w:noWrap/>
            <w:vAlign w:val="center"/>
          </w:tcPr>
          <w:p w14:paraId="2D1F176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1975778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提交虚假材料或者采取其他欺诈手段隐瞒重要事实取得企业登记的；明知或者应当知道申请人提交虚假材料或者采取其他欺诈手段隐瞒重要事实进行企业登记，仍为其委托代为办理，或者协助其进行虚假登记的行政处罚</w:t>
            </w:r>
          </w:p>
        </w:tc>
        <w:tc>
          <w:tcPr>
            <w:tcW w:w="2595" w:type="dxa"/>
            <w:shd w:val="clear" w:color="auto" w:fill="auto"/>
            <w:noWrap/>
            <w:vAlign w:val="center"/>
          </w:tcPr>
          <w:p w14:paraId="352C2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【部门规章】《防范和查处假冒企业登记违法行为规定》（国家市场监督管理总局令第88号）第六条申请人应当对提交材料的真实性、合法性和有效性负责。</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受委托的自然人或者中介机构代为办理登记事宜应当遵守法律法规规定，表明其代理身份，不得伪造、变造或者使用伪造、变造的法律文件、印章、签名，不得采取欺诈、诱骗等不正当手段，不得教唆、编造或者帮助他人编造、提供虚假信息或者材料；不得以转让牟利为目的，恶意大量申请企业登记，损害社会公共利益或者妨碍社会公共秩序。                                                                             第十八条　提交虚假材料或者采取其他欺诈手段隐瞒重要事实取得企业登记的，由登记机关依法责令改正，没收违法所得，并处5万元以上20万元以下的罚款；情节严重的，处20万元以上100万元以下的罚款，吊销营业执照；对直接责任人依法作出处理。</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明知或者应当知道申请人提交虚假材料或者采取其他欺诈手段隐瞒重要事实进行企业登记，仍接受委托代为办理，或者协助其进行虚假登记的，由登记机关没收违法所得，处10万元以下的罚款。中介机构违反本规定第六条第二款规定，多次从事上述违法行为，或者性质恶劣、造成严重后果的，依法从重处罚。</w:t>
            </w:r>
          </w:p>
        </w:tc>
        <w:tc>
          <w:tcPr>
            <w:tcW w:w="795" w:type="dxa"/>
            <w:noWrap/>
            <w:vAlign w:val="center"/>
          </w:tcPr>
          <w:p w14:paraId="16CEC7B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24995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42820160">
            <w:pPr>
              <w:keepNext w:val="0"/>
              <w:keepLines w:val="0"/>
              <w:pageBreakBefore w:val="0"/>
              <w:kinsoku/>
              <w:wordWrap/>
              <w:overflowPunct/>
              <w:topLinePunct w:val="0"/>
              <w:autoSpaceDE/>
              <w:autoSpaceDN/>
              <w:bidi w:val="0"/>
              <w:adjustRightInd/>
              <w:snapToGrid/>
              <w:spacing w:line="240" w:lineRule="exact"/>
              <w:rPr>
                <w:rStyle w:val="8"/>
                <w:rFonts w:hint="default" w:ascii="Times New Roman" w:hAnsi="Times New Roman" w:eastAsia="仿宋_GB2312" w:cs="Times New Roman"/>
                <w:b w:val="0"/>
                <w:bCs w:val="0"/>
                <w:color w:val="auto"/>
                <w:sz w:val="18"/>
                <w:szCs w:val="18"/>
                <w:highlight w:val="none"/>
                <w:u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673CB68A">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1A78EC4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6F2C0EE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新增</w:t>
            </w:r>
          </w:p>
        </w:tc>
      </w:tr>
      <w:tr w14:paraId="2D17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6E036044">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4</w:t>
            </w:r>
          </w:p>
        </w:tc>
        <w:tc>
          <w:tcPr>
            <w:tcW w:w="746" w:type="dxa"/>
            <w:noWrap/>
            <w:vAlign w:val="center"/>
          </w:tcPr>
          <w:p w14:paraId="23C0820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1A1BE91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对未按照规定注明或者提供相应量的法定计量单位等效值或者换算关系的行政处罚</w:t>
            </w:r>
          </w:p>
        </w:tc>
        <w:tc>
          <w:tcPr>
            <w:tcW w:w="2595" w:type="dxa"/>
            <w:shd w:val="clear" w:color="auto" w:fill="auto"/>
            <w:noWrap/>
            <w:vAlign w:val="center"/>
          </w:tcPr>
          <w:p w14:paraId="37B75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【部门规章】《非法定计量单位限制使用管理办法》（国家市场监督管理总局令第90号）第八条　符合本办法第七条规定，有下述情形之一的，应当同时注明或者提供相应量的法定计量单位等效值或者换算关系：（一）在科技文献、新闻报道中使用的；</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（二）在产品或者包装物、说明书上使用的；（三）在进口的工程装备或者计量器具及其技术文件、示值、铭牌上使用的；（四）日常生活中根据约定俗成的交易习惯使用的。                                                                   第十三条　未按照本办法第八条规定注明或者提供相应量的法定计量单位等效值或者换算关系的，由县级以上地方市场监督管理部门责令其限期改正；逾期未改或者改正后仍不符合要求的，可处1000元以下的罚款。</w:t>
            </w:r>
          </w:p>
        </w:tc>
        <w:tc>
          <w:tcPr>
            <w:tcW w:w="795" w:type="dxa"/>
            <w:noWrap/>
            <w:vAlign w:val="center"/>
          </w:tcPr>
          <w:p w14:paraId="29F7033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2639B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16D53739">
            <w:pPr>
              <w:keepNext w:val="0"/>
              <w:keepLines w:val="0"/>
              <w:pageBreakBefore w:val="0"/>
              <w:kinsoku/>
              <w:wordWrap/>
              <w:overflowPunct/>
              <w:topLinePunct w:val="0"/>
              <w:autoSpaceDE/>
              <w:autoSpaceDN/>
              <w:bidi w:val="0"/>
              <w:adjustRightInd/>
              <w:snapToGrid/>
              <w:spacing w:line="240" w:lineRule="exact"/>
              <w:rPr>
                <w:rStyle w:val="8"/>
                <w:rFonts w:hint="default" w:ascii="Times New Roman" w:hAnsi="Times New Roman" w:eastAsia="仿宋_GB2312" w:cs="Times New Roman"/>
                <w:b w:val="0"/>
                <w:bCs w:val="0"/>
                <w:color w:val="auto"/>
                <w:sz w:val="18"/>
                <w:szCs w:val="18"/>
                <w:highlight w:val="none"/>
                <w:u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1B30FCE3">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0ABBAF6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409EE10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新增</w:t>
            </w:r>
          </w:p>
        </w:tc>
      </w:tr>
      <w:tr w14:paraId="54E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76168C17">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5</w:t>
            </w:r>
          </w:p>
        </w:tc>
        <w:tc>
          <w:tcPr>
            <w:tcW w:w="746" w:type="dxa"/>
            <w:noWrap/>
            <w:vAlign w:val="center"/>
          </w:tcPr>
          <w:p w14:paraId="4519AF7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5D5B2C8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对损害竞争对手商业信誉、商品声誉的行政处罚</w:t>
            </w:r>
          </w:p>
        </w:tc>
        <w:tc>
          <w:tcPr>
            <w:tcW w:w="2595" w:type="dxa"/>
            <w:shd w:val="clear" w:color="auto" w:fill="auto"/>
            <w:noWrap/>
            <w:vAlign w:val="center"/>
          </w:tcPr>
          <w:p w14:paraId="769F6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【法律】《中华人民共和国反不正当竞争法（2019年修正）》第二十三条　经营者违反本法第十一条规定损害竞争对手商业信誉、商品声誉的，由监督检查部门责令停止违法行为、消除影响，处十万元以上五十万元以下的罚款；情节严重的，处五十万元以上三百万元以下的罚款。                                                                【部门规章】《网络反不正当竞争暂行规定》（国家市场监督管理总局令第91号）　第十一条　经营者不得利用网络编造、传播虚假信息或者误导性信息，实施下列损害或者可能损害竞争对手的商业信誉、商品声誉的行为：（一）组织、指使他人对竞争对手的商品进行恶意评价；（二）利用或者组织、指使他人通过网络散布虚假或者误导性信息；（三）利用网络传播含有虚假或者误导性信息的风险提示、告客户书、警告函或者举报信等；（四）其他编造、传播虚假或者误导性信息，损害竞争对手商业信誉、商品声誉的行为。</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客户端、小程序、公众号运营者以及提供跟帖评论服务的组织或者个人，不得故意与经营者共同实施前款行为。</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本条所称的商业信誉，是指经营者在商业活动中的信用和名誉，包括相关公众对该经营者的资信状况、商业道德、技术水平、经济实力等方面的评价。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xml:space="preserve">　　本条所称的商品声誉，是指商品在质量、品牌等方面的美誉度和知名度。                                                     　第三十六条　经营者违反本规定第十一条的，由市场监督管理部门依照反不正当竞争法第二十三条的规定处罚。                     </w:t>
            </w:r>
          </w:p>
        </w:tc>
        <w:tc>
          <w:tcPr>
            <w:tcW w:w="795" w:type="dxa"/>
            <w:noWrap/>
            <w:vAlign w:val="center"/>
          </w:tcPr>
          <w:p w14:paraId="2199519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0C56F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290934B4">
            <w:pPr>
              <w:keepNext w:val="0"/>
              <w:keepLines w:val="0"/>
              <w:pageBreakBefore w:val="0"/>
              <w:kinsoku/>
              <w:wordWrap/>
              <w:overflowPunct/>
              <w:topLinePunct w:val="0"/>
              <w:autoSpaceDE/>
              <w:autoSpaceDN/>
              <w:bidi w:val="0"/>
              <w:adjustRightInd/>
              <w:snapToGrid/>
              <w:spacing w:line="240" w:lineRule="exact"/>
              <w:rPr>
                <w:rStyle w:val="8"/>
                <w:rFonts w:hint="default" w:ascii="Times New Roman" w:hAnsi="Times New Roman" w:eastAsia="仿宋_GB2312" w:cs="Times New Roman"/>
                <w:b w:val="0"/>
                <w:bCs w:val="0"/>
                <w:color w:val="auto"/>
                <w:sz w:val="18"/>
                <w:szCs w:val="18"/>
                <w:highlight w:val="none"/>
                <w:u w:val="none"/>
                <w:lang w:val="en-US" w:eastAsia="zh-CN"/>
              </w:rPr>
            </w:pPr>
            <w:r>
              <w:rPr>
                <w:rFonts w:hint="eastAsia" w:ascii="仿宋_GB2312" w:hAnsi="宋体" w:eastAsia="仿宋_GB2312" w:cs="仿宋_GB2312"/>
                <w:b w:val="0"/>
                <w:bCs w:val="0"/>
                <w:i w:val="0"/>
                <w:iCs w:val="0"/>
                <w:color w:val="000000"/>
                <w:kern w:val="0"/>
                <w:sz w:val="18"/>
                <w:szCs w:val="18"/>
                <w:u w:val="none"/>
                <w:lang w:val="en-US" w:eastAsia="zh-CN" w:bidi="ar"/>
              </w:rPr>
              <w:t>《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61DE6248">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381BB83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3E727CA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新增</w:t>
            </w:r>
          </w:p>
        </w:tc>
      </w:tr>
      <w:tr w14:paraId="542C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7C5C6EE9">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6</w:t>
            </w:r>
          </w:p>
        </w:tc>
        <w:tc>
          <w:tcPr>
            <w:tcW w:w="746" w:type="dxa"/>
            <w:noWrap/>
            <w:vAlign w:val="center"/>
          </w:tcPr>
          <w:p w14:paraId="5652FE0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lang w:val="en-US" w:eastAsia="zh-CN" w:bidi="ar"/>
              </w:rPr>
              <w:t>行政处罚</w:t>
            </w:r>
          </w:p>
        </w:tc>
        <w:tc>
          <w:tcPr>
            <w:tcW w:w="1377" w:type="dxa"/>
            <w:noWrap/>
            <w:vAlign w:val="center"/>
          </w:tcPr>
          <w:p w14:paraId="544D7334">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食用或者为食用非法购买《中华人民共和国野生动物保护法》规定保护的野生动物及其制品的；食用或者为食用非法购买其他陆生野生动物及其制品的；生产、经营使用《中华人民共和国野生动物保护法》规定保护的野生动物及其制品制作的食品的；生产、经营使用其他陆生野生动物及其制品制作的食品的行政处罚</w:t>
            </w:r>
          </w:p>
        </w:tc>
        <w:tc>
          <w:tcPr>
            <w:tcW w:w="2595" w:type="dxa"/>
            <w:shd w:val="clear" w:color="auto" w:fill="auto"/>
            <w:noWrap/>
            <w:vAlign w:val="center"/>
          </w:tcPr>
          <w:p w14:paraId="5C047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【法律】《中华人民共和国野生动物保护法（2022修订）》（主席令第126号）第三十一条　禁止食用国家重点保护野生动物和国家保护的有重要生态、科学、社会价值的陆生野生动物以及其他陆生野生动物。</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禁止以食用为目的猎捕、交易、运输在野外环境自然生长繁殖的前款规定的野生动物。</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禁止生产、经营使用本条第一款规定的野生动物及其制品制作的食品。</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禁止为食用非法购买本条第一款规定的野生动物及其制品。</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第五十三条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xml:space="preserve">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795" w:type="dxa"/>
            <w:noWrap/>
            <w:vAlign w:val="center"/>
          </w:tcPr>
          <w:p w14:paraId="0DAA7F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综合行政执法大队</w:t>
            </w:r>
          </w:p>
        </w:tc>
        <w:tc>
          <w:tcPr>
            <w:tcW w:w="4112" w:type="dxa"/>
            <w:noWrap/>
            <w:vAlign w:val="center"/>
          </w:tcPr>
          <w:p w14:paraId="7A1E9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50359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Times New Roman" w:hAnsi="Times New Roman" w:eastAsia="仿宋_GB2312" w:cs="Times New Roman"/>
                <w:b w:val="0"/>
                <w:bCs w:val="0"/>
                <w:color w:val="auto"/>
                <w:sz w:val="18"/>
                <w:szCs w:val="18"/>
                <w:highlight w:val="none"/>
                <w:u w:val="none"/>
                <w:lang w:val="en-US" w:eastAsia="zh-CN"/>
              </w:rPr>
            </w:pPr>
            <w:r>
              <w:rPr>
                <w:rStyle w:val="10"/>
                <w:rFonts w:hAnsi="宋体"/>
                <w:b w:val="0"/>
                <w:bCs w:val="0"/>
                <w:sz w:val="18"/>
                <w:szCs w:val="18"/>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04A2123A">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追责情形：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0E9969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监督电话：0825-6800807</w:t>
            </w:r>
          </w:p>
        </w:tc>
        <w:tc>
          <w:tcPr>
            <w:tcW w:w="673" w:type="dxa"/>
            <w:noWrap/>
            <w:vAlign w:val="center"/>
          </w:tcPr>
          <w:p w14:paraId="0122EA9A">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变更</w:t>
            </w:r>
          </w:p>
        </w:tc>
      </w:tr>
      <w:tr w14:paraId="65A3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36CBDE94">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7</w:t>
            </w:r>
          </w:p>
        </w:tc>
        <w:tc>
          <w:tcPr>
            <w:tcW w:w="746" w:type="dxa"/>
            <w:noWrap/>
            <w:vAlign w:val="center"/>
          </w:tcPr>
          <w:p w14:paraId="19B8F85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lang w:val="en-US" w:eastAsia="zh-CN" w:bidi="ar"/>
              </w:rPr>
              <w:t>行政处罚</w:t>
            </w:r>
          </w:p>
        </w:tc>
        <w:tc>
          <w:tcPr>
            <w:tcW w:w="1377" w:type="dxa"/>
            <w:noWrap/>
            <w:vAlign w:val="center"/>
          </w:tcPr>
          <w:p w14:paraId="603A8551">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对为违法出售、购买、食用及利用野生动物及其制品或者禁止使用的猎捕工具提供展示、交易、消费服务的行政处罚</w:t>
            </w:r>
          </w:p>
        </w:tc>
        <w:tc>
          <w:tcPr>
            <w:tcW w:w="2595" w:type="dxa"/>
            <w:shd w:val="clear" w:color="auto" w:fill="auto"/>
            <w:noWrap/>
            <w:vAlign w:val="center"/>
          </w:tcPr>
          <w:p w14:paraId="1E165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【法律】《中华人民共和国野生动物保护法（2022修订）》（主席令第126号）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第五十五条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第三十三条　禁止网络平台、商品交易市场、餐饮场所等，为违法出售、购买、食用及利用野生动物及其制品或者禁止使用的猎捕工具提供展示、交易、消费服务。</w:t>
            </w:r>
          </w:p>
        </w:tc>
        <w:tc>
          <w:tcPr>
            <w:tcW w:w="795" w:type="dxa"/>
            <w:noWrap/>
            <w:vAlign w:val="center"/>
          </w:tcPr>
          <w:p w14:paraId="1F2CA31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综合行政执法大队</w:t>
            </w:r>
          </w:p>
        </w:tc>
        <w:tc>
          <w:tcPr>
            <w:tcW w:w="4112" w:type="dxa"/>
            <w:noWrap/>
            <w:vAlign w:val="center"/>
          </w:tcPr>
          <w:p w14:paraId="4C50C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29FDC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Times New Roman" w:hAnsi="Times New Roman" w:eastAsia="仿宋_GB2312" w:cs="Times New Roman"/>
                <w:b w:val="0"/>
                <w:bCs w:val="0"/>
                <w:color w:val="auto"/>
                <w:sz w:val="18"/>
                <w:szCs w:val="18"/>
                <w:highlight w:val="none"/>
                <w:u w:val="none"/>
                <w:lang w:val="en-US" w:eastAsia="zh-CN"/>
              </w:rPr>
            </w:pPr>
            <w:r>
              <w:rPr>
                <w:rStyle w:val="10"/>
                <w:rFonts w:hAnsi="宋体"/>
                <w:b w:val="0"/>
                <w:bCs w:val="0"/>
                <w:sz w:val="18"/>
                <w:szCs w:val="18"/>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7884753E">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追责情形：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3F8CFE9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监督电话：0825-6800807</w:t>
            </w:r>
          </w:p>
        </w:tc>
        <w:tc>
          <w:tcPr>
            <w:tcW w:w="673" w:type="dxa"/>
            <w:noWrap/>
            <w:vAlign w:val="center"/>
          </w:tcPr>
          <w:p w14:paraId="1B963335">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变更</w:t>
            </w:r>
          </w:p>
        </w:tc>
      </w:tr>
      <w:tr w14:paraId="21F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5ECF6CFB">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8</w:t>
            </w:r>
          </w:p>
        </w:tc>
        <w:tc>
          <w:tcPr>
            <w:tcW w:w="746" w:type="dxa"/>
            <w:noWrap/>
            <w:vAlign w:val="center"/>
          </w:tcPr>
          <w:p w14:paraId="2A4C7517">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lang w:val="en-US" w:eastAsia="zh-CN" w:bidi="ar"/>
              </w:rPr>
              <w:t>行政处罚</w:t>
            </w:r>
          </w:p>
        </w:tc>
        <w:tc>
          <w:tcPr>
            <w:tcW w:w="1377" w:type="dxa"/>
            <w:noWrap/>
            <w:vAlign w:val="center"/>
          </w:tcPr>
          <w:p w14:paraId="2BD7161D">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6"/>
                <w:szCs w:val="16"/>
                <w:u w:val="none"/>
                <w:lang w:val="en-US" w:eastAsia="zh-CN" w:bidi="ar"/>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w:t>
            </w:r>
            <w:r>
              <w:rPr>
                <w:rStyle w:val="11"/>
                <w:rFonts w:hAnsi="宋体"/>
                <w:b w:val="0"/>
                <w:bCs w:val="0"/>
                <w:sz w:val="16"/>
                <w:szCs w:val="16"/>
                <w:lang w:val="en-US" w:eastAsia="zh-CN" w:bidi="ar"/>
              </w:rPr>
              <w:t>申请人</w:t>
            </w:r>
            <w:r>
              <w:rPr>
                <w:rStyle w:val="10"/>
                <w:rFonts w:hAnsi="宋体"/>
                <w:b w:val="0"/>
                <w:bCs w:val="0"/>
                <w:sz w:val="16"/>
                <w:szCs w:val="16"/>
                <w:lang w:val="en-US" w:eastAsia="zh-CN" w:bidi="ar"/>
              </w:rPr>
              <w:t>变更产品配方、生产工艺等可能影响产品安全性、营养充足性以及特殊医学用途临床效果的事项，未依法申请变更；申请人变更</w:t>
            </w:r>
            <w:r>
              <w:rPr>
                <w:rStyle w:val="11"/>
                <w:rFonts w:hAnsi="宋体"/>
                <w:b w:val="0"/>
                <w:bCs w:val="0"/>
                <w:sz w:val="16"/>
                <w:szCs w:val="16"/>
                <w:lang w:val="en-US" w:eastAsia="zh-CN" w:bidi="ar"/>
              </w:rPr>
              <w:t>可能</w:t>
            </w:r>
            <w:r>
              <w:rPr>
                <w:rStyle w:val="10"/>
                <w:rFonts w:hAnsi="宋体"/>
                <w:b w:val="0"/>
                <w:bCs w:val="0"/>
                <w:sz w:val="16"/>
                <w:szCs w:val="16"/>
                <w:lang w:val="en-US" w:eastAsia="zh-CN" w:bidi="ar"/>
              </w:rPr>
              <w:t>影响产品配方科学性、安全性的事项，未依法申请变更的行政处罚</w:t>
            </w:r>
          </w:p>
        </w:tc>
        <w:tc>
          <w:tcPr>
            <w:tcW w:w="2595" w:type="dxa"/>
            <w:shd w:val="clear" w:color="auto" w:fill="auto"/>
            <w:noWrap/>
            <w:vAlign w:val="center"/>
          </w:tcPr>
          <w:p w14:paraId="36D0B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【法律】《中华人民共和国食品安全法(2021修正)》（中华人民共和国主席令第81号）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第八十二条第三款 保健食品、特殊医学用途配方食品、婴幼儿配方乳粉生产企业应当按照注册或者备案的产品配方、生产工艺等技术要求组织生产。</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第八十一条第五款 不得以分装方式生产婴幼儿配方乳粉，同一企业不得用同一配方生产不同品牌的婴幼儿配方乳粉。</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（六）生产经营未按规定注册的保健食品、特殊医学用途配方食品、婴幼儿配方乳粉，或者未按注册的产品配方、生产工艺等技术要求组织生产；</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（七）以分装方式生产婴幼儿配方乳粉，或者同一企业以同一配方生产不同品牌的婴幼儿配方乳粉。</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【部门规章】《特殊医学用途配方食品注册管理办法》（国家市场监督管理总局令第85号）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第六十条第二款　　申请人变更产品配方、生产工艺等可能影响产品安全性、营养充足性以及特殊医学用途临床效果的事项，未依法申请变更的，由县级以上市场监督管理部门依照《中华人民共和国食品安全法》第一百二十四条的规定进行处罚。</w:t>
            </w:r>
            <w:bookmarkStart w:id="1" w:name="_GoBack"/>
            <w:bookmarkEnd w:id="1"/>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【部门规章】《婴幼儿配方乳粉产品配方注册管理办法》（国家市场监督管理总局令第80号）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第四十七条第二款  申请人变更可能影响产品配方科学性、安全性的事项，未依法申请变更的，由县级以上市场监督管理部门依照食品安全法第一百二十四条的规定处罚。</w:t>
            </w:r>
          </w:p>
        </w:tc>
        <w:tc>
          <w:tcPr>
            <w:tcW w:w="795" w:type="dxa"/>
            <w:noWrap/>
            <w:vAlign w:val="center"/>
          </w:tcPr>
          <w:p w14:paraId="3FD9AF3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综合行政执法大队</w:t>
            </w:r>
          </w:p>
        </w:tc>
        <w:tc>
          <w:tcPr>
            <w:tcW w:w="4112" w:type="dxa"/>
            <w:noWrap/>
            <w:vAlign w:val="center"/>
          </w:tcPr>
          <w:p w14:paraId="75A953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35A06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Times New Roman" w:hAnsi="Times New Roman" w:eastAsia="仿宋_GB2312" w:cs="Times New Roman"/>
                <w:b w:val="0"/>
                <w:bCs w:val="0"/>
                <w:color w:val="auto"/>
                <w:sz w:val="18"/>
                <w:szCs w:val="18"/>
                <w:highlight w:val="none"/>
                <w:u w:val="none"/>
                <w:lang w:val="en-US" w:eastAsia="zh-CN"/>
              </w:rPr>
            </w:pPr>
            <w:r>
              <w:rPr>
                <w:rStyle w:val="10"/>
                <w:rFonts w:hAnsi="宋体"/>
                <w:b w:val="0"/>
                <w:bCs w:val="0"/>
                <w:sz w:val="18"/>
                <w:szCs w:val="18"/>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3878F6A3">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追责情形：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6465F1D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监督电话：0825-6800807</w:t>
            </w:r>
          </w:p>
        </w:tc>
        <w:tc>
          <w:tcPr>
            <w:tcW w:w="673" w:type="dxa"/>
            <w:noWrap/>
            <w:vAlign w:val="center"/>
          </w:tcPr>
          <w:p w14:paraId="6E7FC78A">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变更</w:t>
            </w:r>
          </w:p>
        </w:tc>
      </w:tr>
      <w:tr w14:paraId="436D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3635B988">
            <w:pPr>
              <w:keepNext w:val="0"/>
              <w:keepLines w:val="0"/>
              <w:widowControl/>
              <w:suppressLineNumbers w:val="0"/>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eastAsia" w:ascii="Times New Roman" w:hAnsi="Times New Roman" w:eastAsia="宋体" w:cs="Times New Roman"/>
                <w:i w:val="0"/>
                <w:color w:val="auto"/>
                <w:kern w:val="0"/>
                <w:sz w:val="16"/>
                <w:szCs w:val="16"/>
                <w:highlight w:val="none"/>
                <w:u w:val="none"/>
                <w:lang w:val="en-US" w:eastAsia="zh-CN" w:bidi="ar"/>
              </w:rPr>
              <w:t>9</w:t>
            </w:r>
          </w:p>
        </w:tc>
        <w:tc>
          <w:tcPr>
            <w:tcW w:w="746" w:type="dxa"/>
            <w:noWrap/>
            <w:vAlign w:val="center"/>
          </w:tcPr>
          <w:p w14:paraId="29385BF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lang w:val="en-US" w:eastAsia="zh-CN" w:bidi="ar"/>
              </w:rPr>
              <w:t>行政处罚</w:t>
            </w:r>
          </w:p>
        </w:tc>
        <w:tc>
          <w:tcPr>
            <w:tcW w:w="1377" w:type="dxa"/>
            <w:noWrap/>
            <w:vAlign w:val="center"/>
          </w:tcPr>
          <w:p w14:paraId="2594475C">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对电子商务平台经营者对平台内经营者侵害消费者合法权益行为未采取必要措施、对平台内经营者未尽到资质资格审核义务、对消费者未尽到安全保障义务的行政处罚</w:t>
            </w:r>
          </w:p>
        </w:tc>
        <w:tc>
          <w:tcPr>
            <w:tcW w:w="2595" w:type="dxa"/>
            <w:shd w:val="clear" w:color="auto" w:fill="auto"/>
            <w:noWrap/>
            <w:vAlign w:val="center"/>
          </w:tcPr>
          <w:p w14:paraId="474AE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【法律】《中华人民共和国电子商务法》（主席令第7号）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　　对关系消费者生命健康的商品或者服务，电子商务平台经营者对平台内经营者的资质资格未尽到审核义务，或者对消费者未尽到安全保障义务，造成消费者损害的，依法承担相应的责任。</w:t>
            </w:r>
          </w:p>
        </w:tc>
        <w:tc>
          <w:tcPr>
            <w:tcW w:w="795" w:type="dxa"/>
            <w:noWrap/>
            <w:vAlign w:val="center"/>
          </w:tcPr>
          <w:p w14:paraId="6D41B32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综合行政执法大队</w:t>
            </w:r>
          </w:p>
        </w:tc>
        <w:tc>
          <w:tcPr>
            <w:tcW w:w="4112" w:type="dxa"/>
            <w:noWrap/>
            <w:vAlign w:val="center"/>
          </w:tcPr>
          <w:p w14:paraId="6F1B8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9.其他责任：法律法规规章文件规定应履行的其他责任。</w:t>
            </w:r>
          </w:p>
        </w:tc>
        <w:tc>
          <w:tcPr>
            <w:tcW w:w="1363" w:type="dxa"/>
            <w:noWrap/>
            <w:vAlign w:val="center"/>
          </w:tcPr>
          <w:p w14:paraId="318C3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Times New Roman" w:hAnsi="Times New Roman" w:eastAsia="仿宋_GB2312" w:cs="Times New Roman"/>
                <w:b w:val="0"/>
                <w:bCs w:val="0"/>
                <w:color w:val="auto"/>
                <w:sz w:val="18"/>
                <w:szCs w:val="18"/>
                <w:highlight w:val="none"/>
                <w:u w:val="none"/>
                <w:lang w:val="en-US" w:eastAsia="zh-CN"/>
              </w:rPr>
            </w:pPr>
            <w:r>
              <w:rPr>
                <w:rStyle w:val="10"/>
                <w:rFonts w:hAnsi="宋体"/>
                <w:b w:val="0"/>
                <w:bCs w:val="0"/>
                <w:sz w:val="18"/>
                <w:szCs w:val="18"/>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2A144BE5">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追责情形：</w:t>
            </w:r>
            <w:r>
              <w:rPr>
                <w:rStyle w:val="10"/>
                <w:rFonts w:hAnsi="宋体"/>
                <w:b w:val="0"/>
                <w:bCs w:val="0"/>
                <w:sz w:val="18"/>
                <w:szCs w:val="18"/>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3297992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Style w:val="10"/>
                <w:rFonts w:hAnsi="宋体"/>
                <w:b w:val="0"/>
                <w:bCs w:val="0"/>
                <w:sz w:val="18"/>
                <w:szCs w:val="18"/>
                <w:lang w:val="en-US" w:eastAsia="zh-CN" w:bidi="ar"/>
              </w:rPr>
              <w:t>监督电话：0825-6800807</w:t>
            </w:r>
          </w:p>
        </w:tc>
        <w:tc>
          <w:tcPr>
            <w:tcW w:w="673" w:type="dxa"/>
            <w:noWrap/>
            <w:vAlign w:val="center"/>
          </w:tcPr>
          <w:p w14:paraId="5E46A49F">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变更</w:t>
            </w:r>
          </w:p>
        </w:tc>
      </w:tr>
      <w:tr w14:paraId="5469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60012F47">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10</w:t>
            </w:r>
          </w:p>
        </w:tc>
        <w:tc>
          <w:tcPr>
            <w:tcW w:w="746" w:type="dxa"/>
            <w:noWrap/>
            <w:vAlign w:val="center"/>
          </w:tcPr>
          <w:p w14:paraId="63F2AF7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Style w:val="10"/>
                <w:rFonts w:hint="eastAsia" w:ascii="仿宋_GB2312" w:hAnsi="仿宋_GB2312" w:eastAsia="仿宋_GB2312" w:cs="仿宋_GB2312"/>
                <w:b w:val="0"/>
                <w:bCs w:val="0"/>
                <w:sz w:val="18"/>
                <w:szCs w:val="18"/>
                <w:lang w:val="en-US" w:eastAsia="zh-CN" w:bidi="ar"/>
              </w:rPr>
              <w:t>行政处罚</w:t>
            </w:r>
          </w:p>
        </w:tc>
        <w:tc>
          <w:tcPr>
            <w:tcW w:w="1377" w:type="dxa"/>
            <w:noWrap/>
            <w:vAlign w:val="center"/>
          </w:tcPr>
          <w:p w14:paraId="55F98026">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对申请人变更不影响产品安全性、营养充足性以及特殊医学用途临床效果的事项，未依法申请变更的行政处罚</w:t>
            </w:r>
          </w:p>
        </w:tc>
        <w:tc>
          <w:tcPr>
            <w:tcW w:w="2595" w:type="dxa"/>
            <w:shd w:val="clear" w:color="auto" w:fill="auto"/>
            <w:noWrap/>
            <w:vAlign w:val="center"/>
          </w:tcPr>
          <w:p w14:paraId="396E4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【部门规章】《特殊医学用途配方食品注册管理办法》（国家市场监督管理总局令第85号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第六十条第一款　申请人变更不影响产品安全性、营养充足性以及特殊医学用途临床效果的事项，未依法申请变更的，由县级以上市场监督管理部门责令限期改正；逾期不改的，处一千元以上一万元以下罚款。</w:t>
            </w:r>
          </w:p>
        </w:tc>
        <w:tc>
          <w:tcPr>
            <w:tcW w:w="795" w:type="dxa"/>
            <w:noWrap/>
            <w:vAlign w:val="center"/>
          </w:tcPr>
          <w:p w14:paraId="0A6AEE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Style w:val="10"/>
                <w:rFonts w:hint="eastAsia" w:ascii="仿宋_GB2312" w:hAnsi="仿宋_GB2312" w:eastAsia="仿宋_GB2312" w:cs="仿宋_GB2312"/>
                <w:b w:val="0"/>
                <w:bCs w:val="0"/>
                <w:sz w:val="18"/>
                <w:szCs w:val="18"/>
                <w:lang w:val="en-US" w:eastAsia="zh-CN" w:bidi="ar"/>
              </w:rPr>
              <w:t>综合行政执法大队</w:t>
            </w:r>
          </w:p>
        </w:tc>
        <w:tc>
          <w:tcPr>
            <w:tcW w:w="4112" w:type="dxa"/>
            <w:noWrap/>
            <w:vAlign w:val="center"/>
          </w:tcPr>
          <w:p w14:paraId="731241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1.立案责任：发现涉嫌特殊医学用途配方食品注册人变更不影响产品安全性、营养充足性以及特殊医学用途临床效果的事项，未依法申请变更的，予以审查，决定是否立案。</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6.送达责任：按照法律法规规定的方式和时限，将《行政处罚决定书》送达当事人。</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7.执行责任：依照生效的行政处罚决定执行。</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8.其他责任：法律法规规章文件规定应履行的其他责任。</w:t>
            </w:r>
          </w:p>
        </w:tc>
        <w:tc>
          <w:tcPr>
            <w:tcW w:w="1363" w:type="dxa"/>
            <w:noWrap/>
            <w:vAlign w:val="center"/>
          </w:tcPr>
          <w:p w14:paraId="36EB3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color w:val="auto"/>
                <w:sz w:val="18"/>
                <w:szCs w:val="18"/>
                <w:highlight w:val="none"/>
                <w:u w:val="none"/>
                <w:lang w:val="en-US" w:eastAsia="zh-CN"/>
              </w:rPr>
            </w:pPr>
            <w:r>
              <w:rPr>
                <w:rStyle w:val="10"/>
                <w:rFonts w:hAnsi="宋体"/>
                <w:b w:val="0"/>
                <w:bCs w:val="0"/>
                <w:sz w:val="18"/>
                <w:szCs w:val="18"/>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0B893367">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追责情形：</w:t>
            </w:r>
            <w:r>
              <w:rPr>
                <w:rStyle w:val="10"/>
                <w:rFonts w:hAnsi="宋体"/>
                <w:b w:val="0"/>
                <w:bCs w:val="0"/>
                <w:sz w:val="18"/>
                <w:szCs w:val="18"/>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7CEE32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Style w:val="10"/>
                <w:rFonts w:hint="eastAsia" w:ascii="仿宋_GB2312" w:hAnsi="仿宋_GB2312" w:eastAsia="仿宋_GB2312" w:cs="仿宋_GB2312"/>
                <w:b w:val="0"/>
                <w:bCs w:val="0"/>
                <w:sz w:val="18"/>
                <w:szCs w:val="18"/>
                <w:lang w:val="en-US" w:eastAsia="zh-CN" w:bidi="ar"/>
              </w:rPr>
              <w:t>监督电话：0825-6800807</w:t>
            </w:r>
          </w:p>
        </w:tc>
        <w:tc>
          <w:tcPr>
            <w:tcW w:w="673" w:type="dxa"/>
            <w:noWrap/>
            <w:vAlign w:val="center"/>
          </w:tcPr>
          <w:p w14:paraId="7873C61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变更</w:t>
            </w:r>
          </w:p>
        </w:tc>
      </w:tr>
      <w:tr w14:paraId="5AAE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669643D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11</w:t>
            </w:r>
          </w:p>
        </w:tc>
        <w:tc>
          <w:tcPr>
            <w:tcW w:w="746" w:type="dxa"/>
            <w:noWrap/>
            <w:vAlign w:val="center"/>
          </w:tcPr>
          <w:p w14:paraId="23910FD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1A3952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对未按规定的期限公示或者报送年度报告；未按照市场监督管理部门责令的期限公示有关企业信息的；企业公示信息隐瞒真实情况、弄虚作假的行政处罚</w:t>
            </w:r>
          </w:p>
        </w:tc>
        <w:tc>
          <w:tcPr>
            <w:tcW w:w="2595" w:type="dxa"/>
            <w:shd w:val="clear" w:color="auto" w:fill="auto"/>
            <w:noWrap/>
            <w:vAlign w:val="center"/>
          </w:tcPr>
          <w:p w14:paraId="4E2DE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【行政法规】《中华人民共和国市场主体登记管理条例》第三十五条 市场主体应当按照国家有关规定公示年度报告和登记相关信息。</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【部门规章】《中华人民共和国市场主体登记管理条例实施细则》第六十三条 市场主体应当于每年1月1日至6月30日，通过国家企业信用信息公示系统报送上一年度报告，并向社会公示。个体工商户可以通过纸质方式报送年度报告，并自主选择年度报告内容是否向社会公示。歇业的市场主体应当按时公示年度报告。第七十条 市场主体未按照法律、行政法规规定的期限公示或者报送年度报告的，由登记机关列入经营异常名录，可以处1万元以下的罚款。                                                                                                 【部门规章】《企业信息公示暂行条例》（2024年修订）第十八条　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tc>
        <w:tc>
          <w:tcPr>
            <w:tcW w:w="795" w:type="dxa"/>
            <w:noWrap/>
            <w:vAlign w:val="center"/>
          </w:tcPr>
          <w:p w14:paraId="46CA7E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综合行政执法大队</w:t>
            </w:r>
          </w:p>
        </w:tc>
        <w:tc>
          <w:tcPr>
            <w:tcW w:w="4112" w:type="dxa"/>
            <w:noWrap/>
            <w:vAlign w:val="center"/>
          </w:tcPr>
          <w:p w14:paraId="4A9FC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1.立案责任：发现行政相对人前述涉嫌违法行为的，予以审查，在法定期限内决定是否立案。</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4.告知责任：作出行政处罚前，应当告知当事人作出行政处罚决定的事实、理由及依据，并告知当事人依法享有的权利。</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6.送达责任：按照法律法规规定的方式和时限，将《行政处罚决定书》等法律文书送达当事人。</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7.执行责任：依照生效的行政处罚决定执行或依法向人民法院申请强制执行。</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8.公示责任：根据《市场监督管理行政处罚信息公示规定》等相关规定对行政处罚决定的相关信息依法予以公示。</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10.其他责任：法律法规规章文件规定应履行的其他责任。</w:t>
            </w:r>
          </w:p>
        </w:tc>
        <w:tc>
          <w:tcPr>
            <w:tcW w:w="1363" w:type="dxa"/>
            <w:noWrap/>
            <w:vAlign w:val="center"/>
          </w:tcPr>
          <w:p w14:paraId="01001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eastAsia" w:ascii="仿宋_GB2312" w:hAnsi="仿宋_GB2312" w:eastAsia="仿宋_GB2312" w:cs="仿宋_GB2312"/>
                <w:b w:val="0"/>
                <w:bCs w:val="0"/>
                <w:color w:val="auto"/>
                <w:sz w:val="18"/>
                <w:szCs w:val="18"/>
                <w:highlight w:val="none"/>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《中华人民共和国监察法》《中华人民共和国行政处罚法》《中华人民共和国行政强制法》</w:t>
            </w:r>
            <w:r>
              <w:rPr>
                <w:rStyle w:val="12"/>
                <w:rFonts w:hint="eastAsia" w:ascii="仿宋_GB2312" w:hAnsi="仿宋_GB2312" w:eastAsia="仿宋_GB2312" w:cs="仿宋_GB2312"/>
                <w:b w:val="0"/>
                <w:bCs w:val="0"/>
                <w:sz w:val="18"/>
                <w:szCs w:val="18"/>
                <w:lang w:val="en-US" w:eastAsia="zh-CN" w:bidi="ar"/>
              </w:rPr>
              <w:t>《中华人民共和国公职人员政务处分法》《行政机关公务员处分条例》</w:t>
            </w:r>
            <w:r>
              <w:rPr>
                <w:rStyle w:val="10"/>
                <w:rFonts w:hint="eastAsia" w:ascii="仿宋_GB2312" w:hAnsi="仿宋_GB2312" w:eastAsia="仿宋_GB2312" w:cs="仿宋_GB2312"/>
                <w:b w:val="0"/>
                <w:bCs w:val="0"/>
                <w:sz w:val="18"/>
                <w:szCs w:val="18"/>
                <w:lang w:val="en-US" w:eastAsia="zh-CN" w:bidi="ar"/>
              </w:rPr>
              <w:t>《市场监督管理行政处罚程序规定》《市场监督管理执法监督暂行规定》《四川省行政执法监督条例》《市场监督管理行政执法责任制规定》</w:t>
            </w:r>
          </w:p>
        </w:tc>
        <w:tc>
          <w:tcPr>
            <w:tcW w:w="2115" w:type="dxa"/>
            <w:noWrap/>
            <w:vAlign w:val="center"/>
          </w:tcPr>
          <w:p w14:paraId="7EF5A1E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735" w:type="dxa"/>
            <w:noWrap/>
            <w:vAlign w:val="center"/>
          </w:tcPr>
          <w:p w14:paraId="5B082B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256C6FDA">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变更</w:t>
            </w:r>
          </w:p>
        </w:tc>
      </w:tr>
      <w:tr w14:paraId="643B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4179B69C">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12</w:t>
            </w:r>
          </w:p>
        </w:tc>
        <w:tc>
          <w:tcPr>
            <w:tcW w:w="746" w:type="dxa"/>
            <w:noWrap/>
            <w:vAlign w:val="center"/>
          </w:tcPr>
          <w:p w14:paraId="1B75A4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行政检查</w:t>
            </w:r>
          </w:p>
        </w:tc>
        <w:tc>
          <w:tcPr>
            <w:tcW w:w="1377" w:type="dxa"/>
            <w:noWrap/>
            <w:vAlign w:val="center"/>
          </w:tcPr>
          <w:p w14:paraId="35294C5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对工业产品生产销售单位开展监督检查（含工业产品生产许可获证企业、食品相关产品生产销售企业、纳入市场监管总局第75、76号令适用产品目录的生产销售单位）</w:t>
            </w:r>
          </w:p>
        </w:tc>
        <w:tc>
          <w:tcPr>
            <w:tcW w:w="2595" w:type="dxa"/>
            <w:shd w:val="clear" w:color="auto" w:fill="auto"/>
            <w:noWrap/>
            <w:vAlign w:val="center"/>
          </w:tcPr>
          <w:p w14:paraId="3616BBAD">
            <w:pPr>
              <w:keepNext w:val="0"/>
              <w:keepLines w:val="0"/>
              <w:pageBreakBefore w:val="0"/>
              <w:widowControl w:val="0"/>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【法律】《中华人民共和国食品安全法（2021修正）》</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第一百一十条  县级以上人民政府食品药品监督管理、质量监督部门履行各自食品安全监督管理职责，有权采取下列措施，对生产经营者遵守本法的情况进行监督检查:</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（一）进入生产经营场所实施现场检查;</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（二）对生产经营的食品、食品添加剂、食品相关产品进行抽样检验;</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（三）查阅、复制有关合同、票据、账簿以及其他有关资料;</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（四）查封、扣押有证据证明不符合食品安全标准或者有证据证明存在安全隐患以及用于违法生产经营的食品、食品添加剂、食品相关产品;</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（五）查封违法从事生产经营活动的场所。                                                               《国务院关于调整工业产品生产许可证管理目录加强事中事后监管的决定》（国发〔2019〕19号）中明确：对继续实施生产许可证管理的产品，要完善对企业现场审查和检查的技术规范，以“双随机、一公开”监管为手段，进一步加强和规范对获证企业的日常检查，对问题线索企业实施飞行检查。</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【部门规章】《食品相关产品质量安全监督管理暂行办法》（国家市场监督管理总局令第62号）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第二十条  市场监督管理部门建立分层分级、精准防控、末端发力、终端见效工作机制，以“双随机、一公开”监管为主要方式，随机抽取检查对象，随机选派检查人员对食品相关产品生产者、销售者实施日常监督检查，及时向社会公开检查事项及检查结果。</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市场监督管理部门实施日常监督检查主要包括书面审查和现场检查。必要时，可以邀请检验检测机构、科研院所等技术机构为日常监督检查提供技术支撑。</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第二十一条  对食品相关产品生产者实施日常监督检查的事项包括：生产者资质、生产环境条件、设备设施管理、原辅料控制、生产关键环节控制、检验控制、运输及交付控制、标识信息、不合格品管理和产品召回、从业人员管理、信息记录和追溯、质量安全事故处置等情况。</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第二十二条  对食品相关产品销售者实施日常监督检查的事项包括：销售者资质、进货查验结果、食品相关产品贮存、标识信息、质量安全事故处置等情况。</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【部门规章】《工业产品生产单位落实质量安全主体责任监督管理规定》（国家市场监督管理总局令第75号）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第十四条  市场监督管理部门应当将生产单位建立并落实工业产品质量安全责任制等管理制度，生产单位在日管控、周排查、月调度中发现的工业产品质量安全风险隐患以及整改情况作为监督检查的重要内容。</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【部门规章】《工业产品销售单位落实质量安全主体责任监督管理规定》（国家市场监督管理总局令第76号）</w:t>
            </w:r>
            <w:r>
              <w:rPr>
                <w:rFonts w:hint="eastAsia" w:ascii="仿宋_GB2312" w:hAnsi="仿宋_GB2312" w:eastAsia="仿宋_GB2312" w:cs="仿宋_GB2312"/>
                <w:i w:val="0"/>
                <w:iCs w:val="0"/>
                <w:color w:val="auto"/>
                <w:kern w:val="0"/>
                <w:sz w:val="16"/>
                <w:szCs w:val="16"/>
                <w:u w:val="none"/>
                <w:lang w:val="en-US" w:eastAsia="zh-CN" w:bidi="ar"/>
              </w:rPr>
              <w:br w:type="textWrapping"/>
            </w:r>
            <w:r>
              <w:rPr>
                <w:rFonts w:hint="eastAsia" w:ascii="仿宋_GB2312" w:hAnsi="仿宋_GB2312" w:eastAsia="仿宋_GB2312" w:cs="仿宋_GB2312"/>
                <w:i w:val="0"/>
                <w:iCs w:val="0"/>
                <w:color w:val="auto"/>
                <w:kern w:val="0"/>
                <w:sz w:val="16"/>
                <w:szCs w:val="16"/>
                <w:u w:val="none"/>
                <w:lang w:val="en-US" w:eastAsia="zh-CN" w:bidi="ar"/>
              </w:rPr>
              <w:t xml:space="preserve"> 市场监督管理部门应当将销售单位建立并落实工业产品质量安全责任制等管理制度，销售单位在日管控、周排查、月调度中发现的工业产品质量安全风险隐患以及整改情况作为监督检查的重要内容。</w:t>
            </w:r>
          </w:p>
        </w:tc>
        <w:tc>
          <w:tcPr>
            <w:tcW w:w="795" w:type="dxa"/>
            <w:noWrap/>
            <w:vAlign w:val="center"/>
          </w:tcPr>
          <w:p w14:paraId="25AE5632">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质量监督管理股</w:t>
            </w:r>
          </w:p>
        </w:tc>
        <w:tc>
          <w:tcPr>
            <w:tcW w:w="4112" w:type="dxa"/>
            <w:noWrap/>
            <w:vAlign w:val="center"/>
          </w:tcPr>
          <w:p w14:paraId="7B3EB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1.检查责任：对工业产品生产销售单位开展监督检查（含工业产品生产许可获证企业、食品相关产品生产销售企业、纳入市场监管总局第75、76号令适用产品目录的生产销售单位）</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2.处置责任：根据检查结果，采取相应的处理措施。</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3.信息公开责任：按照相关规定办理信息公开事项。</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4.其他责任：法律法规规章文件规定应履行的其他责任。</w:t>
            </w:r>
          </w:p>
        </w:tc>
        <w:tc>
          <w:tcPr>
            <w:tcW w:w="1363" w:type="dxa"/>
            <w:noWrap/>
            <w:vAlign w:val="center"/>
          </w:tcPr>
          <w:p w14:paraId="427C2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2115" w:type="dxa"/>
            <w:noWrap/>
            <w:vAlign w:val="center"/>
          </w:tcPr>
          <w:p w14:paraId="7E005C1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追责情形：对不履行或不正确履行行政职责的行政机关及其工作人员，依据《中华人民共和国监察法》《中华人民共和国行政处罚法》《行政机关公务员处分条例》《中华人民共和国行政强制法》、《中华人民共和国公职人员政务处分法》、、《市场监督管理行政处罚程序规定》、《市场监督管理执法监督暂行规定》、《市场监督管理行政执法责任制规定》等法律法规规章的相关规定追究相应的责任。 </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免责情形：按照《中华人民共和国公职人员政务处分法》规定的情形，以及其他依法应当免责的情形。</w:t>
            </w:r>
          </w:p>
        </w:tc>
        <w:tc>
          <w:tcPr>
            <w:tcW w:w="735" w:type="dxa"/>
            <w:noWrap/>
            <w:vAlign w:val="center"/>
          </w:tcPr>
          <w:p w14:paraId="7B6417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监督电话：0825-6800807</w:t>
            </w:r>
          </w:p>
        </w:tc>
        <w:tc>
          <w:tcPr>
            <w:tcW w:w="673" w:type="dxa"/>
            <w:noWrap/>
            <w:vAlign w:val="center"/>
          </w:tcPr>
          <w:p w14:paraId="76BE07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变更</w:t>
            </w:r>
          </w:p>
        </w:tc>
      </w:tr>
      <w:tr w14:paraId="1435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722953D9">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13</w:t>
            </w:r>
          </w:p>
        </w:tc>
        <w:tc>
          <w:tcPr>
            <w:tcW w:w="746" w:type="dxa"/>
            <w:noWrap/>
            <w:vAlign w:val="center"/>
          </w:tcPr>
          <w:p w14:paraId="54398B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63FB7F7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对未持有合法来源证明出售、利用、运输非国家重点保护野生动物的行政处罚</w:t>
            </w:r>
          </w:p>
        </w:tc>
        <w:tc>
          <w:tcPr>
            <w:tcW w:w="2595" w:type="dxa"/>
            <w:noWrap/>
            <w:vAlign w:val="center"/>
          </w:tcPr>
          <w:p w14:paraId="6D064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 </w:t>
            </w:r>
          </w:p>
        </w:tc>
        <w:tc>
          <w:tcPr>
            <w:tcW w:w="795" w:type="dxa"/>
            <w:noWrap/>
            <w:vAlign w:val="center"/>
          </w:tcPr>
          <w:p w14:paraId="4289A09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 </w:t>
            </w:r>
          </w:p>
        </w:tc>
        <w:tc>
          <w:tcPr>
            <w:tcW w:w="4112" w:type="dxa"/>
            <w:noWrap/>
            <w:vAlign w:val="center"/>
          </w:tcPr>
          <w:p w14:paraId="34BBA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p w14:paraId="240EB8AE">
            <w:pPr>
              <w:pStyle w:val="2"/>
              <w:rPr>
                <w:rFonts w:hint="default"/>
                <w:lang w:val="en-US" w:eastAsia="zh-CN"/>
              </w:rPr>
            </w:pPr>
          </w:p>
        </w:tc>
        <w:tc>
          <w:tcPr>
            <w:tcW w:w="1363" w:type="dxa"/>
            <w:noWrap/>
            <w:vAlign w:val="center"/>
          </w:tcPr>
          <w:p w14:paraId="22770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2115" w:type="dxa"/>
            <w:noWrap/>
            <w:vAlign w:val="center"/>
          </w:tcPr>
          <w:p w14:paraId="00917897">
            <w:pPr>
              <w:keepNext w:val="0"/>
              <w:keepLines w:val="0"/>
              <w:widowControl/>
              <w:suppressLineNumbers w:val="0"/>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735" w:type="dxa"/>
            <w:noWrap/>
            <w:vAlign w:val="center"/>
          </w:tcPr>
          <w:p w14:paraId="7043FBB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673" w:type="dxa"/>
            <w:noWrap/>
            <w:vAlign w:val="center"/>
          </w:tcPr>
          <w:p w14:paraId="4B88B10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取消</w:t>
            </w:r>
          </w:p>
        </w:tc>
      </w:tr>
      <w:tr w14:paraId="5961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464267A2">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14</w:t>
            </w:r>
          </w:p>
        </w:tc>
        <w:tc>
          <w:tcPr>
            <w:tcW w:w="746" w:type="dxa"/>
            <w:noWrap/>
            <w:vAlign w:val="center"/>
          </w:tcPr>
          <w:p w14:paraId="643DAC9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0BEE476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对公司在清算期间开展与清算无关的经营活动的行政处罚</w:t>
            </w:r>
          </w:p>
        </w:tc>
        <w:tc>
          <w:tcPr>
            <w:tcW w:w="2595" w:type="dxa"/>
            <w:noWrap/>
            <w:vAlign w:val="center"/>
          </w:tcPr>
          <w:p w14:paraId="17871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rtl w:val="0"/>
                <w:lang w:val="en-US" w:eastAsia="zh-CN" w:bidi="ar"/>
              </w:rPr>
              <w:t>《</w: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begin"/>
            </w:r>
            <w:r>
              <w:rPr>
                <w:rFonts w:hint="eastAsia" w:ascii="仿宋_GB2312" w:hAnsi="仿宋_GB2312" w:eastAsia="仿宋_GB2312" w:cs="仿宋_GB2312"/>
                <w:b w:val="0"/>
                <w:bCs w:val="0"/>
                <w:i w:val="0"/>
                <w:iCs w:val="0"/>
                <w:color w:val="000000"/>
                <w:kern w:val="0"/>
                <w:sz w:val="18"/>
                <w:szCs w:val="18"/>
                <w:u w:val="none"/>
                <w:rtl w:val="0"/>
                <w:lang w:val="en-US" w:eastAsia="zh-CN" w:bidi="ar"/>
              </w:rPr>
              <w:instrText xml:space="preserve"> HYPERLINK "javascript:SLC(324551,0)" </w:instrTex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separate"/>
            </w:r>
            <w:r>
              <w:rPr>
                <w:rFonts w:hint="eastAsia" w:ascii="仿宋_GB2312" w:hAnsi="仿宋_GB2312" w:eastAsia="仿宋_GB2312" w:cs="仿宋_GB2312"/>
                <w:b w:val="0"/>
                <w:bCs w:val="0"/>
                <w:i w:val="0"/>
                <w:iCs w:val="0"/>
                <w:color w:val="000000"/>
                <w:kern w:val="0"/>
                <w:sz w:val="18"/>
                <w:szCs w:val="18"/>
                <w:u w:val="none"/>
                <w:rtl w:val="0"/>
                <w:lang w:val="en-US" w:eastAsia="zh-CN" w:bidi="ar"/>
              </w:rPr>
              <w:t>中华人民共和国公司法</w: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end"/>
            </w:r>
            <w:r>
              <w:rPr>
                <w:rFonts w:hint="eastAsia" w:ascii="仿宋_GB2312" w:hAnsi="仿宋_GB2312" w:eastAsia="仿宋_GB2312" w:cs="仿宋_GB2312"/>
                <w:b w:val="0"/>
                <w:bCs w:val="0"/>
                <w:i w:val="0"/>
                <w:iCs w:val="0"/>
                <w:color w:val="000000"/>
                <w:kern w:val="0"/>
                <w:sz w:val="18"/>
                <w:szCs w:val="18"/>
                <w:u w:val="none"/>
                <w:rtl w:val="0"/>
                <w:lang w:val="en-US" w:eastAsia="zh-CN" w:bidi="ar"/>
              </w:rPr>
              <w:t>》已由中华人民共和国第十四届全国人民代表大会常务委员会第七次会议于2023年12月29日修订通过，自2024年7月1日起施行。</w:t>
            </w:r>
          </w:p>
        </w:tc>
        <w:tc>
          <w:tcPr>
            <w:tcW w:w="795" w:type="dxa"/>
            <w:noWrap/>
            <w:vAlign w:val="center"/>
          </w:tcPr>
          <w:p w14:paraId="57E5A3D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 </w:t>
            </w:r>
          </w:p>
        </w:tc>
        <w:tc>
          <w:tcPr>
            <w:tcW w:w="4112" w:type="dxa"/>
            <w:noWrap/>
            <w:vAlign w:val="center"/>
          </w:tcPr>
          <w:p w14:paraId="50723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1363" w:type="dxa"/>
            <w:noWrap/>
            <w:vAlign w:val="center"/>
          </w:tcPr>
          <w:p w14:paraId="494A5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2115" w:type="dxa"/>
            <w:noWrap/>
            <w:vAlign w:val="center"/>
          </w:tcPr>
          <w:p w14:paraId="7C8DC0F5">
            <w:pPr>
              <w:keepNext w:val="0"/>
              <w:keepLines w:val="0"/>
              <w:widowControl/>
              <w:suppressLineNumbers w:val="0"/>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735" w:type="dxa"/>
            <w:noWrap/>
            <w:vAlign w:val="center"/>
          </w:tcPr>
          <w:p w14:paraId="7D64EAC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673" w:type="dxa"/>
            <w:noWrap/>
            <w:vAlign w:val="center"/>
          </w:tcPr>
          <w:p w14:paraId="6D367EC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取消</w:t>
            </w:r>
          </w:p>
        </w:tc>
      </w:tr>
      <w:tr w14:paraId="5121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ign w:val="center"/>
          </w:tcPr>
          <w:p w14:paraId="6FFB220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15</w:t>
            </w:r>
          </w:p>
        </w:tc>
        <w:tc>
          <w:tcPr>
            <w:tcW w:w="746" w:type="dxa"/>
            <w:noWrap/>
            <w:vAlign w:val="center"/>
          </w:tcPr>
          <w:p w14:paraId="0CCC894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行政处罚</w:t>
            </w:r>
          </w:p>
        </w:tc>
        <w:tc>
          <w:tcPr>
            <w:tcW w:w="1377" w:type="dxa"/>
            <w:noWrap/>
            <w:vAlign w:val="center"/>
          </w:tcPr>
          <w:p w14:paraId="05AF50CB">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对公司清算组成员利用职权徇私舞弊、谋取非法收入或者侵占公司财产的行政处罚</w:t>
            </w:r>
          </w:p>
        </w:tc>
        <w:tc>
          <w:tcPr>
            <w:tcW w:w="2595" w:type="dxa"/>
            <w:noWrap/>
            <w:vAlign w:val="center"/>
          </w:tcPr>
          <w:p w14:paraId="4D0FA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rtl w:val="0"/>
                <w:lang w:val="en-US" w:eastAsia="zh-CN" w:bidi="ar"/>
              </w:rPr>
              <w:t>《</w: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begin"/>
            </w:r>
            <w:r>
              <w:rPr>
                <w:rFonts w:hint="eastAsia" w:ascii="仿宋_GB2312" w:hAnsi="仿宋_GB2312" w:eastAsia="仿宋_GB2312" w:cs="仿宋_GB2312"/>
                <w:b w:val="0"/>
                <w:bCs w:val="0"/>
                <w:i w:val="0"/>
                <w:iCs w:val="0"/>
                <w:color w:val="000000"/>
                <w:kern w:val="0"/>
                <w:sz w:val="18"/>
                <w:szCs w:val="18"/>
                <w:u w:val="none"/>
                <w:rtl w:val="0"/>
                <w:lang w:val="en-US" w:eastAsia="zh-CN" w:bidi="ar"/>
              </w:rPr>
              <w:instrText xml:space="preserve"> HYPERLINK "javascript:SLC(324551,0)" </w:instrTex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separate"/>
            </w:r>
            <w:r>
              <w:rPr>
                <w:rFonts w:hint="eastAsia" w:ascii="仿宋_GB2312" w:hAnsi="仿宋_GB2312" w:eastAsia="仿宋_GB2312" w:cs="仿宋_GB2312"/>
                <w:b w:val="0"/>
                <w:bCs w:val="0"/>
                <w:i w:val="0"/>
                <w:iCs w:val="0"/>
                <w:color w:val="000000"/>
                <w:kern w:val="0"/>
                <w:sz w:val="18"/>
                <w:szCs w:val="18"/>
                <w:u w:val="none"/>
                <w:rtl w:val="0"/>
                <w:lang w:val="en-US" w:eastAsia="zh-CN" w:bidi="ar"/>
              </w:rPr>
              <w:t>中华人民共和国公司法</w:t>
            </w:r>
            <w:r>
              <w:rPr>
                <w:rFonts w:hint="eastAsia" w:ascii="仿宋_GB2312" w:hAnsi="仿宋_GB2312" w:eastAsia="仿宋_GB2312" w:cs="仿宋_GB2312"/>
                <w:b w:val="0"/>
                <w:bCs w:val="0"/>
                <w:i w:val="0"/>
                <w:iCs w:val="0"/>
                <w:color w:val="000000"/>
                <w:kern w:val="0"/>
                <w:sz w:val="18"/>
                <w:szCs w:val="18"/>
                <w:u w:val="none"/>
                <w:rtl w:val="0"/>
                <w:lang w:val="en-US" w:eastAsia="zh-CN" w:bidi="ar"/>
              </w:rPr>
              <w:fldChar w:fldCharType="end"/>
            </w:r>
            <w:r>
              <w:rPr>
                <w:rFonts w:hint="eastAsia" w:ascii="仿宋_GB2312" w:hAnsi="仿宋_GB2312" w:eastAsia="仿宋_GB2312" w:cs="仿宋_GB2312"/>
                <w:b w:val="0"/>
                <w:bCs w:val="0"/>
                <w:i w:val="0"/>
                <w:iCs w:val="0"/>
                <w:color w:val="000000"/>
                <w:kern w:val="0"/>
                <w:sz w:val="18"/>
                <w:szCs w:val="18"/>
                <w:u w:val="none"/>
                <w:rtl w:val="0"/>
                <w:lang w:val="en-US" w:eastAsia="zh-CN" w:bidi="ar"/>
              </w:rPr>
              <w:t>》已由中华人民共和国第十四届全国人民代表大会常务委员会第七次会议于2023年12月29日修订通过，自2024年7月1日起施行。</w:t>
            </w:r>
          </w:p>
        </w:tc>
        <w:tc>
          <w:tcPr>
            <w:tcW w:w="795" w:type="dxa"/>
            <w:noWrap/>
            <w:vAlign w:val="center"/>
          </w:tcPr>
          <w:p w14:paraId="4F185A0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 </w:t>
            </w:r>
          </w:p>
        </w:tc>
        <w:tc>
          <w:tcPr>
            <w:tcW w:w="4112" w:type="dxa"/>
            <w:noWrap/>
            <w:vAlign w:val="center"/>
          </w:tcPr>
          <w:p w14:paraId="30FC7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1363" w:type="dxa"/>
            <w:noWrap/>
            <w:vAlign w:val="center"/>
          </w:tcPr>
          <w:p w14:paraId="519A2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2115" w:type="dxa"/>
            <w:noWrap/>
            <w:vAlign w:val="center"/>
          </w:tcPr>
          <w:p w14:paraId="1C71DA08">
            <w:pPr>
              <w:keepNext w:val="0"/>
              <w:keepLines w:val="0"/>
              <w:widowControl/>
              <w:suppressLineNumbers w:val="0"/>
              <w:jc w:val="left"/>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735" w:type="dxa"/>
            <w:noWrap/>
            <w:vAlign w:val="center"/>
          </w:tcPr>
          <w:p w14:paraId="0E15353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18"/>
                <w:szCs w:val="18"/>
                <w:u w:val="none"/>
                <w:lang w:val="en-US" w:eastAsia="zh-CN" w:bidi="ar"/>
              </w:rPr>
            </w:pPr>
          </w:p>
        </w:tc>
        <w:tc>
          <w:tcPr>
            <w:tcW w:w="673" w:type="dxa"/>
            <w:noWrap/>
            <w:vAlign w:val="center"/>
          </w:tcPr>
          <w:p w14:paraId="3A2635BD">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取消</w:t>
            </w:r>
          </w:p>
        </w:tc>
      </w:tr>
    </w:tbl>
    <w:p w14:paraId="69CA7B7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ZmUzMDA0YTFlMGMwNWVjM2Y5MjRlZjgwZmE0NWMifQ=="/>
  </w:docVars>
  <w:rsids>
    <w:rsidRoot w:val="00000000"/>
    <w:rsid w:val="00CA205A"/>
    <w:rsid w:val="01465165"/>
    <w:rsid w:val="01572F42"/>
    <w:rsid w:val="02EF77E1"/>
    <w:rsid w:val="039E5555"/>
    <w:rsid w:val="0416727D"/>
    <w:rsid w:val="0460093C"/>
    <w:rsid w:val="05906AAF"/>
    <w:rsid w:val="05F81055"/>
    <w:rsid w:val="07903FF7"/>
    <w:rsid w:val="07DB2536"/>
    <w:rsid w:val="08471E20"/>
    <w:rsid w:val="08BE6C67"/>
    <w:rsid w:val="08FA6F23"/>
    <w:rsid w:val="09296316"/>
    <w:rsid w:val="094D16B8"/>
    <w:rsid w:val="098E3ABC"/>
    <w:rsid w:val="09AE4303"/>
    <w:rsid w:val="0A3C70D8"/>
    <w:rsid w:val="0ABB4D47"/>
    <w:rsid w:val="0ABD672D"/>
    <w:rsid w:val="0B8E1003"/>
    <w:rsid w:val="0B950E17"/>
    <w:rsid w:val="0BB62F04"/>
    <w:rsid w:val="0BF4422B"/>
    <w:rsid w:val="0C5A7452"/>
    <w:rsid w:val="0CBA0771"/>
    <w:rsid w:val="0CC5327E"/>
    <w:rsid w:val="0DEE7869"/>
    <w:rsid w:val="0E6E363A"/>
    <w:rsid w:val="0F4A0448"/>
    <w:rsid w:val="10DE3674"/>
    <w:rsid w:val="117B0D8C"/>
    <w:rsid w:val="119F3AB7"/>
    <w:rsid w:val="11B97751"/>
    <w:rsid w:val="11C017BE"/>
    <w:rsid w:val="12842EDA"/>
    <w:rsid w:val="13216E71"/>
    <w:rsid w:val="138F0A28"/>
    <w:rsid w:val="13E40CEC"/>
    <w:rsid w:val="13EB5139"/>
    <w:rsid w:val="142C45C0"/>
    <w:rsid w:val="14342437"/>
    <w:rsid w:val="14C219E6"/>
    <w:rsid w:val="15861B5E"/>
    <w:rsid w:val="15C90D9F"/>
    <w:rsid w:val="15EC4D86"/>
    <w:rsid w:val="16527FAD"/>
    <w:rsid w:val="16B52250"/>
    <w:rsid w:val="16B831D5"/>
    <w:rsid w:val="171E63FC"/>
    <w:rsid w:val="17795D6E"/>
    <w:rsid w:val="17841624"/>
    <w:rsid w:val="181D494B"/>
    <w:rsid w:val="18B26813"/>
    <w:rsid w:val="1B8056AC"/>
    <w:rsid w:val="1C2718A1"/>
    <w:rsid w:val="1D8F16F3"/>
    <w:rsid w:val="1E2770B1"/>
    <w:rsid w:val="1FE10954"/>
    <w:rsid w:val="202C43E4"/>
    <w:rsid w:val="204A0B08"/>
    <w:rsid w:val="2059568A"/>
    <w:rsid w:val="20B03D2F"/>
    <w:rsid w:val="217C217E"/>
    <w:rsid w:val="21E253A6"/>
    <w:rsid w:val="227B457F"/>
    <w:rsid w:val="22AF37F5"/>
    <w:rsid w:val="23156A1D"/>
    <w:rsid w:val="237657BC"/>
    <w:rsid w:val="23E14E6C"/>
    <w:rsid w:val="24AD32BB"/>
    <w:rsid w:val="25783C88"/>
    <w:rsid w:val="25CD381F"/>
    <w:rsid w:val="25DE6EB0"/>
    <w:rsid w:val="25ED1809"/>
    <w:rsid w:val="26040112"/>
    <w:rsid w:val="26D57D33"/>
    <w:rsid w:val="28C411E9"/>
    <w:rsid w:val="290F7FEC"/>
    <w:rsid w:val="2BDA5F01"/>
    <w:rsid w:val="2C236D0A"/>
    <w:rsid w:val="2C8E6A23"/>
    <w:rsid w:val="2CA64350"/>
    <w:rsid w:val="2CE576AE"/>
    <w:rsid w:val="2D0D7577"/>
    <w:rsid w:val="2D73279F"/>
    <w:rsid w:val="2E3F0BEE"/>
    <w:rsid w:val="2F006AA2"/>
    <w:rsid w:val="2F0B703D"/>
    <w:rsid w:val="2F712264"/>
    <w:rsid w:val="2FD67A0A"/>
    <w:rsid w:val="30A04ED5"/>
    <w:rsid w:val="30C16364"/>
    <w:rsid w:val="33811057"/>
    <w:rsid w:val="33AA7406"/>
    <w:rsid w:val="34180984"/>
    <w:rsid w:val="348B61E2"/>
    <w:rsid w:val="355A755C"/>
    <w:rsid w:val="359B6AF0"/>
    <w:rsid w:val="37342E1F"/>
    <w:rsid w:val="378C4F44"/>
    <w:rsid w:val="37B37C8C"/>
    <w:rsid w:val="37CF301E"/>
    <w:rsid w:val="37D71AD1"/>
    <w:rsid w:val="38787078"/>
    <w:rsid w:val="389D4970"/>
    <w:rsid w:val="39CF5FE7"/>
    <w:rsid w:val="3A9B4436"/>
    <w:rsid w:val="3B011BDC"/>
    <w:rsid w:val="3B0C05C8"/>
    <w:rsid w:val="3C0813E6"/>
    <w:rsid w:val="3C237ED3"/>
    <w:rsid w:val="3C362F39"/>
    <w:rsid w:val="3C7B5B5E"/>
    <w:rsid w:val="3C99647A"/>
    <w:rsid w:val="3D483969"/>
    <w:rsid w:val="3D646E47"/>
    <w:rsid w:val="3E5A677C"/>
    <w:rsid w:val="41760AA5"/>
    <w:rsid w:val="41790595"/>
    <w:rsid w:val="42130889"/>
    <w:rsid w:val="422D6DA0"/>
    <w:rsid w:val="422F22A3"/>
    <w:rsid w:val="4356153B"/>
    <w:rsid w:val="44690C0F"/>
    <w:rsid w:val="44934F90"/>
    <w:rsid w:val="44F462AF"/>
    <w:rsid w:val="44F901B8"/>
    <w:rsid w:val="45542FCB"/>
    <w:rsid w:val="456033DF"/>
    <w:rsid w:val="458845A4"/>
    <w:rsid w:val="45C66607"/>
    <w:rsid w:val="45F86D21"/>
    <w:rsid w:val="462B3DAD"/>
    <w:rsid w:val="462C182F"/>
    <w:rsid w:val="46924A56"/>
    <w:rsid w:val="46F02871"/>
    <w:rsid w:val="472366AA"/>
    <w:rsid w:val="47413903"/>
    <w:rsid w:val="475E2EA5"/>
    <w:rsid w:val="47BF1C45"/>
    <w:rsid w:val="47C076C6"/>
    <w:rsid w:val="48293873"/>
    <w:rsid w:val="48442155"/>
    <w:rsid w:val="48703954"/>
    <w:rsid w:val="489F69D3"/>
    <w:rsid w:val="48EA2BF7"/>
    <w:rsid w:val="48FB12FD"/>
    <w:rsid w:val="49892535"/>
    <w:rsid w:val="49941CCD"/>
    <w:rsid w:val="49EA29C8"/>
    <w:rsid w:val="4A120C87"/>
    <w:rsid w:val="4A2026A9"/>
    <w:rsid w:val="4A283338"/>
    <w:rsid w:val="4A3D0DB8"/>
    <w:rsid w:val="4A4830FB"/>
    <w:rsid w:val="4A8E6560"/>
    <w:rsid w:val="4A99651F"/>
    <w:rsid w:val="4BB97E25"/>
    <w:rsid w:val="4C4E6541"/>
    <w:rsid w:val="4C8D6025"/>
    <w:rsid w:val="4D594475"/>
    <w:rsid w:val="4E3162AA"/>
    <w:rsid w:val="4EF10D13"/>
    <w:rsid w:val="4F560A37"/>
    <w:rsid w:val="4F573F3A"/>
    <w:rsid w:val="4FBE7162"/>
    <w:rsid w:val="5012408F"/>
    <w:rsid w:val="501F435C"/>
    <w:rsid w:val="50242389"/>
    <w:rsid w:val="51563A00"/>
    <w:rsid w:val="51B64D1E"/>
    <w:rsid w:val="52221E4F"/>
    <w:rsid w:val="522562EB"/>
    <w:rsid w:val="526037D7"/>
    <w:rsid w:val="53002FD6"/>
    <w:rsid w:val="535534C5"/>
    <w:rsid w:val="535A1010"/>
    <w:rsid w:val="541B445E"/>
    <w:rsid w:val="55FA2EB4"/>
    <w:rsid w:val="56856B80"/>
    <w:rsid w:val="56AB4841"/>
    <w:rsid w:val="57855EB1"/>
    <w:rsid w:val="58836646"/>
    <w:rsid w:val="596D6AFD"/>
    <w:rsid w:val="5972640B"/>
    <w:rsid w:val="59C604DE"/>
    <w:rsid w:val="5A276CF7"/>
    <w:rsid w:val="5AF431BF"/>
    <w:rsid w:val="5C1A29AA"/>
    <w:rsid w:val="5C7C71CB"/>
    <w:rsid w:val="5C830621"/>
    <w:rsid w:val="5CE60DF9"/>
    <w:rsid w:val="5D7227CA"/>
    <w:rsid w:val="5DB37248"/>
    <w:rsid w:val="5E680928"/>
    <w:rsid w:val="5EE42E3D"/>
    <w:rsid w:val="5F3262B6"/>
    <w:rsid w:val="5F4A6064"/>
    <w:rsid w:val="5FD72D43"/>
    <w:rsid w:val="60362E67"/>
    <w:rsid w:val="6037369D"/>
    <w:rsid w:val="608F7EB6"/>
    <w:rsid w:val="613F0A5C"/>
    <w:rsid w:val="62E123C8"/>
    <w:rsid w:val="64E01E8E"/>
    <w:rsid w:val="65434131"/>
    <w:rsid w:val="65457634"/>
    <w:rsid w:val="65767E03"/>
    <w:rsid w:val="66803852"/>
    <w:rsid w:val="67AA7DA2"/>
    <w:rsid w:val="67E36C7A"/>
    <w:rsid w:val="680D45C4"/>
    <w:rsid w:val="68112FCA"/>
    <w:rsid w:val="687761F1"/>
    <w:rsid w:val="693A5E8D"/>
    <w:rsid w:val="69434640"/>
    <w:rsid w:val="696E1952"/>
    <w:rsid w:val="6A0E6CF3"/>
    <w:rsid w:val="6AFE7291"/>
    <w:rsid w:val="6D984306"/>
    <w:rsid w:val="6E0A6B18"/>
    <w:rsid w:val="6E0B4599"/>
    <w:rsid w:val="6E1F6239"/>
    <w:rsid w:val="6E2D0AC4"/>
    <w:rsid w:val="6EDC48A6"/>
    <w:rsid w:val="704A532F"/>
    <w:rsid w:val="70707286"/>
    <w:rsid w:val="708F7F54"/>
    <w:rsid w:val="726F6D4C"/>
    <w:rsid w:val="72712A3F"/>
    <w:rsid w:val="72D05AEC"/>
    <w:rsid w:val="72DB435C"/>
    <w:rsid w:val="73060561"/>
    <w:rsid w:val="73A103C3"/>
    <w:rsid w:val="740735EA"/>
    <w:rsid w:val="746D6812"/>
    <w:rsid w:val="75385F49"/>
    <w:rsid w:val="7656089D"/>
    <w:rsid w:val="76650B0D"/>
    <w:rsid w:val="779D1ECC"/>
    <w:rsid w:val="77AF6556"/>
    <w:rsid w:val="77E90EE2"/>
    <w:rsid w:val="77F75A87"/>
    <w:rsid w:val="7869031C"/>
    <w:rsid w:val="7ACE3009"/>
    <w:rsid w:val="7AD21A0F"/>
    <w:rsid w:val="7B03623F"/>
    <w:rsid w:val="7B2F1DA8"/>
    <w:rsid w:val="7B3D5BB4"/>
    <w:rsid w:val="7B6F2B92"/>
    <w:rsid w:val="7BFF6BFE"/>
    <w:rsid w:val="7E65736C"/>
    <w:rsid w:val="7E8D0553"/>
    <w:rsid w:val="7ECB2594"/>
    <w:rsid w:val="7ECF4B58"/>
    <w:rsid w:val="7F307D3A"/>
    <w:rsid w:val="7F5C1E83"/>
    <w:rsid w:val="7F9709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djustRightInd w:val="0"/>
      <w:snapToGrid w:val="0"/>
      <w:spacing w:beforeAutospacing="0" w:afterAutospacing="0"/>
      <w:jc w:val="center"/>
      <w:outlineLvl w:val="0"/>
    </w:pPr>
    <w:rPr>
      <w:rFonts w:hint="eastAsia" w:ascii="宋体" w:hAnsi="宋体" w:eastAsia="微软雅黑" w:cs="宋体"/>
      <w:spacing w:val="0"/>
      <w:kern w:val="44"/>
      <w:sz w:val="44"/>
      <w:szCs w:val="48"/>
      <w:lang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11"/>
    <w:basedOn w:val="7"/>
    <w:qFormat/>
    <w:uiPriority w:val="0"/>
    <w:rPr>
      <w:rFonts w:hint="eastAsia" w:ascii="仿宋_GB2312" w:eastAsia="仿宋_GB2312" w:cs="仿宋_GB2312"/>
      <w:color w:val="000000"/>
      <w:sz w:val="18"/>
      <w:szCs w:val="18"/>
      <w:u w:val="none"/>
    </w:rPr>
  </w:style>
  <w:style w:type="character" w:customStyle="1" w:styleId="10">
    <w:name w:val="font21"/>
    <w:basedOn w:val="7"/>
    <w:qFormat/>
    <w:uiPriority w:val="0"/>
    <w:rPr>
      <w:rFonts w:hint="eastAsia" w:ascii="仿宋_GB2312" w:eastAsia="仿宋_GB2312" w:cs="仿宋_GB2312"/>
      <w:color w:val="000000"/>
      <w:sz w:val="18"/>
      <w:szCs w:val="18"/>
      <w:u w:val="none"/>
    </w:rPr>
  </w:style>
  <w:style w:type="character" w:customStyle="1" w:styleId="11">
    <w:name w:val="font31"/>
    <w:basedOn w:val="7"/>
    <w:qFormat/>
    <w:uiPriority w:val="0"/>
    <w:rPr>
      <w:rFonts w:hint="eastAsia" w:ascii="仿宋_GB2312" w:eastAsia="仿宋_GB2312" w:cs="仿宋_GB2312"/>
      <w:b/>
      <w:bCs/>
      <w:color w:val="000000"/>
      <w:sz w:val="18"/>
      <w:szCs w:val="18"/>
      <w:u w:val="none"/>
    </w:rPr>
  </w:style>
  <w:style w:type="character" w:customStyle="1" w:styleId="12">
    <w:name w:val="font51"/>
    <w:basedOn w:val="7"/>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16484</Words>
  <Characters>16806</Characters>
  <Lines>0</Lines>
  <Paragraphs>0</Paragraphs>
  <TotalTime>3</TotalTime>
  <ScaleCrop>false</ScaleCrop>
  <LinksUpToDate>false</LinksUpToDate>
  <CharactersWithSpaces>17411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2024-03-22T06:46:00Z</dcterms:created>
  <dc:creator>Administrator</dc:creator>
  <cp:lastModifiedBy>曾淇</cp:lastModifiedBy>
  <cp:lastPrinted>2025-02-17T02:52:00Z</cp:lastPrinted>
  <dcterms:modified xsi:type="dcterms:W3CDTF">2025-07-14T08:45:07Z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39693F117B4746DFB6B26F964115FAF5_13</vt:lpwstr>
  </property>
  <property fmtid="{D5CDD505-2E9C-101B-9397-08002B2CF9AE}" pid="4" name="KSOTemplateDocerSaveRecord">
    <vt:lpwstr>eyJoZGlkIjoiMzBhYjQ1ODgwM2VmZWE5ZDExNDZlNzhjNWI5ODgwNzciLCJ1c2VySWQiOiI2NDk0NTUwMjIifQ==</vt:lpwstr>
  </property>
</Properties>
</file>