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eastAsia="黑体" w:cs="Times New Roman"/>
        </w:rPr>
      </w:pPr>
      <w:bookmarkStart w:id="84" w:name="_GoBack"/>
      <w:bookmarkEnd w:id="84"/>
      <w:bookmarkStart w:id="0" w:name="_Hlk99573979"/>
      <w:bookmarkEnd w:id="0"/>
      <w:r>
        <w:rPr>
          <w:rFonts w:eastAsia="黑体" w:cs="Times New Roman"/>
        </w:rPr>
        <w:t>两项改革“后半篇”文章乡镇级片区应急体系专项规划</w:t>
      </w:r>
    </w:p>
    <w:p>
      <w:pPr>
        <w:ind w:firstLine="0" w:firstLineChars="0"/>
        <w:rPr>
          <w:rFonts w:cs="Times New Roman"/>
        </w:rPr>
      </w:pPr>
    </w:p>
    <w:p>
      <w:pPr>
        <w:spacing w:line="240" w:lineRule="auto"/>
        <w:ind w:firstLine="0" w:firstLineChars="0"/>
        <w:jc w:val="center"/>
        <w:rPr>
          <w:rFonts w:eastAsia="方正小标宋简体" w:cs="Times New Roman"/>
          <w:b/>
          <w:bCs/>
          <w:sz w:val="44"/>
          <w:szCs w:val="44"/>
        </w:rPr>
      </w:pPr>
    </w:p>
    <w:p>
      <w:pPr>
        <w:pStyle w:val="2"/>
        <w:ind w:firstLine="420"/>
        <w:rPr>
          <w:rFonts w:ascii="Times New Roman" w:hAnsi="Times New Roman" w:cs="Times New Roman"/>
        </w:rPr>
      </w:pPr>
    </w:p>
    <w:p>
      <w:pPr>
        <w:pStyle w:val="2"/>
        <w:ind w:firstLine="883"/>
        <w:rPr>
          <w:rFonts w:ascii="Times New Roman" w:hAnsi="Times New Roman" w:eastAsia="方正小标宋简体" w:cs="Times New Roman"/>
          <w:b/>
          <w:bCs/>
          <w:sz w:val="44"/>
          <w:szCs w:val="44"/>
        </w:rPr>
      </w:pPr>
    </w:p>
    <w:p>
      <w:pPr>
        <w:ind w:firstLine="0" w:firstLineChars="0"/>
        <w:jc w:val="center"/>
        <w:rPr>
          <w:rFonts w:eastAsia="方正小标宋简体" w:cs="Times New Roman"/>
          <w:b/>
          <w:bCs/>
          <w:sz w:val="44"/>
          <w:szCs w:val="44"/>
        </w:rPr>
      </w:pPr>
      <w:r>
        <w:rPr>
          <w:rFonts w:ascii="华光小标宋_CNKI" w:hAnsi="华光小标宋_CNKI" w:eastAsia="华光小标宋_CNKI" w:cs="Times New Roman"/>
          <w:b/>
          <w:bCs/>
          <w:sz w:val="44"/>
          <w:szCs w:val="44"/>
        </w:rPr>
        <w:t>船山区</w:t>
      </w:r>
      <w:r>
        <w:rPr>
          <w:rFonts w:hint="eastAsia" w:ascii="华光小标宋_CNKI" w:hAnsi="华光小标宋_CNKI" w:eastAsia="华光小标宋_CNKI" w:cs="宋体"/>
          <w:b/>
          <w:bCs/>
          <w:sz w:val="44"/>
          <w:szCs w:val="44"/>
        </w:rPr>
        <w:t>龙老遂潼一</w:t>
      </w:r>
      <w:r>
        <w:rPr>
          <w:rFonts w:hint="eastAsia" w:ascii="华光小标宋_CNKI" w:hAnsi="华光小标宋_CNKI" w:eastAsia="华光小标宋_CNKI" w:cs="Times New Roman"/>
          <w:b/>
          <w:bCs/>
          <w:sz w:val="44"/>
          <w:szCs w:val="44"/>
        </w:rPr>
        <w:t>体</w:t>
      </w:r>
      <w:r>
        <w:rPr>
          <w:rFonts w:ascii="华光小标宋_CNKI" w:hAnsi="华光小标宋_CNKI" w:eastAsia="华光小标宋_CNKI" w:cs="Times New Roman"/>
          <w:b/>
          <w:bCs/>
          <w:sz w:val="44"/>
          <w:szCs w:val="44"/>
        </w:rPr>
        <w:t>片区应急体系专项规划</w:t>
      </w:r>
      <w:r>
        <w:rPr>
          <w:rFonts w:eastAsia="方正小标宋简体" w:cs="Times New Roman"/>
          <w:b/>
          <w:bCs/>
          <w:sz w:val="44"/>
          <w:szCs w:val="44"/>
        </w:rPr>
        <w:t>（2021-2035）</w:t>
      </w: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pStyle w:val="2"/>
        <w:ind w:firstLine="0" w:firstLineChars="0"/>
        <w:rPr>
          <w:rFonts w:ascii="Times New Roman" w:hAnsi="Times New Roman" w:cs="Times New Roman"/>
        </w:rPr>
      </w:pPr>
    </w:p>
    <w:p>
      <w:pPr>
        <w:ind w:firstLine="0" w:firstLineChars="0"/>
        <w:rPr>
          <w:rFonts w:cs="Times New Roman"/>
        </w:rPr>
      </w:pPr>
    </w:p>
    <w:p>
      <w:pPr>
        <w:ind w:firstLine="0" w:firstLineChars="0"/>
        <w:jc w:val="center"/>
        <w:rPr>
          <w:rFonts w:eastAsia="黑体" w:cs="Times New Roman"/>
        </w:rPr>
      </w:pPr>
      <w:r>
        <w:rPr>
          <w:rFonts w:eastAsia="黑体" w:cs="Times New Roman"/>
        </w:rPr>
        <w:t>遂宁市船山区应急管理局</w:t>
      </w:r>
    </w:p>
    <w:p>
      <w:pPr>
        <w:ind w:firstLine="0" w:firstLineChars="0"/>
        <w:jc w:val="center"/>
        <w:rPr>
          <w:rFonts w:eastAsia="黑体" w:cs="Times New Roman"/>
        </w:rPr>
      </w:pPr>
      <w:r>
        <w:rPr>
          <w:rFonts w:eastAsia="黑体" w:cs="Times New Roman"/>
        </w:rPr>
        <w:t>二〇二二年</w:t>
      </w:r>
      <w:r>
        <w:rPr>
          <w:rFonts w:hint="eastAsia" w:eastAsia="黑体" w:cs="Times New Roman"/>
        </w:rPr>
        <w:t>十</w:t>
      </w:r>
      <w:r>
        <w:rPr>
          <w:rFonts w:eastAsia="黑体" w:cs="Times New Roman"/>
        </w:rPr>
        <w:t>月</w:t>
      </w:r>
    </w:p>
    <w:p>
      <w:pPr>
        <w:ind w:firstLine="0" w:firstLineChars="0"/>
        <w:jc w:val="center"/>
        <w:rPr>
          <w:rFonts w:eastAsia="方正小标宋简体" w:cs="Times New Roman"/>
        </w:rPr>
      </w:pPr>
      <w:r>
        <w:rPr>
          <w:rFonts w:eastAsia="方正小标宋简体" w:cs="Times New Roman"/>
        </w:rPr>
        <w:br w:type="page"/>
      </w:r>
    </w:p>
    <w:p>
      <w:pPr>
        <w:pStyle w:val="2"/>
        <w:ind w:firstLine="880"/>
        <w:jc w:val="center"/>
        <w:rPr>
          <w:rFonts w:ascii="Times New Roman" w:hAnsi="Times New Roman" w:eastAsia="黑体" w:cs="Times New Roman"/>
          <w:sz w:val="44"/>
          <w:szCs w:val="44"/>
        </w:rPr>
      </w:pPr>
      <w:r>
        <w:rPr>
          <w:rFonts w:ascii="Times New Roman" w:hAnsi="Times New Roman" w:eastAsia="黑体" w:cs="Times New Roman"/>
          <w:sz w:val="44"/>
          <w:szCs w:val="44"/>
        </w:rPr>
        <w:t>目 录</w:t>
      </w:r>
    </w:p>
    <w:p>
      <w:pPr>
        <w:pStyle w:val="2"/>
        <w:ind w:firstLine="640"/>
        <w:rPr>
          <w:rFonts w:ascii="Times New Roman" w:hAnsi="Times New Roman" w:eastAsia="黑体" w:cs="Times New Roman"/>
          <w:sz w:val="32"/>
          <w:szCs w:val="32"/>
        </w:rPr>
      </w:pPr>
    </w:p>
    <w:p>
      <w:pPr>
        <w:pStyle w:val="2"/>
        <w:ind w:firstLine="640"/>
        <w:rPr>
          <w:rFonts w:ascii="Times New Roman" w:hAnsi="Times New Roman" w:eastAsia="黑体" w:cs="Times New Roman"/>
          <w:sz w:val="32"/>
          <w:szCs w:val="32"/>
        </w:rPr>
      </w:pPr>
      <w:r>
        <w:rPr>
          <w:rFonts w:ascii="Times New Roman" w:hAnsi="Times New Roman" w:eastAsia="黑体" w:cs="Times New Roman"/>
          <w:sz w:val="32"/>
          <w:szCs w:val="32"/>
        </w:rPr>
        <w:t>一、规划文本、图集</w:t>
      </w:r>
    </w:p>
    <w:p>
      <w:pPr>
        <w:pStyle w:val="2"/>
        <w:ind w:firstLine="640"/>
        <w:rPr>
          <w:rFonts w:ascii="Times New Roman" w:hAnsi="Times New Roman" w:eastAsia="黑体" w:cs="Times New Roman"/>
          <w:sz w:val="32"/>
          <w:szCs w:val="32"/>
        </w:rPr>
      </w:pPr>
      <w:r>
        <w:rPr>
          <w:rFonts w:ascii="Times New Roman" w:hAnsi="Times New Roman" w:eastAsia="黑体" w:cs="Times New Roman"/>
          <w:sz w:val="32"/>
          <w:szCs w:val="32"/>
        </w:rPr>
        <w:t>二、征求公众意见情况</w:t>
      </w:r>
    </w:p>
    <w:p>
      <w:pPr>
        <w:pStyle w:val="2"/>
        <w:ind w:firstLine="640"/>
        <w:rPr>
          <w:rFonts w:ascii="Times New Roman" w:hAnsi="Times New Roman" w:eastAsia="黑体" w:cs="Times New Roman"/>
          <w:sz w:val="32"/>
          <w:szCs w:val="32"/>
        </w:rPr>
      </w:pPr>
      <w:r>
        <w:rPr>
          <w:rFonts w:ascii="Times New Roman" w:hAnsi="Times New Roman" w:eastAsia="黑体" w:cs="Times New Roman"/>
          <w:sz w:val="32"/>
          <w:szCs w:val="32"/>
        </w:rPr>
        <w:t>三、</w:t>
      </w:r>
      <w:r>
        <w:rPr>
          <w:rFonts w:hint="eastAsia" w:ascii="Times New Roman" w:hAnsi="Times New Roman" w:eastAsia="黑体" w:cs="Times New Roman"/>
          <w:sz w:val="32"/>
          <w:szCs w:val="32"/>
        </w:rPr>
        <w:t>区</w:t>
      </w:r>
      <w:r>
        <w:rPr>
          <w:rFonts w:ascii="Times New Roman" w:hAnsi="Times New Roman" w:eastAsia="黑体" w:cs="Times New Roman"/>
          <w:sz w:val="32"/>
          <w:szCs w:val="32"/>
        </w:rPr>
        <w:t>级征求部门、</w:t>
      </w:r>
      <w:r>
        <w:rPr>
          <w:rFonts w:hint="eastAsia" w:ascii="Times New Roman" w:hAnsi="Times New Roman" w:eastAsia="黑体" w:cs="Times New Roman"/>
          <w:sz w:val="32"/>
          <w:szCs w:val="32"/>
        </w:rPr>
        <w:t>各镇</w:t>
      </w:r>
      <w:r>
        <w:rPr>
          <w:rFonts w:ascii="Times New Roman" w:hAnsi="Times New Roman" w:eastAsia="黑体" w:cs="Times New Roman"/>
          <w:sz w:val="32"/>
          <w:szCs w:val="32"/>
        </w:rPr>
        <w:t>意见情况</w:t>
      </w:r>
    </w:p>
    <w:p>
      <w:pPr>
        <w:pStyle w:val="2"/>
        <w:ind w:firstLine="640"/>
        <w:rPr>
          <w:rFonts w:ascii="Times New Roman" w:hAnsi="Times New Roman" w:eastAsia="黑体" w:cs="Times New Roman"/>
          <w:sz w:val="32"/>
          <w:szCs w:val="32"/>
        </w:rPr>
      </w:pPr>
      <w:r>
        <w:rPr>
          <w:rFonts w:ascii="Times New Roman" w:hAnsi="Times New Roman" w:eastAsia="黑体" w:cs="Times New Roman"/>
          <w:sz w:val="32"/>
          <w:szCs w:val="32"/>
        </w:rPr>
        <w:t>四、</w:t>
      </w:r>
      <w:r>
        <w:rPr>
          <w:rFonts w:hint="eastAsia" w:ascii="Times New Roman" w:hAnsi="Times New Roman" w:eastAsia="黑体" w:cs="Times New Roman"/>
          <w:sz w:val="32"/>
          <w:szCs w:val="32"/>
        </w:rPr>
        <w:t>区</w:t>
      </w:r>
      <w:r>
        <w:rPr>
          <w:rFonts w:ascii="Times New Roman" w:hAnsi="Times New Roman" w:eastAsia="黑体" w:cs="Times New Roman"/>
          <w:sz w:val="32"/>
          <w:szCs w:val="32"/>
        </w:rPr>
        <w:t>级审查专家意见及采纳情况</w:t>
      </w:r>
    </w:p>
    <w:p>
      <w:pPr>
        <w:pStyle w:val="2"/>
        <w:ind w:firstLine="640"/>
        <w:rPr>
          <w:rFonts w:ascii="Times New Roman" w:hAnsi="Times New Roman" w:eastAsia="黑体" w:cs="Times New Roman"/>
          <w:sz w:val="32"/>
          <w:szCs w:val="32"/>
        </w:rPr>
      </w:pPr>
      <w:r>
        <w:rPr>
          <w:rFonts w:ascii="Times New Roman" w:hAnsi="Times New Roman" w:eastAsia="黑体" w:cs="Times New Roman"/>
          <w:sz w:val="32"/>
          <w:szCs w:val="32"/>
        </w:rPr>
        <w:t>五、市级复审专家意见及采纳情况</w:t>
      </w:r>
    </w:p>
    <w:p>
      <w:pPr>
        <w:pStyle w:val="2"/>
        <w:ind w:firstLine="420"/>
        <w:rPr>
          <w:rFonts w:ascii="Times New Roman" w:hAnsi="Times New Roman" w:cs="Times New Roman"/>
        </w:rPr>
      </w:pPr>
    </w:p>
    <w:p>
      <w:pPr>
        <w:pStyle w:val="2"/>
        <w:ind w:firstLine="420"/>
        <w:rPr>
          <w:rFonts w:ascii="Times New Roman" w:hAnsi="Times New Roman" w:cs="Times New Roman"/>
        </w:rPr>
      </w:pPr>
      <w:r>
        <w:rPr>
          <w:rFonts w:ascii="Times New Roman" w:hAnsi="Times New Roman" w:cs="Times New Roman"/>
        </w:rPr>
        <w:br w:type="page"/>
      </w:r>
    </w:p>
    <w:p>
      <w:pPr>
        <w:ind w:firstLine="0" w:firstLineChars="0"/>
        <w:jc w:val="center"/>
        <w:rPr>
          <w:rFonts w:eastAsia="黑体" w:cs="Times New Roman"/>
        </w:rPr>
      </w:pPr>
      <w:r>
        <w:rPr>
          <w:rFonts w:eastAsia="黑体" w:cs="Times New Roman"/>
        </w:rPr>
        <w:t>两项改革“后半篇”文章乡镇级片区应急体系专项规划</w:t>
      </w:r>
    </w:p>
    <w:p>
      <w:pPr>
        <w:ind w:firstLine="0" w:firstLineChars="0"/>
        <w:rPr>
          <w:rFonts w:cs="Times New Roman"/>
        </w:rPr>
      </w:pPr>
    </w:p>
    <w:p>
      <w:pPr>
        <w:spacing w:line="240" w:lineRule="auto"/>
        <w:ind w:firstLine="0" w:firstLineChars="0"/>
        <w:jc w:val="center"/>
        <w:rPr>
          <w:rFonts w:eastAsia="方正小标宋简体" w:cs="Times New Roman"/>
          <w:b/>
          <w:bCs/>
          <w:sz w:val="44"/>
          <w:szCs w:val="44"/>
        </w:rPr>
      </w:pPr>
    </w:p>
    <w:p>
      <w:pPr>
        <w:pStyle w:val="2"/>
        <w:ind w:firstLine="420"/>
        <w:rPr>
          <w:rFonts w:ascii="Times New Roman" w:hAnsi="Times New Roman" w:cs="Times New Roman"/>
        </w:rPr>
      </w:pPr>
    </w:p>
    <w:p>
      <w:pPr>
        <w:pStyle w:val="2"/>
        <w:ind w:firstLine="420"/>
        <w:rPr>
          <w:rFonts w:ascii="Times New Roman" w:hAnsi="Times New Roman" w:cs="Times New Roman"/>
        </w:rPr>
      </w:pPr>
    </w:p>
    <w:p>
      <w:pPr>
        <w:ind w:firstLine="0" w:firstLineChars="0"/>
        <w:jc w:val="center"/>
        <w:rPr>
          <w:rFonts w:eastAsia="方正小标宋简体" w:cs="Times New Roman"/>
          <w:b/>
          <w:bCs/>
          <w:sz w:val="44"/>
          <w:szCs w:val="44"/>
        </w:rPr>
      </w:pPr>
      <w:r>
        <w:rPr>
          <w:rFonts w:ascii="华光小标宋_CNKI" w:hAnsi="华光小标宋_CNKI" w:eastAsia="华光小标宋_CNKI" w:cs="Times New Roman"/>
          <w:b/>
          <w:bCs/>
          <w:sz w:val="44"/>
          <w:szCs w:val="44"/>
        </w:rPr>
        <w:t>船山区</w:t>
      </w:r>
      <w:r>
        <w:rPr>
          <w:rFonts w:hint="eastAsia" w:ascii="华光小标宋_CNKI" w:hAnsi="华光小标宋_CNKI" w:eastAsia="华光小标宋_CNKI" w:cs="宋体"/>
          <w:b/>
          <w:bCs/>
          <w:sz w:val="44"/>
          <w:szCs w:val="44"/>
        </w:rPr>
        <w:t>龙老遂潼一</w:t>
      </w:r>
      <w:r>
        <w:rPr>
          <w:rFonts w:hint="eastAsia" w:ascii="华光小标宋_CNKI" w:hAnsi="华光小标宋_CNKI" w:eastAsia="华光小标宋_CNKI" w:cs="___WRD_EMBED_SUB_48"/>
          <w:b/>
          <w:bCs/>
          <w:sz w:val="44"/>
          <w:szCs w:val="44"/>
        </w:rPr>
        <w:t>体</w:t>
      </w:r>
      <w:r>
        <w:rPr>
          <w:rFonts w:hint="eastAsia" w:ascii="华光小标宋_CNKI" w:hAnsi="华光小标宋_CNKI" w:eastAsia="华光小标宋_CNKI" w:cs="Times New Roman"/>
          <w:b/>
          <w:bCs/>
          <w:sz w:val="44"/>
          <w:szCs w:val="44"/>
        </w:rPr>
        <w:t>片区</w:t>
      </w:r>
      <w:r>
        <w:rPr>
          <w:rFonts w:ascii="华光小标宋_CNKI" w:hAnsi="华光小标宋_CNKI" w:eastAsia="华光小标宋_CNKI" w:cs="Times New Roman"/>
          <w:b/>
          <w:bCs/>
          <w:sz w:val="44"/>
          <w:szCs w:val="44"/>
        </w:rPr>
        <w:t>应急体系专项规划</w:t>
      </w:r>
      <w:r>
        <w:rPr>
          <w:rFonts w:eastAsia="方正小标宋简体" w:cs="Times New Roman"/>
          <w:b/>
          <w:bCs/>
          <w:sz w:val="44"/>
          <w:szCs w:val="44"/>
        </w:rPr>
        <w:t>（2021-2035）</w:t>
      </w:r>
    </w:p>
    <w:p>
      <w:pPr>
        <w:ind w:firstLine="0" w:firstLineChars="0"/>
        <w:rPr>
          <w:rFonts w:cs="Times New Roman"/>
        </w:rPr>
      </w:pPr>
    </w:p>
    <w:p>
      <w:pPr>
        <w:ind w:firstLine="0" w:firstLineChars="0"/>
        <w:rPr>
          <w:rFonts w:cs="Times New Roman"/>
        </w:rPr>
      </w:pPr>
    </w:p>
    <w:p>
      <w:pPr>
        <w:ind w:firstLine="0" w:firstLineChars="0"/>
        <w:rPr>
          <w:rFonts w:cs="Times New Roman"/>
        </w:rPr>
      </w:pPr>
      <w:r>
        <w:rPr>
          <w:rFonts w:cs="Times New Roman"/>
        </w:rPr>
        <w:t xml:space="preserve">        </w:t>
      </w:r>
    </w:p>
    <w:p>
      <w:pPr>
        <w:ind w:firstLine="0" w:firstLineChars="0"/>
        <w:jc w:val="center"/>
        <w:rPr>
          <w:rFonts w:cs="Times New Roman"/>
        </w:rPr>
      </w:pPr>
      <w:r>
        <w:rPr>
          <w:rFonts w:cs="Times New Roman"/>
        </w:rPr>
        <w:t>（文本、图集）</w:t>
      </w: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pStyle w:val="2"/>
        <w:ind w:firstLine="0" w:firstLineChars="0"/>
        <w:rPr>
          <w:rFonts w:ascii="Times New Roman" w:hAnsi="Times New Roman" w:cs="Times New Roman"/>
        </w:rPr>
      </w:pPr>
    </w:p>
    <w:p>
      <w:pPr>
        <w:ind w:firstLine="0" w:firstLineChars="0"/>
        <w:rPr>
          <w:rFonts w:cs="Times New Roman"/>
        </w:rPr>
      </w:pPr>
    </w:p>
    <w:p>
      <w:pPr>
        <w:ind w:firstLine="0" w:firstLineChars="0"/>
        <w:jc w:val="center"/>
        <w:rPr>
          <w:rFonts w:eastAsia="黑体" w:cs="Times New Roman"/>
        </w:rPr>
      </w:pPr>
      <w:r>
        <w:rPr>
          <w:rFonts w:eastAsia="黑体" w:cs="Times New Roman"/>
        </w:rPr>
        <w:t>遂宁市船山区应急管理局</w:t>
      </w:r>
    </w:p>
    <w:p>
      <w:pPr>
        <w:ind w:firstLine="0" w:firstLineChars="0"/>
        <w:jc w:val="center"/>
        <w:rPr>
          <w:rFonts w:cs="Times New Roman"/>
        </w:rPr>
      </w:pPr>
      <w:r>
        <w:rPr>
          <w:rFonts w:eastAsia="黑体" w:cs="Times New Roman"/>
        </w:rPr>
        <w:t>二〇二二年</w:t>
      </w:r>
      <w:r>
        <w:rPr>
          <w:rFonts w:hint="eastAsia" w:eastAsia="黑体" w:cs="Times New Roman"/>
        </w:rPr>
        <w:t>十</w:t>
      </w:r>
      <w:r>
        <w:rPr>
          <w:rFonts w:eastAsia="黑体" w:cs="Times New Roman"/>
        </w:rPr>
        <w:t>月</w:t>
      </w:r>
      <w:r>
        <w:rPr>
          <w:rFonts w:cs="Times New Roman"/>
        </w:rPr>
        <w:br w:type="page"/>
      </w:r>
    </w:p>
    <w:p>
      <w:pPr>
        <w:pStyle w:val="16"/>
        <w:ind w:firstLine="640"/>
        <w:jc w:val="center"/>
        <w:rPr>
          <w:rFonts w:cs="Times New Roman"/>
          <w:sz w:val="44"/>
          <w:szCs w:val="44"/>
        </w:rPr>
      </w:pPr>
      <w:r>
        <w:rPr>
          <w:rFonts w:cs="Times New Roman"/>
          <w:sz w:val="44"/>
          <w:szCs w:val="44"/>
        </w:rPr>
        <w:t>目 录</w:t>
      </w:r>
    </w:p>
    <w:p>
      <w:pPr>
        <w:pStyle w:val="16"/>
        <w:tabs>
          <w:tab w:val="right" w:leader="dot" w:pos="8844"/>
        </w:tabs>
        <w:rPr>
          <w:rFonts w:cs="Times New Roman"/>
        </w:rPr>
      </w:pPr>
      <w:r>
        <w:rPr>
          <w:rFonts w:cs="Times New Roman"/>
        </w:rPr>
        <w:fldChar w:fldCharType="begin"/>
      </w:r>
      <w:r>
        <w:rPr>
          <w:rFonts w:cs="Times New Roman"/>
        </w:rPr>
        <w:instrText xml:space="preserve"> TOC \o "1-2" \h \z \u </w:instrText>
      </w:r>
      <w:r>
        <w:rPr>
          <w:rFonts w:cs="Times New Roman"/>
        </w:rPr>
        <w:fldChar w:fldCharType="separate"/>
      </w:r>
      <w:r>
        <w:fldChar w:fldCharType="begin"/>
      </w:r>
      <w:r>
        <w:instrText xml:space="preserve"> HYPERLINK \l "_Toc12518" </w:instrText>
      </w:r>
      <w:r>
        <w:fldChar w:fldCharType="separate"/>
      </w:r>
      <w:r>
        <w:rPr>
          <w:rFonts w:cs="Times New Roman"/>
        </w:rPr>
        <w:t>一、总则</w:t>
      </w:r>
      <w:r>
        <w:rPr>
          <w:rFonts w:cs="Times New Roman"/>
        </w:rPr>
        <w:tab/>
      </w:r>
      <w:r>
        <w:rPr>
          <w:rFonts w:cs="Times New Roman"/>
        </w:rPr>
        <w:fldChar w:fldCharType="begin"/>
      </w:r>
      <w:r>
        <w:rPr>
          <w:rFonts w:cs="Times New Roman"/>
        </w:rPr>
        <w:instrText xml:space="preserve"> PAGEREF _Toc12518 \h </w:instrText>
      </w:r>
      <w:r>
        <w:rPr>
          <w:rFonts w:cs="Times New Roman"/>
        </w:rPr>
        <w:fldChar w:fldCharType="separate"/>
      </w:r>
      <w:r>
        <w:rPr>
          <w:rFonts w:cs="Times New Roman"/>
        </w:rPr>
        <w:t>1</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"_Toc29662" </w:instrText>
      </w:r>
      <w:r>
        <w:fldChar w:fldCharType="separate"/>
      </w:r>
      <w:r>
        <w:rPr>
          <w:rFonts w:cs="Times New Roman"/>
        </w:rPr>
        <w:t>（一）地位作用</w:t>
      </w:r>
      <w:r>
        <w:rPr>
          <w:rFonts w:cs="Times New Roman"/>
        </w:rPr>
        <w:tab/>
      </w:r>
      <w:r>
        <w:rPr>
          <w:rFonts w:cs="Times New Roman"/>
        </w:rPr>
        <w:fldChar w:fldCharType="begin"/>
      </w:r>
      <w:r>
        <w:rPr>
          <w:rFonts w:cs="Times New Roman"/>
        </w:rPr>
        <w:instrText xml:space="preserve"> PAGEREF _Toc29662 \h </w:instrText>
      </w:r>
      <w:r>
        <w:rPr>
          <w:rFonts w:cs="Times New Roman"/>
        </w:rPr>
        <w:fldChar w:fldCharType="separate"/>
      </w:r>
      <w:r>
        <w:rPr>
          <w:rFonts w:cs="Times New Roman"/>
        </w:rPr>
        <w:t>1</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"_Toc13134" </w:instrText>
      </w:r>
      <w:r>
        <w:fldChar w:fldCharType="separate"/>
      </w:r>
      <w:r>
        <w:rPr>
          <w:rFonts w:cs="Times New Roman"/>
        </w:rPr>
        <w:t>（二）规划依据</w:t>
      </w:r>
      <w:r>
        <w:rPr>
          <w:rFonts w:cs="Times New Roman"/>
        </w:rPr>
        <w:tab/>
      </w:r>
      <w:r>
        <w:rPr>
          <w:rFonts w:cs="Times New Roman"/>
        </w:rPr>
        <w:fldChar w:fldCharType="begin"/>
      </w:r>
      <w:r>
        <w:rPr>
          <w:rFonts w:cs="Times New Roman"/>
        </w:rPr>
        <w:instrText xml:space="preserve"> PAGEREF _Toc13134 \h </w:instrText>
      </w:r>
      <w:r>
        <w:rPr>
          <w:rFonts w:cs="Times New Roman"/>
        </w:rPr>
        <w:fldChar w:fldCharType="separate"/>
      </w:r>
      <w:r>
        <w:rPr>
          <w:rFonts w:cs="Times New Roman"/>
        </w:rPr>
        <w:t>1</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"_Toc30698" </w:instrText>
      </w:r>
      <w:r>
        <w:fldChar w:fldCharType="separate"/>
      </w:r>
      <w:r>
        <w:rPr>
          <w:rFonts w:cs="Times New Roman"/>
        </w:rPr>
        <w:t>（三）规划原则</w:t>
      </w:r>
      <w:r>
        <w:rPr>
          <w:rFonts w:cs="Times New Roman"/>
        </w:rPr>
        <w:tab/>
      </w:r>
      <w:r>
        <w:rPr>
          <w:rFonts w:cs="Times New Roman"/>
        </w:rPr>
        <w:fldChar w:fldCharType="begin"/>
      </w:r>
      <w:r>
        <w:rPr>
          <w:rFonts w:cs="Times New Roman"/>
        </w:rPr>
        <w:instrText xml:space="preserve"> PAGEREF _Toc30698 \h </w:instrText>
      </w:r>
      <w:r>
        <w:rPr>
          <w:rFonts w:cs="Times New Roman"/>
        </w:rPr>
        <w:fldChar w:fldCharType="separate"/>
      </w:r>
      <w:r>
        <w:rPr>
          <w:rFonts w:cs="Times New Roman"/>
        </w:rPr>
        <w:t>2</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"_Toc3454" </w:instrText>
      </w:r>
      <w:r>
        <w:fldChar w:fldCharType="separate"/>
      </w:r>
      <w:r>
        <w:rPr>
          <w:rFonts w:cs="Times New Roman"/>
        </w:rPr>
        <w:t>（四）规划期限</w:t>
      </w:r>
      <w:r>
        <w:rPr>
          <w:rFonts w:cs="Times New Roman"/>
        </w:rPr>
        <w:tab/>
      </w:r>
      <w:r>
        <w:rPr>
          <w:rFonts w:cs="Times New Roman"/>
        </w:rPr>
        <w:fldChar w:fldCharType="begin"/>
      </w:r>
      <w:r>
        <w:rPr>
          <w:rFonts w:cs="Times New Roman"/>
        </w:rPr>
        <w:instrText xml:space="preserve"> PAGEREF _Toc3454 \h </w:instrText>
      </w:r>
      <w:r>
        <w:rPr>
          <w:rFonts w:cs="Times New Roman"/>
        </w:rPr>
        <w:fldChar w:fldCharType="separate"/>
      </w:r>
      <w:r>
        <w:rPr>
          <w:rFonts w:cs="Times New Roman"/>
        </w:rPr>
        <w:t>3</w:t>
      </w:r>
      <w:r>
        <w:rPr>
          <w:rFonts w:cs="Times New Roman"/>
        </w:rPr>
        <w:fldChar w:fldCharType="end"/>
      </w:r>
      <w:r>
        <w:rPr>
          <w:rFonts w:cs="Times New Roman"/>
        </w:rPr>
        <w:fldChar w:fldCharType="end"/>
      </w:r>
    </w:p>
    <w:p>
      <w:pPr>
        <w:pStyle w:val="16"/>
        <w:tabs>
          <w:tab w:val="right" w:leader="dot" w:pos="8844"/>
        </w:tabs>
        <w:rPr>
          <w:rFonts w:cs="Times New Roman"/>
        </w:rPr>
      </w:pPr>
      <w:r>
        <w:fldChar w:fldCharType="begin"/>
      </w:r>
      <w:r>
        <w:instrText xml:space="preserve"> HYPERLINK \l "_Toc7674" </w:instrText>
      </w:r>
      <w:r>
        <w:fldChar w:fldCharType="separate"/>
      </w:r>
      <w:r>
        <w:rPr>
          <w:rFonts w:cs="Times New Roman"/>
          <w:bCs w:val="0"/>
        </w:rPr>
        <w:t>二、规划背景</w:t>
      </w:r>
      <w:r>
        <w:rPr>
          <w:rFonts w:cs="Times New Roman"/>
        </w:rPr>
        <w:tab/>
      </w:r>
      <w:r>
        <w:rPr>
          <w:rFonts w:cs="Times New Roman"/>
        </w:rPr>
        <w:fldChar w:fldCharType="begin"/>
      </w:r>
      <w:r>
        <w:rPr>
          <w:rFonts w:cs="Times New Roman"/>
        </w:rPr>
        <w:instrText xml:space="preserve"> PAGEREF _Toc7674 \h </w:instrText>
      </w:r>
      <w:r>
        <w:rPr>
          <w:rFonts w:cs="Times New Roman"/>
        </w:rPr>
        <w:fldChar w:fldCharType="separate"/>
      </w:r>
      <w:r>
        <w:rPr>
          <w:rFonts w:cs="Times New Roman"/>
        </w:rPr>
        <w:t>4</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"_Toc18062" </w:instrText>
      </w:r>
      <w:r>
        <w:fldChar w:fldCharType="separate"/>
      </w:r>
      <w:r>
        <w:rPr>
          <w:rFonts w:cs="Times New Roman"/>
        </w:rPr>
        <w:t>（一）片区现状</w:t>
      </w:r>
      <w:r>
        <w:rPr>
          <w:rFonts w:cs="Times New Roman"/>
        </w:rPr>
        <w:tab/>
      </w:r>
      <w:r>
        <w:rPr>
          <w:rFonts w:cs="Times New Roman"/>
        </w:rPr>
        <w:fldChar w:fldCharType="begin"/>
      </w:r>
      <w:r>
        <w:rPr>
          <w:rFonts w:cs="Times New Roman"/>
        </w:rPr>
        <w:instrText xml:space="preserve"> PAGEREF _Toc18062 \h </w:instrText>
      </w:r>
      <w:r>
        <w:rPr>
          <w:rFonts w:cs="Times New Roman"/>
        </w:rPr>
        <w:fldChar w:fldCharType="separate"/>
      </w:r>
      <w:r>
        <w:rPr>
          <w:rFonts w:cs="Times New Roman"/>
        </w:rPr>
        <w:t>4</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"_Toc5545" </w:instrText>
      </w:r>
      <w:r>
        <w:fldChar w:fldCharType="separate"/>
      </w:r>
      <w:r>
        <w:rPr>
          <w:rFonts w:cs="Times New Roman"/>
        </w:rPr>
        <w:t>（二）面临形势</w:t>
      </w:r>
      <w:r>
        <w:rPr>
          <w:rFonts w:cs="Times New Roman"/>
        </w:rPr>
        <w:tab/>
      </w:r>
      <w:r>
        <w:rPr>
          <w:rFonts w:cs="Times New Roman"/>
        </w:rPr>
        <w:fldChar w:fldCharType="begin"/>
      </w:r>
      <w:r>
        <w:rPr>
          <w:rFonts w:cs="Times New Roman"/>
        </w:rPr>
        <w:instrText xml:space="preserve"> PAGEREF _Toc5545 \h </w:instrText>
      </w:r>
      <w:r>
        <w:rPr>
          <w:rFonts w:cs="Times New Roman"/>
        </w:rPr>
        <w:fldChar w:fldCharType="separate"/>
      </w:r>
      <w:r>
        <w:rPr>
          <w:rFonts w:cs="Times New Roman"/>
        </w:rPr>
        <w:t>8</w:t>
      </w:r>
      <w:r>
        <w:rPr>
          <w:rFonts w:cs="Times New Roman"/>
        </w:rPr>
        <w:fldChar w:fldCharType="end"/>
      </w:r>
      <w:r>
        <w:rPr>
          <w:rFonts w:cs="Times New Roman"/>
        </w:rPr>
        <w:fldChar w:fldCharType="end"/>
      </w:r>
    </w:p>
    <w:p>
      <w:pPr>
        <w:pStyle w:val="16"/>
        <w:tabs>
          <w:tab w:val="right" w:leader="dot" w:pos="8844"/>
        </w:tabs>
        <w:rPr>
          <w:rFonts w:cs="Times New Roman"/>
        </w:rPr>
      </w:pPr>
      <w:r>
        <w:fldChar w:fldCharType="begin"/>
      </w:r>
      <w:r>
        <w:instrText xml:space="preserve"> HYPERLINK \l "_Toc2312" </w:instrText>
      </w:r>
      <w:r>
        <w:fldChar w:fldCharType="separate"/>
      </w:r>
      <w:r>
        <w:rPr>
          <w:rFonts w:cs="Times New Roman"/>
          <w:bCs w:val="0"/>
        </w:rPr>
        <w:t>三、规划目标</w:t>
      </w:r>
      <w:r>
        <w:rPr>
          <w:rFonts w:cs="Times New Roman"/>
        </w:rPr>
        <w:tab/>
      </w:r>
      <w:r>
        <w:rPr>
          <w:rFonts w:cs="Times New Roman"/>
        </w:rPr>
        <w:fldChar w:fldCharType="begin"/>
      </w:r>
      <w:r>
        <w:rPr>
          <w:rFonts w:cs="Times New Roman"/>
        </w:rPr>
        <w:instrText xml:space="preserve"> PAGEREF _Toc2312 \h </w:instrText>
      </w:r>
      <w:r>
        <w:rPr>
          <w:rFonts w:cs="Times New Roman"/>
        </w:rPr>
        <w:fldChar w:fldCharType="separate"/>
      </w:r>
      <w:r>
        <w:rPr>
          <w:rFonts w:cs="Times New Roman"/>
        </w:rPr>
        <w:t>11</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"_Toc6985" </w:instrText>
      </w:r>
      <w:r>
        <w:fldChar w:fldCharType="separate"/>
      </w:r>
      <w:r>
        <w:rPr>
          <w:rFonts w:cs="Times New Roman"/>
        </w:rPr>
        <w:t>（一）近期目标</w:t>
      </w:r>
      <w:r>
        <w:rPr>
          <w:rFonts w:cs="Times New Roman"/>
        </w:rPr>
        <w:tab/>
      </w:r>
      <w:r>
        <w:rPr>
          <w:rFonts w:cs="Times New Roman"/>
        </w:rPr>
        <w:fldChar w:fldCharType="begin"/>
      </w:r>
      <w:r>
        <w:rPr>
          <w:rFonts w:cs="Times New Roman"/>
        </w:rPr>
        <w:instrText xml:space="preserve"> PAGEREF _Toc6985 \h </w:instrText>
      </w:r>
      <w:r>
        <w:rPr>
          <w:rFonts w:cs="Times New Roman"/>
        </w:rPr>
        <w:fldChar w:fldCharType="separate"/>
      </w:r>
      <w:r>
        <w:rPr>
          <w:rFonts w:cs="Times New Roman"/>
        </w:rPr>
        <w:t>11</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"_Toc13341" </w:instrText>
      </w:r>
      <w:r>
        <w:fldChar w:fldCharType="separate"/>
      </w:r>
      <w:r>
        <w:rPr>
          <w:rFonts w:cs="Times New Roman"/>
        </w:rPr>
        <w:t>（二）远景目标</w:t>
      </w:r>
      <w:r>
        <w:rPr>
          <w:rFonts w:cs="Times New Roman"/>
        </w:rPr>
        <w:tab/>
      </w:r>
      <w:r>
        <w:rPr>
          <w:rFonts w:cs="Times New Roman"/>
        </w:rPr>
        <w:fldChar w:fldCharType="begin"/>
      </w:r>
      <w:r>
        <w:rPr>
          <w:rFonts w:cs="Times New Roman"/>
        </w:rPr>
        <w:instrText xml:space="preserve"> PAGEREF _Toc13341 \h </w:instrText>
      </w:r>
      <w:r>
        <w:rPr>
          <w:rFonts w:cs="Times New Roman"/>
        </w:rPr>
        <w:fldChar w:fldCharType="separate"/>
      </w:r>
      <w:r>
        <w:rPr>
          <w:rFonts w:cs="Times New Roman"/>
        </w:rPr>
        <w:t>13</w:t>
      </w:r>
      <w:r>
        <w:rPr>
          <w:rFonts w:cs="Times New Roman"/>
        </w:rPr>
        <w:fldChar w:fldCharType="end"/>
      </w:r>
      <w:r>
        <w:rPr>
          <w:rFonts w:cs="Times New Roman"/>
        </w:rPr>
        <w:fldChar w:fldCharType="end"/>
      </w:r>
    </w:p>
    <w:p>
      <w:pPr>
        <w:pStyle w:val="16"/>
        <w:tabs>
          <w:tab w:val="right" w:leader="dot" w:pos="8844"/>
        </w:tabs>
        <w:rPr>
          <w:rFonts w:cs="Times New Roman"/>
        </w:rPr>
      </w:pPr>
      <w:r>
        <w:fldChar w:fldCharType="begin"/>
      </w:r>
      <w:r>
        <w:instrText xml:space="preserve"> HYPERLINK \l "_Toc31945" </w:instrText>
      </w:r>
      <w:r>
        <w:fldChar w:fldCharType="separate"/>
      </w:r>
      <w:r>
        <w:rPr>
          <w:rFonts w:cs="Times New Roman"/>
        </w:rPr>
        <w:t>四、主要任务和重点工程</w:t>
      </w:r>
      <w:r>
        <w:rPr>
          <w:rFonts w:cs="Times New Roman"/>
        </w:rPr>
        <w:tab/>
      </w:r>
      <w:r>
        <w:rPr>
          <w:rFonts w:cs="Times New Roman"/>
        </w:rPr>
        <w:fldChar w:fldCharType="begin"/>
      </w:r>
      <w:r>
        <w:rPr>
          <w:rFonts w:cs="Times New Roman"/>
        </w:rPr>
        <w:instrText xml:space="preserve"> PAGEREF _Toc31945 \h </w:instrText>
      </w:r>
      <w:r>
        <w:rPr>
          <w:rFonts w:cs="Times New Roman"/>
        </w:rPr>
        <w:fldChar w:fldCharType="separate"/>
      </w:r>
      <w:r>
        <w:rPr>
          <w:rFonts w:cs="Times New Roman"/>
        </w:rPr>
        <w:t>13</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"_Toc9082" </w:instrText>
      </w:r>
      <w:r>
        <w:fldChar w:fldCharType="separate"/>
      </w:r>
      <w:r>
        <w:rPr>
          <w:rFonts w:cs="Times New Roman"/>
        </w:rPr>
        <w:t>（一）应急管理机制方面</w:t>
      </w:r>
      <w:r>
        <w:rPr>
          <w:rFonts w:cs="Times New Roman"/>
        </w:rPr>
        <w:tab/>
      </w:r>
      <w:r>
        <w:rPr>
          <w:rFonts w:cs="Times New Roman"/>
        </w:rPr>
        <w:fldChar w:fldCharType="begin"/>
      </w:r>
      <w:r>
        <w:rPr>
          <w:rFonts w:cs="Times New Roman"/>
        </w:rPr>
        <w:instrText xml:space="preserve"> PAGEREF _Toc9082 \h </w:instrText>
      </w:r>
      <w:r>
        <w:rPr>
          <w:rFonts w:cs="Times New Roman"/>
        </w:rPr>
        <w:fldChar w:fldCharType="separate"/>
      </w:r>
      <w:r>
        <w:rPr>
          <w:rFonts w:cs="Times New Roman"/>
        </w:rPr>
        <w:t>13</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"_Toc16054" </w:instrText>
      </w:r>
      <w:r>
        <w:fldChar w:fldCharType="separate"/>
      </w:r>
      <w:r>
        <w:rPr>
          <w:rFonts w:cs="Times New Roman"/>
        </w:rPr>
        <w:t>（二）安全生产风险防控方面</w:t>
      </w:r>
      <w:r>
        <w:rPr>
          <w:rFonts w:cs="Times New Roman"/>
        </w:rPr>
        <w:tab/>
      </w:r>
      <w:r>
        <w:rPr>
          <w:rFonts w:cs="Times New Roman"/>
        </w:rPr>
        <w:fldChar w:fldCharType="begin"/>
      </w:r>
      <w:r>
        <w:rPr>
          <w:rFonts w:cs="Times New Roman"/>
        </w:rPr>
        <w:instrText xml:space="preserve"> PAGEREF _Toc16054 \h </w:instrText>
      </w:r>
      <w:r>
        <w:rPr>
          <w:rFonts w:cs="Times New Roman"/>
        </w:rPr>
        <w:fldChar w:fldCharType="separate"/>
      </w:r>
      <w:r>
        <w:rPr>
          <w:rFonts w:cs="Times New Roman"/>
        </w:rPr>
        <w:t>15</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"_Toc19143" </w:instrText>
      </w:r>
      <w:r>
        <w:fldChar w:fldCharType="separate"/>
      </w:r>
      <w:r>
        <w:rPr>
          <w:rFonts w:cs="Times New Roman"/>
        </w:rPr>
        <w:t>（三）自然灾害防治方面</w:t>
      </w:r>
      <w:r>
        <w:rPr>
          <w:rFonts w:cs="Times New Roman"/>
        </w:rPr>
        <w:tab/>
      </w:r>
      <w:r>
        <w:rPr>
          <w:rFonts w:cs="Times New Roman"/>
        </w:rPr>
        <w:fldChar w:fldCharType="begin"/>
      </w:r>
      <w:r>
        <w:rPr>
          <w:rFonts w:cs="Times New Roman"/>
        </w:rPr>
        <w:instrText xml:space="preserve"> PAGEREF _Toc19143 \h </w:instrText>
      </w:r>
      <w:r>
        <w:rPr>
          <w:rFonts w:cs="Times New Roman"/>
        </w:rPr>
        <w:fldChar w:fldCharType="separate"/>
      </w:r>
      <w:r>
        <w:rPr>
          <w:rFonts w:cs="Times New Roman"/>
        </w:rPr>
        <w:t>19</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"_Toc10813" </w:instrText>
      </w:r>
      <w:r>
        <w:fldChar w:fldCharType="separate"/>
      </w:r>
      <w:r>
        <w:rPr>
          <w:rFonts w:cs="Times New Roman"/>
        </w:rPr>
        <w:t>（四）应急救援和防灾减灾能力建设方面</w:t>
      </w:r>
      <w:r>
        <w:rPr>
          <w:rFonts w:cs="Times New Roman"/>
        </w:rPr>
        <w:tab/>
      </w:r>
      <w:r>
        <w:rPr>
          <w:rFonts w:cs="Times New Roman"/>
        </w:rPr>
        <w:fldChar w:fldCharType="begin"/>
      </w:r>
      <w:r>
        <w:rPr>
          <w:rFonts w:cs="Times New Roman"/>
        </w:rPr>
        <w:instrText xml:space="preserve"> PAGEREF _Toc10813 \h </w:instrText>
      </w:r>
      <w:r>
        <w:rPr>
          <w:rFonts w:cs="Times New Roman"/>
        </w:rPr>
        <w:fldChar w:fldCharType="separate"/>
      </w:r>
      <w:r>
        <w:rPr>
          <w:rFonts w:cs="Times New Roman"/>
        </w:rPr>
        <w:t>24</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"_Toc27153" </w:instrText>
      </w:r>
      <w:r>
        <w:fldChar w:fldCharType="separate"/>
      </w:r>
      <w:r>
        <w:rPr>
          <w:rFonts w:cs="Times New Roman"/>
        </w:rPr>
        <w:t>（五）先进信息技术应用方面</w:t>
      </w:r>
      <w:r>
        <w:rPr>
          <w:rFonts w:cs="Times New Roman"/>
        </w:rPr>
        <w:tab/>
      </w:r>
      <w:r>
        <w:rPr>
          <w:rFonts w:cs="Times New Roman"/>
        </w:rPr>
        <w:fldChar w:fldCharType="begin"/>
      </w:r>
      <w:r>
        <w:rPr>
          <w:rFonts w:cs="Times New Roman"/>
        </w:rPr>
        <w:instrText xml:space="preserve"> PAGEREF _Toc27153 \h </w:instrText>
      </w:r>
      <w:r>
        <w:rPr>
          <w:rFonts w:cs="Times New Roman"/>
        </w:rPr>
        <w:fldChar w:fldCharType="separate"/>
      </w:r>
      <w:r>
        <w:rPr>
          <w:rFonts w:cs="Times New Roman"/>
        </w:rPr>
        <w:t>29</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"_Toc5217" </w:instrText>
      </w:r>
      <w:r>
        <w:fldChar w:fldCharType="separate"/>
      </w:r>
      <w:r>
        <w:rPr>
          <w:rFonts w:cs="Times New Roman"/>
        </w:rPr>
        <w:t>（六）应急管理共建共治共享格局</w:t>
      </w:r>
      <w:r>
        <w:rPr>
          <w:rFonts w:cs="Times New Roman"/>
        </w:rPr>
        <w:tab/>
      </w:r>
      <w:r>
        <w:rPr>
          <w:rFonts w:cs="Times New Roman"/>
        </w:rPr>
        <w:fldChar w:fldCharType="begin"/>
      </w:r>
      <w:r>
        <w:rPr>
          <w:rFonts w:cs="Times New Roman"/>
        </w:rPr>
        <w:instrText xml:space="preserve"> PAGEREF _Toc5217 \h </w:instrText>
      </w:r>
      <w:r>
        <w:rPr>
          <w:rFonts w:cs="Times New Roman"/>
        </w:rPr>
        <w:fldChar w:fldCharType="separate"/>
      </w:r>
      <w:r>
        <w:rPr>
          <w:rFonts w:cs="Times New Roman"/>
        </w:rPr>
        <w:t>30</w:t>
      </w:r>
      <w:r>
        <w:rPr>
          <w:rFonts w:cs="Times New Roman"/>
        </w:rPr>
        <w:fldChar w:fldCharType="end"/>
      </w:r>
      <w:r>
        <w:rPr>
          <w:rFonts w:cs="Times New Roman"/>
        </w:rPr>
        <w:fldChar w:fldCharType="end"/>
      </w:r>
    </w:p>
    <w:p>
      <w:pPr>
        <w:pStyle w:val="16"/>
        <w:tabs>
          <w:tab w:val="right" w:leader="dot" w:pos="8844"/>
        </w:tabs>
        <w:rPr>
          <w:rFonts w:cs="Times New Roman"/>
        </w:rPr>
      </w:pPr>
      <w:r>
        <w:fldChar w:fldCharType="begin"/>
      </w:r>
      <w:r>
        <w:instrText xml:space="preserve"> HYPERLINK \l "_Toc2746" </w:instrText>
      </w:r>
      <w:r>
        <w:fldChar w:fldCharType="separate"/>
      </w:r>
      <w:r>
        <w:rPr>
          <w:rFonts w:cs="Times New Roman"/>
        </w:rPr>
        <w:t>五、保障措施</w:t>
      </w:r>
      <w:r>
        <w:rPr>
          <w:rFonts w:cs="Times New Roman"/>
        </w:rPr>
        <w:tab/>
      </w:r>
      <w:r>
        <w:rPr>
          <w:rFonts w:cs="Times New Roman"/>
        </w:rPr>
        <w:fldChar w:fldCharType="begin"/>
      </w:r>
      <w:r>
        <w:rPr>
          <w:rFonts w:cs="Times New Roman"/>
        </w:rPr>
        <w:instrText xml:space="preserve"> PAGEREF _Toc2746 \h </w:instrText>
      </w:r>
      <w:r>
        <w:rPr>
          <w:rFonts w:cs="Times New Roman"/>
        </w:rPr>
        <w:fldChar w:fldCharType="separate"/>
      </w:r>
      <w:r>
        <w:rPr>
          <w:rFonts w:cs="Times New Roman"/>
        </w:rPr>
        <w:t>32</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"_Toc28610" </w:instrText>
      </w:r>
      <w:r>
        <w:fldChar w:fldCharType="separate"/>
      </w:r>
      <w:r>
        <w:rPr>
          <w:rFonts w:cs="Times New Roman"/>
        </w:rPr>
        <w:t>（一）完善组织保障</w:t>
      </w:r>
      <w:r>
        <w:rPr>
          <w:rFonts w:cs="Times New Roman"/>
        </w:rPr>
        <w:tab/>
      </w:r>
      <w:r>
        <w:rPr>
          <w:rFonts w:cs="Times New Roman"/>
        </w:rPr>
        <w:fldChar w:fldCharType="begin"/>
      </w:r>
      <w:r>
        <w:rPr>
          <w:rFonts w:cs="Times New Roman"/>
        </w:rPr>
        <w:instrText xml:space="preserve"> PAGEREF _Toc28610 \h </w:instrText>
      </w:r>
      <w:r>
        <w:rPr>
          <w:rFonts w:cs="Times New Roman"/>
        </w:rPr>
        <w:fldChar w:fldCharType="separate"/>
      </w:r>
      <w:r>
        <w:rPr>
          <w:rFonts w:cs="Times New Roman"/>
        </w:rPr>
        <w:t>32</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"_Toc12446" </w:instrText>
      </w:r>
      <w:r>
        <w:fldChar w:fldCharType="separate"/>
      </w:r>
      <w:r>
        <w:rPr>
          <w:rFonts w:cs="Times New Roman"/>
        </w:rPr>
        <w:t>（二）强化资金保障</w:t>
      </w:r>
      <w:r>
        <w:rPr>
          <w:rFonts w:cs="Times New Roman"/>
        </w:rPr>
        <w:tab/>
      </w:r>
      <w:r>
        <w:rPr>
          <w:rFonts w:cs="Times New Roman"/>
        </w:rPr>
        <w:fldChar w:fldCharType="begin"/>
      </w:r>
      <w:r>
        <w:rPr>
          <w:rFonts w:cs="Times New Roman"/>
        </w:rPr>
        <w:instrText xml:space="preserve"> PAGEREF _Toc12446 \h </w:instrText>
      </w:r>
      <w:r>
        <w:rPr>
          <w:rFonts w:cs="Times New Roman"/>
        </w:rPr>
        <w:fldChar w:fldCharType="separate"/>
      </w:r>
      <w:r>
        <w:rPr>
          <w:rFonts w:cs="Times New Roman"/>
        </w:rPr>
        <w:t>32</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"_Toc1441" </w:instrText>
      </w:r>
      <w:r>
        <w:fldChar w:fldCharType="separate"/>
      </w:r>
      <w:r>
        <w:rPr>
          <w:rFonts w:cs="Times New Roman"/>
        </w:rPr>
        <w:t>（三）强化政策保障</w:t>
      </w:r>
      <w:r>
        <w:rPr>
          <w:rFonts w:cs="Times New Roman"/>
        </w:rPr>
        <w:tab/>
      </w:r>
      <w:r>
        <w:rPr>
          <w:rFonts w:cs="Times New Roman"/>
        </w:rPr>
        <w:fldChar w:fldCharType="begin"/>
      </w:r>
      <w:r>
        <w:rPr>
          <w:rFonts w:cs="Times New Roman"/>
        </w:rPr>
        <w:instrText xml:space="preserve"> PAGEREF _Toc1441 \h </w:instrText>
      </w:r>
      <w:r>
        <w:rPr>
          <w:rFonts w:cs="Times New Roman"/>
        </w:rPr>
        <w:fldChar w:fldCharType="separate"/>
      </w:r>
      <w:r>
        <w:rPr>
          <w:rFonts w:cs="Times New Roman"/>
        </w:rPr>
        <w:t>33</w:t>
      </w:r>
      <w:r>
        <w:rPr>
          <w:rFonts w:cs="Times New Roman"/>
        </w:rPr>
        <w:fldChar w:fldCharType="end"/>
      </w:r>
      <w:r>
        <w:rPr>
          <w:rFonts w:cs="Times New Roman"/>
        </w:rPr>
        <w:fldChar w:fldCharType="end"/>
      </w:r>
    </w:p>
    <w:p>
      <w:pPr>
        <w:pStyle w:val="18"/>
        <w:tabs>
          <w:tab w:val="right" w:leader="dot" w:pos="8844"/>
        </w:tabs>
        <w:ind w:firstLine="640"/>
        <w:rPr>
          <w:rFonts w:cs="Times New Roman"/>
        </w:rPr>
      </w:pPr>
      <w:r>
        <w:fldChar w:fldCharType="begin"/>
      </w:r>
      <w:r>
        <w:instrText xml:space="preserve"> HYPERLINK \l "_Toc18819" </w:instrText>
      </w:r>
      <w:r>
        <w:fldChar w:fldCharType="separate"/>
      </w:r>
      <w:r>
        <w:rPr>
          <w:rFonts w:cs="Times New Roman"/>
        </w:rPr>
        <w:t>（四）加大督查问效</w:t>
      </w:r>
      <w:r>
        <w:rPr>
          <w:rFonts w:cs="Times New Roman"/>
        </w:rPr>
        <w:tab/>
      </w:r>
      <w:r>
        <w:rPr>
          <w:rFonts w:cs="Times New Roman"/>
        </w:rPr>
        <w:fldChar w:fldCharType="begin"/>
      </w:r>
      <w:r>
        <w:rPr>
          <w:rFonts w:cs="Times New Roman"/>
        </w:rPr>
        <w:instrText xml:space="preserve"> PAGEREF _Toc18819 \h </w:instrText>
      </w:r>
      <w:r>
        <w:rPr>
          <w:rFonts w:cs="Times New Roman"/>
        </w:rPr>
        <w:fldChar w:fldCharType="separate"/>
      </w:r>
      <w:r>
        <w:rPr>
          <w:rFonts w:cs="Times New Roman"/>
        </w:rPr>
        <w:t>33</w:t>
      </w:r>
      <w:r>
        <w:rPr>
          <w:rFonts w:cs="Times New Roman"/>
        </w:rPr>
        <w:fldChar w:fldCharType="end"/>
      </w:r>
      <w:r>
        <w:rPr>
          <w:rFonts w:cs="Times New Roman"/>
        </w:rPr>
        <w:fldChar w:fldCharType="end"/>
      </w:r>
    </w:p>
    <w:p>
      <w:pPr>
        <w:pStyle w:val="16"/>
        <w:tabs>
          <w:tab w:val="right" w:leader="dot" w:pos="8844"/>
        </w:tabs>
        <w:rPr>
          <w:rFonts w:cs="Times New Roman"/>
        </w:rPr>
      </w:pPr>
      <w:r>
        <w:fldChar w:fldCharType="begin"/>
      </w:r>
      <w:r>
        <w:instrText xml:space="preserve"> HYPERLINK \l "_Toc22538" </w:instrText>
      </w:r>
      <w:r>
        <w:fldChar w:fldCharType="separate"/>
      </w:r>
      <w:r>
        <w:rPr>
          <w:rFonts w:cs="Times New Roman"/>
        </w:rPr>
        <w:t>附表</w:t>
      </w:r>
      <w:r>
        <w:rPr>
          <w:rFonts w:cs="Times New Roman"/>
        </w:rPr>
        <w:tab/>
      </w:r>
      <w:r>
        <w:rPr>
          <w:rFonts w:cs="Times New Roman"/>
        </w:rPr>
        <w:fldChar w:fldCharType="begin"/>
      </w:r>
      <w:r>
        <w:rPr>
          <w:rFonts w:cs="Times New Roman"/>
        </w:rPr>
        <w:instrText xml:space="preserve"> PAGEREF _Toc22538 \h </w:instrText>
      </w:r>
      <w:r>
        <w:rPr>
          <w:rFonts w:cs="Times New Roman"/>
        </w:rPr>
        <w:fldChar w:fldCharType="separate"/>
      </w:r>
      <w:r>
        <w:rPr>
          <w:rFonts w:cs="Times New Roman"/>
        </w:rPr>
        <w:t>34</w:t>
      </w:r>
      <w:r>
        <w:rPr>
          <w:rFonts w:cs="Times New Roman"/>
        </w:rPr>
        <w:fldChar w:fldCharType="end"/>
      </w:r>
      <w:r>
        <w:rPr>
          <w:rFonts w:cs="Times New Roman"/>
        </w:rPr>
        <w:fldChar w:fldCharType="end"/>
      </w:r>
    </w:p>
    <w:p>
      <w:pPr>
        <w:pStyle w:val="16"/>
        <w:tabs>
          <w:tab w:val="right" w:leader="dot" w:pos="8844"/>
        </w:tabs>
        <w:rPr>
          <w:rFonts w:cs="Times New Roman"/>
        </w:rPr>
      </w:pPr>
      <w:r>
        <w:fldChar w:fldCharType="begin"/>
      </w:r>
      <w:r>
        <w:instrText xml:space="preserve"> HYPERLINK \l "_Toc29985" </w:instrText>
      </w:r>
      <w:r>
        <w:fldChar w:fldCharType="separate"/>
      </w:r>
      <w:r>
        <w:rPr>
          <w:rFonts w:cs="Times New Roman"/>
        </w:rPr>
        <w:t>附图</w:t>
      </w:r>
      <w:r>
        <w:rPr>
          <w:rFonts w:cs="Times New Roman"/>
        </w:rPr>
        <w:tab/>
      </w:r>
      <w:r>
        <w:rPr>
          <w:rFonts w:cs="Times New Roman"/>
        </w:rPr>
        <w:fldChar w:fldCharType="begin"/>
      </w:r>
      <w:r>
        <w:rPr>
          <w:rFonts w:cs="Times New Roman"/>
        </w:rPr>
        <w:instrText xml:space="preserve"> PAGEREF _Toc29985 \h </w:instrText>
      </w:r>
      <w:r>
        <w:rPr>
          <w:rFonts w:cs="Times New Roman"/>
        </w:rPr>
        <w:fldChar w:fldCharType="separate"/>
      </w:r>
      <w:r>
        <w:rPr>
          <w:rFonts w:cs="Times New Roman"/>
        </w:rPr>
        <w:t>51</w:t>
      </w:r>
      <w:r>
        <w:rPr>
          <w:rFonts w:cs="Times New Roman"/>
        </w:rPr>
        <w:fldChar w:fldCharType="end"/>
      </w:r>
      <w:r>
        <w:rPr>
          <w:rFonts w:cs="Times New Roman"/>
        </w:rPr>
        <w:fldChar w:fldCharType="end"/>
      </w:r>
    </w:p>
    <w:p>
      <w:pPr>
        <w:ind w:firstLine="640"/>
        <w:rPr>
          <w:rFonts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1134" w:gutter="0"/>
          <w:pgNumType w:start="1"/>
          <w:cols w:space="425" w:num="1"/>
          <w:titlePg/>
          <w:docGrid w:type="lines" w:linePitch="435" w:charSpace="0"/>
        </w:sectPr>
      </w:pPr>
      <w:r>
        <w:rPr>
          <w:rFonts w:cs="Times New Roman"/>
        </w:rPr>
        <w:fldChar w:fldCharType="end"/>
      </w:r>
    </w:p>
    <w:p>
      <w:pPr>
        <w:pStyle w:val="3"/>
        <w:ind w:left="165"/>
        <w:rPr>
          <w:rFonts w:cs="Times New Roman"/>
        </w:rPr>
      </w:pPr>
      <w:bookmarkStart w:id="1" w:name="_Toc12518"/>
      <w:bookmarkStart w:id="2" w:name="_Toc98773620"/>
      <w:r>
        <w:rPr>
          <w:rFonts w:cs="Times New Roman"/>
        </w:rPr>
        <w:t>一、总则</w:t>
      </w:r>
      <w:bookmarkEnd w:id="1"/>
    </w:p>
    <w:p>
      <w:pPr>
        <w:ind w:firstLine="640"/>
        <w:rPr>
          <w:rFonts w:cs="Times New Roman"/>
        </w:rPr>
      </w:pPr>
      <w:r>
        <w:rPr>
          <w:rFonts w:hint="eastAsia" w:cs="Times New Roman"/>
        </w:rPr>
        <w:t>为全面贯彻落实习近平总书记关于应急管理和防灾减灾救灾工作的重要批示指示精神，坚持以人民为中心的发展思想，按照省委省政府、市委市政府、区委区政府关于做好两项改革“后半篇”文章总体要求，统筹发展和安全两件大事，强化“两个根本”，坚持“三个必须”，积极融入乡村振兴战略，提高基层应急管理能力，建立健全</w:t>
      </w:r>
      <w:bookmarkStart w:id="3" w:name="_Hlk118013959"/>
      <w:r>
        <w:rPr>
          <w:rFonts w:hint="eastAsia" w:cs="Times New Roman"/>
          <w:szCs w:val="32"/>
        </w:rPr>
        <w:t>龙老遂潼一体片区</w:t>
      </w:r>
      <w:bookmarkEnd w:id="3"/>
      <w:r>
        <w:rPr>
          <w:rFonts w:hint="eastAsia" w:cs="Times New Roman"/>
        </w:rPr>
        <w:t>应急管理体系，强化安全生产风险防控能力，提升自然灾害防御能力，加强应急处置能力建设，提升基层应急管理水平，扎实推进基层治理体系和治理能力现代化，打造共建共治共享的应急管理格局。结合片区现状，特</w:t>
      </w:r>
      <w:r>
        <w:rPr>
          <w:rFonts w:cs="Times New Roman"/>
          <w:szCs w:val="32"/>
        </w:rPr>
        <w:t>编制《船山区</w:t>
      </w:r>
      <w:r>
        <w:rPr>
          <w:rFonts w:hint="eastAsia" w:cs="Times New Roman"/>
          <w:szCs w:val="32"/>
        </w:rPr>
        <w:t>龙老遂潼一体片区</w:t>
      </w:r>
      <w:r>
        <w:rPr>
          <w:rFonts w:cs="Times New Roman"/>
          <w:szCs w:val="32"/>
        </w:rPr>
        <w:t>应急体系专项规划（2021-2035）》（以下简称</w:t>
      </w:r>
      <w:r>
        <w:rPr>
          <w:rFonts w:hint="eastAsia" w:cs="Times New Roman"/>
          <w:szCs w:val="32"/>
        </w:rPr>
        <w:t>“</w:t>
      </w:r>
      <w:r>
        <w:rPr>
          <w:rFonts w:cs="Times New Roman"/>
          <w:szCs w:val="32"/>
        </w:rPr>
        <w:t>本规划</w:t>
      </w:r>
      <w:r>
        <w:rPr>
          <w:rFonts w:hint="eastAsia" w:cs="Times New Roman"/>
          <w:szCs w:val="32"/>
        </w:rPr>
        <w:t>”</w:t>
      </w:r>
      <w:r>
        <w:rPr>
          <w:rFonts w:cs="Times New Roman"/>
          <w:szCs w:val="32"/>
        </w:rPr>
        <w:t>）。</w:t>
      </w:r>
    </w:p>
    <w:bookmarkEnd w:id="2"/>
    <w:p>
      <w:pPr>
        <w:pStyle w:val="4"/>
        <w:rPr>
          <w:rFonts w:cs="Times New Roman"/>
        </w:rPr>
      </w:pPr>
      <w:bookmarkStart w:id="4" w:name="_Toc29662"/>
      <w:r>
        <w:rPr>
          <w:rFonts w:cs="Times New Roman"/>
        </w:rPr>
        <w:t>（一）地位作用</w:t>
      </w:r>
      <w:bookmarkEnd w:id="4"/>
    </w:p>
    <w:p>
      <w:pPr>
        <w:ind w:firstLine="640"/>
        <w:rPr>
          <w:rFonts w:cs="Times New Roman"/>
          <w:szCs w:val="32"/>
        </w:rPr>
      </w:pPr>
      <w:bookmarkStart w:id="5" w:name="_Toc91790469"/>
      <w:bookmarkStart w:id="6" w:name="_Toc98773621"/>
      <w:r>
        <w:rPr>
          <w:rFonts w:hint="eastAsia" w:cs="Times New Roman"/>
        </w:rPr>
        <w:t>编制乡镇级片区应急体系专项规划，是区委区政府关于全面贯彻落实全省统筹推进乡村国土空间规划编制和两项改革“后半篇”文章工作会议精神的重大举措，是融合衔接乡镇级片区国土空间规划的实际需求，是</w:t>
      </w:r>
      <w:r>
        <w:rPr>
          <w:rFonts w:cs="Times New Roman"/>
          <w:szCs w:val="32"/>
        </w:rPr>
        <w:t>区</w:t>
      </w:r>
      <w:r>
        <w:rPr>
          <w:rFonts w:hint="eastAsia" w:cs="Times New Roman"/>
        </w:rPr>
        <w:t>对“十四五”应急体系规划和提升基层应急能力工作方案的细化和深化，是自然灾害综合风险普查成果的具体应用，是指引片区未来应急工作，健全完善基层应急体系、提升基层应急能力的重要依据，对增强片区安全风险防控能力、应急救援能力、防灾减灾能力和社会共治能力，有效推动基层应急体系和应急能力现代化具有重要意义。</w:t>
      </w:r>
    </w:p>
    <w:p>
      <w:pPr>
        <w:pStyle w:val="4"/>
        <w:rPr>
          <w:rFonts w:cs="Times New Roman"/>
          <w:bCs w:val="0"/>
        </w:rPr>
      </w:pPr>
      <w:bookmarkStart w:id="7" w:name="_Toc13134"/>
      <w:r>
        <w:rPr>
          <w:rFonts w:cs="Times New Roman"/>
        </w:rPr>
        <w:t>（二）</w:t>
      </w:r>
      <w:r>
        <w:rPr>
          <w:rFonts w:cs="Times New Roman"/>
          <w:bCs w:val="0"/>
        </w:rPr>
        <w:t>规划</w:t>
      </w:r>
      <w:bookmarkEnd w:id="5"/>
      <w:r>
        <w:rPr>
          <w:rFonts w:cs="Times New Roman"/>
          <w:bCs w:val="0"/>
        </w:rPr>
        <w:t>依据</w:t>
      </w:r>
      <w:bookmarkEnd w:id="6"/>
      <w:bookmarkEnd w:id="7"/>
    </w:p>
    <w:p>
      <w:pPr>
        <w:ind w:firstLine="640"/>
        <w:rPr>
          <w:rFonts w:cs="Times New Roman"/>
          <w:szCs w:val="32"/>
        </w:rPr>
      </w:pPr>
      <w:bookmarkStart w:id="8" w:name="_Toc91790470"/>
      <w:r>
        <w:rPr>
          <w:rFonts w:cs="Times New Roman"/>
          <w:szCs w:val="32"/>
        </w:rPr>
        <w:t>《中华人民共和国安全生产法》（2021年修订版）</w:t>
      </w:r>
    </w:p>
    <w:p>
      <w:pPr>
        <w:ind w:firstLine="640"/>
        <w:rPr>
          <w:rFonts w:cs="Times New Roman"/>
          <w:szCs w:val="32"/>
        </w:rPr>
      </w:pPr>
      <w:r>
        <w:rPr>
          <w:rFonts w:cs="Times New Roman"/>
          <w:szCs w:val="32"/>
        </w:rPr>
        <w:t>《中华人民共和国突发事件应对法》（中华人民共和国主席令第六十九号）</w:t>
      </w:r>
    </w:p>
    <w:p>
      <w:pPr>
        <w:ind w:firstLine="640"/>
        <w:rPr>
          <w:rFonts w:cs="Times New Roman"/>
          <w:szCs w:val="32"/>
        </w:rPr>
      </w:pPr>
      <w:r>
        <w:rPr>
          <w:rFonts w:cs="Times New Roman"/>
          <w:szCs w:val="32"/>
        </w:rPr>
        <w:t>《四川省乡镇行政区划和村级建制调整改革</w:t>
      </w:r>
      <w:r>
        <w:rPr>
          <w:rFonts w:hint="eastAsia" w:cs="Times New Roman"/>
          <w:szCs w:val="32"/>
        </w:rPr>
        <w:t>“</w:t>
      </w:r>
      <w:r>
        <w:rPr>
          <w:rFonts w:cs="Times New Roman"/>
          <w:szCs w:val="32"/>
        </w:rPr>
        <w:t>后半篇</w:t>
      </w:r>
      <w:r>
        <w:rPr>
          <w:rFonts w:hint="eastAsia" w:cs="Times New Roman"/>
          <w:szCs w:val="32"/>
        </w:rPr>
        <w:t>”</w:t>
      </w:r>
      <w:r>
        <w:rPr>
          <w:rFonts w:cs="Times New Roman"/>
          <w:szCs w:val="32"/>
        </w:rPr>
        <w:t>文章专项工作领导小组关于印发〈优化乡镇机构编制资源配置〉等25个工作方案的通知》（川两改组〔2021〕2号）</w:t>
      </w:r>
    </w:p>
    <w:p>
      <w:pPr>
        <w:ind w:firstLine="640"/>
        <w:rPr>
          <w:rFonts w:cs="Times New Roman"/>
          <w:szCs w:val="32"/>
        </w:rPr>
      </w:pPr>
      <w:r>
        <w:rPr>
          <w:rFonts w:cs="Times New Roman"/>
          <w:szCs w:val="32"/>
        </w:rPr>
        <w:t>《中共四川省委办公厅 四川省人民政府办公厅印发〈关于做好乡镇行政区划和村级建制调整改革</w:t>
      </w:r>
      <w:r>
        <w:rPr>
          <w:rFonts w:hint="eastAsia" w:cs="Times New Roman"/>
          <w:szCs w:val="32"/>
        </w:rPr>
        <w:t>“</w:t>
      </w:r>
      <w:r>
        <w:rPr>
          <w:rFonts w:cs="Times New Roman"/>
          <w:szCs w:val="32"/>
        </w:rPr>
        <w:t>后半篇</w:t>
      </w:r>
      <w:r>
        <w:rPr>
          <w:rFonts w:hint="eastAsia" w:cs="Times New Roman"/>
          <w:szCs w:val="32"/>
        </w:rPr>
        <w:t>”</w:t>
      </w:r>
      <w:r>
        <w:rPr>
          <w:rFonts w:cs="Times New Roman"/>
          <w:szCs w:val="32"/>
        </w:rPr>
        <w:t>文章的实施方案〉的通知》（川委厅〔2021〕6号）</w:t>
      </w:r>
    </w:p>
    <w:p>
      <w:pPr>
        <w:ind w:firstLine="640"/>
        <w:rPr>
          <w:rFonts w:cs="Times New Roman"/>
          <w:szCs w:val="32"/>
        </w:rPr>
      </w:pPr>
      <w:r>
        <w:rPr>
          <w:rFonts w:cs="Times New Roman"/>
          <w:szCs w:val="32"/>
        </w:rPr>
        <w:t>《中共四川省委办公厅 四川省人民政府办公厅印发〈关于全省县域内片区划分的指导意见〉〈关于以片区单为单元编制乡村国土空间规划的指导意见〉的通知》（川委厅〔2021〕53号）</w:t>
      </w:r>
    </w:p>
    <w:p>
      <w:pPr>
        <w:ind w:firstLine="640"/>
        <w:rPr>
          <w:rFonts w:cs="Times New Roman"/>
          <w:szCs w:val="32"/>
        </w:rPr>
      </w:pPr>
      <w:r>
        <w:rPr>
          <w:rFonts w:cs="Times New Roman"/>
          <w:szCs w:val="32"/>
        </w:rPr>
        <w:t>《中共四川省委办公厅 四川省人民政府办公厅印发〈关于以乡村国土空间规划引领县域内片区高质量发展的指导意见〉的通知》（川委办〔2022〕16号）</w:t>
      </w:r>
    </w:p>
    <w:p>
      <w:pPr>
        <w:ind w:firstLine="640"/>
        <w:rPr>
          <w:rFonts w:cs="Times New Roman"/>
          <w:szCs w:val="32"/>
        </w:rPr>
      </w:pPr>
      <w:r>
        <w:rPr>
          <w:rFonts w:cs="Times New Roman"/>
          <w:szCs w:val="32"/>
        </w:rPr>
        <w:t>《四川省自然资源厅关于印发〈乡镇级片区专项规划省级工作方案〉的通知》（川自然资发〔2021〕43号）</w:t>
      </w:r>
    </w:p>
    <w:p>
      <w:pPr>
        <w:ind w:firstLine="640"/>
        <w:rPr>
          <w:rFonts w:cs="Times New Roman"/>
          <w:szCs w:val="32"/>
        </w:rPr>
      </w:pPr>
      <w:r>
        <w:rPr>
          <w:rFonts w:cs="Times New Roman"/>
          <w:szCs w:val="32"/>
        </w:rPr>
        <w:t>《四川省应急管理厅关于印发〈四川省乡镇级片区应急体系专项规划编制要点（试行）〉〈四川省乡镇级片区应急体系专项规划备案程序及审查要点（试行）〉的通知》（川应急〔2022〕3号）</w:t>
      </w:r>
    </w:p>
    <w:p>
      <w:pPr>
        <w:ind w:firstLine="640"/>
        <w:rPr>
          <w:rFonts w:cs="Times New Roman"/>
        </w:rPr>
      </w:pPr>
      <w:r>
        <w:rPr>
          <w:rFonts w:cs="Times New Roman"/>
        </w:rPr>
        <w:t>《四川省</w:t>
      </w:r>
      <w:r>
        <w:rPr>
          <w:rFonts w:hint="eastAsia" w:cs="Times New Roman"/>
        </w:rPr>
        <w:t>“</w:t>
      </w:r>
      <w:r>
        <w:rPr>
          <w:rFonts w:cs="Times New Roman"/>
        </w:rPr>
        <w:t>十四五</w:t>
      </w:r>
      <w:r>
        <w:rPr>
          <w:rFonts w:hint="eastAsia" w:cs="Times New Roman"/>
        </w:rPr>
        <w:t>”</w:t>
      </w:r>
      <w:r>
        <w:rPr>
          <w:rFonts w:cs="Times New Roman"/>
        </w:rPr>
        <w:t>应急体系规划》</w:t>
      </w:r>
    </w:p>
    <w:p>
      <w:pPr>
        <w:ind w:firstLine="640"/>
        <w:rPr>
          <w:rFonts w:cs="Times New Roman"/>
          <w:szCs w:val="32"/>
        </w:rPr>
      </w:pPr>
      <w:bookmarkStart w:id="9" w:name="_Toc30698"/>
      <w:r>
        <w:rPr>
          <w:rFonts w:cs="Times New Roman"/>
          <w:szCs w:val="32"/>
        </w:rPr>
        <w:t>《遂宁市国民经济和社会发展第十四个五年规划和二〇三五年远景目标纲要》</w:t>
      </w:r>
    </w:p>
    <w:p>
      <w:pPr>
        <w:ind w:firstLine="640"/>
        <w:rPr>
          <w:rFonts w:cs="Times New Roman"/>
          <w:szCs w:val="32"/>
        </w:rPr>
      </w:pPr>
      <w:r>
        <w:rPr>
          <w:rFonts w:cs="Times New Roman"/>
          <w:szCs w:val="32"/>
        </w:rPr>
        <w:t>《遂宁市</w:t>
      </w:r>
      <w:r>
        <w:rPr>
          <w:rFonts w:hint="eastAsia" w:cs="Times New Roman"/>
        </w:rPr>
        <w:t>“</w:t>
      </w:r>
      <w:r>
        <w:rPr>
          <w:rFonts w:cs="Times New Roman"/>
        </w:rPr>
        <w:t>十四五</w:t>
      </w:r>
      <w:r>
        <w:rPr>
          <w:rFonts w:hint="eastAsia" w:cs="Times New Roman"/>
        </w:rPr>
        <w:t>”</w:t>
      </w:r>
      <w:r>
        <w:rPr>
          <w:rFonts w:cs="Times New Roman"/>
          <w:szCs w:val="32"/>
        </w:rPr>
        <w:t>应急体系规划》</w:t>
      </w:r>
    </w:p>
    <w:p>
      <w:pPr>
        <w:ind w:firstLine="640"/>
        <w:rPr>
          <w:rFonts w:cs="Times New Roman"/>
          <w:szCs w:val="32"/>
        </w:rPr>
      </w:pPr>
      <w:r>
        <w:rPr>
          <w:rFonts w:cs="Times New Roman"/>
          <w:szCs w:val="32"/>
        </w:rPr>
        <w:t>《船山区国民经济和社会发展第十四个五年规划和二〇三五年远景目标纲要》</w:t>
      </w:r>
    </w:p>
    <w:p>
      <w:pPr>
        <w:pStyle w:val="4"/>
        <w:rPr>
          <w:rFonts w:cs="Times New Roman"/>
          <w:bCs w:val="0"/>
        </w:rPr>
      </w:pPr>
      <w:r>
        <w:rPr>
          <w:rFonts w:cs="Times New Roman"/>
        </w:rPr>
        <w:t>（三）</w:t>
      </w:r>
      <w:r>
        <w:rPr>
          <w:rFonts w:cs="Times New Roman"/>
          <w:bCs w:val="0"/>
        </w:rPr>
        <w:t>规划原则</w:t>
      </w:r>
      <w:bookmarkEnd w:id="9"/>
    </w:p>
    <w:bookmarkEnd w:id="8"/>
    <w:p>
      <w:pPr>
        <w:pStyle w:val="37"/>
        <w:spacing w:line="550" w:lineRule="exact"/>
        <w:ind w:firstLine="643"/>
        <w:rPr>
          <w:rFonts w:hint="eastAsia" w:ascii="仿宋" w:hAnsi="仿宋" w:eastAsia="仿宋" w:cs="仿宋"/>
          <w:bCs/>
          <w:szCs w:val="22"/>
        </w:rPr>
      </w:pPr>
      <w:bookmarkStart w:id="10" w:name="_Toc98773623"/>
      <w:bookmarkStart w:id="11" w:name="_Toc3454"/>
      <w:r>
        <w:rPr>
          <w:rFonts w:hint="eastAsia" w:ascii="仿宋" w:hAnsi="仿宋" w:eastAsia="仿宋" w:cs="仿宋"/>
          <w:b/>
          <w:szCs w:val="22"/>
        </w:rPr>
        <w:t>坚持规划引领与片区实际。</w:t>
      </w:r>
      <w:r>
        <w:rPr>
          <w:rFonts w:hint="eastAsia" w:ascii="仿宋" w:hAnsi="仿宋" w:eastAsia="仿宋" w:cs="仿宋"/>
          <w:bCs/>
          <w:szCs w:val="22"/>
        </w:rPr>
        <w:t>规划既要体现可操作性、又要注重前瞻性，按照需要和可能相结合的原则，坚持量力而行、尽力而为，确保规划能用管用好用</w:t>
      </w:r>
      <w:r>
        <w:rPr>
          <w:rFonts w:hint="eastAsia" w:ascii="仿宋" w:hAnsi="仿宋" w:eastAsia="仿宋" w:cs="仿宋"/>
          <w:szCs w:val="32"/>
        </w:rPr>
        <w:t>，按照“有什么、缺什么、补什么、怎么补”的思路进行规划。</w:t>
      </w:r>
    </w:p>
    <w:p>
      <w:pPr>
        <w:ind w:firstLine="643"/>
        <w:rPr>
          <w:rFonts w:hint="eastAsia" w:ascii="仿宋" w:hAnsi="仿宋" w:eastAsia="仿宋" w:cs="仿宋"/>
          <w:szCs w:val="32"/>
        </w:rPr>
      </w:pPr>
      <w:r>
        <w:rPr>
          <w:rFonts w:hint="eastAsia" w:ascii="仿宋" w:hAnsi="仿宋" w:eastAsia="仿宋" w:cs="仿宋"/>
          <w:b/>
          <w:bCs/>
          <w:szCs w:val="32"/>
        </w:rPr>
        <w:t>坚持片区定位与补齐短板。</w:t>
      </w:r>
      <w:r>
        <w:rPr>
          <w:rFonts w:hint="eastAsia" w:ascii="仿宋" w:hAnsi="仿宋" w:eastAsia="仿宋" w:cs="仿宋"/>
          <w:szCs w:val="32"/>
        </w:rPr>
        <w:t>以人民为中心，坚持“人民至上，生命至上”原则，系统梳理片区各镇安全生产、自然灾害、应急管理体系、应急救援队伍、应急物资储备、应急避难场所现状，摸清底数、找准问题，补齐片区各镇应急体系短板。</w:t>
      </w:r>
    </w:p>
    <w:p>
      <w:pPr>
        <w:pStyle w:val="37"/>
        <w:spacing w:line="550" w:lineRule="exact"/>
        <w:ind w:firstLine="643"/>
        <w:rPr>
          <w:rFonts w:hint="eastAsia" w:ascii="仿宋" w:hAnsi="仿宋" w:eastAsia="仿宋" w:cs="仿宋"/>
        </w:rPr>
      </w:pPr>
      <w:r>
        <w:rPr>
          <w:rFonts w:hint="eastAsia" w:ascii="仿宋" w:hAnsi="仿宋" w:eastAsia="仿宋" w:cs="仿宋"/>
          <w:b/>
          <w:szCs w:val="22"/>
        </w:rPr>
        <w:t>坚持优化资源与融合要素。</w:t>
      </w:r>
      <w:r>
        <w:rPr>
          <w:rFonts w:hint="eastAsia" w:ascii="仿宋" w:hAnsi="仿宋" w:eastAsia="仿宋" w:cs="仿宋"/>
          <w:bCs/>
          <w:szCs w:val="22"/>
        </w:rPr>
        <w:t>把握中心镇与其他镇，中心村与一般村的关系，坚持片区详细规划、镇区精细规划，推动片区内应急资源和要素集中布局、精准投放，</w:t>
      </w:r>
      <w:r>
        <w:rPr>
          <w:rFonts w:hint="eastAsia" w:ascii="仿宋" w:hAnsi="仿宋" w:eastAsia="仿宋" w:cs="仿宋"/>
          <w:szCs w:val="32"/>
        </w:rPr>
        <w:t>最大程度统筹实施。</w:t>
      </w:r>
    </w:p>
    <w:p>
      <w:pPr>
        <w:ind w:firstLine="643"/>
        <w:rPr>
          <w:rFonts w:hint="eastAsia" w:ascii="仿宋" w:hAnsi="仿宋" w:eastAsia="仿宋" w:cs="仿宋"/>
        </w:rPr>
      </w:pPr>
      <w:r>
        <w:rPr>
          <w:rFonts w:hint="eastAsia" w:ascii="仿宋" w:hAnsi="仿宋" w:eastAsia="仿宋" w:cs="仿宋"/>
          <w:b/>
          <w:bCs/>
          <w:szCs w:val="32"/>
        </w:rPr>
        <w:t>坚持统筹协调和因地制宜。</w:t>
      </w:r>
      <w:r>
        <w:rPr>
          <w:rFonts w:hint="eastAsia" w:ascii="仿宋" w:hAnsi="仿宋" w:eastAsia="仿宋" w:cs="仿宋"/>
          <w:szCs w:val="32"/>
        </w:rPr>
        <w:t>有机衔接各级各类规划，充分结合片区各镇实际情况，确定各镇防控重点，优化应急资源配置，</w:t>
      </w:r>
      <w:r>
        <w:rPr>
          <w:rFonts w:hint="eastAsia" w:ascii="仿宋" w:hAnsi="仿宋" w:eastAsia="仿宋" w:cs="仿宋"/>
        </w:rPr>
        <w:t>提升片区安全风险防控能力、应急救援能力、防灾减灾救灾能力和社会共治能力，有效推动基层应急体系和应急能力现代化</w:t>
      </w:r>
      <w:r>
        <w:rPr>
          <w:rFonts w:hint="eastAsia" w:ascii="仿宋" w:hAnsi="仿宋" w:eastAsia="仿宋" w:cs="仿宋"/>
          <w:szCs w:val="32"/>
        </w:rPr>
        <w:t>。</w:t>
      </w:r>
    </w:p>
    <w:p>
      <w:pPr>
        <w:ind w:firstLine="643"/>
        <w:rPr>
          <w:rFonts w:cs="Times New Roman"/>
          <w:szCs w:val="32"/>
        </w:rPr>
      </w:pPr>
      <w:r>
        <w:rPr>
          <w:rFonts w:hint="eastAsia" w:ascii="仿宋" w:hAnsi="仿宋" w:eastAsia="仿宋" w:cs="仿宋"/>
          <w:b/>
          <w:bCs/>
          <w:szCs w:val="32"/>
        </w:rPr>
        <w:t>构建共建共治并强化宣传。</w:t>
      </w:r>
      <w:r>
        <w:rPr>
          <w:rFonts w:hint="eastAsia" w:ascii="仿宋" w:hAnsi="仿宋" w:eastAsia="仿宋" w:cs="仿宋"/>
          <w:szCs w:val="32"/>
        </w:rPr>
        <w:t>充分发挥社会协同防范能力，加强示范项目建设，加大宣传培训和科普力度，积极发挥镇、村领导干部带头作用，把提高社会应对突发事件能力摆在更加突出位置，构建共商共建共治共享格局</w:t>
      </w:r>
      <w:r>
        <w:rPr>
          <w:rFonts w:cs="Times New Roman"/>
          <w:szCs w:val="32"/>
        </w:rPr>
        <w:t>。</w:t>
      </w:r>
    </w:p>
    <w:p>
      <w:pPr>
        <w:pStyle w:val="4"/>
        <w:rPr>
          <w:rFonts w:cs="Times New Roman"/>
        </w:rPr>
      </w:pPr>
      <w:r>
        <w:rPr>
          <w:rFonts w:cs="Times New Roman"/>
        </w:rPr>
        <w:t>（四）规划期限</w:t>
      </w:r>
      <w:bookmarkEnd w:id="10"/>
      <w:bookmarkEnd w:id="11"/>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本规划与《本规划与船山区</w:t>
      </w:r>
      <w:r>
        <w:rPr>
          <w:rFonts w:hint="eastAsia" w:cs="Times New Roman"/>
          <w:szCs w:val="32"/>
        </w:rPr>
        <w:t>龙老遂潼一体片区</w:t>
      </w:r>
      <w:r>
        <w:rPr>
          <w:rFonts w:cs="Times New Roman"/>
          <w:color w:val="000000" w:themeColor="text1"/>
          <w:szCs w:val="32"/>
          <w14:textFill>
            <w14:solidFill>
              <w14:schemeClr w14:val="tx1"/>
            </w14:solidFill>
          </w14:textFill>
        </w:rPr>
        <w:t>国土空间总体规划》期限一致，规划期限为2021~2035年，近期至2025年，远景至2035年。</w:t>
      </w:r>
    </w:p>
    <w:p>
      <w:pPr>
        <w:pStyle w:val="3"/>
        <w:rPr>
          <w:rFonts w:cs="Times New Roman"/>
          <w:bCs w:val="0"/>
        </w:rPr>
      </w:pPr>
      <w:bookmarkStart w:id="12" w:name="_Toc91790473"/>
      <w:bookmarkStart w:id="13" w:name="_Toc98773624"/>
      <w:bookmarkStart w:id="14" w:name="_Toc7674"/>
      <w:r>
        <w:rPr>
          <w:rFonts w:cs="Times New Roman"/>
          <w:bCs w:val="0"/>
        </w:rPr>
        <w:t>二、</w:t>
      </w:r>
      <w:bookmarkEnd w:id="12"/>
      <w:r>
        <w:rPr>
          <w:rFonts w:cs="Times New Roman"/>
          <w:bCs w:val="0"/>
        </w:rPr>
        <w:t>规划背景</w:t>
      </w:r>
      <w:bookmarkEnd w:id="13"/>
      <w:bookmarkEnd w:id="14"/>
      <w:bookmarkStart w:id="15" w:name="_Toc98773625"/>
    </w:p>
    <w:bookmarkEnd w:id="15"/>
    <w:p>
      <w:pPr>
        <w:pStyle w:val="4"/>
        <w:rPr>
          <w:rFonts w:cs="Times New Roman"/>
        </w:rPr>
      </w:pPr>
      <w:bookmarkStart w:id="16" w:name="_Toc18062"/>
      <w:r>
        <w:rPr>
          <w:rFonts w:cs="Times New Roman"/>
        </w:rPr>
        <w:t>（一）片区现状</w:t>
      </w:r>
      <w:bookmarkEnd w:id="16"/>
    </w:p>
    <w:p>
      <w:pPr>
        <w:widowControl/>
        <w:tabs>
          <w:tab w:val="left" w:pos="4678"/>
        </w:tabs>
        <w:ind w:firstLine="643"/>
        <w:rPr>
          <w:rFonts w:cs="Times New Roman"/>
          <w:kern w:val="0"/>
        </w:rPr>
      </w:pPr>
      <w:r>
        <w:rPr>
          <w:rFonts w:cs="Times New Roman"/>
          <w:b/>
          <w:szCs w:val="32"/>
        </w:rPr>
        <w:t>片区基本情况。</w:t>
      </w:r>
      <w:r>
        <w:rPr>
          <w:rFonts w:hint="eastAsia" w:cs="Times New Roman"/>
          <w:szCs w:val="32"/>
        </w:rPr>
        <w:t>龙老遂潼一体片区</w:t>
      </w:r>
      <w:r>
        <w:rPr>
          <w:rFonts w:cs="Times New Roman"/>
          <w:szCs w:val="32"/>
        </w:rPr>
        <w:t>（以下简称片区）隶属于遂宁船山区，位于</w:t>
      </w:r>
      <w:r>
        <w:t>中心城区南部</w:t>
      </w:r>
      <w:r>
        <w:rPr>
          <w:rFonts w:cs="Times New Roman"/>
          <w:szCs w:val="32"/>
        </w:rPr>
        <w:t>，涪江上游，</w:t>
      </w:r>
      <w:r>
        <w:rPr>
          <w:rFonts w:hint="eastAsia" w:cs="Times New Roman"/>
          <w:szCs w:val="32"/>
        </w:rPr>
        <w:t>范围包括老池镇大部分区域和龙凤镇定宝村、棕树村的全部以及复兴社区、寨子村的部分区域。片区东与重庆市潼南区接壤，南临安居区西眉镇，北与南强街道和蓬溪县金桥镇、荷叶乡相邻，西靠保升镇，幅员面积71.37平方公里。</w:t>
      </w:r>
      <w:r>
        <w:rPr>
          <w:rFonts w:cs="Times New Roman"/>
          <w:szCs w:val="32"/>
        </w:rPr>
        <w:t>片区总户籍人口4.22万人，现常住人口2.04万人，其中</w:t>
      </w:r>
      <w:r>
        <w:rPr>
          <w:rFonts w:hint="eastAsia" w:cs="Times New Roman"/>
          <w:szCs w:val="32"/>
        </w:rPr>
        <w:t>老池</w:t>
      </w:r>
      <w:r>
        <w:rPr>
          <w:rFonts w:cs="Times New Roman"/>
          <w:szCs w:val="32"/>
        </w:rPr>
        <w:t>镇户籍人口38258人，常住人口15945人，户籍人口城镇化率11.09%；</w:t>
      </w:r>
      <w:r>
        <w:rPr>
          <w:rFonts w:hint="eastAsia" w:cs="Times New Roman"/>
          <w:szCs w:val="32"/>
        </w:rPr>
        <w:t>龙凤镇</w:t>
      </w:r>
      <w:r>
        <w:rPr>
          <w:rFonts w:cs="Times New Roman"/>
          <w:szCs w:val="32"/>
        </w:rPr>
        <w:t>户籍人口6975人，常住人口 4486人，户籍人口城镇化率51.14%，人口密度592人/平方公里</w:t>
      </w:r>
      <w:r>
        <w:rPr>
          <w:rFonts w:hint="eastAsia" w:cs="Times New Roman"/>
          <w:szCs w:val="32"/>
        </w:rPr>
        <w:t>，片区人口主要向镇区集中，呈现“东北部密集，西南部较少”的特点</w:t>
      </w:r>
      <w:r>
        <w:rPr>
          <w:rFonts w:cs="Times New Roman"/>
          <w:szCs w:val="32"/>
        </w:rPr>
        <w:t>。</w:t>
      </w:r>
      <w:r>
        <w:rPr>
          <w:rFonts w:hint="eastAsia" w:cs="Times New Roman"/>
          <w:szCs w:val="32"/>
        </w:rPr>
        <w:t>片区从“六普”到“七普”期间，乡村人口呈现外流趋势严重，平均人口外流比例为 4</w:t>
      </w:r>
      <w:r>
        <w:rPr>
          <w:rFonts w:cs="Times New Roman"/>
          <w:szCs w:val="32"/>
        </w:rPr>
        <w:t>7.67</w:t>
      </w:r>
      <w:r>
        <w:rPr>
          <w:rFonts w:hint="eastAsia" w:cs="Times New Roman"/>
          <w:szCs w:val="32"/>
        </w:rPr>
        <w:t>%，人口流向主要流向遂宁市区、成都、重庆、沿海等地区，以外出务工为主，十四五期间预计人口将持续减少。片区</w:t>
      </w:r>
      <w:r>
        <w:t>老龄化现象明显，其中老池镇现状常住人口中， 60岁及以上老龄人口占比达31.15%</w:t>
      </w:r>
      <w:r>
        <w:rPr>
          <w:rFonts w:hint="eastAsia"/>
        </w:rPr>
        <w:t>，</w:t>
      </w:r>
      <w:r>
        <w:rPr>
          <w:rFonts w:hint="eastAsia" w:cs="Times New Roman"/>
          <w:szCs w:val="32"/>
        </w:rPr>
        <w:t>十四五期间预计</w:t>
      </w:r>
      <w:r>
        <w:t>老龄化程度</w:t>
      </w:r>
      <w:r>
        <w:rPr>
          <w:rFonts w:hint="eastAsia"/>
        </w:rPr>
        <w:t>会进一步</w:t>
      </w:r>
      <w:r>
        <w:t>加深</w:t>
      </w:r>
      <w:r>
        <w:rPr>
          <w:rFonts w:hint="eastAsia"/>
        </w:rPr>
        <w:t>。</w:t>
      </w:r>
      <w:r>
        <w:rPr>
          <w:rFonts w:cs="Times New Roman"/>
          <w:szCs w:val="32"/>
        </w:rPr>
        <w:t>片区包括2个社区和15个行政村，其中</w:t>
      </w:r>
      <w:r>
        <w:rPr>
          <w:rFonts w:hint="eastAsia" w:cs="Times New Roman"/>
          <w:szCs w:val="32"/>
        </w:rPr>
        <w:t>老池</w:t>
      </w:r>
      <w:r>
        <w:rPr>
          <w:rFonts w:cs="Times New Roman"/>
          <w:szCs w:val="32"/>
        </w:rPr>
        <w:t>镇1个社区12个行政村，</w:t>
      </w:r>
      <w:r>
        <w:rPr>
          <w:rFonts w:hint="eastAsia" w:cs="Times New Roman"/>
          <w:szCs w:val="32"/>
        </w:rPr>
        <w:t>龙凤镇</w:t>
      </w:r>
      <w:r>
        <w:rPr>
          <w:rFonts w:cs="Times New Roman"/>
          <w:szCs w:val="32"/>
        </w:rPr>
        <w:t>1个社区3个行政村。中心镇为</w:t>
      </w:r>
      <w:r>
        <w:rPr>
          <w:rFonts w:hint="eastAsia" w:cs="Times New Roman"/>
          <w:szCs w:val="32"/>
        </w:rPr>
        <w:t>老池</w:t>
      </w:r>
      <w:r>
        <w:rPr>
          <w:rFonts w:cs="Times New Roman"/>
          <w:szCs w:val="32"/>
        </w:rPr>
        <w:t>镇，一般镇为</w:t>
      </w:r>
      <w:r>
        <w:rPr>
          <w:rFonts w:hint="eastAsia" w:cs="Times New Roman"/>
          <w:szCs w:val="32"/>
        </w:rPr>
        <w:t>龙凤</w:t>
      </w:r>
      <w:r>
        <w:rPr>
          <w:rFonts w:hint="eastAsia" w:cs="Times New Roman"/>
          <w:kern w:val="0"/>
        </w:rPr>
        <w:t>镇。</w:t>
      </w:r>
      <w:r>
        <w:rPr>
          <w:rFonts w:cs="Times New Roman"/>
          <w:kern w:val="0"/>
        </w:rPr>
        <w:t>中心村有4个</w:t>
      </w:r>
      <w:r>
        <w:rPr>
          <w:rFonts w:hint="eastAsia" w:cs="Times New Roman"/>
          <w:kern w:val="0"/>
        </w:rPr>
        <w:t>：</w:t>
      </w:r>
      <w:r>
        <w:rPr>
          <w:rFonts w:cs="Times New Roman"/>
          <w:kern w:val="0"/>
        </w:rPr>
        <w:t>即</w:t>
      </w:r>
      <w:r>
        <w:rPr>
          <w:rFonts w:hint="eastAsia" w:cs="Times New Roman"/>
          <w:kern w:val="0"/>
        </w:rPr>
        <w:t>老池</w:t>
      </w:r>
      <w:r>
        <w:rPr>
          <w:rFonts w:cs="Times New Roman"/>
          <w:kern w:val="0"/>
        </w:rPr>
        <w:t>镇</w:t>
      </w:r>
      <w:r>
        <w:rPr>
          <w:rFonts w:hint="eastAsia" w:cs="Times New Roman"/>
          <w:kern w:val="0"/>
        </w:rPr>
        <w:t>书院</w:t>
      </w:r>
      <w:r>
        <w:rPr>
          <w:rFonts w:cs="Times New Roman"/>
          <w:kern w:val="0"/>
        </w:rPr>
        <w:t>村、</w:t>
      </w:r>
      <w:r>
        <w:rPr>
          <w:rFonts w:hint="eastAsia" w:cs="Times New Roman"/>
          <w:kern w:val="0"/>
        </w:rPr>
        <w:t>芋禾</w:t>
      </w:r>
      <w:r>
        <w:rPr>
          <w:rFonts w:cs="Times New Roman"/>
          <w:kern w:val="0"/>
        </w:rPr>
        <w:t>村</w:t>
      </w:r>
      <w:r>
        <w:rPr>
          <w:rFonts w:hint="eastAsia" w:cs="Times New Roman"/>
          <w:kern w:val="0"/>
        </w:rPr>
        <w:t>、花园村、龙凤镇复兴社区；其余1</w:t>
      </w:r>
      <w:r>
        <w:rPr>
          <w:rFonts w:cs="Times New Roman"/>
          <w:kern w:val="0"/>
        </w:rPr>
        <w:t>3</w:t>
      </w:r>
      <w:r>
        <w:rPr>
          <w:rFonts w:hint="eastAsia" w:cs="Times New Roman"/>
          <w:kern w:val="0"/>
        </w:rPr>
        <w:t>个为基层村</w:t>
      </w:r>
      <w:r>
        <w:rPr>
          <w:rFonts w:cs="Times New Roman"/>
          <w:kern w:val="0"/>
        </w:rPr>
        <w:t>。片区</w:t>
      </w:r>
      <w:r>
        <w:rPr>
          <w:rFonts w:hint="eastAsia" w:cs="Times New Roman"/>
          <w:kern w:val="0"/>
        </w:rPr>
        <w:t>为</w:t>
      </w:r>
      <w:r>
        <w:t>遂潼毗邻地区一体化发展先行区</w:t>
      </w:r>
      <w:r>
        <w:rPr>
          <w:rFonts w:cs="Times New Roman"/>
          <w:kern w:val="0"/>
        </w:rPr>
        <w:t>，</w:t>
      </w:r>
      <w:r>
        <w:rPr>
          <w:rFonts w:hint="eastAsia" w:cs="Times New Roman"/>
          <w:kern w:val="0"/>
        </w:rPr>
        <w:t>以</w:t>
      </w:r>
      <w:r>
        <w:t>一二三产业融合发展示范区</w:t>
      </w:r>
      <w:r>
        <w:rPr>
          <w:rFonts w:hint="eastAsia"/>
        </w:rPr>
        <w:t>为功能定位，</w:t>
      </w:r>
      <w:r>
        <w:rPr>
          <w:rFonts w:cs="Times New Roman"/>
        </w:rPr>
        <w:t>以</w:t>
      </w:r>
      <w:r>
        <w:rPr>
          <w:rFonts w:hint="eastAsia" w:cs="Times New Roman"/>
        </w:rPr>
        <w:t>装备制造、电子信息、生物科技、食品饮料、职业教育、蔬菜种植为主导产业</w:t>
      </w:r>
      <w:r>
        <w:rPr>
          <w:rFonts w:cs="Times New Roman"/>
        </w:rPr>
        <w:t>，</w:t>
      </w:r>
      <w:r>
        <w:rPr>
          <w:rFonts w:hint="eastAsia" w:cs="Times New Roman"/>
        </w:rPr>
        <w:t>属于遂潼涪江创新产业园核心区域，是船山区南拓发展的门户</w:t>
      </w:r>
      <w:r>
        <w:rPr>
          <w:rFonts w:hint="eastAsia" w:cs="Times New Roman"/>
          <w:szCs w:val="32"/>
        </w:rPr>
        <w:t>。片区内老池镇目标定位为</w:t>
      </w:r>
      <w:r>
        <w:t>遂宁南部水路物资集散地，以有机绿色农业、农副产品加工、休闲养老为主的生态宜居场镇</w:t>
      </w:r>
      <w:r>
        <w:rPr>
          <w:rFonts w:hint="eastAsia"/>
        </w:rPr>
        <w:t>；龙凤镇</w:t>
      </w:r>
      <w:r>
        <w:rPr>
          <w:rFonts w:hint="eastAsia" w:cs="Times New Roman"/>
          <w:szCs w:val="32"/>
        </w:rPr>
        <w:t>目标定位为遂宁市重要的观音文化体验基地，依托丰富的人文资源和优质生态资源，打造集户外运动、养生、休闲于一体的国际化休闲安养旅游型城镇</w:t>
      </w:r>
      <w:r>
        <w:rPr>
          <w:rFonts w:hint="eastAsia"/>
        </w:rPr>
        <w:t>。</w:t>
      </w:r>
      <w:r>
        <w:rPr>
          <w:rFonts w:cs="Times New Roman"/>
          <w:szCs w:val="32"/>
        </w:rPr>
        <w:t>片区内</w:t>
      </w:r>
      <w:r>
        <w:t>龙凤</w:t>
      </w:r>
      <w:r>
        <w:rPr>
          <w:rFonts w:hint="eastAsia"/>
        </w:rPr>
        <w:t>镇</w:t>
      </w:r>
      <w:r>
        <w:t>主要交通骨架基本形成，老池</w:t>
      </w:r>
      <w:r>
        <w:rPr>
          <w:rFonts w:hint="eastAsia"/>
        </w:rPr>
        <w:t>镇</w:t>
      </w:r>
      <w:r>
        <w:t>对外联系较弱</w:t>
      </w:r>
      <w:r>
        <w:rPr>
          <w:rFonts w:hint="eastAsia"/>
        </w:rPr>
        <w:t>。高速公路方面，</w:t>
      </w:r>
      <w:r>
        <w:rPr>
          <w:rFonts w:hint="eastAsia" w:cs="Times New Roman"/>
          <w:szCs w:val="32"/>
        </w:rPr>
        <w:t>遂内高速、遂渝高速已建成通车，并在龙凤镇设有1处下道口，打通了片区各镇向北通往射洪市、绵阳市等地，向南通往安居区、重庆潼南等地的通道。</w:t>
      </w:r>
      <w:r>
        <w:rPr>
          <w:rFonts w:cs="Times New Roman"/>
          <w:szCs w:val="32"/>
        </w:rPr>
        <w:t>国道</w:t>
      </w:r>
      <w:r>
        <w:rPr>
          <w:rFonts w:hint="eastAsia" w:cs="Times New Roman"/>
          <w:szCs w:val="32"/>
        </w:rPr>
        <w:t>方面，片区北部紧邻东西向G318，与船山主城区联系紧密；南北向有G246穿过，与潼南区、安居区联系密切。</w:t>
      </w:r>
    </w:p>
    <w:p>
      <w:pPr>
        <w:widowControl/>
        <w:ind w:firstLine="640"/>
        <w:rPr>
          <w:rFonts w:cs="Times New Roman"/>
        </w:rPr>
      </w:pPr>
      <w:r>
        <w:rPr>
          <w:rFonts w:cs="Times New Roman"/>
          <w:kern w:val="0"/>
        </w:rPr>
        <w:t>片区内自然资源优异，</w:t>
      </w:r>
      <w:r>
        <w:rPr>
          <w:rFonts w:cs="Times New Roman"/>
        </w:rPr>
        <w:t>地处涪江上游，</w:t>
      </w:r>
      <w:r>
        <w:rPr>
          <w:rFonts w:hint="eastAsia" w:cs="Times New Roman"/>
        </w:rPr>
        <w:t>涪江由西北向东南过境，地势略为东南高、西北低，地形大部分为丘陵</w:t>
      </w:r>
      <w:r>
        <w:rPr>
          <w:rFonts w:cs="Times New Roman"/>
        </w:rPr>
        <w:t>。</w:t>
      </w:r>
      <w:r>
        <w:rPr>
          <w:rFonts w:hint="eastAsia" w:cs="Times New Roman"/>
        </w:rPr>
        <w:t>属亚热带季风气候，</w:t>
      </w:r>
      <w:r>
        <w:rPr>
          <w:rFonts w:cs="Times New Roman"/>
        </w:rPr>
        <w:t>适宜开展种植业，地势起伏不大。</w:t>
      </w:r>
    </w:p>
    <w:p>
      <w:pPr>
        <w:widowControl/>
        <w:ind w:firstLine="643"/>
        <w:rPr>
          <w:rFonts w:cs="Times New Roman"/>
        </w:rPr>
      </w:pPr>
      <w:r>
        <w:rPr>
          <w:rFonts w:cs="Times New Roman"/>
          <w:b/>
          <w:szCs w:val="32"/>
        </w:rPr>
        <w:t>安全生产情况。</w:t>
      </w:r>
      <w:r>
        <w:rPr>
          <w:rFonts w:cs="Times New Roman"/>
        </w:rPr>
        <w:t>片区现有加油站2家</w:t>
      </w:r>
      <w:r>
        <w:rPr>
          <w:rFonts w:hint="eastAsia" w:cs="Times New Roman"/>
        </w:rPr>
        <w:t>，</w:t>
      </w:r>
      <w:r>
        <w:rPr>
          <w:rFonts w:cs="Times New Roman"/>
        </w:rPr>
        <w:t>燃气</w:t>
      </w:r>
      <w:r>
        <w:rPr>
          <w:rFonts w:hint="eastAsia" w:cs="Times New Roman"/>
        </w:rPr>
        <w:t>供应</w:t>
      </w:r>
      <w:r>
        <w:rPr>
          <w:rFonts w:cs="Times New Roman"/>
        </w:rPr>
        <w:t>公司1家</w:t>
      </w:r>
      <w:r>
        <w:rPr>
          <w:rFonts w:hint="eastAsia" w:cs="Times New Roman"/>
        </w:rPr>
        <w:t>，建材</w:t>
      </w:r>
      <w:r>
        <w:rPr>
          <w:rFonts w:cs="Times New Roman"/>
        </w:rPr>
        <w:t>厂7家</w:t>
      </w:r>
      <w:r>
        <w:rPr>
          <w:rFonts w:hint="eastAsia" w:cs="Times New Roman"/>
        </w:rPr>
        <w:t>，食品厂1家，</w:t>
      </w:r>
      <w:r>
        <w:rPr>
          <w:rFonts w:cs="Times New Roman"/>
        </w:rPr>
        <w:t>还有</w:t>
      </w:r>
      <w:r>
        <w:rPr>
          <w:rFonts w:cs="Times New Roman"/>
          <w:szCs w:val="32"/>
        </w:rPr>
        <w:t>烟花爆竹销售网点和小作坊等</w:t>
      </w:r>
      <w:r>
        <w:rPr>
          <w:rFonts w:cs="Times New Roman"/>
        </w:rPr>
        <w:t>；现</w:t>
      </w:r>
      <w:r>
        <w:rPr>
          <w:rFonts w:hint="eastAsia" w:cs="Times New Roman"/>
        </w:rPr>
        <w:t>以粮油为基础，绿色蔬菜、精品水果特色产业为核心，打造有机蔬菜现代农业园和种养循环现代农业园</w:t>
      </w:r>
      <w:r>
        <w:rPr>
          <w:rFonts w:cs="Times New Roman"/>
        </w:rPr>
        <w:t>。</w:t>
      </w:r>
      <w:r>
        <w:rPr>
          <w:rFonts w:cs="Times New Roman"/>
          <w:szCs w:val="32"/>
        </w:rPr>
        <w:t>十三五期间</w:t>
      </w:r>
      <w:r>
        <w:rPr>
          <w:rFonts w:hint="eastAsia" w:cs="Times New Roman"/>
          <w:szCs w:val="32"/>
        </w:rPr>
        <w:t>未发生安全</w:t>
      </w:r>
      <w:r>
        <w:rPr>
          <w:rFonts w:cs="Times New Roman"/>
          <w:szCs w:val="32"/>
        </w:rPr>
        <w:t>生产事故。</w:t>
      </w:r>
    </w:p>
    <w:p>
      <w:pPr>
        <w:ind w:firstLine="643"/>
        <w:rPr>
          <w:rFonts w:cs="Times New Roman"/>
        </w:rPr>
      </w:pPr>
      <w:r>
        <w:rPr>
          <w:rFonts w:cs="Times New Roman"/>
          <w:b/>
          <w:szCs w:val="32"/>
        </w:rPr>
        <w:t>自然灾害情况。</w:t>
      </w:r>
      <w:r>
        <w:rPr>
          <w:rFonts w:cs="Times New Roman"/>
        </w:rPr>
        <w:t>片区内存在山洪灾害、森林火灾、气象灾害、地质灾害和地震灾害等自然灾害。</w:t>
      </w:r>
    </w:p>
    <w:p>
      <w:pPr>
        <w:widowControl/>
        <w:ind w:firstLine="640"/>
        <w:rPr>
          <w:rFonts w:cs="Times New Roman"/>
          <w:szCs w:val="32"/>
        </w:rPr>
      </w:pPr>
      <w:r>
        <w:rPr>
          <w:rFonts w:cs="Times New Roman"/>
        </w:rPr>
        <w:t>山洪灾害：</w:t>
      </w:r>
      <w:r>
        <w:rPr>
          <w:rFonts w:cs="Times New Roman"/>
          <w:szCs w:val="32"/>
        </w:rPr>
        <w:t>山洪灾害为片区的主要灾害，</w:t>
      </w:r>
      <w:r>
        <w:rPr>
          <w:rFonts w:cs="Times New Roman"/>
        </w:rPr>
        <w:t>片区内有涪江，</w:t>
      </w:r>
      <w:r>
        <w:rPr>
          <w:rFonts w:cs="Times New Roman"/>
          <w:szCs w:val="32"/>
        </w:rPr>
        <w:t>加之片区农业灌溉需求较多，洪涝灾害影响尤为突出。降雨是造成片区洪涝灾害主要原因之一，降水量主要集中在</w:t>
      </w:r>
      <w:r>
        <w:rPr>
          <w:rFonts w:hint="default" w:ascii="Times New Roman" w:hAnsi="Times New Roman" w:cs="Times New Roman"/>
          <w:szCs w:val="32"/>
        </w:rPr>
        <w:t>5</w:t>
      </w:r>
      <w:r>
        <w:rPr>
          <w:rFonts w:hint="eastAsia" w:cs="Times New Roman"/>
          <w:szCs w:val="32"/>
          <w:lang w:val="en-US" w:eastAsia="zh-CN"/>
        </w:rPr>
        <w:t>~</w:t>
      </w:r>
      <w:r>
        <w:rPr>
          <w:rFonts w:hint="default" w:ascii="Times New Roman" w:hAnsi="Times New Roman" w:cs="Times New Roman"/>
          <w:szCs w:val="32"/>
        </w:rPr>
        <w:t>9</w:t>
      </w:r>
      <w:r>
        <w:rPr>
          <w:rFonts w:cs="Times New Roman"/>
          <w:szCs w:val="32"/>
        </w:rPr>
        <w:t>月，洪涝灾害主要发生在7、8月。十三五期间，因洪灾直接经济损失达383</w:t>
      </w:r>
      <w:r>
        <w:rPr>
          <w:rFonts w:hint="eastAsia" w:cs="Times New Roman"/>
          <w:szCs w:val="32"/>
        </w:rPr>
        <w:t>万元</w:t>
      </w:r>
      <w:r>
        <w:rPr>
          <w:rFonts w:cs="Times New Roman"/>
          <w:szCs w:val="32"/>
        </w:rPr>
        <w:t>。</w:t>
      </w:r>
    </w:p>
    <w:p>
      <w:pPr>
        <w:widowControl/>
        <w:ind w:firstLine="640"/>
        <w:rPr>
          <w:rFonts w:cs="Times New Roman"/>
        </w:rPr>
      </w:pPr>
      <w:r>
        <w:rPr>
          <w:rFonts w:cs="Times New Roman"/>
        </w:rPr>
        <w:t>森林火灾：林地保有量为1863.3公顷，森林覆盖率26.1%，</w:t>
      </w:r>
      <w:r>
        <w:t>以乔木林地、一般商品林为主</w:t>
      </w:r>
      <w:r>
        <w:rPr>
          <w:rFonts w:cs="Times New Roman"/>
        </w:rPr>
        <w:t>，遇到雷击等恶劣天气或人类用火极易发生森林火灾。建有防火卡点17处，该片区为重点森林防火区，近年来未发生森林火灾。</w:t>
      </w:r>
    </w:p>
    <w:p>
      <w:pPr>
        <w:ind w:firstLine="640"/>
        <w:rPr>
          <w:rFonts w:cs="Times New Roman"/>
          <w:color w:val="000000" w:themeColor="text1"/>
          <w14:textFill>
            <w14:solidFill>
              <w14:schemeClr w14:val="tx1"/>
            </w14:solidFill>
          </w14:textFill>
        </w:rPr>
      </w:pPr>
      <w:bookmarkStart w:id="17" w:name="_Hlk107080939"/>
      <w:r>
        <w:rPr>
          <w:rFonts w:cs="Times New Roman"/>
          <w:color w:val="000000" w:themeColor="text1"/>
          <w14:textFill>
            <w14:solidFill>
              <w14:schemeClr w14:val="tx1"/>
            </w14:solidFill>
          </w14:textFill>
        </w:rPr>
        <w:t>气象灾害：片区</w:t>
      </w:r>
      <w:r>
        <w:rPr>
          <w:rFonts w:cs="Times New Roman"/>
        </w:rPr>
        <w:t>处于四川盆地亚热带季风气候区，气候温和，雨量充沛，四季分明，季风气候显著。冬暖春旱，无霜期长。夏季炎热，雨热同季，旱涝交错。秋多绵雨，冬多云雾，日照较少，湿度较大。</w:t>
      </w:r>
      <w:r>
        <w:rPr>
          <w:rFonts w:cs="Times New Roman"/>
          <w:color w:val="000000" w:themeColor="text1"/>
          <w14:textFill>
            <w14:solidFill>
              <w14:schemeClr w14:val="tx1"/>
            </w14:solidFill>
          </w14:textFill>
        </w:rPr>
        <w:t>气象灾害主要为暴雨、大风等天气现象，</w:t>
      </w:r>
      <w:r>
        <w:rPr>
          <w:rFonts w:cs="Times New Roman"/>
          <w:bCs/>
          <w:color w:val="000000" w:themeColor="text1"/>
          <w14:textFill>
            <w14:solidFill>
              <w14:schemeClr w14:val="tx1"/>
            </w14:solidFill>
          </w14:textFill>
        </w:rPr>
        <w:t>以暴雨为主，十三五期间未发生人员伤亡，仅造成一定的经济损失。</w:t>
      </w:r>
      <w:r>
        <w:rPr>
          <w:rFonts w:cs="Times New Roman"/>
          <w:color w:val="000000" w:themeColor="text1"/>
          <w14:textFill>
            <w14:solidFill>
              <w14:schemeClr w14:val="tx1"/>
            </w14:solidFill>
          </w14:textFill>
        </w:rPr>
        <w:t>片区暂未建有气象观测站。</w:t>
      </w:r>
    </w:p>
    <w:bookmarkEnd w:id="17"/>
    <w:p>
      <w:pPr>
        <w:ind w:firstLine="640"/>
        <w:rPr>
          <w:rFonts w:cs="Times New Roman"/>
          <w:kern w:val="0"/>
        </w:rPr>
      </w:pPr>
      <w:r>
        <w:rPr>
          <w:rFonts w:cs="Times New Roman"/>
        </w:rPr>
        <w:t>地质灾害：</w:t>
      </w:r>
      <w:r>
        <w:rPr>
          <w:rFonts w:cs="Times New Roman"/>
          <w:kern w:val="0"/>
        </w:rPr>
        <w:t>片区在册地质灾害隐患点10处，以崩塌、滑坡为主，</w:t>
      </w:r>
      <w:r>
        <w:t>其中滑坡6处，崩塌4处</w:t>
      </w:r>
      <w:r>
        <w:rPr>
          <w:rFonts w:hint="eastAsia"/>
        </w:rPr>
        <w:t>，</w:t>
      </w:r>
      <w:r>
        <w:rPr>
          <w:rFonts w:cs="Times New Roman"/>
          <w:szCs w:val="32"/>
        </w:rPr>
        <w:t>隐患点比较分散</w:t>
      </w:r>
      <w:r>
        <w:t>。根据地灾不同类型，通过工程治理、加强监测预警等方式进行治理</w:t>
      </w:r>
      <w:r>
        <w:rPr>
          <w:rFonts w:cs="Times New Roman"/>
          <w:szCs w:val="32"/>
        </w:rPr>
        <w:t>，</w:t>
      </w:r>
      <w:r>
        <w:rPr>
          <w:rFonts w:cs="Times New Roman"/>
          <w:kern w:val="0"/>
        </w:rPr>
        <w:t>目前，地质灾害隐患点均采用</w:t>
      </w:r>
      <w:r>
        <w:rPr>
          <w:rFonts w:hint="eastAsia" w:cs="Times New Roman"/>
          <w:kern w:val="0"/>
        </w:rPr>
        <w:t>“</w:t>
      </w:r>
      <w:r>
        <w:rPr>
          <w:rFonts w:cs="Times New Roman"/>
          <w:kern w:val="0"/>
        </w:rPr>
        <w:t>群测群防-巡视-简易监测、群测群防、群测群防-专业监测-巡视</w:t>
      </w:r>
      <w:r>
        <w:rPr>
          <w:rFonts w:hint="eastAsia" w:cs="Times New Roman"/>
          <w:kern w:val="0"/>
        </w:rPr>
        <w:t>”</w:t>
      </w:r>
      <w:r>
        <w:rPr>
          <w:rFonts w:cs="Times New Roman"/>
          <w:kern w:val="0"/>
        </w:rPr>
        <w:t>多种模式开展了监测。</w:t>
      </w:r>
    </w:p>
    <w:p>
      <w:pPr>
        <w:ind w:firstLine="640"/>
        <w:rPr>
          <w:rFonts w:cs="Times New Roman"/>
          <w:szCs w:val="32"/>
        </w:rPr>
      </w:pPr>
      <w:r>
        <w:rPr>
          <w:rFonts w:cs="Times New Roman"/>
        </w:rPr>
        <w:t>地震灾害：</w:t>
      </w:r>
      <w:r>
        <w:rPr>
          <w:rFonts w:cs="Times New Roman"/>
          <w:szCs w:val="32"/>
        </w:rPr>
        <w:t>片区地属川中丘陵地区，地质结构相对稳定，受地震断裂带或断层影响较小。</w:t>
      </w:r>
      <w:r>
        <w:t>片区地震少发，属于震波及影响区。基本烈度值为Ⅵ</w:t>
      </w:r>
      <w:r>
        <w:rPr>
          <w:rFonts w:hint="eastAsia"/>
        </w:rPr>
        <w:t>，</w:t>
      </w:r>
      <w:r>
        <w:rPr>
          <w:rFonts w:cs="Times New Roman"/>
          <w:szCs w:val="32"/>
        </w:rPr>
        <w:t>据《中国地震动参数区划图》(GB18306-2015)，片区地震设防基本烈度为6度，设计基本地震加速度为0.05g，地震动反应谱特征周期为0.35s。</w:t>
      </w:r>
    </w:p>
    <w:p>
      <w:pPr>
        <w:ind w:firstLine="643"/>
        <w:rPr>
          <w:rFonts w:cs="Times New Roman"/>
          <w:color w:val="000000" w:themeColor="text1"/>
          <w:szCs w:val="32"/>
          <w14:textFill>
            <w14:solidFill>
              <w14:schemeClr w14:val="tx1"/>
            </w14:solidFill>
          </w14:textFill>
        </w:rPr>
      </w:pPr>
      <w:r>
        <w:rPr>
          <w:rFonts w:cs="Times New Roman"/>
          <w:b/>
          <w:bCs/>
          <w:szCs w:val="32"/>
        </w:rPr>
        <w:t>应急能力</w:t>
      </w:r>
      <w:r>
        <w:rPr>
          <w:rFonts w:hint="eastAsia" w:cs="Times New Roman"/>
          <w:b/>
          <w:bCs/>
          <w:szCs w:val="32"/>
        </w:rPr>
        <w:t>现状。</w:t>
      </w:r>
      <w:r>
        <w:rPr>
          <w:rFonts w:cs="Times New Roman"/>
          <w:color w:val="000000" w:themeColor="text1"/>
          <w:szCs w:val="32"/>
          <w14:textFill>
            <w14:solidFill>
              <w14:schemeClr w14:val="tx1"/>
            </w14:solidFill>
          </w14:textFill>
        </w:rPr>
        <w:t>片区各镇成立由镇党政主要领导任主任的安委会和镇党政主要领导任组长的应急工作领导小组，承担安全生产和应急指挥决策职责。应急工作领导小组办公室设在</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镇应急办，负责本区域森林防灭火、防汛防地灾、安全生产等工作。</w:t>
      </w:r>
      <w:bookmarkStart w:id="18" w:name="_Hlk100676448"/>
      <w:r>
        <w:rPr>
          <w:rFonts w:cs="Times New Roman"/>
          <w:color w:val="000000" w:themeColor="text1"/>
          <w:szCs w:val="32"/>
          <w14:textFill>
            <w14:solidFill>
              <w14:schemeClr w14:val="tx1"/>
            </w14:solidFill>
          </w14:textFill>
        </w:rPr>
        <w:t>各</w:t>
      </w:r>
      <w:bookmarkEnd w:id="18"/>
      <w:r>
        <w:rPr>
          <w:rFonts w:hint="eastAsia" w:cs="Times New Roman"/>
          <w:color w:val="000000" w:themeColor="text1"/>
          <w:szCs w:val="32"/>
          <w14:textFill>
            <w14:solidFill>
              <w14:schemeClr w14:val="tx1"/>
            </w14:solidFill>
          </w14:textFill>
        </w:rPr>
        <w:t>镇</w:t>
      </w:r>
      <w:r>
        <w:rPr>
          <w:rFonts w:hint="eastAsia" w:cs="Times New Roman"/>
          <w:szCs w:val="32"/>
        </w:rPr>
        <w:t>“</w:t>
      </w:r>
      <w:r>
        <w:rPr>
          <w:rFonts w:cs="Times New Roman"/>
          <w:szCs w:val="32"/>
        </w:rPr>
        <w:t>三长两员</w:t>
      </w:r>
      <w:r>
        <w:rPr>
          <w:rFonts w:hint="eastAsia" w:cs="Times New Roman"/>
          <w:szCs w:val="32"/>
        </w:rPr>
        <w:t>”</w:t>
      </w:r>
      <w:r>
        <w:rPr>
          <w:rFonts w:cs="Times New Roman"/>
          <w:color w:val="000000" w:themeColor="text1"/>
          <w:szCs w:val="32"/>
          <w14:textFill>
            <w14:solidFill>
              <w14:schemeClr w14:val="tx1"/>
            </w14:solidFill>
          </w14:textFill>
        </w:rPr>
        <w:t>为重点的山洪灾害、地质灾害的管理体系，建有山洪灾害、地质灾害点检测与巡查制度，每个山洪灾害隐患点</w:t>
      </w:r>
      <w:r>
        <w:rPr>
          <w:rFonts w:hint="eastAsia" w:cs="Times New Roman"/>
          <w:color w:val="000000" w:themeColor="text1"/>
          <w:szCs w:val="32"/>
          <w14:textFill>
            <w14:solidFill>
              <w14:schemeClr w14:val="tx1"/>
            </w14:solidFill>
          </w14:textFill>
        </w:rPr>
        <w:t>及</w:t>
      </w:r>
      <w:r>
        <w:rPr>
          <w:rFonts w:cs="Times New Roman"/>
          <w:color w:val="000000" w:themeColor="text1"/>
          <w:szCs w:val="32"/>
          <w14:textFill>
            <w14:solidFill>
              <w14:schemeClr w14:val="tx1"/>
            </w14:solidFill>
          </w14:textFill>
        </w:rPr>
        <w:t>地质灾害隐患点均设置有监测责任人。</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应急救援队伍。片区建立了</w:t>
      </w:r>
      <w:r>
        <w:rPr>
          <w:rFonts w:hint="eastAsia" w:cs="Times New Roman"/>
          <w:color w:val="000000" w:themeColor="text1"/>
          <w:szCs w:val="32"/>
          <w14:textFill>
            <w14:solidFill>
              <w14:schemeClr w14:val="tx1"/>
            </w14:solidFill>
          </w14:textFill>
        </w:rPr>
        <w:t>1支镇专职消防队伍3人，</w:t>
      </w:r>
      <w:r>
        <w:rPr>
          <w:rFonts w:cs="Times New Roman"/>
          <w:color w:val="000000" w:themeColor="text1"/>
          <w:szCs w:val="32"/>
          <w14:textFill>
            <w14:solidFill>
              <w14:schemeClr w14:val="tx1"/>
            </w14:solidFill>
          </w14:textFill>
        </w:rPr>
        <w:t>2支综合应急救援队伍共62人，建立了村级应急救援分队共17支180人，均为兼职人员，承担本辖区内地震、地质灾害、洪涝灾害、森林火灾的前期处置工作；各镇有森林防火半专业扑火队，共85人，配备有高压接力水泵、抽水机、发电机、油锯、对讲机、背负式灭火器等装备。</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应急预案。片区各镇编制了突发事件总体应急预案、</w:t>
      </w:r>
      <w:r>
        <w:rPr>
          <w:rFonts w:hint="eastAsia" w:cs="Times New Roman"/>
          <w:color w:val="000000" w:themeColor="text1"/>
          <w:szCs w:val="32"/>
          <w14:textFill>
            <w14:solidFill>
              <w14:schemeClr w14:val="tx1"/>
            </w14:solidFill>
          </w14:textFill>
        </w:rPr>
        <w:t>地震灾害应急预案、旅游景区突发事件专项应急预案、道路交通专项应急预案、</w:t>
      </w:r>
      <w:r>
        <w:rPr>
          <w:rFonts w:cs="Times New Roman"/>
          <w:color w:val="000000" w:themeColor="text1"/>
          <w:szCs w:val="32"/>
          <w14:textFill>
            <w14:solidFill>
              <w14:schemeClr w14:val="tx1"/>
            </w14:solidFill>
          </w14:textFill>
        </w:rPr>
        <w:t>森林火灾应急预案、山洪灾害应急预案、地质灾害应急预案、突发重特大地震灾害应急处置工作方案等，并数次开展地震、地灾、森林防火、防汛等应急演练。</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应急避难场所。片区以学校、政府驻地、村委会为基础，临时应急避难场所8处共计42683</w:t>
      </w:r>
      <w:r>
        <w:rPr>
          <w:rFonts w:hint="eastAsia" w:cs="Times New Roman"/>
          <w:color w:val="000000" w:themeColor="text1"/>
          <w:szCs w:val="32"/>
          <w14:textFill>
            <w14:solidFill>
              <w14:schemeClr w14:val="tx1"/>
            </w14:solidFill>
          </w14:textFill>
        </w:rPr>
        <w:t>m</w:t>
      </w:r>
      <w:r>
        <w:rPr>
          <w:rFonts w:cs="Times New Roman"/>
          <w:color w:val="000000" w:themeColor="text1"/>
          <w:szCs w:val="32"/>
          <w:vertAlign w:val="superscript"/>
          <w14:textFill>
            <w14:solidFill>
              <w14:schemeClr w14:val="tx1"/>
            </w14:solidFill>
          </w14:textFill>
        </w:rPr>
        <w:t>2</w:t>
      </w:r>
      <w:r>
        <w:rPr>
          <w:rFonts w:cs="Times New Roman"/>
          <w:color w:val="000000" w:themeColor="text1"/>
          <w:szCs w:val="32"/>
          <w14:textFill>
            <w14:solidFill>
              <w14:schemeClr w14:val="tx1"/>
            </w14:solidFill>
          </w14:textFill>
        </w:rPr>
        <w:t>。</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应急物资。片区目前</w:t>
      </w:r>
      <w:r>
        <w:rPr>
          <w:rFonts w:hint="eastAsia" w:cs="Times New Roman"/>
          <w:color w:val="000000" w:themeColor="text1"/>
          <w:szCs w:val="32"/>
          <w14:textFill>
            <w14:solidFill>
              <w14:schemeClr w14:val="tx1"/>
            </w14:solidFill>
          </w14:textFill>
        </w:rPr>
        <w:t>有</w:t>
      </w:r>
      <w:r>
        <w:rPr>
          <w:rFonts w:cs="Times New Roman"/>
          <w:color w:val="000000" w:themeColor="text1"/>
          <w:szCs w:val="32"/>
          <w14:textFill>
            <w14:solidFill>
              <w14:schemeClr w14:val="tx1"/>
            </w14:solidFill>
          </w14:textFill>
        </w:rPr>
        <w:t>应急物资储备库2</w:t>
      </w:r>
      <w:r>
        <w:rPr>
          <w:rFonts w:hint="eastAsia" w:cs="Times New Roman"/>
          <w:color w:val="000000" w:themeColor="text1"/>
          <w:szCs w:val="32"/>
          <w14:textFill>
            <w14:solidFill>
              <w14:schemeClr w14:val="tx1"/>
            </w14:solidFill>
          </w14:textFill>
        </w:rPr>
        <w:t>处</w:t>
      </w:r>
      <w:r>
        <w:rPr>
          <w:rFonts w:cs="Times New Roman"/>
          <w:color w:val="000000" w:themeColor="text1"/>
          <w:szCs w:val="32"/>
          <w14:textFill>
            <w14:solidFill>
              <w14:schemeClr w14:val="tx1"/>
            </w14:solidFill>
          </w14:textFill>
        </w:rPr>
        <w:t>，应急物资储备主要依托于镇政府和</w:t>
      </w:r>
      <w:r>
        <w:rPr>
          <w:rFonts w:hint="eastAsia" w:cs="Times New Roman"/>
          <w:color w:val="000000" w:themeColor="text1"/>
          <w:szCs w:val="32"/>
          <w14:textFill>
            <w14:solidFill>
              <w14:schemeClr w14:val="tx1"/>
            </w14:solidFill>
          </w14:textFill>
        </w:rPr>
        <w:t>敬老院</w:t>
      </w:r>
      <w:r>
        <w:rPr>
          <w:rFonts w:cs="Times New Roman"/>
          <w:color w:val="000000" w:themeColor="text1"/>
          <w:szCs w:val="32"/>
          <w14:textFill>
            <w14:solidFill>
              <w14:schemeClr w14:val="tx1"/>
            </w14:solidFill>
          </w14:textFill>
        </w:rPr>
        <w:t>库房，存放有电筒、雨鞋、救生衣、雨衣、铁锹、发电机、应急照明灯、编织袋等应急物资，共计物资1144件套</w:t>
      </w:r>
      <w:r>
        <w:rPr>
          <w:rFonts w:hint="eastAsia" w:cs="Times New Roman"/>
          <w:color w:val="000000" w:themeColor="text1"/>
          <w:szCs w:val="32"/>
          <w14:textFill>
            <w14:solidFill>
              <w14:schemeClr w14:val="tx1"/>
            </w14:solidFill>
          </w14:textFill>
        </w:rPr>
        <w:t>，价值5万余元</w:t>
      </w:r>
      <w:r>
        <w:rPr>
          <w:rFonts w:cs="Times New Roman"/>
          <w:color w:val="000000" w:themeColor="text1"/>
          <w:szCs w:val="32"/>
          <w14:textFill>
            <w14:solidFill>
              <w14:schemeClr w14:val="tx1"/>
            </w14:solidFill>
          </w14:textFill>
        </w:rPr>
        <w:t>。</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基础设施建设。洪涝灾害防治方面，片区内山洪灾害隐患点有2处，建有自动雨量站2处、自动水位站1处。气象灾害防治方面，片区暂未建有气象观测站。地质灾害防治方面，片区现有地质灾害隐患点10处，各隐患点均安装了地质灾害监测预警设备。森林防灭火方面，物资储备库40平方米，宣传碑1个，累计建成防火通道25.02公里，消防水池9处</w:t>
      </w:r>
      <w:r>
        <w:rPr>
          <w:rFonts w:hint="eastAsia" w:cs="Times New Roman"/>
          <w:color w:val="000000" w:themeColor="text1"/>
          <w:szCs w:val="32"/>
          <w14:textFill>
            <w14:solidFill>
              <w14:schemeClr w14:val="tx1"/>
            </w14:solidFill>
          </w14:textFill>
        </w:rPr>
        <w:t>共计3</w:t>
      </w:r>
      <w:r>
        <w:rPr>
          <w:rFonts w:cs="Times New Roman"/>
          <w:color w:val="000000" w:themeColor="text1"/>
          <w:szCs w:val="32"/>
          <w14:textFill>
            <w14:solidFill>
              <w14:schemeClr w14:val="tx1"/>
            </w14:solidFill>
          </w14:textFill>
        </w:rPr>
        <w:t>60</w:t>
      </w:r>
      <w:r>
        <w:rPr>
          <w:rFonts w:hint="eastAsia" w:cs="Times New Roman"/>
          <w:color w:val="000000" w:themeColor="text1"/>
          <w:szCs w:val="32"/>
          <w14:textFill>
            <w14:solidFill>
              <w14:schemeClr w14:val="tx1"/>
            </w14:solidFill>
          </w14:textFill>
        </w:rPr>
        <w:t>m</w:t>
      </w:r>
      <w:r>
        <w:rPr>
          <w:rFonts w:cs="Times New Roman"/>
          <w:color w:val="000000" w:themeColor="text1"/>
          <w:szCs w:val="32"/>
          <w:vertAlign w:val="superscript"/>
          <w14:textFill>
            <w14:solidFill>
              <w14:schemeClr w14:val="tx1"/>
            </w14:solidFill>
          </w14:textFill>
        </w:rPr>
        <w:t>3</w:t>
      </w:r>
      <w:r>
        <w:rPr>
          <w:rFonts w:cs="Times New Roman"/>
          <w:color w:val="000000" w:themeColor="text1"/>
          <w:szCs w:val="32"/>
          <w14:textFill>
            <w14:solidFill>
              <w14:schemeClr w14:val="tx1"/>
            </w14:solidFill>
          </w14:textFill>
        </w:rPr>
        <w:t>。</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信息化建设。片区各镇配备了卫星电话4部。片区各镇、村</w:t>
      </w:r>
      <w:r>
        <w:rPr>
          <w:rFonts w:hint="eastAsia" w:cs="Times New Roman"/>
          <w:color w:val="000000" w:themeColor="text1"/>
          <w:szCs w:val="32"/>
          <w14:textFill>
            <w14:solidFill>
              <w14:schemeClr w14:val="tx1"/>
            </w14:solidFill>
          </w14:textFill>
        </w:rPr>
        <w:t>（社区）</w:t>
      </w:r>
      <w:r>
        <w:rPr>
          <w:rFonts w:cs="Times New Roman"/>
          <w:color w:val="000000" w:themeColor="text1"/>
          <w:szCs w:val="32"/>
          <w14:textFill>
            <w14:solidFill>
              <w14:schemeClr w14:val="tx1"/>
            </w14:solidFill>
          </w14:textFill>
        </w:rPr>
        <w:t>通过运用手机、微信群、卫星电话、广播村村响系统、手持对讲机、护林员巡护定位系统APP等搭建信息化网络。</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应急宣传。片区各镇利用电视、广播、防灾减灾日、安全生产月、消防月、交通安全月等形式，开展消防、安全生产、森林火灾、防震减灾、交通安全等宣传活动；</w:t>
      </w:r>
      <w:bookmarkStart w:id="19" w:name="_Hlk109650357"/>
      <w:r>
        <w:rPr>
          <w:rFonts w:cs="Times New Roman"/>
          <w:color w:val="000000" w:themeColor="text1"/>
          <w:szCs w:val="32"/>
          <w14:textFill>
            <w14:solidFill>
              <w14:schemeClr w14:val="tx1"/>
            </w14:solidFill>
          </w14:textFill>
        </w:rPr>
        <w:t>各镇</w:t>
      </w:r>
      <w:bookmarkEnd w:id="19"/>
      <w:r>
        <w:rPr>
          <w:rFonts w:cs="Times New Roman"/>
          <w:color w:val="000000" w:themeColor="text1"/>
          <w:szCs w:val="32"/>
          <w14:textFill>
            <w14:solidFill>
              <w14:schemeClr w14:val="tx1"/>
            </w14:solidFill>
          </w14:textFill>
        </w:rPr>
        <w:t>利用</w:t>
      </w:r>
      <w:bookmarkStart w:id="20" w:name="_Hlk109650344"/>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五进</w:t>
      </w:r>
      <w:r>
        <w:rPr>
          <w:rFonts w:hint="eastAsia" w:cs="Times New Roman"/>
          <w:color w:val="000000" w:themeColor="text1"/>
          <w:szCs w:val="32"/>
          <w14:textFill>
            <w14:solidFill>
              <w14:schemeClr w14:val="tx1"/>
            </w14:solidFill>
          </w14:textFill>
        </w:rPr>
        <w:t>”</w:t>
      </w:r>
      <w:bookmarkEnd w:id="20"/>
      <w:r>
        <w:rPr>
          <w:rFonts w:cs="Times New Roman"/>
          <w:color w:val="000000" w:themeColor="text1"/>
          <w:szCs w:val="32"/>
          <w14:textFill>
            <w14:solidFill>
              <w14:schemeClr w14:val="tx1"/>
            </w14:solidFill>
          </w14:textFill>
        </w:rPr>
        <w:t>活动，开展进企业、进农村、进村社、进校园、进家庭安全知识宣传培训。</w:t>
      </w:r>
    </w:p>
    <w:p>
      <w:pPr>
        <w:pStyle w:val="4"/>
        <w:rPr>
          <w:rFonts w:cs="Times New Roman"/>
        </w:rPr>
      </w:pPr>
      <w:bookmarkStart w:id="21" w:name="_Toc5545"/>
      <w:bookmarkStart w:id="22" w:name="_Toc98773627"/>
      <w:r>
        <w:rPr>
          <w:rFonts w:cs="Times New Roman"/>
        </w:rPr>
        <w:t>（二）面临</w:t>
      </w:r>
      <w:bookmarkEnd w:id="21"/>
      <w:r>
        <w:rPr>
          <w:rFonts w:cs="Times New Roman"/>
        </w:rPr>
        <w:t>形势</w:t>
      </w:r>
    </w:p>
    <w:p>
      <w:pPr>
        <w:ind w:firstLine="643"/>
        <w:rPr>
          <w:rFonts w:eastAsia="黑体" w:cs="Times New Roman"/>
        </w:rPr>
      </w:pPr>
      <w:r>
        <w:rPr>
          <w:rFonts w:cs="Times New Roman"/>
          <w:b/>
        </w:rPr>
        <w:t>安全生产方面。</w:t>
      </w:r>
      <w:r>
        <w:rPr>
          <w:rFonts w:cs="Times New Roman"/>
          <w:color w:val="000000" w:themeColor="text1"/>
          <w:szCs w:val="32"/>
          <w14:textFill>
            <w14:solidFill>
              <w14:schemeClr w14:val="tx1"/>
            </w14:solidFill>
          </w14:textFill>
        </w:rPr>
        <w:t>片区内有加油站、燃气公司，存在燃烧爆炸、中毒窒息等安全风险；片区内页岩砖厂、砂石厂，采挖形成高陡边坡以及道路建设边坡开挖等，容易诱发地面塌陷、滑坡、泥石流等地质灾害</w:t>
      </w:r>
      <w:r>
        <w:rPr>
          <w:rFonts w:cs="Times New Roman"/>
        </w:rPr>
        <w:t>。</w:t>
      </w:r>
    </w:p>
    <w:p>
      <w:pPr>
        <w:ind w:firstLine="640"/>
        <w:rPr>
          <w:rFonts w:cs="Times New Roman"/>
        </w:rPr>
      </w:pPr>
      <w:r>
        <w:rPr>
          <w:rFonts w:cs="Times New Roman"/>
        </w:rPr>
        <w:t>片区有多个现代农业产业园及养殖园，主要的安全生产风险有火灾、触电、机械伤害等。</w:t>
      </w:r>
    </w:p>
    <w:p>
      <w:pPr>
        <w:ind w:firstLine="640"/>
        <w:rPr>
          <w:rFonts w:cs="Times New Roman"/>
        </w:rPr>
      </w:pPr>
      <w:r>
        <w:rPr>
          <w:rFonts w:cs="Times New Roman"/>
        </w:rPr>
        <w:t>虽片区安全生产总体可控，但片区内部分企业主体责任落实力度不够，未全面建立健全安全生产责任清单制管理，规章制度建立不完善，风险辨识不全面，安全培训教育质量不高，员工安全意识淡薄，执行操作规程不熟练，还存在隐患排查治理不到位现象。</w:t>
      </w:r>
    </w:p>
    <w:p>
      <w:pPr>
        <w:ind w:firstLine="643"/>
        <w:rPr>
          <w:rFonts w:cs="Times New Roman"/>
        </w:rPr>
      </w:pPr>
      <w:r>
        <w:rPr>
          <w:rFonts w:cs="Times New Roman"/>
          <w:b/>
        </w:rPr>
        <w:t>自然灾害方面。</w:t>
      </w:r>
      <w:r>
        <w:rPr>
          <w:rFonts w:cs="Times New Roman"/>
        </w:rPr>
        <w:t>片区主要内存在山洪灾害、森林火灾、气象灾害、地质灾害和地震灾害等。</w:t>
      </w:r>
    </w:p>
    <w:p>
      <w:pPr>
        <w:widowControl/>
        <w:ind w:firstLine="640"/>
        <w:jc w:val="left"/>
        <w:rPr>
          <w:rFonts w:cs="Times New Roman"/>
        </w:rPr>
      </w:pPr>
      <w:r>
        <w:rPr>
          <w:rFonts w:cs="Times New Roman"/>
          <w:color w:val="000000" w:themeColor="text1"/>
          <w:szCs w:val="32"/>
          <w14:textFill>
            <w14:solidFill>
              <w14:schemeClr w14:val="tx1"/>
            </w14:solidFill>
          </w14:textFill>
        </w:rPr>
        <w:t>山洪灾害。片区</w:t>
      </w:r>
      <w:r>
        <w:rPr>
          <w:rFonts w:hint="eastAsia" w:cs="Times New Roman"/>
          <w:color w:val="000000" w:themeColor="text1"/>
          <w:szCs w:val="32"/>
          <w14:textFill>
            <w14:solidFill>
              <w14:schemeClr w14:val="tx1"/>
            </w14:solidFill>
          </w14:textFill>
        </w:rPr>
        <w:t>主要灾害为洪涝灾害，每年7</w:t>
      </w:r>
      <w:r>
        <w:rPr>
          <w:rFonts w:hint="eastAsia" w:cs="Times New Roman"/>
          <w:color w:val="000000" w:themeColor="text1"/>
          <w:szCs w:val="32"/>
          <w:lang w:val="en-US" w:eastAsia="zh-CN"/>
          <w14:textFill>
            <w14:solidFill>
              <w14:schemeClr w14:val="tx1"/>
            </w14:solidFill>
          </w14:textFill>
        </w:rPr>
        <w:t>~</w:t>
      </w:r>
      <w:r>
        <w:rPr>
          <w:rFonts w:cs="Times New Roman"/>
          <w:color w:val="000000" w:themeColor="text1"/>
          <w:szCs w:val="32"/>
          <w14:textFill>
            <w14:solidFill>
              <w14:schemeClr w14:val="tx1"/>
            </w14:solidFill>
          </w14:textFill>
        </w:rPr>
        <w:t>8</w:t>
      </w:r>
      <w:r>
        <w:rPr>
          <w:rFonts w:hint="eastAsia" w:cs="Times New Roman"/>
          <w:color w:val="000000" w:themeColor="text1"/>
          <w:szCs w:val="32"/>
          <w14:textFill>
            <w14:solidFill>
              <w14:schemeClr w14:val="tx1"/>
            </w14:solidFill>
          </w14:textFill>
        </w:rPr>
        <w:t>月为重点防汛期，</w:t>
      </w:r>
      <w:r>
        <w:rPr>
          <w:rFonts w:cs="Times New Roman"/>
          <w:color w:val="000000" w:themeColor="text1"/>
          <w:szCs w:val="32"/>
          <w14:textFill>
            <w14:solidFill>
              <w14:schemeClr w14:val="tx1"/>
            </w14:solidFill>
          </w14:textFill>
        </w:rPr>
        <w:t>现有山洪灾害危险区2处，且大部分隐患点还未整治，受气象影响，在暴雨季节，容易</w:t>
      </w:r>
      <w:r>
        <w:rPr>
          <w:rFonts w:cs="Times New Roman"/>
          <w:bCs/>
        </w:rPr>
        <w:t>造成水位上涨，引发洪涝灾害。</w:t>
      </w:r>
      <w:r>
        <w:rPr>
          <w:rFonts w:cs="Times New Roman"/>
          <w:szCs w:val="32"/>
        </w:rPr>
        <w:t>片区自动雨量站点和自动水位站点数量不足、设备老化，报警器等装备不足，灾害预警员专业水平较低，山洪灾害防范能力差。</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森林火灾。片区为重点森林防火区，部分重点林区未规范开设生物隔离带，物理隔离带未定期进行可燃物清理、火灾隐患突出。</w:t>
      </w:r>
      <w:r>
        <w:rPr>
          <w:rFonts w:cs="Times New Roman"/>
          <w:szCs w:val="32"/>
        </w:rPr>
        <w:t>片区目前森林火险预警监控不完善，无人机火情监测等移动监测手段空白，视频监控、林火识别、自动报警等设施设备缺乏，森林火险预测预报及时性、准确性不够，森林防火巡护主要还靠人工瞭望的模式</w:t>
      </w:r>
      <w:r>
        <w:rPr>
          <w:rFonts w:cs="Times New Roman"/>
          <w:color w:val="000000" w:themeColor="text1"/>
          <w:szCs w:val="32"/>
          <w14:textFill>
            <w14:solidFill>
              <w14:schemeClr w14:val="tx1"/>
            </w14:solidFill>
          </w14:textFill>
        </w:rPr>
        <w:t>。</w:t>
      </w:r>
    </w:p>
    <w:p>
      <w:pPr>
        <w:ind w:firstLine="640"/>
        <w:rPr>
          <w:rFonts w:cs="Times New Roman"/>
        </w:rPr>
      </w:pPr>
      <w:r>
        <w:rPr>
          <w:rFonts w:cs="Times New Roman"/>
          <w:color w:val="000000" w:themeColor="text1"/>
          <w:szCs w:val="32"/>
          <w14:textFill>
            <w14:solidFill>
              <w14:schemeClr w14:val="tx1"/>
            </w14:solidFill>
          </w14:textFill>
        </w:rPr>
        <w:t>气象灾害。区内暴雨、大风、雷电等气象灾害多发，</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村社气象防灾减灾服务体系不完善，24小时内晴雨预报准确率、气温预报准确率、暴雨预警准确率、气象灾害风险预警准确率、气象应急联动部门衔接率、气象预警信息发布覆盖率有待提升，灾害性天气落区预警精细化程度有待提高。</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地质灾害。片区现有</w:t>
      </w:r>
      <w:r>
        <w:rPr>
          <w:rFonts w:cs="Times New Roman"/>
        </w:rPr>
        <w:t>地质灾害隐患点10处，</w:t>
      </w:r>
      <w:r>
        <w:rPr>
          <w:rFonts w:cs="Times New Roman"/>
          <w:bCs/>
        </w:rPr>
        <w:t>在暴雨季节，存在滑坡、崩塌风险。</w:t>
      </w:r>
      <w:r>
        <w:rPr>
          <w:rFonts w:cs="Times New Roman"/>
          <w:color w:val="000000" w:themeColor="text1"/>
          <w:szCs w:val="32"/>
          <w14:textFill>
            <w14:solidFill>
              <w14:schemeClr w14:val="tx1"/>
            </w14:solidFill>
          </w14:textFill>
        </w:rPr>
        <w:t>地质灾害防治任务重，现有监测设备在数量、性能的可靠性、耐久性等方面存在不足，监测预警准确率有待提升，人工巡查专业性不强。</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地震灾害。片区防震减灾基础能力不足，农村民居抗震设防能力低，地震公共服务基础薄弱，数字化、信息化程度不高，地震监测台站维护体系不健全，</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群测群防</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意识还需进一步提高。</w:t>
      </w:r>
    </w:p>
    <w:p>
      <w:pPr>
        <w:ind w:firstLine="643"/>
        <w:rPr>
          <w:rFonts w:cs="Times New Roman"/>
          <w:color w:val="000000" w:themeColor="text1"/>
          <w:szCs w:val="32"/>
          <w14:textFill>
            <w14:solidFill>
              <w14:schemeClr w14:val="tx1"/>
            </w14:solidFill>
          </w14:textFill>
        </w:rPr>
      </w:pPr>
      <w:r>
        <w:rPr>
          <w:rFonts w:cs="Times New Roman"/>
          <w:b/>
          <w:bCs/>
          <w:szCs w:val="32"/>
        </w:rPr>
        <w:t>应急能力</w:t>
      </w:r>
      <w:r>
        <w:rPr>
          <w:rFonts w:cs="Times New Roman"/>
          <w:b/>
          <w:bCs/>
        </w:rPr>
        <w:t>方面</w:t>
      </w:r>
      <w:r>
        <w:rPr>
          <w:rFonts w:cs="Times New Roman"/>
        </w:rPr>
        <w:t>。</w:t>
      </w:r>
      <w:r>
        <w:rPr>
          <w:rFonts w:cs="Times New Roman"/>
          <w:color w:val="000000" w:themeColor="text1"/>
          <w:szCs w:val="32"/>
          <w14:textFill>
            <w14:solidFill>
              <w14:schemeClr w14:val="tx1"/>
            </w14:solidFill>
          </w14:textFill>
        </w:rPr>
        <w:t>片区各镇安委会和应急工作领导小组工作职责还未全面理顺，应急管理体系还不健全，应急指挥能力稍显欠缺。应急办存在力量配置不足、专业素养不高、资金短缺等问题，预防和初期处置突发事件能力不足，应急统筹协调能力有待提升，尚未完全建立协同联动机制。</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应急队伍方面。片区</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一主两辅</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的应急救援能力还未健全，片区未设置专业消防队伍，乡镇级及村级应急救援队伍多为半专业兼职人员，专业能力</w:t>
      </w:r>
      <w:r>
        <w:rPr>
          <w:rFonts w:hint="eastAsia" w:cs="Times New Roman"/>
          <w:color w:val="000000" w:themeColor="text1"/>
          <w:szCs w:val="32"/>
          <w:lang w:val="en-US" w:eastAsia="zh-CN"/>
          <w14:textFill>
            <w14:solidFill>
              <w14:schemeClr w14:val="tx1"/>
            </w14:solidFill>
          </w14:textFill>
        </w:rPr>
        <w:t>稍显</w:t>
      </w:r>
      <w:r>
        <w:rPr>
          <w:rFonts w:cs="Times New Roman"/>
          <w:color w:val="000000" w:themeColor="text1"/>
          <w:szCs w:val="32"/>
          <w14:textFill>
            <w14:solidFill>
              <w14:schemeClr w14:val="tx1"/>
            </w14:solidFill>
          </w14:textFill>
        </w:rPr>
        <w:t>不足，各应急队伍间还未形成协调联动机制。面对全灾种、全链条的应急救援要求，片区人员编制少、监管能力不足，各镇应急管理人员多为专兼职人员，专业人员缺乏，信息化水平低，应急处置能力亟待提升。片区应急装备不足，不能满足片区抗灾要求。</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应急预案方面。片区各镇、村社应急预案缺乏针对性、可操作性，片区各镇安全生产、消防、防汛、减灾救灾、防震救灾、森林防灭火等应急预案编制不够规范、内容尚需完善，未编制村综合性</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多案合一</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应急手册，</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镇、村社现有应急预案衔接性较差。</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避难场所方面。片区紧急应急避难场所设置不规范，相应公共配套设施和物资配备不够完备。发生突发事件时，只有到广场、学校、村委会开阔地带进行临时避险，与有效应对重特大灾害事故的要求还有差距，功能还不健全。</w:t>
      </w:r>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应急物资储备方面。片区现有应急物资库（点）规范性建设还不完善，配备的应急物资及装备仍不足，存放的应急物资种类及数量较少，各应急物资储备库、储备点的物资仅能满足受灾群众临时生活需求，储备库建设标准不高，物资种类不全，规范性管理有待提升。</w:t>
      </w:r>
    </w:p>
    <w:p>
      <w:pPr>
        <w:ind w:firstLine="643"/>
        <w:rPr>
          <w:rFonts w:cs="Times New Roman"/>
          <w:bCs/>
        </w:rPr>
      </w:pPr>
      <w:r>
        <w:rPr>
          <w:rFonts w:cs="Times New Roman"/>
          <w:b/>
          <w:bCs/>
          <w:color w:val="000000" w:themeColor="text1"/>
          <w:szCs w:val="32"/>
          <w14:textFill>
            <w14:solidFill>
              <w14:schemeClr w14:val="tx1"/>
            </w14:solidFill>
          </w14:textFill>
        </w:rPr>
        <w:t>共建共治共享方面。</w:t>
      </w:r>
      <w:r>
        <w:rPr>
          <w:rFonts w:cs="Times New Roman"/>
          <w:color w:val="000000" w:themeColor="text1"/>
          <w:szCs w:val="32"/>
          <w14:textFill>
            <w14:solidFill>
              <w14:schemeClr w14:val="tx1"/>
            </w14:solidFill>
          </w14:textFill>
        </w:rPr>
        <w:t>宣传覆盖面不足，公众参与应急救援的组织化、规范化程度较低，社会动员机制尚需完善。应急知识的宣传教育还不够深入，公众风险防范意识和自救互救能力仍需提高；</w:t>
      </w:r>
      <w:r>
        <w:rPr>
          <w:rFonts w:cs="Times New Roman"/>
          <w:bCs/>
        </w:rPr>
        <w:t>企业员工安全意识还有待提升，应对突发事件的基本知识和救援能力可继续加强。</w:t>
      </w:r>
    </w:p>
    <w:p>
      <w:pPr>
        <w:pStyle w:val="3"/>
        <w:rPr>
          <w:rFonts w:cs="Times New Roman"/>
          <w:bCs w:val="0"/>
        </w:rPr>
      </w:pPr>
      <w:bookmarkStart w:id="23" w:name="_Toc2312"/>
      <w:r>
        <w:rPr>
          <w:rFonts w:cs="Times New Roman"/>
          <w:bCs w:val="0"/>
        </w:rPr>
        <w:t>三、规划目标</w:t>
      </w:r>
      <w:bookmarkEnd w:id="23"/>
    </w:p>
    <w:bookmarkEnd w:id="22"/>
    <w:p>
      <w:pPr>
        <w:pStyle w:val="4"/>
        <w:rPr>
          <w:rFonts w:cs="Times New Roman"/>
          <w:bCs w:val="0"/>
        </w:rPr>
      </w:pPr>
      <w:bookmarkStart w:id="24" w:name="_Toc98773628"/>
      <w:bookmarkStart w:id="25" w:name="_Toc6985"/>
      <w:bookmarkStart w:id="26" w:name="_Toc15024"/>
      <w:bookmarkStart w:id="27" w:name="_Toc98773629"/>
      <w:r>
        <w:rPr>
          <w:rFonts w:cs="Times New Roman"/>
          <w:bCs w:val="0"/>
        </w:rPr>
        <w:t>（一）</w:t>
      </w:r>
      <w:bookmarkEnd w:id="24"/>
      <w:r>
        <w:rPr>
          <w:rFonts w:cs="Times New Roman"/>
          <w:bCs w:val="0"/>
        </w:rPr>
        <w:t>近期目标</w:t>
      </w:r>
      <w:bookmarkEnd w:id="25"/>
      <w:bookmarkEnd w:id="26"/>
    </w:p>
    <w:bookmarkEnd w:id="27"/>
    <w:p>
      <w:pPr>
        <w:ind w:firstLine="640"/>
        <w:rPr>
          <w:rFonts w:cs="Times New Roman"/>
          <w:color w:val="000000" w:themeColor="text1"/>
          <w:szCs w:val="32"/>
          <w14:textFill>
            <w14:solidFill>
              <w14:schemeClr w14:val="tx1"/>
            </w14:solidFill>
          </w14:textFill>
        </w:rPr>
      </w:pPr>
      <w:bookmarkStart w:id="28" w:name="_Toc91792983"/>
      <w:bookmarkStart w:id="29" w:name="_Toc91790490"/>
      <w:bookmarkStart w:id="30" w:name="_Toc98773631"/>
      <w:r>
        <w:rPr>
          <w:rFonts w:cs="Times New Roman"/>
          <w:color w:val="000000" w:themeColor="text1"/>
          <w:szCs w:val="32"/>
          <w14:textFill>
            <w14:solidFill>
              <w14:schemeClr w14:val="tx1"/>
            </w14:solidFill>
          </w14:textFill>
        </w:rPr>
        <w:t>到2025年，形成统一领导、权责一致、规范高效的乡镇级应急管理体系。应急管理的系统性、整体性、协同性显著增强，应急响应、指挥、处置能力和基层基础保障能力显著提升，安全风险得到有效管控，自然灾害防御能力进一步提高，应急管理能力现代化水平跃上新台阶。</w:t>
      </w:r>
    </w:p>
    <w:p>
      <w:pPr>
        <w:ind w:firstLine="643"/>
        <w:rPr>
          <w:rFonts w:cs="Times New Roman"/>
          <w:color w:val="000000" w:themeColor="text1"/>
          <w:szCs w:val="32"/>
          <w14:textFill>
            <w14:solidFill>
              <w14:schemeClr w14:val="tx1"/>
            </w14:solidFill>
          </w14:textFill>
        </w:rPr>
      </w:pPr>
      <w:r>
        <w:rPr>
          <w:rFonts w:cs="Times New Roman"/>
          <w:b/>
          <w:bCs/>
          <w:color w:val="000000" w:themeColor="text1"/>
          <w:szCs w:val="32"/>
          <w14:textFill>
            <w14:solidFill>
              <w14:schemeClr w14:val="tx1"/>
            </w14:solidFill>
          </w14:textFill>
        </w:rPr>
        <w:t>安全生产目标。</w:t>
      </w:r>
      <w:r>
        <w:rPr>
          <w:rFonts w:cs="Times New Roman"/>
          <w:color w:val="000000" w:themeColor="text1"/>
          <w:szCs w:val="32"/>
          <w14:textFill>
            <w14:solidFill>
              <w14:schemeClr w14:val="tx1"/>
            </w14:solidFill>
          </w14:textFill>
        </w:rPr>
        <w:t>安全生产风险防范化解机制更加健全，安全生产责任全面落实，风险分级管控与隐患排查治理机制持续健全，安全风险系统治理、依法治理、综合治理、源头治理能力明显增强。企业新增人员安全培训教育持续提高，全面提升作业人员技能素养。安全风险系统治理、依法治理、综合治理能力显著增强。</w:t>
      </w:r>
    </w:p>
    <w:p>
      <w:pPr>
        <w:ind w:firstLine="640"/>
        <w:jc w:val="center"/>
        <w:rPr>
          <w:rFonts w:cs="Times New Roman"/>
          <w:color w:val="000000" w:themeColor="text1"/>
          <w:szCs w:val="32"/>
          <w14:textFill>
            <w14:solidFill>
              <w14:schemeClr w14:val="tx1"/>
            </w14:solidFill>
          </w14:textFill>
        </w:rPr>
      </w:pPr>
    </w:p>
    <w:p>
      <w:pPr>
        <w:ind w:firstLine="640"/>
        <w:jc w:val="center"/>
        <w:rPr>
          <w:rFonts w:cs="Times New Roman"/>
          <w:sz w:val="24"/>
          <w:szCs w:val="21"/>
        </w:rPr>
      </w:pPr>
      <w:r>
        <w:rPr>
          <w:rFonts w:cs="Times New Roman"/>
          <w:color w:val="000000" w:themeColor="text1"/>
          <w:szCs w:val="32"/>
          <w14:textFill>
            <w14:solidFill>
              <w14:schemeClr w14:val="tx1"/>
            </w14:solidFill>
          </w14:textFill>
        </w:rPr>
        <w:t>专栏1  安全生产主要指标</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4589"/>
        <w:gridCol w:w="2359"/>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10"/>
              <w:spacing w:after="0" w:line="550" w:lineRule="exact"/>
              <w:rPr>
                <w:lang w:bidi="ar"/>
              </w:rPr>
            </w:pPr>
            <w:r>
              <w:rPr>
                <w:lang w:bidi="ar"/>
              </w:rPr>
              <w:t>序号</w:t>
            </w:r>
          </w:p>
        </w:tc>
        <w:tc>
          <w:tcPr>
            <w:tcW w:w="2533" w:type="pct"/>
            <w:shd w:val="clear" w:color="auto" w:fill="auto"/>
            <w:vAlign w:val="center"/>
          </w:tcPr>
          <w:p>
            <w:pPr>
              <w:pStyle w:val="10"/>
              <w:spacing w:after="0" w:line="550" w:lineRule="exact"/>
              <w:rPr>
                <w:lang w:bidi="ar"/>
              </w:rPr>
            </w:pPr>
            <w:r>
              <w:rPr>
                <w:lang w:bidi="ar"/>
              </w:rPr>
              <w:t>指标名称</w:t>
            </w:r>
          </w:p>
        </w:tc>
        <w:tc>
          <w:tcPr>
            <w:tcW w:w="1302" w:type="pct"/>
            <w:vAlign w:val="center"/>
          </w:tcPr>
          <w:p>
            <w:pPr>
              <w:pStyle w:val="10"/>
              <w:spacing w:after="0" w:line="550" w:lineRule="exact"/>
              <w:rPr>
                <w:lang w:bidi="ar"/>
              </w:rPr>
            </w:pPr>
            <w:r>
              <w:rPr>
                <w:lang w:bidi="ar"/>
              </w:rPr>
              <w:t>2025年指标值</w:t>
            </w:r>
          </w:p>
        </w:tc>
        <w:tc>
          <w:tcPr>
            <w:tcW w:w="767" w:type="pct"/>
            <w:vAlign w:val="center"/>
          </w:tcPr>
          <w:p>
            <w:pPr>
              <w:pStyle w:val="10"/>
              <w:spacing w:after="0" w:line="550" w:lineRule="exact"/>
              <w:rPr>
                <w:lang w:bidi="ar"/>
              </w:rPr>
            </w:pPr>
            <w:r>
              <w:rPr>
                <w:lang w:bidi="ar"/>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10"/>
              <w:spacing w:after="0" w:line="550" w:lineRule="exact"/>
              <w:rPr>
                <w:lang w:bidi="ar"/>
              </w:rPr>
            </w:pPr>
            <w:r>
              <w:rPr>
                <w:lang w:bidi="ar"/>
              </w:rPr>
              <w:t>1</w:t>
            </w:r>
          </w:p>
        </w:tc>
        <w:tc>
          <w:tcPr>
            <w:tcW w:w="2533" w:type="pct"/>
            <w:shd w:val="clear" w:color="auto" w:fill="auto"/>
            <w:vAlign w:val="center"/>
          </w:tcPr>
          <w:p>
            <w:pPr>
              <w:pStyle w:val="10"/>
              <w:spacing w:after="0" w:line="550" w:lineRule="exact"/>
              <w:rPr>
                <w:color w:val="FFC000" w:themeColor="accent4"/>
                <w:lang w:bidi="ar"/>
                <w14:textFill>
                  <w14:solidFill>
                    <w14:schemeClr w14:val="accent4"/>
                  </w14:solidFill>
                </w14:textFill>
              </w:rPr>
            </w:pPr>
            <w:r>
              <w:rPr>
                <w:color w:val="000000" w:themeColor="text1"/>
                <w14:textFill>
                  <w14:solidFill>
                    <w14:schemeClr w14:val="tx1"/>
                  </w14:solidFill>
                </w14:textFill>
              </w:rPr>
              <w:t>生产安全事故死亡人数</w:t>
            </w:r>
          </w:p>
        </w:tc>
        <w:tc>
          <w:tcPr>
            <w:tcW w:w="1302" w:type="pct"/>
            <w:vAlign w:val="center"/>
          </w:tcPr>
          <w:p>
            <w:pPr>
              <w:pStyle w:val="10"/>
              <w:spacing w:after="0" w:line="550" w:lineRule="exact"/>
              <w:rPr>
                <w:color w:val="FFC000" w:themeColor="accent4"/>
                <w:lang w:bidi="ar"/>
                <w14:textFill>
                  <w14:solidFill>
                    <w14:schemeClr w14:val="accent4"/>
                  </w14:solidFill>
                </w14:textFill>
              </w:rPr>
            </w:pPr>
            <w:r>
              <w:rPr>
                <w:color w:val="000000" w:themeColor="text1"/>
                <w14:textFill>
                  <w14:solidFill>
                    <w14:schemeClr w14:val="tx1"/>
                  </w14:solidFill>
                </w14:textFill>
              </w:rPr>
              <w:t>0</w:t>
            </w:r>
          </w:p>
        </w:tc>
        <w:tc>
          <w:tcPr>
            <w:tcW w:w="767" w:type="pct"/>
            <w:vAlign w:val="center"/>
          </w:tcPr>
          <w:p>
            <w:pPr>
              <w:pStyle w:val="10"/>
              <w:spacing w:after="0" w:line="550" w:lineRule="exact"/>
              <w:rPr>
                <w:lang w:bidi="ar"/>
              </w:rPr>
            </w:pPr>
            <w:r>
              <w:rPr>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10"/>
              <w:spacing w:after="0" w:line="550" w:lineRule="exact"/>
              <w:rPr>
                <w:lang w:bidi="ar"/>
              </w:rPr>
            </w:pPr>
            <w:r>
              <w:rPr>
                <w:lang w:bidi="ar"/>
              </w:rPr>
              <w:t>2</w:t>
            </w:r>
          </w:p>
        </w:tc>
        <w:tc>
          <w:tcPr>
            <w:tcW w:w="2533" w:type="pct"/>
            <w:shd w:val="clear" w:color="auto" w:fill="auto"/>
            <w:vAlign w:val="center"/>
          </w:tcPr>
          <w:p>
            <w:pPr>
              <w:pStyle w:val="10"/>
              <w:spacing w:after="0" w:line="550" w:lineRule="exact"/>
              <w:rPr>
                <w:lang w:bidi="ar"/>
              </w:rPr>
            </w:pPr>
            <w:r>
              <w:rPr>
                <w:color w:val="000000" w:themeColor="text1"/>
                <w14:textFill>
                  <w14:solidFill>
                    <w14:schemeClr w14:val="tx1"/>
                  </w14:solidFill>
                </w14:textFill>
              </w:rPr>
              <w:t>问题隐患按期整改率</w:t>
            </w:r>
          </w:p>
        </w:tc>
        <w:tc>
          <w:tcPr>
            <w:tcW w:w="1302" w:type="pct"/>
            <w:vAlign w:val="center"/>
          </w:tcPr>
          <w:p>
            <w:pPr>
              <w:pStyle w:val="10"/>
              <w:spacing w:after="0" w:line="550" w:lineRule="exact"/>
              <w:rPr>
                <w:lang w:bidi="ar"/>
              </w:rPr>
            </w:pPr>
            <w:r>
              <w:rPr>
                <w:color w:val="000000" w:themeColor="text1"/>
                <w14:textFill>
                  <w14:solidFill>
                    <w14:schemeClr w14:val="tx1"/>
                  </w14:solidFill>
                </w14:textFill>
              </w:rPr>
              <w:t>100%</w:t>
            </w:r>
          </w:p>
        </w:tc>
        <w:tc>
          <w:tcPr>
            <w:tcW w:w="767" w:type="pct"/>
            <w:vAlign w:val="center"/>
          </w:tcPr>
          <w:p>
            <w:pPr>
              <w:pStyle w:val="10"/>
              <w:spacing w:after="0" w:line="550" w:lineRule="exact"/>
              <w:rPr>
                <w:lang w:bidi="ar"/>
              </w:rPr>
            </w:pPr>
            <w:r>
              <w:rPr>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10"/>
              <w:spacing w:after="0" w:line="550" w:lineRule="exact"/>
              <w:rPr>
                <w:lang w:bidi="ar"/>
              </w:rPr>
            </w:pPr>
            <w:r>
              <w:rPr>
                <w:lang w:bidi="ar"/>
              </w:rPr>
              <w:t>3</w:t>
            </w:r>
          </w:p>
        </w:tc>
        <w:tc>
          <w:tcPr>
            <w:tcW w:w="2533" w:type="pct"/>
            <w:shd w:val="clear" w:color="auto" w:fill="auto"/>
            <w:vAlign w:val="center"/>
          </w:tcPr>
          <w:p>
            <w:pPr>
              <w:pStyle w:val="10"/>
              <w:spacing w:line="550" w:lineRule="exact"/>
              <w:rPr>
                <w:highlight w:val="yellow"/>
                <w:lang w:bidi="ar"/>
              </w:rPr>
            </w:pPr>
            <w:r>
              <w:t>企业新增人员安全培训率</w:t>
            </w:r>
          </w:p>
        </w:tc>
        <w:tc>
          <w:tcPr>
            <w:tcW w:w="1302" w:type="pct"/>
            <w:vAlign w:val="center"/>
          </w:tcPr>
          <w:p>
            <w:pPr>
              <w:pStyle w:val="10"/>
              <w:spacing w:line="550" w:lineRule="exact"/>
              <w:rPr>
                <w:highlight w:val="yellow"/>
                <w:lang w:bidi="ar"/>
              </w:rPr>
            </w:pPr>
            <w:r>
              <w:t>100%</w:t>
            </w:r>
          </w:p>
        </w:tc>
        <w:tc>
          <w:tcPr>
            <w:tcW w:w="767" w:type="pct"/>
            <w:vAlign w:val="center"/>
          </w:tcPr>
          <w:p>
            <w:pPr>
              <w:pStyle w:val="10"/>
              <w:spacing w:line="550" w:lineRule="exact"/>
              <w:rPr>
                <w:highlight w:val="yellow"/>
                <w:lang w:bidi="ar"/>
              </w:rPr>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shd w:val="clear" w:color="auto" w:fill="auto"/>
            <w:vAlign w:val="center"/>
          </w:tcPr>
          <w:p>
            <w:pPr>
              <w:pStyle w:val="10"/>
              <w:spacing w:after="0" w:line="550" w:lineRule="exact"/>
              <w:rPr>
                <w:lang w:bidi="ar"/>
              </w:rPr>
            </w:pPr>
            <w:r>
              <w:rPr>
                <w:lang w:bidi="ar"/>
              </w:rPr>
              <w:t>4</w:t>
            </w:r>
          </w:p>
        </w:tc>
        <w:tc>
          <w:tcPr>
            <w:tcW w:w="2533" w:type="pct"/>
            <w:shd w:val="clear" w:color="auto" w:fill="auto"/>
            <w:vAlign w:val="center"/>
          </w:tcPr>
          <w:p>
            <w:pPr>
              <w:pStyle w:val="10"/>
              <w:spacing w:line="550" w:lineRule="exact"/>
              <w:rPr>
                <w:highlight w:val="yellow"/>
                <w:lang w:bidi="ar"/>
              </w:rPr>
            </w:pPr>
            <w:r>
              <w:t>重点行业领域企业安全标准化建设率</w:t>
            </w:r>
          </w:p>
        </w:tc>
        <w:tc>
          <w:tcPr>
            <w:tcW w:w="1302" w:type="pct"/>
            <w:vAlign w:val="center"/>
          </w:tcPr>
          <w:p>
            <w:pPr>
              <w:pStyle w:val="10"/>
              <w:spacing w:line="550" w:lineRule="exact"/>
              <w:rPr>
                <w:highlight w:val="yellow"/>
                <w:lang w:bidi="ar"/>
              </w:rPr>
            </w:pPr>
            <w:r>
              <w:t>100%</w:t>
            </w:r>
          </w:p>
        </w:tc>
        <w:tc>
          <w:tcPr>
            <w:tcW w:w="767" w:type="pct"/>
            <w:vAlign w:val="center"/>
          </w:tcPr>
          <w:p>
            <w:pPr>
              <w:pStyle w:val="10"/>
              <w:spacing w:line="550" w:lineRule="exact"/>
              <w:rPr>
                <w:highlight w:val="yellow"/>
                <w:lang w:bidi="ar"/>
              </w:rPr>
            </w:pPr>
            <w:r>
              <w:t>预期性</w:t>
            </w:r>
          </w:p>
        </w:tc>
      </w:tr>
    </w:tbl>
    <w:p>
      <w:pPr>
        <w:ind w:firstLine="643"/>
        <w:rPr>
          <w:rFonts w:cs="Times New Roman"/>
          <w:color w:val="000000" w:themeColor="text1"/>
          <w:szCs w:val="32"/>
          <w14:textFill>
            <w14:solidFill>
              <w14:schemeClr w14:val="tx1"/>
            </w14:solidFill>
          </w14:textFill>
        </w:rPr>
      </w:pPr>
      <w:r>
        <w:rPr>
          <w:rFonts w:cs="Times New Roman"/>
          <w:b/>
        </w:rPr>
        <w:t>防灾减灾目标。</w:t>
      </w:r>
      <w:r>
        <w:rPr>
          <w:rFonts w:cs="Times New Roman"/>
          <w:bCs/>
        </w:rPr>
        <w:t>防灾减灾救灾体制机制进一步健全，建成与片区发展相适应的自然灾害预警、救助体系</w:t>
      </w:r>
      <w:r>
        <w:rPr>
          <w:rFonts w:cs="Times New Roman"/>
          <w:bCs/>
          <w:szCs w:val="32"/>
        </w:rPr>
        <w:t>。</w:t>
      </w:r>
      <w:r>
        <w:rPr>
          <w:rFonts w:cs="Times New Roman"/>
          <w:bCs/>
        </w:rPr>
        <w:t>根据片区发展同步推进消防救援站、应急避难场所、应急物资储备库建设，科学配备</w:t>
      </w:r>
      <w:r>
        <w:rPr>
          <w:rFonts w:cs="Times New Roman"/>
          <w:szCs w:val="32"/>
        </w:rPr>
        <w:t>应急物资和装备。</w:t>
      </w:r>
    </w:p>
    <w:p>
      <w:pPr>
        <w:ind w:firstLine="640"/>
        <w:jc w:val="center"/>
        <w:rPr>
          <w:rFonts w:cs="Times New Roman"/>
          <w:sz w:val="24"/>
          <w:szCs w:val="21"/>
        </w:rPr>
      </w:pPr>
      <w:r>
        <w:rPr>
          <w:rFonts w:cs="Times New Roman"/>
          <w:color w:val="000000" w:themeColor="text1"/>
          <w:szCs w:val="32"/>
          <w14:textFill>
            <w14:solidFill>
              <w14:schemeClr w14:val="tx1"/>
            </w14:solidFill>
          </w14:textFill>
        </w:rPr>
        <w:t>专栏2  防灾减灾主要指标</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5089"/>
        <w:gridCol w:w="2035"/>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7" w:type="pct"/>
            <w:shd w:val="clear" w:color="auto" w:fill="auto"/>
            <w:vAlign w:val="center"/>
          </w:tcPr>
          <w:p>
            <w:pPr>
              <w:pStyle w:val="10"/>
              <w:spacing w:after="0" w:line="550" w:lineRule="exact"/>
              <w:rPr>
                <w:lang w:bidi="ar"/>
              </w:rPr>
            </w:pPr>
            <w:r>
              <w:rPr>
                <w:lang w:bidi="ar"/>
              </w:rPr>
              <w:t>序号</w:t>
            </w:r>
          </w:p>
        </w:tc>
        <w:tc>
          <w:tcPr>
            <w:tcW w:w="2808" w:type="pct"/>
            <w:shd w:val="clear" w:color="auto" w:fill="auto"/>
            <w:vAlign w:val="center"/>
          </w:tcPr>
          <w:p>
            <w:pPr>
              <w:pStyle w:val="10"/>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指标名称</w:t>
            </w:r>
          </w:p>
        </w:tc>
        <w:tc>
          <w:tcPr>
            <w:tcW w:w="1123" w:type="pct"/>
            <w:vAlign w:val="center"/>
          </w:tcPr>
          <w:p>
            <w:pPr>
              <w:pStyle w:val="10"/>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预期值</w:t>
            </w:r>
          </w:p>
        </w:tc>
        <w:tc>
          <w:tcPr>
            <w:tcW w:w="669" w:type="pct"/>
            <w:vAlign w:val="center"/>
          </w:tcPr>
          <w:p>
            <w:pPr>
              <w:pStyle w:val="10"/>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7" w:type="pct"/>
            <w:shd w:val="clear" w:color="auto" w:fill="auto"/>
            <w:vAlign w:val="center"/>
          </w:tcPr>
          <w:p>
            <w:pPr>
              <w:pStyle w:val="10"/>
              <w:spacing w:after="0" w:line="550" w:lineRule="exact"/>
              <w:rPr>
                <w:lang w:bidi="ar"/>
              </w:rPr>
            </w:pPr>
            <w:r>
              <w:rPr>
                <w:lang w:bidi="ar"/>
              </w:rPr>
              <w:t>1</w:t>
            </w:r>
          </w:p>
        </w:tc>
        <w:tc>
          <w:tcPr>
            <w:tcW w:w="5089" w:type="dxa"/>
            <w:shd w:val="clear" w:color="auto" w:fill="auto"/>
            <w:vAlign w:val="center"/>
          </w:tcPr>
          <w:p>
            <w:pPr>
              <w:pStyle w:val="10"/>
              <w:spacing w:after="0" w:line="550" w:lineRule="exact"/>
              <w:rPr>
                <w:color w:val="000000" w:themeColor="text1"/>
                <w:lang w:bidi="ar"/>
                <w14:textFill>
                  <w14:solidFill>
                    <w14:schemeClr w14:val="tx1"/>
                  </w14:solidFill>
                </w14:textFill>
              </w:rPr>
            </w:pPr>
            <w:r>
              <w:rPr>
                <w:color w:val="000000" w:themeColor="text1"/>
                <w:kern w:val="0"/>
                <w:szCs w:val="24"/>
                <w14:textFill>
                  <w14:solidFill>
                    <w14:schemeClr w14:val="tx1"/>
                  </w14:solidFill>
                </w14:textFill>
              </w:rPr>
              <w:t>灾害点位智能监测覆盖率</w:t>
            </w:r>
          </w:p>
        </w:tc>
        <w:tc>
          <w:tcPr>
            <w:tcW w:w="2035" w:type="dxa"/>
            <w:vAlign w:val="center"/>
          </w:tcPr>
          <w:p>
            <w:pPr>
              <w:pStyle w:val="10"/>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≥80%</w:t>
            </w:r>
          </w:p>
        </w:tc>
        <w:tc>
          <w:tcPr>
            <w:tcW w:w="1213" w:type="dxa"/>
            <w:vAlign w:val="center"/>
          </w:tcPr>
          <w:p>
            <w:pPr>
              <w:pStyle w:val="10"/>
              <w:spacing w:after="0" w:line="550" w:lineRule="exact"/>
              <w:rPr>
                <w:color w:val="000000" w:themeColor="text1"/>
                <w:lang w:bidi="ar"/>
                <w14:textFill>
                  <w14:solidFill>
                    <w14:schemeClr w14:val="tx1"/>
                  </w14:solidFill>
                </w14:textFill>
              </w:rPr>
            </w:pPr>
            <w:r>
              <w:rPr>
                <w:color w:val="000000" w:themeColor="text1"/>
                <w:kern w:val="0"/>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7" w:type="pct"/>
            <w:shd w:val="clear" w:color="auto" w:fill="auto"/>
            <w:vAlign w:val="center"/>
          </w:tcPr>
          <w:p>
            <w:pPr>
              <w:pStyle w:val="10"/>
              <w:spacing w:after="0" w:line="550" w:lineRule="exact"/>
              <w:rPr>
                <w:lang w:bidi="ar"/>
              </w:rPr>
            </w:pPr>
            <w:r>
              <w:rPr>
                <w:lang w:bidi="ar"/>
              </w:rPr>
              <w:t>2</w:t>
            </w:r>
          </w:p>
        </w:tc>
        <w:tc>
          <w:tcPr>
            <w:tcW w:w="5089" w:type="dxa"/>
            <w:shd w:val="clear" w:color="auto" w:fill="auto"/>
            <w:vAlign w:val="center"/>
          </w:tcPr>
          <w:p>
            <w:pPr>
              <w:pStyle w:val="10"/>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灾害信息发布公众覆盖率</w:t>
            </w:r>
          </w:p>
        </w:tc>
        <w:tc>
          <w:tcPr>
            <w:tcW w:w="2035" w:type="dxa"/>
            <w:vAlign w:val="center"/>
          </w:tcPr>
          <w:p>
            <w:pPr>
              <w:pStyle w:val="10"/>
              <w:spacing w:line="550" w:lineRule="exact"/>
              <w:rPr>
                <w:color w:val="000000" w:themeColor="text1"/>
                <w:vertAlign w:val="superscript"/>
                <w14:textFill>
                  <w14:solidFill>
                    <w14:schemeClr w14:val="tx1"/>
                  </w14:solidFill>
                </w14:textFill>
              </w:rPr>
            </w:pPr>
            <w:r>
              <w:rPr>
                <w:color w:val="000000" w:themeColor="text1"/>
                <w:lang w:bidi="ar"/>
                <w14:textFill>
                  <w14:solidFill>
                    <w14:schemeClr w14:val="tx1"/>
                  </w14:solidFill>
                </w14:textFill>
              </w:rPr>
              <w:t>＞90%</w:t>
            </w:r>
          </w:p>
        </w:tc>
        <w:tc>
          <w:tcPr>
            <w:tcW w:w="1213" w:type="dxa"/>
            <w:vAlign w:val="center"/>
          </w:tcPr>
          <w:p>
            <w:pPr>
              <w:pStyle w:val="10"/>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7" w:type="pct"/>
            <w:shd w:val="clear" w:color="auto" w:fill="auto"/>
            <w:vAlign w:val="center"/>
          </w:tcPr>
          <w:p>
            <w:pPr>
              <w:pStyle w:val="10"/>
              <w:spacing w:after="0" w:line="550" w:lineRule="exact"/>
              <w:rPr>
                <w:lang w:bidi="ar"/>
              </w:rPr>
            </w:pPr>
            <w:r>
              <w:rPr>
                <w:lang w:bidi="ar"/>
              </w:rPr>
              <w:t>3</w:t>
            </w:r>
          </w:p>
        </w:tc>
        <w:tc>
          <w:tcPr>
            <w:tcW w:w="5089" w:type="dxa"/>
            <w:shd w:val="clear" w:color="auto" w:fill="auto"/>
            <w:vAlign w:val="center"/>
          </w:tcPr>
          <w:p>
            <w:pPr>
              <w:pStyle w:val="10"/>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中心村应急物资储备点物资配备率</w:t>
            </w:r>
          </w:p>
        </w:tc>
        <w:tc>
          <w:tcPr>
            <w:tcW w:w="2035" w:type="dxa"/>
            <w:vAlign w:val="center"/>
          </w:tcPr>
          <w:p>
            <w:pPr>
              <w:pStyle w:val="10"/>
              <w:spacing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100%</w:t>
            </w:r>
          </w:p>
        </w:tc>
        <w:tc>
          <w:tcPr>
            <w:tcW w:w="669" w:type="pct"/>
            <w:vAlign w:val="center"/>
          </w:tcPr>
          <w:p>
            <w:pPr>
              <w:pStyle w:val="10"/>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7" w:type="pct"/>
            <w:shd w:val="clear" w:color="auto" w:fill="auto"/>
            <w:vAlign w:val="center"/>
          </w:tcPr>
          <w:p>
            <w:pPr>
              <w:pStyle w:val="10"/>
              <w:spacing w:after="0" w:line="550" w:lineRule="exact"/>
              <w:rPr>
                <w:lang w:bidi="ar"/>
              </w:rPr>
            </w:pPr>
            <w:r>
              <w:rPr>
                <w:lang w:bidi="ar"/>
              </w:rPr>
              <w:t>4</w:t>
            </w:r>
          </w:p>
        </w:tc>
        <w:tc>
          <w:tcPr>
            <w:tcW w:w="5089" w:type="dxa"/>
            <w:shd w:val="clear" w:color="auto" w:fill="auto"/>
            <w:vAlign w:val="center"/>
          </w:tcPr>
          <w:p>
            <w:pPr>
              <w:pStyle w:val="10"/>
              <w:spacing w:after="0"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应急避难场所人均避难面积</w:t>
            </w:r>
          </w:p>
        </w:tc>
        <w:tc>
          <w:tcPr>
            <w:tcW w:w="2035" w:type="dxa"/>
            <w:vAlign w:val="center"/>
          </w:tcPr>
          <w:p>
            <w:pPr>
              <w:pStyle w:val="10"/>
              <w:spacing w:after="0"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＞2m</w:t>
            </w:r>
            <w:r>
              <w:rPr>
                <w:color w:val="000000" w:themeColor="text1"/>
                <w:vertAlign w:val="superscript"/>
                <w:lang w:bidi="ar"/>
                <w14:textFill>
                  <w14:solidFill>
                    <w14:schemeClr w14:val="tx1"/>
                  </w14:solidFill>
                </w14:textFill>
              </w:rPr>
              <w:t>2</w:t>
            </w:r>
          </w:p>
        </w:tc>
        <w:tc>
          <w:tcPr>
            <w:tcW w:w="669" w:type="pct"/>
            <w:vAlign w:val="center"/>
          </w:tcPr>
          <w:p>
            <w:pPr>
              <w:pStyle w:val="10"/>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7" w:type="pct"/>
            <w:shd w:val="clear" w:color="auto" w:fill="auto"/>
            <w:vAlign w:val="center"/>
          </w:tcPr>
          <w:p>
            <w:pPr>
              <w:pStyle w:val="10"/>
              <w:spacing w:after="0" w:line="550" w:lineRule="exact"/>
              <w:rPr>
                <w:lang w:bidi="ar"/>
              </w:rPr>
            </w:pPr>
            <w:r>
              <w:rPr>
                <w:lang w:bidi="ar"/>
              </w:rPr>
              <w:t>5</w:t>
            </w:r>
          </w:p>
        </w:tc>
        <w:tc>
          <w:tcPr>
            <w:tcW w:w="2808" w:type="pct"/>
            <w:shd w:val="clear" w:color="auto" w:fill="auto"/>
            <w:vAlign w:val="center"/>
          </w:tcPr>
          <w:p>
            <w:pPr>
              <w:pStyle w:val="10"/>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受灾群众基本生活得到有效救助</w:t>
            </w:r>
          </w:p>
        </w:tc>
        <w:tc>
          <w:tcPr>
            <w:tcW w:w="1123" w:type="pct"/>
            <w:vAlign w:val="center"/>
          </w:tcPr>
          <w:p>
            <w:pPr>
              <w:pStyle w:val="10"/>
              <w:spacing w:line="550" w:lineRule="exact"/>
              <w:rPr>
                <w:color w:val="000000" w:themeColor="text1"/>
                <w:lang w:bidi="ar"/>
                <w14:textFill>
                  <w14:solidFill>
                    <w14:schemeClr w14:val="tx1"/>
                  </w14:solidFill>
                </w14:textFill>
              </w:rPr>
            </w:pPr>
            <w:r>
              <w:rPr>
                <w:color w:val="000000" w:themeColor="text1"/>
                <w:lang w:bidi="ar"/>
                <w14:textFill>
                  <w14:solidFill>
                    <w14:schemeClr w14:val="tx1"/>
                  </w14:solidFill>
                </w14:textFill>
              </w:rPr>
              <w:t>8小时之内</w:t>
            </w:r>
          </w:p>
        </w:tc>
        <w:tc>
          <w:tcPr>
            <w:tcW w:w="669" w:type="pct"/>
            <w:vAlign w:val="center"/>
          </w:tcPr>
          <w:p>
            <w:pPr>
              <w:pStyle w:val="10"/>
              <w:spacing w:line="550" w:lineRule="exact"/>
              <w:rPr>
                <w:color w:val="000000" w:themeColor="text1"/>
                <w14:textFill>
                  <w14:solidFill>
                    <w14:schemeClr w14:val="tx1"/>
                  </w14:solidFill>
                </w14:textFill>
              </w:rPr>
            </w:pPr>
            <w:r>
              <w:rPr>
                <w:color w:val="000000" w:themeColor="text1"/>
                <w:lang w:bidi="ar"/>
                <w14:textFill>
                  <w14:solidFill>
                    <w14:schemeClr w14:val="tx1"/>
                  </w14:solidFill>
                </w14:textFill>
              </w:rPr>
              <w:t>预期性</w:t>
            </w:r>
          </w:p>
        </w:tc>
      </w:tr>
    </w:tbl>
    <w:p>
      <w:pPr>
        <w:widowControl/>
        <w:shd w:val="clear" w:color="auto" w:fill="FFFFFF"/>
        <w:ind w:firstLine="643"/>
        <w:rPr>
          <w:rFonts w:cs="Times New Roman"/>
        </w:rPr>
      </w:pPr>
      <w:r>
        <w:rPr>
          <w:rFonts w:cs="Times New Roman"/>
          <w:b/>
        </w:rPr>
        <w:t>应急能力目标。</w:t>
      </w:r>
      <w:r>
        <w:rPr>
          <w:rFonts w:cs="Times New Roman"/>
        </w:rPr>
        <w:t>各镇完善应急管理机构，建设应急指挥分中心，全面建成配置科学、体系完备、指挥顺畅的救援力量体系。完善片区</w:t>
      </w:r>
      <w:r>
        <w:rPr>
          <w:rFonts w:hint="eastAsia" w:cs="Times New Roman"/>
        </w:rPr>
        <w:t>“</w:t>
      </w:r>
      <w:r>
        <w:rPr>
          <w:rFonts w:cs="Times New Roman"/>
        </w:rPr>
        <w:t>一主两辅</w:t>
      </w:r>
      <w:r>
        <w:rPr>
          <w:rFonts w:hint="eastAsia" w:cs="Times New Roman"/>
        </w:rPr>
        <w:t>”</w:t>
      </w:r>
      <w:r>
        <w:rPr>
          <w:rFonts w:cs="Times New Roman"/>
        </w:rPr>
        <w:t>基层应急救援力量体系建设，加强实战化常态化演练。强化公众应急管理宣传教育，全面提升片区应急能力。</w:t>
      </w:r>
    </w:p>
    <w:p>
      <w:pPr>
        <w:ind w:firstLine="640"/>
        <w:jc w:val="center"/>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专栏3  应急能力主要指标</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5470"/>
        <w:gridCol w:w="1654"/>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10"/>
              <w:spacing w:after="0" w:line="550" w:lineRule="exact"/>
              <w:rPr>
                <w:lang w:bidi="ar"/>
              </w:rPr>
            </w:pPr>
            <w:bookmarkStart w:id="31" w:name="_Toc22091"/>
            <w:r>
              <w:rPr>
                <w:lang w:bidi="ar"/>
              </w:rPr>
              <w:t>序号</w:t>
            </w:r>
          </w:p>
        </w:tc>
        <w:tc>
          <w:tcPr>
            <w:tcW w:w="3019" w:type="pct"/>
            <w:shd w:val="clear" w:color="auto" w:fill="auto"/>
            <w:vAlign w:val="center"/>
          </w:tcPr>
          <w:p>
            <w:pPr>
              <w:pStyle w:val="10"/>
              <w:spacing w:after="0" w:line="550" w:lineRule="exact"/>
              <w:rPr>
                <w:lang w:bidi="ar"/>
              </w:rPr>
            </w:pPr>
            <w:r>
              <w:rPr>
                <w:lang w:bidi="ar"/>
              </w:rPr>
              <w:t>指标名称</w:t>
            </w:r>
          </w:p>
        </w:tc>
        <w:tc>
          <w:tcPr>
            <w:tcW w:w="913" w:type="pct"/>
            <w:vAlign w:val="center"/>
          </w:tcPr>
          <w:p>
            <w:pPr>
              <w:pStyle w:val="10"/>
              <w:spacing w:after="0" w:line="550" w:lineRule="exact"/>
              <w:rPr>
                <w:lang w:bidi="ar"/>
              </w:rPr>
            </w:pPr>
            <w:r>
              <w:rPr>
                <w:lang w:bidi="ar"/>
              </w:rPr>
              <w:t>预期值</w:t>
            </w:r>
          </w:p>
        </w:tc>
        <w:tc>
          <w:tcPr>
            <w:tcW w:w="669" w:type="pct"/>
            <w:vAlign w:val="center"/>
          </w:tcPr>
          <w:p>
            <w:pPr>
              <w:pStyle w:val="10"/>
              <w:spacing w:after="0" w:line="550" w:lineRule="exact"/>
              <w:rPr>
                <w:lang w:bidi="ar"/>
              </w:rPr>
            </w:pPr>
            <w:r>
              <w:rPr>
                <w:lang w:bidi="ar"/>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10"/>
              <w:spacing w:after="0" w:line="550" w:lineRule="exact"/>
              <w:rPr>
                <w:lang w:bidi="ar"/>
              </w:rPr>
            </w:pPr>
            <w:r>
              <w:rPr>
                <w:lang w:bidi="ar"/>
              </w:rPr>
              <w:t>1</w:t>
            </w:r>
          </w:p>
        </w:tc>
        <w:tc>
          <w:tcPr>
            <w:tcW w:w="3019" w:type="pct"/>
            <w:shd w:val="clear" w:color="auto" w:fill="auto"/>
            <w:vAlign w:val="center"/>
          </w:tcPr>
          <w:p>
            <w:pPr>
              <w:pStyle w:val="10"/>
              <w:spacing w:line="550" w:lineRule="exact"/>
              <w:rPr>
                <w:lang w:bidi="ar"/>
              </w:rPr>
            </w:pPr>
            <w:r>
              <w:rPr>
                <w:rFonts w:hint="eastAsia"/>
                <w:lang w:bidi="ar"/>
              </w:rPr>
              <w:t>各镇</w:t>
            </w:r>
            <w:r>
              <w:rPr>
                <w:lang w:bidi="ar"/>
              </w:rPr>
              <w:t>应急管理专职工作人员</w:t>
            </w:r>
          </w:p>
        </w:tc>
        <w:tc>
          <w:tcPr>
            <w:tcW w:w="913" w:type="pct"/>
            <w:vAlign w:val="center"/>
          </w:tcPr>
          <w:p>
            <w:pPr>
              <w:pStyle w:val="10"/>
              <w:spacing w:line="550" w:lineRule="exact"/>
              <w:rPr>
                <w:lang w:bidi="ar"/>
              </w:rPr>
            </w:pPr>
            <w:r>
              <w:rPr>
                <w:lang w:bidi="ar"/>
              </w:rPr>
              <w:t>≥2名</w:t>
            </w:r>
          </w:p>
        </w:tc>
        <w:tc>
          <w:tcPr>
            <w:tcW w:w="669" w:type="pct"/>
            <w:vAlign w:val="center"/>
          </w:tcPr>
          <w:p>
            <w:pPr>
              <w:pStyle w:val="10"/>
              <w:spacing w:line="550" w:lineRule="exact"/>
              <w:rPr>
                <w:lang w:bidi="ar"/>
              </w:rPr>
            </w:pPr>
            <w:r>
              <w:rPr>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10"/>
              <w:spacing w:after="0" w:line="550" w:lineRule="exact"/>
              <w:rPr>
                <w:lang w:bidi="ar"/>
              </w:rPr>
            </w:pPr>
            <w:r>
              <w:rPr>
                <w:lang w:bidi="ar"/>
              </w:rPr>
              <w:t>2</w:t>
            </w:r>
          </w:p>
        </w:tc>
        <w:tc>
          <w:tcPr>
            <w:tcW w:w="3019" w:type="pct"/>
            <w:shd w:val="clear" w:color="auto" w:fill="auto"/>
            <w:vAlign w:val="center"/>
          </w:tcPr>
          <w:p>
            <w:pPr>
              <w:pStyle w:val="10"/>
              <w:spacing w:after="0" w:line="550" w:lineRule="exact"/>
              <w:rPr>
                <w:lang w:bidi="ar"/>
              </w:rPr>
            </w:pPr>
            <w:r>
              <w:t>应急管理机构专业人员占比</w:t>
            </w:r>
          </w:p>
        </w:tc>
        <w:tc>
          <w:tcPr>
            <w:tcW w:w="913" w:type="pct"/>
            <w:vAlign w:val="center"/>
          </w:tcPr>
          <w:p>
            <w:pPr>
              <w:pStyle w:val="10"/>
              <w:spacing w:after="0" w:line="550" w:lineRule="exact"/>
              <w:rPr>
                <w:lang w:bidi="ar"/>
              </w:rPr>
            </w:pPr>
            <w:r>
              <w:t>＞60%</w:t>
            </w:r>
          </w:p>
        </w:tc>
        <w:tc>
          <w:tcPr>
            <w:tcW w:w="669" w:type="pct"/>
            <w:vAlign w:val="center"/>
          </w:tcPr>
          <w:p>
            <w:pPr>
              <w:pStyle w:val="10"/>
              <w:spacing w:after="0" w:line="550" w:lineRule="exact"/>
              <w:rPr>
                <w:lang w:bidi="ar"/>
              </w:rPr>
            </w:pPr>
            <w:r>
              <w:rPr>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10"/>
              <w:spacing w:after="0" w:line="550" w:lineRule="exact"/>
              <w:rPr>
                <w:lang w:bidi="ar"/>
              </w:rPr>
            </w:pPr>
            <w:r>
              <w:rPr>
                <w:lang w:bidi="ar"/>
              </w:rPr>
              <w:t>3</w:t>
            </w:r>
          </w:p>
        </w:tc>
        <w:tc>
          <w:tcPr>
            <w:tcW w:w="3019" w:type="pct"/>
            <w:shd w:val="clear" w:color="auto" w:fill="auto"/>
            <w:vAlign w:val="center"/>
          </w:tcPr>
          <w:p>
            <w:pPr>
              <w:widowControl/>
              <w:ind w:firstLine="480"/>
              <w:jc w:val="center"/>
              <w:rPr>
                <w:rFonts w:cs="Times New Roman"/>
              </w:rPr>
            </w:pPr>
            <w:r>
              <w:rPr>
                <w:rFonts w:cs="Times New Roman"/>
                <w:kern w:val="0"/>
                <w:sz w:val="24"/>
                <w:szCs w:val="24"/>
                <w:lang w:bidi="ar"/>
              </w:rPr>
              <w:t>应急救援人员受专业培训率</w:t>
            </w:r>
          </w:p>
        </w:tc>
        <w:tc>
          <w:tcPr>
            <w:tcW w:w="913" w:type="pct"/>
            <w:vAlign w:val="center"/>
          </w:tcPr>
          <w:p>
            <w:pPr>
              <w:widowControl/>
              <w:ind w:firstLine="0" w:firstLineChars="0"/>
              <w:jc w:val="center"/>
              <w:rPr>
                <w:rFonts w:cs="Times New Roman"/>
              </w:rPr>
            </w:pPr>
            <w:r>
              <w:rPr>
                <w:rFonts w:eastAsia="宋体" w:cs="Times New Roman"/>
                <w:kern w:val="0"/>
                <w:sz w:val="24"/>
                <w:szCs w:val="24"/>
                <w:lang w:bidi="ar"/>
              </w:rPr>
              <w:t>100%</w:t>
            </w:r>
          </w:p>
        </w:tc>
        <w:tc>
          <w:tcPr>
            <w:tcW w:w="669" w:type="pct"/>
            <w:vAlign w:val="center"/>
          </w:tcPr>
          <w:p>
            <w:pPr>
              <w:pStyle w:val="10"/>
              <w:spacing w:line="550" w:lineRule="exact"/>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10"/>
              <w:spacing w:after="0" w:line="550" w:lineRule="exact"/>
              <w:rPr>
                <w:lang w:bidi="ar"/>
              </w:rPr>
            </w:pPr>
            <w:r>
              <w:rPr>
                <w:lang w:bidi="ar"/>
              </w:rPr>
              <w:t>4</w:t>
            </w:r>
          </w:p>
        </w:tc>
        <w:tc>
          <w:tcPr>
            <w:tcW w:w="3019" w:type="pct"/>
            <w:shd w:val="clear" w:color="auto" w:fill="auto"/>
            <w:vAlign w:val="center"/>
          </w:tcPr>
          <w:p>
            <w:pPr>
              <w:widowControl/>
              <w:ind w:firstLine="480"/>
              <w:jc w:val="center"/>
              <w:rPr>
                <w:rFonts w:cs="Times New Roman"/>
                <w:kern w:val="0"/>
                <w:sz w:val="24"/>
                <w:szCs w:val="24"/>
                <w:lang w:bidi="ar"/>
              </w:rPr>
            </w:pPr>
            <w:r>
              <w:rPr>
                <w:rFonts w:cs="Times New Roman"/>
                <w:color w:val="000000" w:themeColor="text1"/>
                <w:kern w:val="0"/>
                <w:sz w:val="24"/>
                <w:szCs w:val="24"/>
                <w:lang w:bidi="ar"/>
                <w14:textFill>
                  <w14:solidFill>
                    <w14:schemeClr w14:val="tx1"/>
                  </w14:solidFill>
                </w14:textFill>
              </w:rPr>
              <w:t>镇、村社</w:t>
            </w:r>
            <w:r>
              <w:rPr>
                <w:rFonts w:cs="Times New Roman"/>
                <w:kern w:val="0"/>
                <w:sz w:val="24"/>
                <w:szCs w:val="24"/>
                <w:lang w:bidi="ar"/>
              </w:rPr>
              <w:t>应急队装备配备率</w:t>
            </w:r>
          </w:p>
        </w:tc>
        <w:tc>
          <w:tcPr>
            <w:tcW w:w="913" w:type="pct"/>
            <w:vAlign w:val="center"/>
          </w:tcPr>
          <w:p>
            <w:pPr>
              <w:widowControl/>
              <w:ind w:firstLine="0" w:firstLineChars="0"/>
              <w:jc w:val="center"/>
              <w:rPr>
                <w:rFonts w:eastAsia="宋体" w:cs="Times New Roman"/>
                <w:kern w:val="0"/>
                <w:sz w:val="24"/>
                <w:szCs w:val="24"/>
                <w:lang w:bidi="ar"/>
              </w:rPr>
            </w:pPr>
            <w:r>
              <w:rPr>
                <w:rFonts w:eastAsia="宋体" w:cs="Times New Roman"/>
                <w:kern w:val="0"/>
                <w:sz w:val="24"/>
                <w:szCs w:val="24"/>
                <w:lang w:bidi="ar"/>
              </w:rPr>
              <w:t>100%</w:t>
            </w:r>
          </w:p>
        </w:tc>
        <w:tc>
          <w:tcPr>
            <w:tcW w:w="669" w:type="pct"/>
            <w:vAlign w:val="center"/>
          </w:tcPr>
          <w:p>
            <w:pPr>
              <w:pStyle w:val="10"/>
              <w:spacing w:line="550" w:lineRule="exact"/>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10"/>
              <w:spacing w:after="0" w:line="550" w:lineRule="exact"/>
              <w:rPr>
                <w:lang w:bidi="ar"/>
              </w:rPr>
            </w:pPr>
            <w:r>
              <w:rPr>
                <w:lang w:bidi="ar"/>
              </w:rPr>
              <w:t>5</w:t>
            </w:r>
          </w:p>
        </w:tc>
        <w:tc>
          <w:tcPr>
            <w:tcW w:w="3019" w:type="pct"/>
            <w:shd w:val="clear" w:color="auto" w:fill="auto"/>
            <w:vAlign w:val="center"/>
          </w:tcPr>
          <w:p>
            <w:pPr>
              <w:widowControl/>
              <w:ind w:firstLine="480"/>
              <w:jc w:val="center"/>
              <w:rPr>
                <w:rFonts w:cs="Times New Roman"/>
                <w:kern w:val="0"/>
                <w:sz w:val="24"/>
                <w:szCs w:val="24"/>
                <w:lang w:bidi="ar"/>
              </w:rPr>
            </w:pPr>
            <w:r>
              <w:rPr>
                <w:rFonts w:cs="Times New Roman"/>
                <w:kern w:val="0"/>
                <w:sz w:val="24"/>
                <w:szCs w:val="24"/>
                <w:lang w:bidi="ar"/>
              </w:rPr>
              <w:t>应急预案制定、演练率</w:t>
            </w:r>
          </w:p>
        </w:tc>
        <w:tc>
          <w:tcPr>
            <w:tcW w:w="913" w:type="pct"/>
            <w:vAlign w:val="center"/>
          </w:tcPr>
          <w:p>
            <w:pPr>
              <w:widowControl/>
              <w:ind w:firstLine="0" w:firstLineChars="0"/>
              <w:jc w:val="center"/>
              <w:rPr>
                <w:rFonts w:eastAsia="宋体" w:cs="Times New Roman"/>
                <w:kern w:val="0"/>
                <w:sz w:val="24"/>
                <w:szCs w:val="24"/>
                <w:lang w:bidi="ar"/>
              </w:rPr>
            </w:pPr>
            <w:r>
              <w:rPr>
                <w:rFonts w:eastAsia="宋体" w:cs="Times New Roman"/>
                <w:kern w:val="0"/>
                <w:sz w:val="24"/>
                <w:szCs w:val="24"/>
                <w:lang w:bidi="ar"/>
              </w:rPr>
              <w:t>100%</w:t>
            </w:r>
          </w:p>
        </w:tc>
        <w:tc>
          <w:tcPr>
            <w:tcW w:w="669" w:type="pct"/>
            <w:vAlign w:val="center"/>
          </w:tcPr>
          <w:p>
            <w:pPr>
              <w:pStyle w:val="10"/>
              <w:spacing w:line="550" w:lineRule="exact"/>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6" w:type="pct"/>
            <w:shd w:val="clear" w:color="auto" w:fill="auto"/>
            <w:vAlign w:val="center"/>
          </w:tcPr>
          <w:p>
            <w:pPr>
              <w:pStyle w:val="10"/>
              <w:spacing w:after="0" w:line="550" w:lineRule="exact"/>
              <w:rPr>
                <w:lang w:bidi="ar"/>
              </w:rPr>
            </w:pPr>
            <w:r>
              <w:rPr>
                <w:lang w:bidi="ar"/>
              </w:rPr>
              <w:t>6</w:t>
            </w:r>
          </w:p>
        </w:tc>
        <w:tc>
          <w:tcPr>
            <w:tcW w:w="3019" w:type="pct"/>
            <w:shd w:val="clear" w:color="auto" w:fill="auto"/>
            <w:vAlign w:val="center"/>
          </w:tcPr>
          <w:p>
            <w:pPr>
              <w:pStyle w:val="10"/>
              <w:spacing w:after="0" w:line="550" w:lineRule="exact"/>
              <w:rPr>
                <w:lang w:bidi="ar"/>
              </w:rPr>
            </w:pPr>
            <w:r>
              <w:rPr>
                <w:lang w:bidi="ar"/>
              </w:rPr>
              <w:t>社会公众应急知识普及率</w:t>
            </w:r>
          </w:p>
        </w:tc>
        <w:tc>
          <w:tcPr>
            <w:tcW w:w="913" w:type="pct"/>
            <w:vAlign w:val="center"/>
          </w:tcPr>
          <w:p>
            <w:pPr>
              <w:pStyle w:val="10"/>
              <w:spacing w:after="0" w:line="550" w:lineRule="exact"/>
              <w:rPr>
                <w:highlight w:val="yellow"/>
                <w:lang w:bidi="ar"/>
              </w:rPr>
            </w:pPr>
            <w:r>
              <w:rPr>
                <w:lang w:bidi="ar"/>
              </w:rPr>
              <w:t>≥80%</w:t>
            </w:r>
          </w:p>
        </w:tc>
        <w:tc>
          <w:tcPr>
            <w:tcW w:w="669" w:type="pct"/>
            <w:vAlign w:val="center"/>
          </w:tcPr>
          <w:p>
            <w:pPr>
              <w:pStyle w:val="10"/>
              <w:spacing w:after="0" w:line="550" w:lineRule="exact"/>
              <w:rPr>
                <w:lang w:bidi="ar"/>
              </w:rPr>
            </w:pPr>
            <w:r>
              <w:rPr>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8" w:type="dxa"/>
            <w:shd w:val="clear" w:color="auto" w:fill="auto"/>
            <w:vAlign w:val="center"/>
          </w:tcPr>
          <w:p>
            <w:pPr>
              <w:pStyle w:val="10"/>
              <w:spacing w:after="0" w:line="550" w:lineRule="exact"/>
              <w:rPr>
                <w:lang w:bidi="ar"/>
              </w:rPr>
            </w:pPr>
            <w:r>
              <w:rPr>
                <w:color w:val="000000" w:themeColor="text1"/>
                <w14:textFill>
                  <w14:solidFill>
                    <w14:schemeClr w14:val="tx1"/>
                  </w14:solidFill>
                </w14:textFill>
              </w:rPr>
              <w:t>7</w:t>
            </w:r>
          </w:p>
        </w:tc>
        <w:tc>
          <w:tcPr>
            <w:tcW w:w="5470" w:type="dxa"/>
            <w:shd w:val="clear" w:color="auto" w:fill="auto"/>
            <w:vAlign w:val="center"/>
          </w:tcPr>
          <w:p>
            <w:pPr>
              <w:pStyle w:val="10"/>
              <w:spacing w:after="0" w:line="550" w:lineRule="exact"/>
              <w:rPr>
                <w:lang w:bidi="ar"/>
              </w:rPr>
            </w:pPr>
            <w:r>
              <w:rPr>
                <w:color w:val="000000" w:themeColor="text1"/>
                <w14:textFill>
                  <w14:solidFill>
                    <w14:schemeClr w14:val="tx1"/>
                  </w14:solidFill>
                </w14:textFill>
              </w:rPr>
              <w:t>学生应急知识普及率</w:t>
            </w:r>
          </w:p>
        </w:tc>
        <w:tc>
          <w:tcPr>
            <w:tcW w:w="1654" w:type="dxa"/>
            <w:vAlign w:val="center"/>
          </w:tcPr>
          <w:p>
            <w:pPr>
              <w:pStyle w:val="10"/>
              <w:spacing w:after="0" w:line="550" w:lineRule="exact"/>
              <w:rPr>
                <w:lang w:bidi="ar"/>
              </w:rPr>
            </w:pPr>
            <w:r>
              <w:rPr>
                <w:color w:val="000000" w:themeColor="text1"/>
                <w14:textFill>
                  <w14:solidFill>
                    <w14:schemeClr w14:val="tx1"/>
                  </w14:solidFill>
                </w14:textFill>
              </w:rPr>
              <w:t>100%</w:t>
            </w:r>
          </w:p>
        </w:tc>
        <w:tc>
          <w:tcPr>
            <w:tcW w:w="1213" w:type="dxa"/>
            <w:vAlign w:val="center"/>
          </w:tcPr>
          <w:p>
            <w:pPr>
              <w:pStyle w:val="10"/>
              <w:spacing w:after="0" w:line="550" w:lineRule="exact"/>
              <w:rPr>
                <w:lang w:bidi="ar"/>
              </w:rPr>
            </w:pPr>
            <w:r>
              <w:rPr>
                <w:color w:val="000000" w:themeColor="text1"/>
                <w14:textFill>
                  <w14:solidFill>
                    <w14:schemeClr w14:val="tx1"/>
                  </w14:solidFill>
                </w14:textFill>
              </w:rPr>
              <w:t>预期性</w:t>
            </w:r>
          </w:p>
        </w:tc>
      </w:tr>
    </w:tbl>
    <w:p>
      <w:pPr>
        <w:pStyle w:val="4"/>
        <w:rPr>
          <w:rFonts w:cs="Times New Roman"/>
        </w:rPr>
      </w:pPr>
      <w:bookmarkStart w:id="32" w:name="_Toc13341"/>
      <w:r>
        <w:rPr>
          <w:rFonts w:cs="Times New Roman"/>
        </w:rPr>
        <w:t>（二）远景目标</w:t>
      </w:r>
      <w:bookmarkEnd w:id="31"/>
      <w:bookmarkEnd w:id="32"/>
    </w:p>
    <w:p>
      <w:pPr>
        <w:ind w:firstLine="640"/>
        <w:rPr>
          <w:rFonts w:cs="Times New Roman"/>
          <w:szCs w:val="32"/>
        </w:rPr>
      </w:pPr>
      <w:bookmarkStart w:id="33" w:name="_Toc31945"/>
      <w:r>
        <w:rPr>
          <w:rFonts w:cs="Times New Roman"/>
          <w:szCs w:val="32"/>
        </w:rPr>
        <w:t>到203</w:t>
      </w:r>
      <w:r>
        <w:rPr>
          <w:rFonts w:hint="eastAsia" w:cs="Times New Roman"/>
          <w:szCs w:val="32"/>
          <w:lang w:val="en-US" w:eastAsia="zh-CN"/>
        </w:rPr>
        <w:t>5</w:t>
      </w:r>
      <w:r>
        <w:rPr>
          <w:rFonts w:cs="Times New Roman"/>
          <w:szCs w:val="32"/>
        </w:rPr>
        <w:t>年，片区应急综合管理能力大幅提升，应急救援能力短板全面补齐，应急机制更加健全完善，应急队伍系统性、整体性、协同性进一步增强，指挥协调、监测预警、救援处置、风险防范、监管执法和社会动员能力显著提升，共商共建共治共享的应急管理新局面全面形成，科学应急、智慧应急水平达到新高度，应急信息技术系统全面完善，生命安全保护能力全面提升，人民安全感显著增强，形成与基本实现现代化相适应的应急管理机制和能力。</w:t>
      </w:r>
    </w:p>
    <w:p>
      <w:pPr>
        <w:pStyle w:val="3"/>
        <w:rPr>
          <w:rFonts w:cs="Times New Roman"/>
        </w:rPr>
      </w:pPr>
      <w:r>
        <w:rPr>
          <w:rFonts w:cs="Times New Roman"/>
        </w:rPr>
        <w:t>四</w:t>
      </w:r>
      <w:bookmarkEnd w:id="28"/>
      <w:bookmarkEnd w:id="29"/>
      <w:r>
        <w:rPr>
          <w:rFonts w:cs="Times New Roman"/>
        </w:rPr>
        <w:t>、主要任务和重点工程</w:t>
      </w:r>
      <w:bookmarkEnd w:id="30"/>
      <w:bookmarkEnd w:id="33"/>
      <w:bookmarkStart w:id="34" w:name="_Toc98773632"/>
    </w:p>
    <w:p>
      <w:pPr>
        <w:pStyle w:val="4"/>
        <w:rPr>
          <w:rFonts w:cs="Times New Roman"/>
          <w:bCs w:val="0"/>
        </w:rPr>
      </w:pPr>
      <w:bookmarkStart w:id="35" w:name="_Toc9082"/>
      <w:r>
        <w:rPr>
          <w:rFonts w:cs="Times New Roman"/>
          <w:bCs w:val="0"/>
        </w:rPr>
        <w:t>（一）</w:t>
      </w:r>
      <w:bookmarkEnd w:id="34"/>
      <w:r>
        <w:rPr>
          <w:rFonts w:cs="Times New Roman"/>
          <w:bCs w:val="0"/>
        </w:rPr>
        <w:t>应急管理机制方面</w:t>
      </w:r>
      <w:bookmarkEnd w:id="35"/>
    </w:p>
    <w:p>
      <w:pPr>
        <w:widowControl/>
        <w:ind w:firstLine="643"/>
        <w:jc w:val="left"/>
        <w:rPr>
          <w:rFonts w:cs="Times New Roman"/>
          <w:color w:val="000000" w:themeColor="text1"/>
          <w:szCs w:val="32"/>
          <w14:textFill>
            <w14:solidFill>
              <w14:schemeClr w14:val="tx1"/>
            </w14:solidFill>
          </w14:textFill>
        </w:rPr>
      </w:pPr>
      <w:r>
        <w:rPr>
          <w:rFonts w:cs="Times New Roman"/>
          <w:b/>
          <w:bCs/>
          <w:color w:val="000000" w:themeColor="text1"/>
          <w:szCs w:val="32"/>
          <w14:textFill>
            <w14:solidFill>
              <w14:schemeClr w14:val="tx1"/>
            </w14:solidFill>
          </w14:textFill>
        </w:rPr>
        <w:t>健全管理机构。</w:t>
      </w:r>
      <w:r>
        <w:rPr>
          <w:rFonts w:cs="Times New Roman"/>
          <w:color w:val="000000" w:themeColor="text1"/>
          <w:szCs w:val="32"/>
          <w14:textFill>
            <w14:solidFill>
              <w14:schemeClr w14:val="tx1"/>
            </w14:solidFill>
          </w14:textFill>
        </w:rPr>
        <w:t>健全以镇党委政府主要领导为主任的安委会和以镇党委政府主要领导为组长的应急管理领导小组，理顺抗震救灾、防汛抗旱、消防救援、事故救援等应急职责。整合安全生产、防汛抗旱、地质灾害防治、森林防灭火、灾情管理等资源和力量，组建</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应急管理办公室，落实专职应急管理人员不少于2名，解决一人多岗、人员配备不齐、责任难以落实等问题，并在区应急管理局业务指导下，负责辖区应急管理工作。各村社统筹整合现有的山洪地质灾害预警员、护林员、地质灾害预警员、灾情信息员、网格员等资源，实现资源共享、统一登记造册，一体化推进综合性应急管理网格队伍建设。充实</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 xml:space="preserve">镇应急管理专业技术岗位，加强应急管理人员培训，提高基层应急管理专业能力素质。 </w:t>
      </w:r>
    </w:p>
    <w:p>
      <w:pPr>
        <w:ind w:firstLine="643"/>
        <w:rPr>
          <w:rFonts w:cs="Times New Roman"/>
          <w:color w:val="000000" w:themeColor="text1"/>
          <w:szCs w:val="32"/>
          <w14:textFill>
            <w14:solidFill>
              <w14:schemeClr w14:val="tx1"/>
            </w14:solidFill>
          </w14:textFill>
        </w:rPr>
      </w:pPr>
      <w:r>
        <w:rPr>
          <w:rFonts w:cs="Times New Roman"/>
          <w:b/>
          <w:bCs/>
          <w:color w:val="000000" w:themeColor="text1"/>
          <w:szCs w:val="32"/>
          <w14:textFill>
            <w14:solidFill>
              <w14:schemeClr w14:val="tx1"/>
            </w14:solidFill>
          </w14:textFill>
        </w:rPr>
        <w:t>加强应急管理制度建设。</w:t>
      </w:r>
      <w:r>
        <w:rPr>
          <w:rFonts w:cs="Times New Roman"/>
          <w:color w:val="000000" w:themeColor="text1"/>
          <w:szCs w:val="32"/>
          <w14:textFill>
            <w14:solidFill>
              <w14:schemeClr w14:val="tx1"/>
            </w14:solidFill>
          </w14:textFill>
        </w:rPr>
        <w:t>完善应急管理预测预警预报制度，及时准确上报安全生产、自然灾害等行业领域灾害险情。建立完善巡查检查、应急值守、区域联动、会商、先期处置、转移疏散、避险管控、应急救援训练、物资调配、预案管理等制度。建立健全灾害防范、治理、救援任务清单和责任清单。</w:t>
      </w:r>
    </w:p>
    <w:p>
      <w:pPr>
        <w:ind w:firstLine="643"/>
        <w:rPr>
          <w:rFonts w:cs="Times New Roman"/>
          <w:color w:val="000000" w:themeColor="text1"/>
          <w:szCs w:val="32"/>
          <w14:textFill>
            <w14:solidFill>
              <w14:schemeClr w14:val="tx1"/>
            </w14:solidFill>
          </w14:textFill>
        </w:rPr>
      </w:pPr>
      <w:r>
        <w:rPr>
          <w:rFonts w:cs="Times New Roman"/>
          <w:b/>
          <w:bCs/>
          <w:color w:val="000000" w:themeColor="text1"/>
          <w:szCs w:val="32"/>
          <w14:textFill>
            <w14:solidFill>
              <w14:schemeClr w14:val="tx1"/>
            </w14:solidFill>
          </w14:textFill>
        </w:rPr>
        <w:t>完善应急指挥机制。</w:t>
      </w:r>
      <w:r>
        <w:rPr>
          <w:rFonts w:cs="Times New Roman"/>
          <w:color w:val="000000" w:themeColor="text1"/>
          <w:szCs w:val="32"/>
          <w14:textFill>
            <w14:solidFill>
              <w14:schemeClr w14:val="tx1"/>
            </w14:solidFill>
          </w14:textFill>
        </w:rPr>
        <w:t>建立片区应急指挥机制，完善各镇应急指挥体系，由发生险情镇牵头，会同片区其他镇，负责统一指挥、统一调度应急救援队伍，统筹协调灾害事故风险研判、信息共享、协同处置等全过程管理。</w:t>
      </w:r>
    </w:p>
    <w:p>
      <w:pPr>
        <w:widowControl/>
        <w:ind w:firstLine="643"/>
        <w:jc w:val="left"/>
        <w:rPr>
          <w:rFonts w:cs="Times New Roman"/>
          <w:color w:val="000000" w:themeColor="text1"/>
          <w:szCs w:val="32"/>
          <w14:textFill>
            <w14:solidFill>
              <w14:schemeClr w14:val="tx1"/>
            </w14:solidFill>
          </w14:textFill>
        </w:rPr>
      </w:pPr>
      <w:r>
        <w:rPr>
          <w:rFonts w:cs="Times New Roman"/>
          <w:b/>
          <w:bCs/>
          <w:color w:val="000000" w:themeColor="text1"/>
          <w:szCs w:val="32"/>
          <w14:textFill>
            <w14:solidFill>
              <w14:schemeClr w14:val="tx1"/>
            </w14:solidFill>
          </w14:textFill>
        </w:rPr>
        <w:t>优化联动机制。</w:t>
      </w:r>
      <w:r>
        <w:rPr>
          <w:rFonts w:cs="Times New Roman"/>
          <w:color w:val="000000" w:themeColor="text1"/>
          <w:szCs w:val="32"/>
          <w14:textFill>
            <w14:solidFill>
              <w14:schemeClr w14:val="tx1"/>
            </w14:solidFill>
          </w14:textFill>
        </w:rPr>
        <w:t>发挥片区</w:t>
      </w:r>
      <w:r>
        <w:rPr>
          <w:rFonts w:hint="eastAsia" w:cs="Times New Roman"/>
          <w:color w:val="000000" w:themeColor="text1"/>
          <w:szCs w:val="32"/>
          <w14:textFill>
            <w14:solidFill>
              <w14:schemeClr w14:val="tx1"/>
            </w14:solidFill>
          </w14:textFill>
        </w:rPr>
        <w:t>老池</w:t>
      </w:r>
      <w:r>
        <w:rPr>
          <w:rFonts w:cs="Times New Roman"/>
          <w:color w:val="000000" w:themeColor="text1"/>
          <w:szCs w:val="32"/>
          <w14:textFill>
            <w14:solidFill>
              <w14:schemeClr w14:val="tx1"/>
            </w14:solidFill>
          </w14:textFill>
        </w:rPr>
        <w:t>镇位置优势，统筹协调片区内应急管理和处置工作，推动片区各镇、村社应急队伍联动，强化</w:t>
      </w:r>
      <w:r>
        <w:rPr>
          <w:rFonts w:hint="eastAsia" w:ascii="仿宋" w:hAnsi="仿宋" w:eastAsia="仿宋" w:cs="仿宋"/>
          <w:color w:val="000000" w:themeColor="text1"/>
          <w:szCs w:val="32"/>
          <w14:textFill>
            <w14:solidFill>
              <w14:schemeClr w14:val="tx1"/>
            </w14:solidFill>
          </w14:textFill>
        </w:rPr>
        <w:t>“一主两辅”</w:t>
      </w:r>
      <w:r>
        <w:rPr>
          <w:rFonts w:cs="Times New Roman"/>
          <w:color w:val="000000" w:themeColor="text1"/>
          <w:szCs w:val="32"/>
          <w14:textFill>
            <w14:solidFill>
              <w14:schemeClr w14:val="tx1"/>
            </w14:solidFill>
          </w14:textFill>
        </w:rPr>
        <w:t>联动，加强社会联动，有序引导各类社会救援队伍参与抢险救灾工作。</w:t>
      </w:r>
    </w:p>
    <w:p>
      <w:pPr>
        <w:pStyle w:val="2"/>
        <w:ind w:firstLine="420"/>
      </w:pPr>
    </w:p>
    <w:p>
      <w:pPr>
        <w:pStyle w:val="2"/>
        <w:ind w:firstLine="420"/>
      </w:pP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000" w:type="pct"/>
            <w:tcBorders>
              <w:bottom w:val="nil"/>
            </w:tcBorders>
            <w:vAlign w:val="center"/>
          </w:tcPr>
          <w:p>
            <w:pPr>
              <w:pStyle w:val="10"/>
              <w:spacing w:after="0" w:line="550" w:lineRule="exact"/>
              <w:ind w:firstLine="640"/>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专栏1  应急管理重点工程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000" w:type="pct"/>
            <w:vAlign w:val="center"/>
          </w:tcPr>
          <w:p>
            <w:pPr>
              <w:ind w:firstLine="640"/>
              <w:jc w:val="left"/>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1.应急管理人员能力提升项目</w:t>
            </w:r>
          </w:p>
          <w:p>
            <w:pPr>
              <w:ind w:firstLine="640"/>
              <w:jc w:val="left"/>
              <w:rPr>
                <w:rFonts w:cs="Times New Roman"/>
                <w:szCs w:val="32"/>
              </w:rPr>
            </w:pPr>
            <w:r>
              <w:rPr>
                <w:rFonts w:cs="Times New Roman"/>
                <w:color w:val="000000" w:themeColor="text1"/>
                <w:szCs w:val="32"/>
                <w14:textFill>
                  <w14:solidFill>
                    <w14:schemeClr w14:val="tx1"/>
                  </w14:solidFill>
                </w14:textFill>
              </w:rPr>
              <w:t>建设内容：</w:t>
            </w:r>
            <w:r>
              <w:rPr>
                <w:rFonts w:hint="eastAsia" w:cs="Times New Roman"/>
                <w:szCs w:val="32"/>
              </w:rPr>
              <w:t>加强各镇应急管理人员、安全监管人员、镇综合应急救援队伍、村（社区）应急救援分队、村（社区）网格员、灾害信息员等人员的综合能力，每年聘请专业人员培训不少于2次。</w:t>
            </w:r>
          </w:p>
          <w:p>
            <w:pPr>
              <w:ind w:firstLine="640"/>
              <w:jc w:val="left"/>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建设地点：</w:t>
            </w:r>
            <w:r>
              <w:rPr>
                <w:rFonts w:hint="eastAsia" w:cs="Times New Roman"/>
                <w:color w:val="000000" w:themeColor="text1"/>
                <w:szCs w:val="32"/>
                <w14:textFill>
                  <w14:solidFill>
                    <w14:schemeClr w14:val="tx1"/>
                  </w14:solidFill>
                </w14:textFill>
              </w:rPr>
              <w:t>老池镇、龙凤镇</w:t>
            </w:r>
          </w:p>
          <w:p>
            <w:pPr>
              <w:ind w:firstLine="640"/>
              <w:jc w:val="left"/>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责任单位：区应急管理局</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各镇党委和人民政府</w:t>
            </w:r>
          </w:p>
          <w:p>
            <w:pPr>
              <w:ind w:firstLine="640"/>
              <w:jc w:val="left"/>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资金估算：20万元/年</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共计投入100万</w:t>
            </w:r>
            <w:r>
              <w:rPr>
                <w:rFonts w:hint="eastAsia" w:cs="Times New Roman"/>
                <w:color w:val="000000" w:themeColor="text1"/>
                <w:szCs w:val="32"/>
                <w14:textFill>
                  <w14:solidFill>
                    <w14:schemeClr w14:val="tx1"/>
                  </w14:solidFill>
                </w14:textFill>
              </w:rPr>
              <w:t>元</w:t>
            </w:r>
          </w:p>
          <w:p>
            <w:pPr>
              <w:ind w:firstLine="640"/>
              <w:jc w:val="left"/>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完成时限：2025年。</w:t>
            </w:r>
          </w:p>
        </w:tc>
      </w:tr>
    </w:tbl>
    <w:p>
      <w:pPr>
        <w:pStyle w:val="4"/>
        <w:rPr>
          <w:rFonts w:cs="Times New Roman"/>
        </w:rPr>
      </w:pPr>
      <w:bookmarkStart w:id="36" w:name="_Toc16054"/>
      <w:r>
        <w:rPr>
          <w:rFonts w:cs="Times New Roman"/>
        </w:rPr>
        <w:t>（二）安全生产风险防控方面</w:t>
      </w:r>
      <w:bookmarkEnd w:id="36"/>
    </w:p>
    <w:p>
      <w:pPr>
        <w:ind w:firstLine="643"/>
        <w:rPr>
          <w:rFonts w:cs="Times New Roman"/>
          <w:color w:val="000000" w:themeColor="text1"/>
          <w:szCs w:val="32"/>
          <w14:textFill>
            <w14:solidFill>
              <w14:schemeClr w14:val="tx1"/>
            </w14:solidFill>
          </w14:textFill>
        </w:rPr>
      </w:pPr>
      <w:bookmarkStart w:id="37" w:name="_Toc98773642"/>
      <w:r>
        <w:rPr>
          <w:rFonts w:cs="Times New Roman"/>
          <w:b/>
          <w:bCs/>
          <w:color w:val="000000" w:themeColor="text1"/>
          <w:szCs w:val="32"/>
          <w14:textFill>
            <w14:solidFill>
              <w14:schemeClr w14:val="tx1"/>
            </w14:solidFill>
          </w14:textFill>
        </w:rPr>
        <w:t>增强安全监管能力建设。</w:t>
      </w:r>
      <w:r>
        <w:rPr>
          <w:rFonts w:cs="Times New Roman"/>
          <w:szCs w:val="32"/>
        </w:rPr>
        <w:t>持续增强新上任领导干部风险意识和底线思维，依托省、市、区三级组织和各级党校按照</w:t>
      </w:r>
      <w:r>
        <w:rPr>
          <w:rFonts w:hint="eastAsia" w:cs="Times New Roman"/>
          <w:szCs w:val="32"/>
        </w:rPr>
        <w:t>“</w:t>
      </w:r>
      <w:r>
        <w:rPr>
          <w:rFonts w:cs="Times New Roman"/>
          <w:szCs w:val="32"/>
        </w:rPr>
        <w:t>走出去、请进来</w:t>
      </w:r>
      <w:r>
        <w:rPr>
          <w:rFonts w:hint="eastAsia" w:cs="Times New Roman"/>
          <w:szCs w:val="32"/>
        </w:rPr>
        <w:t>”</w:t>
      </w:r>
      <w:r>
        <w:rPr>
          <w:rFonts w:cs="Times New Roman"/>
          <w:szCs w:val="32"/>
        </w:rPr>
        <w:t>等模式，对片区内各级领导干部及安全监管队伍开展专业知识、救援实战、心理素质等方面的培训，提升安全监管队伍理论水平和业务技能。加强专业人才队伍建设，推行应急专业人才</w:t>
      </w:r>
      <w:r>
        <w:rPr>
          <w:rFonts w:hint="eastAsia" w:cs="Times New Roman"/>
          <w:szCs w:val="32"/>
        </w:rPr>
        <w:t>“</w:t>
      </w:r>
      <w:r>
        <w:rPr>
          <w:rFonts w:cs="Times New Roman"/>
          <w:szCs w:val="32"/>
        </w:rPr>
        <w:t>员额制</w:t>
      </w:r>
      <w:r>
        <w:rPr>
          <w:rFonts w:hint="eastAsia" w:cs="Times New Roman"/>
          <w:szCs w:val="32"/>
        </w:rPr>
        <w:t>”</w:t>
      </w:r>
      <w:r>
        <w:rPr>
          <w:rFonts w:cs="Times New Roman"/>
          <w:szCs w:val="32"/>
        </w:rPr>
        <w:t>管理，加强专职安全监管人员的配备，进一步优化人员编制、职能划转。深入开展</w:t>
      </w:r>
      <w:r>
        <w:rPr>
          <w:rFonts w:hint="eastAsia" w:cs="Times New Roman"/>
          <w:szCs w:val="32"/>
        </w:rPr>
        <w:t>各</w:t>
      </w:r>
      <w:r>
        <w:rPr>
          <w:rFonts w:cs="Times New Roman"/>
          <w:szCs w:val="32"/>
        </w:rPr>
        <w:t>镇</w:t>
      </w:r>
      <w:r>
        <w:rPr>
          <w:rFonts w:hint="eastAsia" w:cs="Times New Roman"/>
          <w:szCs w:val="32"/>
        </w:rPr>
        <w:t>间</w:t>
      </w:r>
      <w:r>
        <w:rPr>
          <w:rFonts w:cs="Times New Roman"/>
          <w:szCs w:val="32"/>
        </w:rPr>
        <w:t>委托执法，加强</w:t>
      </w:r>
      <w:r>
        <w:rPr>
          <w:rFonts w:hint="eastAsia" w:cs="Times New Roman"/>
          <w:szCs w:val="32"/>
        </w:rPr>
        <w:t>各</w:t>
      </w:r>
      <w:r>
        <w:rPr>
          <w:rFonts w:cs="Times New Roman"/>
          <w:szCs w:val="32"/>
        </w:rPr>
        <w:t>镇执法装备配备，提高装备保障、经费保障、技术保障能力，深入开展</w:t>
      </w:r>
      <w:r>
        <w:rPr>
          <w:rFonts w:hint="eastAsia" w:cs="Times New Roman"/>
          <w:szCs w:val="32"/>
        </w:rPr>
        <w:t>“</w:t>
      </w:r>
      <w:r>
        <w:rPr>
          <w:rFonts w:cs="Times New Roman"/>
          <w:szCs w:val="32"/>
        </w:rPr>
        <w:t>清单式</w:t>
      </w:r>
      <w:r>
        <w:rPr>
          <w:rFonts w:hint="eastAsia" w:cs="Times New Roman"/>
          <w:szCs w:val="32"/>
        </w:rPr>
        <w:t>”</w:t>
      </w:r>
      <w:r>
        <w:rPr>
          <w:rFonts w:hint="eastAsia" w:cs="Times New Roman"/>
          <w:szCs w:val="32"/>
          <w:lang w:eastAsia="zh-CN"/>
        </w:rPr>
        <w:t>、</w:t>
      </w:r>
      <w:r>
        <w:rPr>
          <w:rFonts w:hint="eastAsia" w:cs="Times New Roman"/>
          <w:szCs w:val="32"/>
        </w:rPr>
        <w:t>“</w:t>
      </w:r>
      <w:r>
        <w:rPr>
          <w:rFonts w:cs="Times New Roman"/>
          <w:szCs w:val="32"/>
        </w:rPr>
        <w:t>诊断式</w:t>
      </w:r>
      <w:r>
        <w:rPr>
          <w:rFonts w:hint="eastAsia" w:cs="Times New Roman"/>
          <w:szCs w:val="32"/>
        </w:rPr>
        <w:t>”</w:t>
      </w:r>
      <w:r>
        <w:rPr>
          <w:rFonts w:cs="Times New Roman"/>
          <w:szCs w:val="32"/>
        </w:rPr>
        <w:t>执法检查。</w:t>
      </w:r>
    </w:p>
    <w:p>
      <w:pPr>
        <w:ind w:firstLine="643"/>
        <w:rPr>
          <w:rFonts w:cs="Times New Roman"/>
        </w:rPr>
      </w:pPr>
      <w:r>
        <w:rPr>
          <w:rFonts w:cs="Times New Roman"/>
          <w:b/>
          <w:bCs/>
          <w:color w:val="000000" w:themeColor="text1"/>
          <w:szCs w:val="32"/>
          <w14:textFill>
            <w14:solidFill>
              <w14:schemeClr w14:val="tx1"/>
            </w14:solidFill>
          </w14:textFill>
        </w:rPr>
        <w:t>加强风险源头管控。</w:t>
      </w:r>
      <w:r>
        <w:rPr>
          <w:rFonts w:cs="Times New Roman"/>
          <w:szCs w:val="32"/>
        </w:rPr>
        <w:t>要建立公共安全隐患排查和安全预防控制体系，加强新材料、新工艺安全风险评估和管控。必须全面推进重点行业领域安全风险防控，加强高危行业企业主要负责人、安全管理人员、特种作业人员安全教育培训，提高安全管理水平和自救互救能力。督促指导各类生产经营单位建立常态化摸排辨识重大风险工作机制，完善风险管控任务清单，明确风险位置、具体表现、管控措施、监管人员等基础信息；积极开展宣传企业安全生产教育培训，提升重点行业领 域内关键岗位人员职业安全技能。</w:t>
      </w:r>
    </w:p>
    <w:p>
      <w:pPr>
        <w:ind w:firstLine="643"/>
        <w:rPr>
          <w:rFonts w:cs="Times New Roman"/>
          <w:szCs w:val="32"/>
        </w:rPr>
      </w:pPr>
      <w:r>
        <w:rPr>
          <w:rFonts w:cs="Times New Roman"/>
          <w:b/>
          <w:bCs/>
        </w:rPr>
        <w:t>强化风险监测预警。</w:t>
      </w:r>
      <w:r>
        <w:rPr>
          <w:rFonts w:cs="Times New Roman"/>
          <w:szCs w:val="32"/>
        </w:rPr>
        <w:t>充分利用物联网、视频识别、5G等技术，以感知设备智能化、网络化、微型化、集成化为特征，强化风险感知网络，提高监测感知能力。加强重要设施、重大危险源、重点脆弱性目标和重点区域安全风险智能感知与态势动态评估，实现道路桥梁、供排水、电力、燃气、输油管道、通信等重要市政基础设施，危险化学品生产储存、</w:t>
      </w:r>
      <w:r>
        <w:rPr>
          <w:rFonts w:hint="eastAsia" w:cs="Times New Roman"/>
          <w:szCs w:val="32"/>
        </w:rPr>
        <w:t>天然气管道、</w:t>
      </w:r>
      <w:r>
        <w:rPr>
          <w:rFonts w:cs="Times New Roman"/>
          <w:szCs w:val="32"/>
        </w:rPr>
        <w:t>建筑施工、农业和旅游业等重点行业领域，以及医院、学校、养老院等重要场所</w:t>
      </w:r>
      <w:r>
        <w:rPr>
          <w:rFonts w:hint="eastAsia" w:cs="Times New Roman"/>
          <w:szCs w:val="32"/>
        </w:rPr>
        <w:t>，</w:t>
      </w:r>
      <w:r>
        <w:rPr>
          <w:rFonts w:cs="Times New Roman"/>
          <w:szCs w:val="32"/>
        </w:rPr>
        <w:t>地质灾害、洪涝灾害、森林火灾等自然灾害风险监测预警全覆盖，形成基础信息库和风险隐患数据库。</w:t>
      </w:r>
    </w:p>
    <w:p>
      <w:pPr>
        <w:ind w:firstLine="643"/>
        <w:rPr>
          <w:rFonts w:cs="Times New Roman"/>
        </w:rPr>
      </w:pPr>
      <w:r>
        <w:rPr>
          <w:rFonts w:cs="Times New Roman"/>
          <w:b/>
          <w:bCs/>
        </w:rPr>
        <w:t>深化</w:t>
      </w:r>
      <w:r>
        <w:rPr>
          <w:rFonts w:cs="Times New Roman"/>
          <w:b/>
          <w:bCs/>
          <w:szCs w:val="32"/>
        </w:rPr>
        <w:t>重点领域综合治理</w:t>
      </w:r>
      <w:r>
        <w:rPr>
          <w:rFonts w:cs="Times New Roman"/>
          <w:b/>
          <w:bCs/>
        </w:rPr>
        <w:t>。</w:t>
      </w:r>
      <w:r>
        <w:rPr>
          <w:rFonts w:cs="Times New Roman"/>
          <w:szCs w:val="32"/>
        </w:rPr>
        <w:t>加强安全生产责任制落实，建立全员安全生产责任制和各岗位最新安全履责清单，从高危企业、道路交通、乡村建设、建筑施工等重点领域提档升级，实施重要领域专项整治。消防安全方面，完善消防安全网格化管理体系，全面推进企业消防安全网格化规范管理，落实企业消防安全主体责任。</w:t>
      </w:r>
      <w:bookmarkStart w:id="38" w:name="_Hlk108380741"/>
      <w:r>
        <w:rPr>
          <w:rFonts w:hint="eastAsia" w:cs="Times New Roman"/>
          <w:szCs w:val="32"/>
        </w:rPr>
        <w:t>燃气</w:t>
      </w:r>
      <w:r>
        <w:rPr>
          <w:rFonts w:cs="Times New Roman"/>
          <w:szCs w:val="32"/>
        </w:rPr>
        <w:t>安全方面，落实</w:t>
      </w:r>
      <w:r>
        <w:rPr>
          <w:rFonts w:hint="eastAsia" w:cs="Times New Roman"/>
          <w:szCs w:val="32"/>
        </w:rPr>
        <w:t>燃气企业落实主体责任，将人防、物防和技防有机结合，加大燃气安全资金投入，加强一线员工业务培训，提供优质安全供气服务；行业主管部门和属地要履职尽责，抓好燃气安全隐患排查整治，特别是农村地区要落实燃气安全协管员和企业驻村安全员制度，强化入户安检和燃气安全宣传，坚决守住燃气安全底线。</w:t>
      </w:r>
      <w:bookmarkEnd w:id="38"/>
      <w:r>
        <w:rPr>
          <w:rFonts w:cs="Times New Roman"/>
          <w:szCs w:val="32"/>
        </w:rPr>
        <w:t>交通运输方面，强化道路交通安全监管，加强校车、农村客运班车等安全管控，加大重点路段、危险路段和农村道路路面安全管控力度，深入实施公路安全生命防护工程、危旧桥（隧）改造工程，加强连续长陡下坡、急弯陡坡等隐患路段整治。建筑领域方面，</w:t>
      </w:r>
      <w:r>
        <w:rPr>
          <w:rFonts w:hint="eastAsia" w:cs="Times New Roman"/>
          <w:szCs w:val="32"/>
        </w:rPr>
        <w:t>对片区内城乡所有自建房进行排查摸底，</w:t>
      </w:r>
      <w:r>
        <w:rPr>
          <w:rFonts w:cs="Times New Roman"/>
          <w:szCs w:val="32"/>
        </w:rPr>
        <w:t>加强农村危房改造治理及农村建房施工审批，</w:t>
      </w:r>
      <w:r>
        <w:rPr>
          <w:rFonts w:hint="eastAsia" w:cs="Times New Roman"/>
          <w:szCs w:val="32"/>
        </w:rPr>
        <w:t>在继续推进农村房屋安全隐患排查整治工作的基础上，突出人员密集、涉及公共安全的经营性自建房的摸排。</w:t>
      </w:r>
      <w:r>
        <w:rPr>
          <w:rFonts w:cs="Times New Roman"/>
          <w:szCs w:val="32"/>
        </w:rPr>
        <w:t>严格落实建筑施工安全管理各方主体责任，实施建筑行业防范高处坠落、施工坍塌等专项治理行动。工贸企业方面，健全工贸行业安全生产责任体系、责任清单，着力提升安全风险辨识和有效管控能力，加强对企业构建双重预防机制的督促检查与指导。</w:t>
      </w:r>
    </w:p>
    <w:p>
      <w:pPr>
        <w:pBdr>
          <w:top w:val="single" w:color="auto" w:sz="4" w:space="1"/>
          <w:left w:val="single" w:color="auto" w:sz="4" w:space="4"/>
          <w:bottom w:val="single" w:color="auto" w:sz="4" w:space="1"/>
          <w:right w:val="single" w:color="auto" w:sz="4" w:space="4"/>
        </w:pBdr>
        <w:ind w:firstLine="0" w:firstLineChars="0"/>
        <w:jc w:val="center"/>
        <w:rPr>
          <w:rFonts w:cs="Times New Roman"/>
          <w:szCs w:val="32"/>
        </w:rPr>
      </w:pPr>
      <w:r>
        <w:rPr>
          <w:rFonts w:cs="Times New Roman"/>
          <w:szCs w:val="32"/>
        </w:rPr>
        <w:t>专栏2：安全生产风险防控重点工程</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1.安全生产基础能力提升工程</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建设内容：</w:t>
      </w:r>
      <w:r>
        <w:rPr>
          <w:rFonts w:hint="eastAsia" w:ascii="Times New Roman" w:hAnsi="Times New Roman" w:eastAsia="仿宋" w:cs="Times New Roman"/>
          <w:sz w:val="32"/>
          <w:szCs w:val="32"/>
        </w:rPr>
        <w:t>建设集智慧安防、智慧消防、安全隐患分布电子地图等为一体的安全监管平台，实现片区内安全信息化监管；在生产企业关键岗位、高危作业、特种作业等各环节建设在线视频监控及智能报警装置。</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建设地点：</w:t>
      </w:r>
      <w:r>
        <w:rPr>
          <w:rFonts w:hint="eastAsia" w:ascii="Times New Roman" w:hAnsi="Times New Roman" w:eastAsia="仿宋" w:cs="Times New Roman"/>
          <w:sz w:val="32"/>
          <w:szCs w:val="32"/>
        </w:rPr>
        <w:t>老池镇、龙凤镇</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责任单位：区应急管理局，各镇党委和人民政府</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资金估算：</w:t>
      </w:r>
      <w:r>
        <w:rPr>
          <w:rFonts w:hint="eastAsia" w:ascii="Times New Roman" w:hAnsi="Times New Roman" w:eastAsia="仿宋" w:cs="Times New Roman"/>
          <w:sz w:val="32"/>
          <w:szCs w:val="32"/>
          <w:lang w:val="en-US" w:eastAsia="zh-CN"/>
        </w:rPr>
        <w:t>8</w:t>
      </w:r>
      <w:r>
        <w:rPr>
          <w:rFonts w:hint="eastAsia" w:ascii="Times New Roman" w:hAnsi="Times New Roman" w:eastAsia="仿宋" w:cs="Times New Roman"/>
          <w:sz w:val="32"/>
          <w:szCs w:val="32"/>
        </w:rPr>
        <w:t>0万/年</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rPr>
        <w:t>总计投入400万</w:t>
      </w:r>
      <w:r>
        <w:rPr>
          <w:rFonts w:hint="eastAsia" w:ascii="Times New Roman" w:hAnsi="Times New Roman" w:eastAsia="仿宋" w:cs="Times New Roman"/>
          <w:sz w:val="32"/>
          <w:szCs w:val="32"/>
        </w:rPr>
        <w:t>元</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完成期限：2025年。</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2.重点行业领域安全监管服务</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建设内容：通过政府购买专业技术服务，聘请行业领域专家辅助进行工贸、燃气、建筑施工、道路交通、消防等重点行业领域安全监管和隐患排查等工作。</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建设地点：老池镇、龙凤镇</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责任单位：区应急管理局，</w:t>
      </w:r>
      <w:r>
        <w:rPr>
          <w:rFonts w:ascii="Times New Roman" w:hAnsi="Times New Roman" w:eastAsia="仿宋" w:cs="Times New Roman"/>
          <w:sz w:val="32"/>
          <w:szCs w:val="32"/>
        </w:rPr>
        <w:t>各镇党委和人民政府</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资金估算：</w:t>
      </w:r>
      <w:r>
        <w:rPr>
          <w:rFonts w:ascii="Times New Roman" w:hAnsi="Times New Roman" w:eastAsia="仿宋" w:cs="Times New Roman"/>
          <w:sz w:val="32"/>
          <w:szCs w:val="32"/>
        </w:rPr>
        <w:t>4</w:t>
      </w:r>
      <w:r>
        <w:rPr>
          <w:rFonts w:hint="eastAsia" w:ascii="Times New Roman" w:hAnsi="Times New Roman" w:eastAsia="仿宋" w:cs="Times New Roman"/>
          <w:sz w:val="32"/>
          <w:szCs w:val="32"/>
        </w:rPr>
        <w:t>0万/年，总计投入</w:t>
      </w:r>
      <w:r>
        <w:rPr>
          <w:rFonts w:ascii="Times New Roman" w:hAnsi="Times New Roman" w:eastAsia="仿宋" w:cs="Times New Roman"/>
          <w:sz w:val="32"/>
          <w:szCs w:val="32"/>
        </w:rPr>
        <w:t>2</w:t>
      </w:r>
      <w:r>
        <w:rPr>
          <w:rFonts w:hint="eastAsia" w:ascii="Times New Roman" w:hAnsi="Times New Roman" w:eastAsia="仿宋" w:cs="Times New Roman"/>
          <w:sz w:val="32"/>
          <w:szCs w:val="32"/>
        </w:rPr>
        <w:t>00万元</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完成时限：2025年。</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3.道路交通安全防护工程</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建设内容：</w:t>
      </w:r>
      <w:r>
        <w:rPr>
          <w:rFonts w:hint="eastAsia" w:ascii="Times New Roman" w:hAnsi="Times New Roman" w:eastAsia="仿宋" w:cs="Times New Roman"/>
          <w:sz w:val="32"/>
          <w:szCs w:val="32"/>
        </w:rPr>
        <w:t>加强片区内国省道、县乡道穿村过镇、重要平交路口、急弯陡坡、临水临崖等路段安全整治和改造治理；在</w:t>
      </w:r>
      <w:r>
        <w:rPr>
          <w:rFonts w:ascii="Times New Roman" w:hAnsi="Times New Roman" w:eastAsia="仿宋" w:cs="Times New Roman"/>
          <w:sz w:val="32"/>
          <w:szCs w:val="32"/>
        </w:rPr>
        <w:t>乡道、村道重点部位安装道路防护栏、防护网、凸镜、减速带、夜间照明，进村道路周边环境整治</w:t>
      </w:r>
      <w:r>
        <w:rPr>
          <w:rFonts w:hint="eastAsia" w:ascii="Times New Roman" w:hAnsi="Times New Roman" w:eastAsia="仿宋" w:cs="Times New Roman"/>
          <w:sz w:val="32"/>
          <w:szCs w:val="32"/>
        </w:rPr>
        <w:t>。</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建设地点：老池镇、龙凤镇</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责任单位：区交通运输局，各镇党委和人民政府</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资金估算：</w:t>
      </w:r>
      <w:r>
        <w:rPr>
          <w:rFonts w:hint="eastAsia" w:ascii="Times New Roman" w:hAnsi="Times New Roman" w:eastAsia="仿宋" w:cs="Times New Roman"/>
          <w:sz w:val="32"/>
          <w:szCs w:val="32"/>
          <w:lang w:val="en-US" w:eastAsia="zh-CN"/>
        </w:rPr>
        <w:t>200</w:t>
      </w:r>
      <w:r>
        <w:rPr>
          <w:rFonts w:hint="eastAsia" w:ascii="Times New Roman" w:hAnsi="Times New Roman" w:eastAsia="仿宋" w:cs="Times New Roman"/>
          <w:sz w:val="32"/>
          <w:szCs w:val="32"/>
        </w:rPr>
        <w:t>万/年</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rPr>
        <w:t>总计投入1000万</w:t>
      </w:r>
      <w:r>
        <w:rPr>
          <w:rFonts w:hint="eastAsia" w:ascii="Times New Roman" w:hAnsi="Times New Roman" w:eastAsia="仿宋" w:cs="Times New Roman"/>
          <w:sz w:val="32"/>
          <w:szCs w:val="32"/>
        </w:rPr>
        <w:t>元</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ascii="Times New Roman" w:hAnsi="Times New Roman" w:eastAsia="仿宋" w:cs="Times New Roman"/>
          <w:sz w:val="32"/>
          <w:szCs w:val="32"/>
        </w:rPr>
        <w:t>完成期限：2025年。</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4.自建房安全专项整治工程</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建设内容：加强对片区内城乡所有自建房进行排查摸底，突出人员密集、涉及公共安全的经营性自建房安全隐患排查整治，全面摸清自建房基本情况，重点排查结构安全性（设计、施工、使用等情况）、经营安全性（相关经营许可、场所安全要求等落实情况）、房屋建设合法合规性（土地、规划、建设等手续办理情况）等内容，建立城镇房屋、农村房屋综合管理信息平台，逐一归集排查信息。</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建设地点：老池镇、龙凤镇</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责任单位：区住房和城乡建设局，</w:t>
      </w:r>
      <w:r>
        <w:rPr>
          <w:rFonts w:ascii="Times New Roman" w:hAnsi="Times New Roman" w:eastAsia="仿宋" w:cs="Times New Roman"/>
          <w:sz w:val="32"/>
          <w:szCs w:val="32"/>
        </w:rPr>
        <w:t>各镇党委和人民政府</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资金估算：</w:t>
      </w:r>
      <w:r>
        <w:rPr>
          <w:rFonts w:ascii="Times New Roman" w:hAnsi="Times New Roman" w:eastAsia="仿宋" w:cs="Times New Roman"/>
          <w:sz w:val="32"/>
          <w:szCs w:val="32"/>
        </w:rPr>
        <w:t>3</w:t>
      </w:r>
      <w:r>
        <w:rPr>
          <w:rFonts w:hint="eastAsia" w:ascii="Times New Roman" w:hAnsi="Times New Roman" w:eastAsia="仿宋" w:cs="Times New Roman"/>
          <w:sz w:val="32"/>
          <w:szCs w:val="32"/>
        </w:rPr>
        <w:t>0万/年，总计投入</w:t>
      </w:r>
      <w:r>
        <w:rPr>
          <w:rFonts w:ascii="Times New Roman" w:hAnsi="Times New Roman" w:eastAsia="仿宋" w:cs="Times New Roman"/>
          <w:sz w:val="32"/>
          <w:szCs w:val="32"/>
        </w:rPr>
        <w:t>15</w:t>
      </w:r>
      <w:r>
        <w:rPr>
          <w:rFonts w:hint="eastAsia" w:ascii="Times New Roman" w:hAnsi="Times New Roman" w:eastAsia="仿宋" w:cs="Times New Roman"/>
          <w:sz w:val="32"/>
          <w:szCs w:val="32"/>
        </w:rPr>
        <w:t>0万元</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完成期限：2025年。</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5.燃气安全专项整治工程</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建设内容：加强燃气安全检查，特别对加气站、供气管道、餐饮企业等燃气使用场所开展消防安全专项检查，重点对燃气设备安全性、消防设施配备、防火防电自动报警设施运行做好排查整治，加快老旧燃气管线更新改造，积极推动先进技术装备应用、监测预警系统建设、专业人才培养和城市监管中心建设运维。</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建设地点：老池镇、龙凤镇</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责任单位：区住房和城乡建设局，</w:t>
      </w:r>
      <w:r>
        <w:rPr>
          <w:rFonts w:ascii="Times New Roman" w:hAnsi="Times New Roman" w:eastAsia="仿宋" w:cs="Times New Roman"/>
          <w:sz w:val="32"/>
          <w:szCs w:val="32"/>
        </w:rPr>
        <w:t>各镇党委和人民政府</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资金估算：</w:t>
      </w:r>
      <w:r>
        <w:rPr>
          <w:rFonts w:ascii="Times New Roman" w:hAnsi="Times New Roman" w:eastAsia="仿宋" w:cs="Times New Roman"/>
          <w:sz w:val="32"/>
          <w:szCs w:val="32"/>
        </w:rPr>
        <w:t>3</w:t>
      </w:r>
      <w:r>
        <w:rPr>
          <w:rFonts w:hint="eastAsia" w:ascii="Times New Roman" w:hAnsi="Times New Roman" w:eastAsia="仿宋" w:cs="Times New Roman"/>
          <w:sz w:val="32"/>
          <w:szCs w:val="32"/>
        </w:rPr>
        <w:t>0万/年，总计投入150万元</w:t>
      </w:r>
    </w:p>
    <w:p>
      <w:pPr>
        <w:pStyle w:val="2"/>
        <w:pBdr>
          <w:top w:val="single" w:color="auto" w:sz="4" w:space="1"/>
          <w:left w:val="single" w:color="auto" w:sz="4" w:space="4"/>
          <w:bottom w:val="single" w:color="auto" w:sz="4" w:space="1"/>
          <w:right w:val="single" w:color="auto" w:sz="4" w:space="4"/>
        </w:pBd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完成期限：2025年。</w:t>
      </w:r>
    </w:p>
    <w:p>
      <w:pPr>
        <w:pStyle w:val="4"/>
        <w:rPr>
          <w:rFonts w:cs="Times New Roman"/>
        </w:rPr>
      </w:pPr>
      <w:bookmarkStart w:id="39" w:name="_Toc19143"/>
      <w:r>
        <w:rPr>
          <w:rFonts w:cs="Times New Roman"/>
        </w:rPr>
        <w:t>（三）</w:t>
      </w:r>
      <w:bookmarkEnd w:id="37"/>
      <w:r>
        <w:rPr>
          <w:rFonts w:cs="Times New Roman"/>
        </w:rPr>
        <w:t>自然灾害防治方面</w:t>
      </w:r>
      <w:bookmarkEnd w:id="39"/>
    </w:p>
    <w:p>
      <w:pPr>
        <w:ind w:firstLine="643"/>
        <w:rPr>
          <w:rFonts w:cs="Times New Roman"/>
          <w:szCs w:val="32"/>
        </w:rPr>
      </w:pPr>
      <w:bookmarkStart w:id="40" w:name="_Toc98773646"/>
      <w:r>
        <w:rPr>
          <w:rFonts w:cs="Times New Roman"/>
          <w:b/>
          <w:bCs/>
          <w:szCs w:val="32"/>
        </w:rPr>
        <w:t>加强多灾种和灾害链综合监测</w:t>
      </w:r>
      <w:r>
        <w:rPr>
          <w:rFonts w:cs="Times New Roman"/>
          <w:b/>
          <w:bCs/>
        </w:rPr>
        <w:t>。</w:t>
      </w:r>
      <w:r>
        <w:rPr>
          <w:rFonts w:cs="Times New Roman"/>
          <w:szCs w:val="32"/>
        </w:rPr>
        <w:t>强化基层自然灾害信息员队伍建设，建设山洪、气象等自然灾害综合监测预警系统，积极推进监测预警基础设施建设，加强风险监测数据分析处理，提升全域、全要素感知的自然灾害综合监测预警能力。整合信息发布资源，完善灾害预警信息发布渠道，提升预警信息发布的覆盖面、精准度和时效性。强化对地质灾害、山洪灾害、极端天气、森林火灾等主要自然灾害的预警预报及防御基础设施建设。针对片区主要自然灾害种类和特点，加强对重点区域的自然灾害监测预警预报基础设施建设，完善地质灾害预警系统、水位雨量监测站、森林火灾</w:t>
      </w:r>
      <w:r>
        <w:rPr>
          <w:rFonts w:hint="eastAsia" w:cs="Times New Roman"/>
          <w:szCs w:val="32"/>
        </w:rPr>
        <w:t>“</w:t>
      </w:r>
      <w:r>
        <w:rPr>
          <w:rFonts w:cs="Times New Roman"/>
          <w:szCs w:val="32"/>
        </w:rPr>
        <w:t>两点一哨</w:t>
      </w:r>
      <w:r>
        <w:rPr>
          <w:rFonts w:hint="eastAsia" w:cs="Times New Roman"/>
          <w:szCs w:val="32"/>
        </w:rPr>
        <w:t>”</w:t>
      </w:r>
      <w:r>
        <w:rPr>
          <w:rFonts w:cs="Times New Roman"/>
          <w:szCs w:val="32"/>
        </w:rPr>
        <w:t>，建设森林防火瞭望视频平台，实现在重要数据进行实时监测，提升预警信息时效性和准确性，扩大监测预警覆盖范围。加强与气象部门和林业部门联动，在森林防火期向相关责任单位每日定时发布森林火险气象等级预报，积极开展人工增雨作业，提高林区降水量和植被潮湿率，降低山火可能性和森林火险等级。</w:t>
      </w:r>
    </w:p>
    <w:p>
      <w:pPr>
        <w:ind w:firstLine="643"/>
        <w:rPr>
          <w:rFonts w:cs="Times New Roman"/>
          <w:szCs w:val="32"/>
        </w:rPr>
      </w:pPr>
      <w:r>
        <w:rPr>
          <w:rFonts w:cs="Times New Roman"/>
          <w:b/>
          <w:bCs/>
          <w:szCs w:val="32"/>
        </w:rPr>
        <w:t>提高自然灾害工程设防建设标准</w:t>
      </w:r>
      <w:r>
        <w:rPr>
          <w:rFonts w:cs="Times New Roman"/>
          <w:b/>
          <w:bCs/>
        </w:rPr>
        <w:t>。</w:t>
      </w:r>
      <w:r>
        <w:rPr>
          <w:rFonts w:cs="Times New Roman"/>
          <w:szCs w:val="32"/>
        </w:rPr>
        <w:t>开展片区森林防火、防洪抗汛、地质灾害基础设施建设，增强自然灾害防御能力。提升公共服务设施和居民住宅防灾减灾水平，做好沿山受地质灾害影响较大区域的灾害避险搬迁安置工作，加强数字化地质灾害监测预警建设，确保监测网络对区内10处地质灾害隐患点的全覆盖，坚持主动防灾避险的策略，对险情重、治理难度大、治理成本高的受威胁人员实施避险搬迁。加快防洪抗旱工程达标建设，采取</w:t>
      </w:r>
      <w:r>
        <w:rPr>
          <w:rFonts w:hint="eastAsia" w:cs="Times New Roman"/>
          <w:szCs w:val="32"/>
        </w:rPr>
        <w:t>“</w:t>
      </w:r>
      <w:r>
        <w:rPr>
          <w:rFonts w:cs="Times New Roman"/>
          <w:szCs w:val="32"/>
        </w:rPr>
        <w:t>上蓄、中防、侧分、长疏</w:t>
      </w:r>
      <w:r>
        <w:rPr>
          <w:rFonts w:hint="eastAsia" w:cs="Times New Roman"/>
          <w:szCs w:val="32"/>
        </w:rPr>
        <w:t>”</w:t>
      </w:r>
      <w:r>
        <w:rPr>
          <w:rFonts w:cs="Times New Roman"/>
          <w:szCs w:val="32"/>
        </w:rPr>
        <w:t>的总体策略，短期内以堤防工程、分洪工程和河道疏浚清障为主，以蓄滞洪建设为辅，按照远近结合、易后难的原则，制定阶段工程措施方案，推进片区堤防补短板、河道疏浚、水库加固等工程建设。加强火源管理，持续推进森林消防蓄水池、防火隔离带、应急道路等基础设施建设。对重点部位、环节、时段设立临时检查站，禁止一切火源进入山林，最大限度减少森林火灾隐患。</w:t>
      </w:r>
    </w:p>
    <w:p>
      <w:pPr>
        <w:ind w:firstLine="643"/>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加强自然灾害防治。</w:t>
      </w:r>
      <w:r>
        <w:rPr>
          <w:rFonts w:cs="Times New Roman"/>
          <w:color w:val="000000" w:themeColor="text1"/>
          <w14:textFill>
            <w14:solidFill>
              <w14:schemeClr w14:val="tx1"/>
            </w14:solidFill>
          </w14:textFill>
        </w:rPr>
        <w:t>健全自然灾害防治体系，加快推进防汛抗旱水利提升、地质灾害综合治理和避险移民搬迁、自然灾害监测预警信息化、自然灾害防治技术装备现代化等自然灾害防治工程建设。</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山洪灾害方面：完善山洪灾害非工程措施，实施危险区动态和分级管理，推动监测预警平台集约化应用，持续开展群测群防体系建设，加强重点山洪沟治理，全面提升山洪灾害防御能力。突出</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以人为本，预防为主，治理、避让相结合</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以非工程措施为主，工程措施相结合</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，贯彻</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全面规划、统筹兼顾、标本兼治、综合治理</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，坚持</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突出重点、兼顾一般</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的综合防治原则。根据片区山洪灾害防治特点，选取山洪灾害频发、影响严重的山区河道进行治理。</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森林火灾方面：建设完善森林草原火灾应急道路和防火阻隔系统。建立地方专业扑火队伍和地方综合应急队伍。建设森林草原防灭火信息指挥中心、乡镇级森林草原防灭火信息监测站，新建林火视频监控系统、林区车辆及行人监控系统，新建和改建瞭望塔等。建设防灭火道路，通过在重点林区关键地段新建森林消防水池等方式加强消防基础设施建设，提高灭火能力。</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气象灾害方面：完善</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政府主导、部门联动、社会参与</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气象灾害防御体系，结合区级气象机构综合改革，设立气象台、气象服务中心，实现气象灾害防御体系由城市向农村的延伸，建立分工明确的多部门协调联动的气象灾害预警和应急响应机制。增强气象装备保障维护能力；建设综合气象观测系统运行监控平台、增强气象装备维护维修能力；加强人工影响天气工作基础设施建设，提高农业气象灾害防御能力。</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震与地质灾害方面：健全片区地质灾害隐患点的监测预警系统建设，全面推进隐患点监测、预警、隐患排查等工作。根据各地质灾害隐患点特点，采取避险搬迁、除危排险、工程治理等措施对地质灾害隐患点进行整治，降低地质灾害风险。持续推进应急避难场所、通道标准化建设和升级改造，提升重要基础设施和基本公共服务设施的灾害设防水平。</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3" w:hRule="atLeast"/>
          <w:jc w:val="center"/>
        </w:trPr>
        <w:tc>
          <w:tcPr>
            <w:tcW w:w="5000" w:type="pct"/>
          </w:tcPr>
          <w:p>
            <w:pPr>
              <w:pStyle w:val="10"/>
              <w:spacing w:line="550" w:lineRule="exact"/>
              <w:rPr>
                <w:sz w:val="32"/>
                <w:szCs w:val="32"/>
              </w:rPr>
            </w:pPr>
            <w:r>
              <w:rPr>
                <w:sz w:val="32"/>
                <w:szCs w:val="32"/>
              </w:rPr>
              <w:t>专栏3：自然灾害防治重点工程</w:t>
            </w:r>
          </w:p>
          <w:p>
            <w:pPr>
              <w:pStyle w:val="5"/>
              <w:spacing w:line="550" w:lineRule="exact"/>
              <w:ind w:firstLine="640"/>
              <w:rPr>
                <w:rFonts w:cs="Times New Roman"/>
                <w:b w:val="0"/>
                <w:bCs w:val="0"/>
              </w:rPr>
            </w:pPr>
            <w:r>
              <w:rPr>
                <w:rFonts w:cs="Times New Roman"/>
                <w:b w:val="0"/>
                <w:bCs w:val="0"/>
              </w:rPr>
              <w:t>1.</w:t>
            </w:r>
            <w:r>
              <w:rPr>
                <w:rFonts w:hint="eastAsia" w:cs="Times New Roman"/>
                <w:b w:val="0"/>
                <w:bCs w:val="0"/>
              </w:rPr>
              <w:t>防汛抗旱水利提升工程</w:t>
            </w:r>
          </w:p>
          <w:p>
            <w:pPr>
              <w:ind w:firstLine="640"/>
              <w:rPr>
                <w:rFonts w:cs="Times New Roman"/>
                <w:szCs w:val="32"/>
              </w:rPr>
            </w:pPr>
            <w:r>
              <w:rPr>
                <w:rFonts w:cs="Times New Roman"/>
                <w:szCs w:val="32"/>
              </w:rPr>
              <w:t>建设内容：</w:t>
            </w:r>
            <w:r>
              <w:rPr>
                <w:rFonts w:hint="eastAsia" w:ascii="宋体" w:hAnsi="宋体" w:eastAsia="宋体" w:cs="宋体"/>
                <w:szCs w:val="32"/>
              </w:rPr>
              <w:t>①</w:t>
            </w:r>
            <w:r>
              <w:rPr>
                <w:rFonts w:hint="eastAsia" w:cs="Times New Roman"/>
              </w:rPr>
              <w:t>在老池镇金盆村、芋禾村内，以原山坪塘为基础，新建2处小型水库，每处新增库容10万m</w:t>
            </w:r>
            <w:r>
              <w:rPr>
                <w:rFonts w:ascii="Calibri" w:hAnsi="Calibri" w:cs="Calibri"/>
              </w:rPr>
              <w:t>³</w:t>
            </w:r>
            <w:r>
              <w:rPr>
                <w:rFonts w:hint="eastAsia" w:ascii="仿宋" w:hAnsi="仿宋" w:cs="仿宋"/>
              </w:rPr>
              <w:t>。通过农村水利基</w:t>
            </w:r>
            <w:r>
              <w:rPr>
                <w:rFonts w:hint="eastAsia" w:cs="Times New Roman"/>
              </w:rPr>
              <w:t>本建设，新增和恢复蓄引提水能力。</w:t>
            </w:r>
            <w:r>
              <w:rPr>
                <w:rFonts w:hint="eastAsia" w:ascii="宋体" w:hAnsi="宋体" w:eastAsia="宋体" w:cs="宋体"/>
                <w:szCs w:val="32"/>
              </w:rPr>
              <w:t>②</w:t>
            </w:r>
            <w:r>
              <w:rPr>
                <w:rFonts w:hint="eastAsia" w:cs="Times New Roman"/>
              </w:rPr>
              <w:t>实施大江大河堤防治理工程，推进老池镇大沙坝港区段、三新场镇及薛家坝段共24km防洪堤建设及岸线修复，龙凤镇涪江五桥至龙凤大白塔段3km防洪堤坝整治与建设。</w:t>
            </w:r>
            <w:r>
              <w:rPr>
                <w:rFonts w:hint="eastAsia" w:ascii="宋体" w:hAnsi="宋体" w:eastAsia="宋体" w:cs="宋体"/>
                <w:szCs w:val="32"/>
              </w:rPr>
              <w:t>③</w:t>
            </w:r>
            <w:r>
              <w:rPr>
                <w:rFonts w:cs="Times New Roman"/>
              </w:rPr>
              <w:t>响铃河老池乡老池村进行山洪灾害治理</w:t>
            </w:r>
            <w:r>
              <w:rPr>
                <w:rFonts w:hint="eastAsia" w:cs="Times New Roman"/>
              </w:rPr>
              <w:t>，进一步提高船山区的防洪减灾能力</w:t>
            </w:r>
            <w:r>
              <w:rPr>
                <w:rFonts w:cs="Times New Roman"/>
                <w:szCs w:val="32"/>
              </w:rPr>
              <w:t>。</w:t>
            </w:r>
            <w:r>
              <w:rPr>
                <w:rFonts w:hint="eastAsia" w:ascii="宋体" w:hAnsi="宋体" w:eastAsia="宋体" w:cs="宋体"/>
                <w:szCs w:val="32"/>
              </w:rPr>
              <w:t>④</w:t>
            </w:r>
            <w:r>
              <w:rPr>
                <w:rFonts w:cs="Times New Roman"/>
                <w:szCs w:val="32"/>
              </w:rPr>
              <w:t>巩固提升山洪灾害监测预警能力，建立灾害群测群防体系及对片区内病害水库进行除险加固。</w:t>
            </w:r>
          </w:p>
          <w:p>
            <w:pPr>
              <w:ind w:firstLine="640"/>
              <w:rPr>
                <w:rFonts w:cs="Times New Roman"/>
                <w:szCs w:val="32"/>
              </w:rPr>
            </w:pPr>
            <w:r>
              <w:rPr>
                <w:rFonts w:cs="Times New Roman"/>
                <w:szCs w:val="32"/>
              </w:rPr>
              <w:t>建设地点：</w:t>
            </w:r>
            <w:r>
              <w:rPr>
                <w:rFonts w:hint="eastAsia" w:cs="Times New Roman"/>
                <w:szCs w:val="32"/>
              </w:rPr>
              <w:t>老池镇、龙凤镇</w:t>
            </w:r>
          </w:p>
          <w:p>
            <w:pPr>
              <w:ind w:firstLine="640"/>
              <w:rPr>
                <w:rFonts w:cs="Times New Roman"/>
                <w:szCs w:val="32"/>
              </w:rPr>
            </w:pPr>
            <w:r>
              <w:rPr>
                <w:rFonts w:cs="Times New Roman"/>
                <w:szCs w:val="32"/>
              </w:rPr>
              <w:t>责任单位：区水利局，片区各镇党委和人民政府</w:t>
            </w:r>
          </w:p>
          <w:p>
            <w:pPr>
              <w:ind w:firstLine="640"/>
              <w:rPr>
                <w:rFonts w:cs="Times New Roman"/>
                <w:szCs w:val="32"/>
              </w:rPr>
            </w:pPr>
            <w:r>
              <w:rPr>
                <w:rFonts w:cs="Times New Roman"/>
                <w:szCs w:val="32"/>
              </w:rPr>
              <w:t>资金估算：总计投入5.3亿</w:t>
            </w:r>
            <w:r>
              <w:rPr>
                <w:rFonts w:hint="eastAsia" w:cs="Times New Roman"/>
                <w:szCs w:val="32"/>
              </w:rPr>
              <w:t>元</w:t>
            </w:r>
          </w:p>
          <w:p>
            <w:pPr>
              <w:ind w:firstLine="640"/>
              <w:rPr>
                <w:rFonts w:cs="Times New Roman"/>
                <w:szCs w:val="32"/>
              </w:rPr>
            </w:pPr>
            <w:r>
              <w:rPr>
                <w:rFonts w:cs="Times New Roman"/>
                <w:szCs w:val="32"/>
              </w:rPr>
              <w:t>完成期限：2035年。</w:t>
            </w:r>
          </w:p>
          <w:p>
            <w:pPr>
              <w:ind w:firstLine="640"/>
              <w:rPr>
                <w:rFonts w:cs="Times New Roman"/>
                <w:szCs w:val="32"/>
              </w:rPr>
            </w:pPr>
            <w:r>
              <w:rPr>
                <w:rFonts w:cs="Times New Roman"/>
                <w:szCs w:val="32"/>
              </w:rPr>
              <w:t>2.抗震防灾能力建设工程</w:t>
            </w:r>
          </w:p>
          <w:p>
            <w:pPr>
              <w:ind w:firstLine="640"/>
              <w:rPr>
                <w:rFonts w:cs="Times New Roman"/>
                <w:szCs w:val="32"/>
              </w:rPr>
            </w:pPr>
            <w:r>
              <w:rPr>
                <w:rFonts w:cs="Times New Roman"/>
                <w:szCs w:val="32"/>
              </w:rPr>
              <w:t>建设内容：逐年在片区重点部门（单位）以及学校、医院、养老院等人员密集型场所安置地震预警信息终端设施，结合</w:t>
            </w:r>
            <w:r>
              <w:rPr>
                <w:rFonts w:hint="eastAsia" w:cs="Times New Roman"/>
                <w:szCs w:val="32"/>
              </w:rPr>
              <w:t>各</w:t>
            </w:r>
            <w:r>
              <w:rPr>
                <w:rFonts w:cs="Times New Roman"/>
                <w:szCs w:val="32"/>
              </w:rPr>
              <w:t>镇级应急指挥中心平台或现有地震监测站平台建设覆盖片区的集地震监测、烈度速报、预警信息发布于一体地震监测预警信息平台系统</w:t>
            </w:r>
            <w:r>
              <w:rPr>
                <w:rFonts w:hint="eastAsia" w:cs="Times New Roman"/>
                <w:szCs w:val="32"/>
              </w:rPr>
              <w:t>。</w:t>
            </w:r>
          </w:p>
          <w:p>
            <w:pPr>
              <w:ind w:firstLine="640"/>
              <w:rPr>
                <w:rFonts w:cs="Times New Roman"/>
                <w:szCs w:val="32"/>
              </w:rPr>
            </w:pPr>
            <w:r>
              <w:rPr>
                <w:rFonts w:cs="Times New Roman"/>
                <w:szCs w:val="32"/>
              </w:rPr>
              <w:t>建设地点：</w:t>
            </w:r>
            <w:r>
              <w:rPr>
                <w:rFonts w:hint="eastAsia" w:cs="Times New Roman"/>
                <w:szCs w:val="32"/>
              </w:rPr>
              <w:t>老池镇、龙凤镇</w:t>
            </w:r>
          </w:p>
          <w:p>
            <w:pPr>
              <w:ind w:firstLine="640"/>
              <w:rPr>
                <w:rFonts w:cs="Times New Roman"/>
                <w:szCs w:val="32"/>
              </w:rPr>
            </w:pPr>
            <w:r>
              <w:rPr>
                <w:rFonts w:cs="Times New Roman"/>
                <w:szCs w:val="32"/>
              </w:rPr>
              <w:t>责任单位：区应急管理局，区教育和体育局、区卫生健康局、区民政局、区交通运输局、片区各镇党委和人民政府</w:t>
            </w:r>
          </w:p>
          <w:p>
            <w:pPr>
              <w:ind w:firstLine="640"/>
              <w:rPr>
                <w:rFonts w:cs="Times New Roman"/>
                <w:szCs w:val="32"/>
              </w:rPr>
            </w:pPr>
            <w:r>
              <w:rPr>
                <w:rFonts w:cs="Times New Roman"/>
                <w:szCs w:val="32"/>
              </w:rPr>
              <w:t>资金估算：总计投入400万</w:t>
            </w:r>
            <w:r>
              <w:rPr>
                <w:rFonts w:hint="eastAsia" w:cs="Times New Roman"/>
                <w:szCs w:val="32"/>
              </w:rPr>
              <w:t>元</w:t>
            </w:r>
          </w:p>
          <w:p>
            <w:pPr>
              <w:ind w:firstLine="640"/>
              <w:rPr>
                <w:rFonts w:cs="Times New Roman"/>
                <w:szCs w:val="32"/>
              </w:rPr>
            </w:pPr>
            <w:r>
              <w:rPr>
                <w:rFonts w:cs="Times New Roman"/>
                <w:szCs w:val="32"/>
              </w:rPr>
              <w:t>完成期限：2035年。</w:t>
            </w:r>
          </w:p>
          <w:p>
            <w:pPr>
              <w:ind w:firstLine="640"/>
              <w:rPr>
                <w:rFonts w:cs="Times New Roman"/>
                <w:szCs w:val="32"/>
              </w:rPr>
            </w:pPr>
            <w:r>
              <w:rPr>
                <w:rFonts w:cs="Times New Roman"/>
                <w:szCs w:val="32"/>
              </w:rPr>
              <w:t>3.地质灾害综合防治工程</w:t>
            </w:r>
          </w:p>
          <w:p>
            <w:pPr>
              <w:ind w:firstLine="640"/>
              <w:rPr>
                <w:rFonts w:cs="Times New Roman"/>
                <w:szCs w:val="32"/>
              </w:rPr>
            </w:pPr>
            <w:r>
              <w:rPr>
                <w:rFonts w:cs="Times New Roman"/>
                <w:szCs w:val="32"/>
              </w:rPr>
              <w:t>建设内容：对现存10处地质灾害隐患点，采用群测群防、避险搬迁、工程治理、排危除险、专业监测等多种方式开展综合防治；</w:t>
            </w:r>
          </w:p>
          <w:p>
            <w:pPr>
              <w:ind w:firstLine="640"/>
              <w:rPr>
                <w:rFonts w:cs="Times New Roman"/>
                <w:szCs w:val="32"/>
              </w:rPr>
            </w:pPr>
            <w:r>
              <w:rPr>
                <w:rFonts w:cs="Times New Roman"/>
                <w:szCs w:val="32"/>
              </w:rPr>
              <w:t>建设地点：</w:t>
            </w:r>
            <w:r>
              <w:rPr>
                <w:rFonts w:hint="eastAsia" w:cs="Times New Roman"/>
                <w:szCs w:val="32"/>
              </w:rPr>
              <w:t>老池镇、龙凤镇</w:t>
            </w:r>
          </w:p>
          <w:p>
            <w:pPr>
              <w:ind w:firstLine="640"/>
              <w:rPr>
                <w:rFonts w:cs="Times New Roman"/>
                <w:szCs w:val="32"/>
              </w:rPr>
            </w:pPr>
            <w:r>
              <w:rPr>
                <w:rFonts w:cs="Times New Roman"/>
                <w:szCs w:val="32"/>
              </w:rPr>
              <w:t>责任单位：区自然资源规划局，区应急管理局、区农业农村局、片区各镇党委和人民政府</w:t>
            </w:r>
          </w:p>
          <w:p>
            <w:pPr>
              <w:ind w:firstLine="640"/>
              <w:rPr>
                <w:rFonts w:cs="Times New Roman"/>
                <w:szCs w:val="32"/>
              </w:rPr>
            </w:pPr>
            <w:r>
              <w:rPr>
                <w:rFonts w:cs="Times New Roman"/>
                <w:szCs w:val="32"/>
              </w:rPr>
              <w:t>资金估算：总计投入1000万</w:t>
            </w:r>
            <w:r>
              <w:rPr>
                <w:rFonts w:hint="eastAsia" w:cs="Times New Roman"/>
                <w:szCs w:val="32"/>
              </w:rPr>
              <w:t>元</w:t>
            </w:r>
          </w:p>
          <w:p>
            <w:pPr>
              <w:ind w:firstLine="640"/>
              <w:rPr>
                <w:rFonts w:cs="Times New Roman"/>
                <w:szCs w:val="32"/>
              </w:rPr>
            </w:pPr>
            <w:r>
              <w:rPr>
                <w:rFonts w:cs="Times New Roman"/>
                <w:szCs w:val="32"/>
              </w:rPr>
              <w:t>完成期限：2025年。</w:t>
            </w:r>
          </w:p>
          <w:p>
            <w:pPr>
              <w:ind w:firstLine="640"/>
              <w:rPr>
                <w:rFonts w:cs="Times New Roman"/>
                <w:szCs w:val="32"/>
              </w:rPr>
            </w:pPr>
            <w:r>
              <w:rPr>
                <w:rFonts w:cs="Times New Roman"/>
                <w:szCs w:val="32"/>
              </w:rPr>
              <w:t>4.防灭火宣传教育工程建设</w:t>
            </w:r>
          </w:p>
          <w:p>
            <w:pPr>
              <w:ind w:firstLine="640"/>
              <w:rPr>
                <w:rFonts w:cs="Times New Roman"/>
                <w:szCs w:val="32"/>
              </w:rPr>
            </w:pPr>
            <w:r>
              <w:rPr>
                <w:rFonts w:cs="Times New Roman"/>
                <w:szCs w:val="32"/>
              </w:rPr>
              <w:t>建设内容：重点林区重点地段新建宣传牌、LED宣传教育警示屏，防火宣传手册，开展防火技能培训和防火演练，扑火队员轮换培训率达100%，重点林区、重点部位宣传警示设施覆盖率达95%</w:t>
            </w:r>
            <w:r>
              <w:rPr>
                <w:rFonts w:hint="eastAsia" w:cs="Times New Roman"/>
                <w:szCs w:val="32"/>
              </w:rPr>
              <w:t>。</w:t>
            </w:r>
          </w:p>
          <w:p>
            <w:pPr>
              <w:ind w:firstLine="640"/>
              <w:rPr>
                <w:rFonts w:cs="Times New Roman"/>
                <w:szCs w:val="32"/>
              </w:rPr>
            </w:pPr>
            <w:r>
              <w:rPr>
                <w:rFonts w:cs="Times New Roman"/>
                <w:szCs w:val="32"/>
              </w:rPr>
              <w:t>建设地点：</w:t>
            </w:r>
            <w:r>
              <w:rPr>
                <w:rFonts w:hint="eastAsia" w:cs="Times New Roman"/>
                <w:szCs w:val="32"/>
              </w:rPr>
              <w:t>老池镇、龙凤镇</w:t>
            </w:r>
          </w:p>
          <w:p>
            <w:pPr>
              <w:ind w:firstLine="640"/>
              <w:rPr>
                <w:rFonts w:cs="Times New Roman"/>
                <w:szCs w:val="32"/>
              </w:rPr>
            </w:pPr>
            <w:r>
              <w:rPr>
                <w:rFonts w:cs="Times New Roman"/>
                <w:szCs w:val="32"/>
              </w:rPr>
              <w:t>责任单位：</w:t>
            </w:r>
            <w:r>
              <w:rPr>
                <w:rFonts w:hint="eastAsia" w:cs="Times New Roman"/>
                <w:szCs w:val="32"/>
              </w:rPr>
              <w:t>区自然资源规划局，</w:t>
            </w:r>
            <w:r>
              <w:rPr>
                <w:rFonts w:cs="Times New Roman"/>
                <w:szCs w:val="32"/>
              </w:rPr>
              <w:t>区应急管理局</w:t>
            </w:r>
            <w:r>
              <w:rPr>
                <w:rFonts w:hint="eastAsia" w:cs="Times New Roman"/>
                <w:szCs w:val="32"/>
              </w:rPr>
              <w:t>，</w:t>
            </w:r>
            <w:r>
              <w:rPr>
                <w:rFonts w:cs="Times New Roman"/>
                <w:szCs w:val="32"/>
              </w:rPr>
              <w:t>各镇党委和人民政府</w:t>
            </w:r>
          </w:p>
          <w:p>
            <w:pPr>
              <w:ind w:firstLine="640"/>
              <w:rPr>
                <w:rFonts w:cs="Times New Roman"/>
                <w:szCs w:val="32"/>
              </w:rPr>
            </w:pPr>
            <w:r>
              <w:rPr>
                <w:rFonts w:cs="Times New Roman"/>
                <w:szCs w:val="32"/>
              </w:rPr>
              <w:t>资金估算：4</w:t>
            </w:r>
            <w:r>
              <w:rPr>
                <w:rFonts w:hint="eastAsia" w:cs="Times New Roman"/>
                <w:szCs w:val="32"/>
              </w:rPr>
              <w:t>0万/年，</w:t>
            </w:r>
            <w:r>
              <w:rPr>
                <w:rFonts w:cs="Times New Roman"/>
                <w:szCs w:val="32"/>
              </w:rPr>
              <w:t>总计投入200万元</w:t>
            </w:r>
          </w:p>
          <w:p>
            <w:pPr>
              <w:ind w:firstLine="640"/>
              <w:rPr>
                <w:rFonts w:cs="Times New Roman"/>
                <w:szCs w:val="32"/>
              </w:rPr>
            </w:pPr>
            <w:r>
              <w:rPr>
                <w:rFonts w:cs="Times New Roman"/>
                <w:szCs w:val="32"/>
              </w:rPr>
              <w:t>完成期限：2025年</w:t>
            </w:r>
            <w:r>
              <w:rPr>
                <w:rFonts w:hint="eastAsia" w:cs="Times New Roman"/>
                <w:szCs w:val="32"/>
              </w:rPr>
              <w:t>。</w:t>
            </w:r>
          </w:p>
          <w:p>
            <w:pPr>
              <w:pStyle w:val="2"/>
              <w:ind w:firstLine="640"/>
              <w:rPr>
                <w:rFonts w:ascii="Times New Roman" w:hAnsi="Times New Roman" w:eastAsia="仿宋" w:cs="Times New Roman"/>
                <w:sz w:val="32"/>
                <w:szCs w:val="32"/>
              </w:rPr>
            </w:pPr>
            <w:r>
              <w:rPr>
                <w:rFonts w:ascii="Times New Roman" w:hAnsi="Times New Roman" w:eastAsia="仿宋" w:cs="Times New Roman"/>
                <w:sz w:val="32"/>
                <w:szCs w:val="32"/>
              </w:rPr>
              <w:t>5</w:t>
            </w:r>
            <w:r>
              <w:rPr>
                <w:rFonts w:hint="eastAsia" w:ascii="Times New Roman" w:hAnsi="Times New Roman" w:eastAsia="仿宋" w:cs="Times New Roman"/>
                <w:sz w:val="32"/>
                <w:szCs w:val="32"/>
              </w:rPr>
              <w:t>.森林防灭火基础设施建设</w:t>
            </w:r>
          </w:p>
          <w:p>
            <w:pPr>
              <w:pStyle w:val="2"/>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建设内容：片区各镇建设林火视频监控点各</w:t>
            </w:r>
            <w:r>
              <w:rPr>
                <w:rFonts w:ascii="Times New Roman" w:hAnsi="Times New Roman" w:eastAsia="仿宋" w:cs="Times New Roman"/>
                <w:sz w:val="32"/>
                <w:szCs w:val="32"/>
              </w:rPr>
              <w:t>1</w:t>
            </w:r>
            <w:r>
              <w:rPr>
                <w:rFonts w:hint="eastAsia" w:ascii="Times New Roman" w:hAnsi="Times New Roman" w:eastAsia="仿宋" w:cs="Times New Roman"/>
                <w:sz w:val="32"/>
                <w:szCs w:val="32"/>
              </w:rPr>
              <w:t>处，</w:t>
            </w:r>
            <w:r>
              <w:rPr>
                <w:rFonts w:ascii="Times New Roman" w:hAnsi="Times New Roman" w:eastAsia="仿宋" w:cs="Times New Roman"/>
                <w:sz w:val="32"/>
                <w:szCs w:val="32"/>
              </w:rPr>
              <w:t>IP</w:t>
            </w:r>
            <w:r>
              <w:rPr>
                <w:rFonts w:hint="eastAsia" w:ascii="Times New Roman" w:hAnsi="Times New Roman" w:eastAsia="仿宋" w:cs="Times New Roman"/>
                <w:sz w:val="32"/>
                <w:szCs w:val="32"/>
              </w:rPr>
              <w:t>广播音柱各</w:t>
            </w:r>
            <w:r>
              <w:rPr>
                <w:rFonts w:ascii="Times New Roman" w:hAnsi="Times New Roman" w:eastAsia="仿宋" w:cs="Times New Roman"/>
                <w:sz w:val="32"/>
                <w:szCs w:val="32"/>
              </w:rPr>
              <w:t>1</w:t>
            </w:r>
            <w:r>
              <w:rPr>
                <w:rFonts w:hint="eastAsia" w:ascii="Times New Roman" w:hAnsi="Times New Roman" w:eastAsia="仿宋" w:cs="Times New Roman"/>
                <w:sz w:val="32"/>
                <w:szCs w:val="32"/>
              </w:rPr>
              <w:t>处。在片区内新建森林防火道路</w:t>
            </w:r>
            <w:r>
              <w:rPr>
                <w:rFonts w:ascii="Times New Roman" w:hAnsi="Times New Roman" w:eastAsia="仿宋" w:cs="Times New Roman"/>
                <w:sz w:val="32"/>
                <w:szCs w:val="32"/>
              </w:rPr>
              <w:t>45.48</w:t>
            </w:r>
            <w:r>
              <w:rPr>
                <w:rFonts w:hint="eastAsia" w:ascii="Times New Roman" w:hAnsi="Times New Roman" w:eastAsia="仿宋" w:cs="Times New Roman"/>
                <w:sz w:val="32"/>
                <w:szCs w:val="32"/>
              </w:rPr>
              <w:t>公里，改建</w:t>
            </w:r>
            <w:r>
              <w:rPr>
                <w:rFonts w:ascii="Times New Roman" w:hAnsi="Times New Roman" w:eastAsia="仿宋" w:cs="Times New Roman"/>
                <w:sz w:val="32"/>
                <w:szCs w:val="32"/>
              </w:rPr>
              <w:t>38.56</w:t>
            </w:r>
            <w:r>
              <w:rPr>
                <w:rFonts w:hint="eastAsia" w:ascii="Times New Roman" w:hAnsi="Times New Roman" w:eastAsia="仿宋" w:cs="Times New Roman"/>
                <w:sz w:val="32"/>
                <w:szCs w:val="32"/>
              </w:rPr>
              <w:t>公里，在老池镇芋禾村规划建设</w:t>
            </w:r>
            <w:r>
              <w:rPr>
                <w:rFonts w:ascii="Times New Roman" w:hAnsi="Times New Roman" w:eastAsia="仿宋" w:cs="Times New Roman"/>
                <w:sz w:val="32"/>
                <w:szCs w:val="32"/>
              </w:rPr>
              <w:t>3</w:t>
            </w:r>
            <w:r>
              <w:rPr>
                <w:rFonts w:hint="eastAsia" w:ascii="Times New Roman" w:hAnsi="Times New Roman" w:eastAsia="仿宋" w:cs="Times New Roman"/>
                <w:sz w:val="32"/>
                <w:szCs w:val="32"/>
              </w:rPr>
              <w:t>个消防水池共计</w:t>
            </w:r>
            <w:r>
              <w:rPr>
                <w:rFonts w:ascii="Times New Roman" w:hAnsi="Times New Roman" w:eastAsia="仿宋" w:cs="Times New Roman"/>
                <w:sz w:val="32"/>
                <w:szCs w:val="32"/>
              </w:rPr>
              <w:t>120</w:t>
            </w:r>
            <w:r>
              <w:rPr>
                <w:rFonts w:hint="eastAsia" w:ascii="Times New Roman" w:hAnsi="Times New Roman" w:eastAsia="仿宋" w:cs="Times New Roman"/>
                <w:sz w:val="32"/>
                <w:szCs w:val="32"/>
              </w:rPr>
              <w:t>m</w:t>
            </w:r>
            <w:r>
              <w:rPr>
                <w:rFonts w:ascii="Times New Roman" w:hAnsi="Times New Roman" w:eastAsia="仿宋" w:cs="Times New Roman"/>
                <w:sz w:val="32"/>
                <w:szCs w:val="32"/>
                <w:vertAlign w:val="superscript"/>
              </w:rPr>
              <w:t>2</w:t>
            </w:r>
            <w:r>
              <w:rPr>
                <w:rFonts w:hint="eastAsia" w:ascii="Times New Roman" w:hAnsi="Times New Roman" w:eastAsia="仿宋" w:cs="Times New Roman"/>
                <w:sz w:val="32"/>
                <w:szCs w:val="32"/>
              </w:rPr>
              <w:t>。</w:t>
            </w:r>
          </w:p>
          <w:p>
            <w:pPr>
              <w:pStyle w:val="2"/>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建设地点：老池镇、龙凤镇</w:t>
            </w:r>
          </w:p>
          <w:p>
            <w:pPr>
              <w:pStyle w:val="2"/>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责任单位：区自然资源规划局，区应急管理局，各镇党委和人民政府</w:t>
            </w:r>
          </w:p>
          <w:p>
            <w:pPr>
              <w:pStyle w:val="2"/>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资金估算：总计投入</w:t>
            </w:r>
            <w:r>
              <w:rPr>
                <w:rFonts w:ascii="Times New Roman" w:hAnsi="Times New Roman" w:eastAsia="仿宋" w:cs="Times New Roman"/>
                <w:sz w:val="32"/>
                <w:szCs w:val="32"/>
              </w:rPr>
              <w:t>30</w:t>
            </w:r>
            <w:r>
              <w:rPr>
                <w:rFonts w:hint="eastAsia" w:ascii="Times New Roman" w:hAnsi="Times New Roman" w:eastAsia="仿宋" w:cs="Times New Roman"/>
                <w:sz w:val="32"/>
                <w:szCs w:val="32"/>
              </w:rPr>
              <w:t>00万元</w:t>
            </w:r>
          </w:p>
          <w:p>
            <w:pPr>
              <w:pStyle w:val="2"/>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完成期限：203</w:t>
            </w:r>
            <w:r>
              <w:rPr>
                <w:rFonts w:ascii="Times New Roman" w:hAnsi="Times New Roman" w:eastAsia="仿宋" w:cs="Times New Roman"/>
                <w:sz w:val="32"/>
                <w:szCs w:val="32"/>
              </w:rPr>
              <w:t>0</w:t>
            </w:r>
            <w:r>
              <w:rPr>
                <w:rFonts w:hint="eastAsia" w:ascii="Times New Roman" w:hAnsi="Times New Roman" w:eastAsia="仿宋" w:cs="Times New Roman"/>
                <w:sz w:val="32"/>
                <w:szCs w:val="32"/>
              </w:rPr>
              <w:t>年。</w:t>
            </w:r>
          </w:p>
          <w:p>
            <w:pPr>
              <w:ind w:firstLine="640"/>
              <w:rPr>
                <w:rFonts w:cs="Times New Roman"/>
                <w:szCs w:val="32"/>
              </w:rPr>
            </w:pPr>
            <w:r>
              <w:rPr>
                <w:rFonts w:cs="Times New Roman"/>
                <w:szCs w:val="32"/>
              </w:rPr>
              <w:t>6.气象预测预报及气象应急保障体系能力提升</w:t>
            </w:r>
          </w:p>
          <w:p>
            <w:pPr>
              <w:ind w:firstLine="640"/>
              <w:rPr>
                <w:rFonts w:cs="Times New Roman"/>
                <w:szCs w:val="32"/>
              </w:rPr>
            </w:pPr>
            <w:r>
              <w:rPr>
                <w:rFonts w:cs="Times New Roman"/>
                <w:szCs w:val="32"/>
              </w:rPr>
              <w:t>建设内容：更新运行片区5年以上区域自动气象站设备,易损部件的备份，完善相关标准化高炮作业点基础配套设施，视频监控系统、使用防爆柜达到100%；直通式气象服务平台建设，购买LED显示屏及配套软件、信息服务平台</w:t>
            </w:r>
            <w:r>
              <w:rPr>
                <w:rFonts w:hint="eastAsia" w:cs="Times New Roman"/>
                <w:szCs w:val="32"/>
              </w:rPr>
              <w:t>。</w:t>
            </w:r>
          </w:p>
          <w:p>
            <w:pPr>
              <w:ind w:firstLine="640"/>
              <w:rPr>
                <w:rFonts w:cs="Times New Roman"/>
                <w:szCs w:val="32"/>
              </w:rPr>
            </w:pPr>
            <w:r>
              <w:rPr>
                <w:rFonts w:cs="Times New Roman"/>
                <w:szCs w:val="32"/>
              </w:rPr>
              <w:t>建设地址：</w:t>
            </w:r>
            <w:r>
              <w:rPr>
                <w:rFonts w:hint="eastAsia" w:cs="Times New Roman"/>
                <w:szCs w:val="32"/>
              </w:rPr>
              <w:t>老池镇、龙凤镇</w:t>
            </w:r>
          </w:p>
          <w:p>
            <w:pPr>
              <w:ind w:firstLine="640"/>
              <w:rPr>
                <w:rFonts w:cs="Times New Roman"/>
                <w:szCs w:val="32"/>
              </w:rPr>
            </w:pPr>
            <w:r>
              <w:rPr>
                <w:rFonts w:cs="Times New Roman"/>
                <w:szCs w:val="32"/>
              </w:rPr>
              <w:t>责任单位：区应急管理局</w:t>
            </w:r>
          </w:p>
          <w:p>
            <w:pPr>
              <w:ind w:firstLine="640"/>
              <w:rPr>
                <w:rFonts w:cs="Times New Roman"/>
                <w:szCs w:val="32"/>
              </w:rPr>
            </w:pPr>
            <w:r>
              <w:rPr>
                <w:rFonts w:cs="Times New Roman"/>
                <w:szCs w:val="32"/>
              </w:rPr>
              <w:t>资金估算：总计投入100万元</w:t>
            </w:r>
          </w:p>
          <w:p>
            <w:pPr>
              <w:pStyle w:val="10"/>
              <w:tabs>
                <w:tab w:val="left" w:pos="312"/>
              </w:tabs>
              <w:spacing w:after="0" w:line="550" w:lineRule="exact"/>
              <w:ind w:firstLine="640" w:firstLineChars="200"/>
              <w:jc w:val="both"/>
              <w:rPr>
                <w:sz w:val="28"/>
                <w:szCs w:val="28"/>
              </w:rPr>
            </w:pPr>
            <w:r>
              <w:rPr>
                <w:sz w:val="32"/>
                <w:szCs w:val="32"/>
              </w:rPr>
              <w:t>完成期限：2025年。</w:t>
            </w:r>
          </w:p>
        </w:tc>
      </w:tr>
      <w:bookmarkEnd w:id="40"/>
    </w:tbl>
    <w:p>
      <w:pPr>
        <w:pStyle w:val="4"/>
        <w:rPr>
          <w:rFonts w:cs="Times New Roman"/>
        </w:rPr>
      </w:pPr>
      <w:bookmarkStart w:id="41" w:name="_Toc19294"/>
      <w:bookmarkStart w:id="42" w:name="_Toc10813"/>
      <w:bookmarkStart w:id="43" w:name="_Toc98773647"/>
      <w:r>
        <w:rPr>
          <w:rFonts w:cs="Times New Roman"/>
        </w:rPr>
        <w:t>（四）应急</w:t>
      </w:r>
      <w:bookmarkEnd w:id="41"/>
      <w:r>
        <w:rPr>
          <w:rFonts w:cs="Times New Roman"/>
        </w:rPr>
        <w:t>救援和防灾减灾能力建设方面</w:t>
      </w:r>
      <w:bookmarkEnd w:id="42"/>
    </w:p>
    <w:bookmarkEnd w:id="43"/>
    <w:p>
      <w:pPr>
        <w:pStyle w:val="37"/>
        <w:spacing w:line="550" w:lineRule="exact"/>
        <w:ind w:firstLine="643"/>
        <w:rPr>
          <w:color w:val="000000" w:themeColor="text1"/>
          <w:szCs w:val="32"/>
          <w14:textFill>
            <w14:solidFill>
              <w14:schemeClr w14:val="tx1"/>
            </w14:solidFill>
          </w14:textFill>
        </w:rPr>
      </w:pPr>
      <w:bookmarkStart w:id="44" w:name="_Hlk99789326"/>
      <w:bookmarkStart w:id="45" w:name="_Toc98773649"/>
      <w:r>
        <w:rPr>
          <w:rFonts w:eastAsia="仿宋"/>
          <w:b/>
          <w:bCs/>
        </w:rPr>
        <w:t>提升应急队伍能力。</w:t>
      </w:r>
      <w:r>
        <w:rPr>
          <w:rFonts w:eastAsia="仿宋"/>
        </w:rPr>
        <w:t>加强片区专职消防队伍正规化、专业化、职业化建设，优化队伍先进适用装备配备，提高极端条件下综合救援能力。发展志愿者消防员，建立代训代管机制，实行联勤联管联训联战。加强</w:t>
      </w:r>
      <w:r>
        <w:rPr>
          <w:rFonts w:hint="eastAsia" w:eastAsia="仿宋"/>
        </w:rPr>
        <w:t>各</w:t>
      </w:r>
      <w:r>
        <w:rPr>
          <w:rFonts w:eastAsia="仿宋"/>
        </w:rPr>
        <w:t>镇</w:t>
      </w:r>
      <w:r>
        <w:rPr>
          <w:rFonts w:hint="eastAsia" w:eastAsia="仿宋"/>
        </w:rPr>
        <w:t>综合</w:t>
      </w:r>
      <w:r>
        <w:rPr>
          <w:rFonts w:eastAsia="仿宋"/>
        </w:rPr>
        <w:t>应急队和村（社区）应急分队建设，形成</w:t>
      </w:r>
      <w:r>
        <w:rPr>
          <w:rFonts w:hint="eastAsia" w:eastAsia="仿宋"/>
        </w:rPr>
        <w:t>“</w:t>
      </w:r>
      <w:r>
        <w:rPr>
          <w:rFonts w:eastAsia="仿宋"/>
        </w:rPr>
        <w:t>一主两辅助</w:t>
      </w:r>
      <w:r>
        <w:rPr>
          <w:rFonts w:hint="eastAsia" w:eastAsia="仿宋"/>
        </w:rPr>
        <w:t>”</w:t>
      </w:r>
      <w:r>
        <w:rPr>
          <w:rFonts w:eastAsia="仿宋"/>
        </w:rPr>
        <w:t>基层应急力量体系，定期与政府专职消防队开展联合应急演练，强化应急救援联合作战能力，开展灾害事故先期处置。依托村（社区）应急分队，建立村（社区）微型消防救援站，开展初期火灾扑救。将灾害信息员、地质灾害监测员、监测预警人员、护林员等综合性业务培训，熟悉掌握各类灾情信息统计报送和灾情核查等业务，鼓励</w:t>
      </w:r>
      <w:r>
        <w:rPr>
          <w:rFonts w:hint="eastAsia" w:eastAsia="仿宋"/>
        </w:rPr>
        <w:t>“</w:t>
      </w:r>
      <w:r>
        <w:rPr>
          <w:rFonts w:eastAsia="仿宋"/>
        </w:rPr>
        <w:t>一员多职</w:t>
      </w:r>
      <w:r>
        <w:rPr>
          <w:rFonts w:hint="eastAsia" w:eastAsia="仿宋"/>
        </w:rPr>
        <w:t>”</w:t>
      </w:r>
      <w:r>
        <w:rPr>
          <w:rFonts w:eastAsia="仿宋"/>
        </w:rPr>
        <w:t>。为应急救援队伍配备消防车、卫星电话、无线电通讯等信息传输类装备，配备便携式通信箱等现场指挥类装备，实现多种通信终端融合通联，确保断网、断电、断路等极端条件下通信畅通，为应急救援提供全地域、全过程、全天候通信保障。</w:t>
      </w:r>
    </w:p>
    <w:bookmarkEnd w:id="44"/>
    <w:p>
      <w:pPr>
        <w:ind w:firstLine="643"/>
        <w:rPr>
          <w:rFonts w:cs="Times New Roman"/>
        </w:rPr>
      </w:pPr>
      <w:bookmarkStart w:id="46" w:name="_Toc28937"/>
      <w:r>
        <w:rPr>
          <w:rFonts w:cs="Times New Roman"/>
          <w:b/>
          <w:bCs/>
          <w:szCs w:val="32"/>
        </w:rPr>
        <w:t>优化应急预案</w:t>
      </w:r>
      <w:bookmarkEnd w:id="46"/>
      <w:r>
        <w:rPr>
          <w:rFonts w:cs="Times New Roman"/>
          <w:b/>
          <w:bCs/>
          <w:szCs w:val="32"/>
        </w:rPr>
        <w:t>管理。</w:t>
      </w:r>
      <w:r>
        <w:rPr>
          <w:rFonts w:cs="Times New Roman"/>
        </w:rPr>
        <w:t>以区突发事件总体应急预案为遵循，结合本地安全风险、灾害种类实际，科学构建灾害模拟情景，编制修订</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w:t>
      </w:r>
      <w:r>
        <w:rPr>
          <w:rFonts w:cs="Times New Roman"/>
        </w:rPr>
        <w:t>级综合应急预案、专项处置方案，各村（社区）编制修订处置方案或工作流程，加强预案审批、备案等流程信息化管理。在山洪灾害、地质灾害易发区开展灾害风险分析和应急能力评估，制定自然灾害专项应急救援行动方案。加强应急预案演练，鼓励采用形式多样、节约高效的演练形式，推动常态化开展灾害事故应急预案演练。</w:t>
      </w:r>
    </w:p>
    <w:p>
      <w:pPr>
        <w:ind w:firstLine="643"/>
        <w:rPr>
          <w:rFonts w:cs="Times New Roman"/>
          <w:color w:val="4472C4" w:themeColor="accent1"/>
          <w14:textFill>
            <w14:solidFill>
              <w14:schemeClr w14:val="accent1"/>
            </w14:solidFill>
          </w14:textFill>
        </w:rPr>
      </w:pPr>
      <w:r>
        <w:rPr>
          <w:rFonts w:cs="Times New Roman"/>
          <w:b/>
          <w:bCs/>
        </w:rPr>
        <w:t>应急物资储备库（点）建设</w:t>
      </w:r>
      <w:r>
        <w:rPr>
          <w:rFonts w:cs="Times New Roman"/>
          <w:b/>
          <w:bCs/>
          <w:szCs w:val="32"/>
        </w:rPr>
        <w:t>。</w:t>
      </w:r>
      <w:r>
        <w:rPr>
          <w:rFonts w:cs="Times New Roman"/>
        </w:rPr>
        <w:t>全面推进应急物资协议储备、产能布局和紧急采购等工作，建立政府储备与社会储备相结合、实物储备与生产能力储备相结合、集中储备与分散储备相结合的多层次、多样化的应急物资储备方式，完善片区应急物资储备制度。根据片区防灾减灾和应急救援物资储备需求，加强应急物资与装备配备力度，增加应急物资储备，加强应急物资装备的定期维护和保养，实行动态管理，保证物资的及时补充和更新。</w:t>
      </w:r>
      <w:r>
        <w:rPr>
          <w:rFonts w:cs="Times New Roman"/>
          <w:szCs w:val="32"/>
        </w:rPr>
        <w:t>急物资储备点：各</w:t>
      </w:r>
      <w:r>
        <w:rPr>
          <w:rFonts w:cs="Times New Roman"/>
          <w:color w:val="000000" w:themeColor="text1"/>
          <w:szCs w:val="32"/>
          <w14:textFill>
            <w14:solidFill>
              <w14:schemeClr w14:val="tx1"/>
            </w14:solidFill>
          </w14:textFill>
        </w:rPr>
        <w:t>镇</w:t>
      </w:r>
      <w:r>
        <w:rPr>
          <w:rFonts w:cs="Times New Roman"/>
          <w:szCs w:val="32"/>
        </w:rPr>
        <w:t>根据现有应急物资储备点面积、物资储备种类等现状，改造应急物资储备点。配备储物架、增加防潮、防虫、防火等设施设备。采取以租代储、实物储备及购买服务等形式，加强防汛、地质灾害、森林防灭火、应急救援、基本生活保障等应急物资储备。依托专职消防站等建立应急物资储备点，适时前置应急物资。制定家庭应急物资储备推荐清单，引导群众做好家庭应急物资储备。</w:t>
      </w:r>
    </w:p>
    <w:p>
      <w:pPr>
        <w:ind w:firstLine="643"/>
        <w:rPr>
          <w:rFonts w:cs="Times New Roman"/>
          <w:color w:val="000000" w:themeColor="text1"/>
          <w:szCs w:val="32"/>
          <w14:textFill>
            <w14:solidFill>
              <w14:schemeClr w14:val="tx1"/>
            </w14:solidFill>
          </w14:textFill>
        </w:rPr>
      </w:pPr>
      <w:r>
        <w:rPr>
          <w:rFonts w:cs="Times New Roman"/>
          <w:b/>
          <w:bCs/>
          <w:szCs w:val="32"/>
        </w:rPr>
        <w:t>应急避难场所建设。</w:t>
      </w:r>
      <w:r>
        <w:rPr>
          <w:rFonts w:cs="Times New Roman"/>
        </w:rPr>
        <w:t>充分利用学校、广场、绿地、社会停车场等</w:t>
      </w:r>
      <w:r>
        <w:rPr>
          <w:rFonts w:cs="Times New Roman"/>
          <w:color w:val="000000" w:themeColor="text1"/>
          <w:szCs w:val="32"/>
          <w14:textFill>
            <w14:solidFill>
              <w14:schemeClr w14:val="tx1"/>
            </w14:solidFill>
          </w14:textFill>
        </w:rPr>
        <w:t>共建规范化应急避难场所</w:t>
      </w:r>
      <w:r>
        <w:rPr>
          <w:rFonts w:cs="Times New Roman"/>
        </w:rPr>
        <w:t>，</w:t>
      </w:r>
      <w:r>
        <w:rPr>
          <w:rFonts w:cs="Times New Roman"/>
          <w:color w:val="000000" w:themeColor="text1"/>
          <w:szCs w:val="32"/>
          <w14:textFill>
            <w14:solidFill>
              <w14:schemeClr w14:val="tx1"/>
            </w14:solidFill>
          </w14:textFill>
        </w:rPr>
        <w:t>满足片区聚居点人均避难面积大于2</w:t>
      </w:r>
      <w:r>
        <w:rPr>
          <w:rFonts w:hint="eastAsia" w:cs="Times New Roman"/>
          <w:color w:val="000000" w:themeColor="text1"/>
          <w:szCs w:val="32"/>
          <w14:textFill>
            <w14:solidFill>
              <w14:schemeClr w14:val="tx1"/>
            </w14:solidFill>
          </w14:textFill>
        </w:rPr>
        <w:t>m</w:t>
      </w:r>
      <w:r>
        <w:rPr>
          <w:rFonts w:cs="Times New Roman"/>
          <w:color w:val="000000" w:themeColor="text1"/>
          <w:szCs w:val="32"/>
          <w:vertAlign w:val="superscript"/>
          <w14:textFill>
            <w14:solidFill>
              <w14:schemeClr w14:val="tx1"/>
            </w14:solidFill>
          </w14:textFill>
        </w:rPr>
        <w:t>2</w:t>
      </w:r>
      <w:r>
        <w:rPr>
          <w:rFonts w:cs="Times New Roman"/>
        </w:rPr>
        <w:t>，</w:t>
      </w:r>
      <w:r>
        <w:rPr>
          <w:rFonts w:cs="Times New Roman"/>
          <w:color w:val="000000" w:themeColor="text1"/>
          <w:szCs w:val="32"/>
          <w14:textFill>
            <w14:solidFill>
              <w14:schemeClr w14:val="tx1"/>
            </w14:solidFill>
          </w14:textFill>
        </w:rPr>
        <w:t>增加应急避难休息、应急物资分发、应急厕所和应急医疗、应急垃圾收集、应急供水供电等基本设施和功能。</w:t>
      </w:r>
    </w:p>
    <w:p>
      <w:pPr>
        <w:pStyle w:val="37"/>
        <w:spacing w:line="550" w:lineRule="exact"/>
        <w:ind w:firstLine="643"/>
      </w:pPr>
      <w:r>
        <w:rPr>
          <w:rFonts w:eastAsia="仿宋"/>
          <w:b/>
          <w:bCs/>
          <w:szCs w:val="32"/>
        </w:rPr>
        <w:t>应急疏散通道建设。</w:t>
      </w:r>
      <w:r>
        <w:rPr>
          <w:rFonts w:hint="eastAsia" w:eastAsia="仿宋"/>
          <w:szCs w:val="32"/>
        </w:rPr>
        <w:t>完善</w:t>
      </w:r>
      <w:r>
        <w:rPr>
          <w:rFonts w:eastAsia="仿宋"/>
          <w:szCs w:val="32"/>
        </w:rPr>
        <w:t>应急避难主通道、应急避难次通道、应急避难支路三级应急疏散通道</w:t>
      </w:r>
      <w:r>
        <w:rPr>
          <w:rFonts w:hint="eastAsia" w:eastAsia="仿宋"/>
          <w:szCs w:val="32"/>
        </w:rPr>
        <w:t>建设，满足应急避难场所</w:t>
      </w:r>
      <w:r>
        <w:rPr>
          <w:rFonts w:eastAsia="仿宋"/>
          <w:szCs w:val="32"/>
        </w:rPr>
        <w:t>疏散主通道不应低于7m，疏散次通道不应低于4m，一般疏散通道不应低于3m</w:t>
      </w:r>
      <w:r>
        <w:rPr>
          <w:rFonts w:hint="eastAsia" w:eastAsia="仿宋"/>
          <w:szCs w:val="32"/>
        </w:rPr>
        <w:t>的要求</w:t>
      </w:r>
      <w:r>
        <w:rPr>
          <w:rFonts w:eastAsia="仿宋"/>
          <w:szCs w:val="32"/>
        </w:rPr>
        <w:t>。</w:t>
      </w:r>
    </w:p>
    <w:p>
      <w:pPr>
        <w:ind w:firstLine="643"/>
        <w:rPr>
          <w:rFonts w:cs="Times New Roman"/>
          <w:color w:val="000000" w:themeColor="text1"/>
          <w:szCs w:val="32"/>
          <w14:textFill>
            <w14:solidFill>
              <w14:schemeClr w14:val="tx1"/>
            </w14:solidFill>
          </w14:textFill>
        </w:rPr>
      </w:pPr>
      <w:r>
        <w:rPr>
          <w:rFonts w:cs="Times New Roman"/>
          <w:b/>
          <w:bCs/>
        </w:rPr>
        <w:t>专职消防站建设。</w:t>
      </w:r>
      <w:r>
        <w:rPr>
          <w:rFonts w:cs="Times New Roman"/>
          <w:szCs w:val="32"/>
        </w:rPr>
        <w:t>完善片区消防救援能力，</w:t>
      </w:r>
      <w:r>
        <w:rPr>
          <w:rFonts w:hint="eastAsia" w:cs="Times New Roman"/>
          <w:szCs w:val="32"/>
        </w:rPr>
        <w:t>形成以片区外龙凤镇、复兴社区消防站为中心、片区内各村、社区建成微型消防站</w:t>
      </w:r>
      <w:r>
        <w:rPr>
          <w:rFonts w:cs="Times New Roman"/>
          <w:szCs w:val="32"/>
        </w:rPr>
        <w:t>；提高片区消防灭火和抢险救援能力，并加强居民自防自救能力培训。</w:t>
      </w:r>
      <w:r>
        <w:rPr>
          <w:rFonts w:hint="eastAsia" w:cs="Times New Roman"/>
          <w:szCs w:val="32"/>
        </w:rPr>
        <w:t>利用片区外区域性消防站，服务于片区内部；同时镇区重点建筑物也应按要求提高消防栓密度。</w:t>
      </w:r>
    </w:p>
    <w:p>
      <w:pPr>
        <w:pBdr>
          <w:top w:val="single" w:color="auto" w:sz="4" w:space="1"/>
          <w:left w:val="single" w:color="auto" w:sz="4" w:space="4"/>
          <w:bottom w:val="single" w:color="auto" w:sz="4" w:space="1"/>
          <w:right w:val="single" w:color="auto" w:sz="4" w:space="4"/>
        </w:pBdr>
        <w:ind w:firstLine="0" w:firstLineChars="0"/>
        <w:jc w:val="center"/>
        <w:rPr>
          <w:rFonts w:cs="Times New Roman"/>
          <w:szCs w:val="32"/>
        </w:rPr>
      </w:pPr>
      <w:r>
        <w:rPr>
          <w:rFonts w:cs="Times New Roman"/>
          <w:szCs w:val="32"/>
        </w:rPr>
        <w:t>专栏4  应急能力建设重点工程</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1.应急救援队伍建设</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建设内容：加强专业人才引进和培训以及设备建设，推进应急队伍按预案联合演练；在龙凤镇强化建设专职消防队1支；在老池镇建设义务消防队</w:t>
      </w:r>
      <w:r>
        <w:rPr>
          <w:rFonts w:cs="Times New Roman"/>
          <w:color w:val="000000" w:themeColor="text1"/>
          <w:szCs w:val="32"/>
          <w14:textFill>
            <w14:solidFill>
              <w14:schemeClr w14:val="tx1"/>
            </w14:solidFill>
          </w14:textFill>
        </w:rPr>
        <w:t>1</w:t>
      </w:r>
      <w:r>
        <w:rPr>
          <w:rFonts w:hint="eastAsia" w:cs="Times New Roman"/>
          <w:color w:val="000000" w:themeColor="text1"/>
          <w:szCs w:val="32"/>
          <w14:textFill>
            <w14:solidFill>
              <w14:schemeClr w14:val="tx1"/>
            </w14:solidFill>
          </w14:textFill>
        </w:rPr>
        <w:t>支；加强消防宣教队伍建设，消防队伍按需配置专兼职人员。</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建设地点：老池</w:t>
      </w:r>
      <w:r>
        <w:rPr>
          <w:rFonts w:cs="Times New Roman"/>
          <w:color w:val="000000" w:themeColor="text1"/>
          <w:szCs w:val="32"/>
          <w14:textFill>
            <w14:solidFill>
              <w14:schemeClr w14:val="tx1"/>
            </w14:solidFill>
          </w14:textFill>
        </w:rPr>
        <w:t>镇</w:t>
      </w:r>
      <w:r>
        <w:rPr>
          <w:rFonts w:hint="eastAsia" w:cs="Times New Roman"/>
          <w:color w:val="000000" w:themeColor="text1"/>
          <w:szCs w:val="32"/>
          <w14:textFill>
            <w14:solidFill>
              <w14:schemeClr w14:val="tx1"/>
            </w14:solidFill>
          </w14:textFill>
        </w:rPr>
        <w:t>、龙凤镇</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责任单位：区应急管理局，区消防救援大队，</w:t>
      </w:r>
      <w:r>
        <w:rPr>
          <w:rFonts w:cs="Times New Roman"/>
          <w:color w:val="000000" w:themeColor="text1"/>
          <w:szCs w:val="32"/>
          <w14:textFill>
            <w14:solidFill>
              <w14:schemeClr w14:val="tx1"/>
            </w14:solidFill>
          </w14:textFill>
        </w:rPr>
        <w:t>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资金估算：总计投入</w:t>
      </w:r>
      <w:r>
        <w:rPr>
          <w:rFonts w:cs="Times New Roman"/>
          <w:color w:val="000000" w:themeColor="text1"/>
          <w:szCs w:val="32"/>
          <w14:textFill>
            <w14:solidFill>
              <w14:schemeClr w14:val="tx1"/>
            </w14:solidFill>
          </w14:textFill>
        </w:rPr>
        <w:t>2</w:t>
      </w:r>
      <w:r>
        <w:rPr>
          <w:rFonts w:hint="eastAsia" w:cs="Times New Roman"/>
          <w:color w:val="000000" w:themeColor="text1"/>
          <w:szCs w:val="32"/>
          <w14:textFill>
            <w14:solidFill>
              <w14:schemeClr w14:val="tx1"/>
            </w14:solidFill>
          </w14:textFill>
        </w:rPr>
        <w:t>00万元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完成期限：2025年。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2.消防站建设</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建设内容：</w:t>
      </w:r>
      <w:r>
        <w:rPr>
          <w:rFonts w:hint="eastAsia" w:cs="Times New Roman"/>
          <w:szCs w:val="32"/>
        </w:rPr>
        <w:t>片区内各村、社区建成微型消防站</w:t>
      </w:r>
      <w:r>
        <w:rPr>
          <w:rFonts w:hint="eastAsia" w:cs="Times New Roman"/>
          <w:color w:val="000000" w:themeColor="text1"/>
          <w:szCs w:val="32"/>
          <w14:textFill>
            <w14:solidFill>
              <w14:schemeClr w14:val="tx1"/>
            </w14:solidFill>
          </w14:textFill>
        </w:rPr>
        <w:t>，</w:t>
      </w:r>
      <w:r>
        <w:rPr>
          <w:rFonts w:cs="Times New Roman"/>
          <w:szCs w:val="32"/>
        </w:rPr>
        <w:t>配备相应的现代化通讯设施、消防</w:t>
      </w:r>
      <w:r>
        <w:rPr>
          <w:rFonts w:hint="eastAsia" w:cs="Times New Roman"/>
          <w:szCs w:val="32"/>
        </w:rPr>
        <w:t>器材</w:t>
      </w:r>
      <w:r>
        <w:rPr>
          <w:rFonts w:hint="eastAsia" w:cs="Times New Roman"/>
          <w:color w:val="000000" w:themeColor="text1"/>
          <w:szCs w:val="32"/>
          <w14:textFill>
            <w14:solidFill>
              <w14:schemeClr w14:val="tx1"/>
            </w14:solidFill>
          </w14:textFill>
        </w:rPr>
        <w:t>。</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建设地点：</w:t>
      </w:r>
      <w:r>
        <w:rPr>
          <w:rFonts w:hint="eastAsia" w:cs="Times New Roman"/>
          <w:color w:val="000000" w:themeColor="text1"/>
          <w:szCs w:val="32"/>
          <w14:textFill>
            <w14:solidFill>
              <w14:schemeClr w14:val="tx1"/>
            </w14:solidFill>
          </w14:textFill>
        </w:rPr>
        <w:t>老池</w:t>
      </w:r>
      <w:r>
        <w:rPr>
          <w:rFonts w:cs="Times New Roman"/>
          <w:color w:val="000000" w:themeColor="text1"/>
          <w:szCs w:val="32"/>
          <w14:textFill>
            <w14:solidFill>
              <w14:schemeClr w14:val="tx1"/>
            </w14:solidFill>
          </w14:textFill>
        </w:rPr>
        <w:t>镇</w:t>
      </w:r>
      <w:r>
        <w:rPr>
          <w:rFonts w:hint="eastAsia" w:cs="Times New Roman"/>
          <w:color w:val="000000" w:themeColor="text1"/>
          <w:szCs w:val="32"/>
          <w14:textFill>
            <w14:solidFill>
              <w14:schemeClr w14:val="tx1"/>
            </w14:solidFill>
          </w14:textFill>
        </w:rPr>
        <w:t>、龙凤镇各村（社区）</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责任单位：区消防救援大队，</w:t>
      </w:r>
      <w:r>
        <w:rPr>
          <w:rFonts w:hint="eastAsia" w:cs="Times New Roman"/>
          <w:color w:val="000000" w:themeColor="text1"/>
          <w:szCs w:val="32"/>
          <w14:textFill>
            <w14:solidFill>
              <w14:schemeClr w14:val="tx1"/>
            </w14:solidFill>
          </w14:textFill>
        </w:rPr>
        <w:t>各</w:t>
      </w:r>
      <w:r>
        <w:rPr>
          <w:rFonts w:cs="Times New Roman"/>
          <w:color w:val="000000" w:themeColor="text1"/>
          <w:szCs w:val="32"/>
          <w14:textFill>
            <w14:solidFill>
              <w14:schemeClr w14:val="tx1"/>
            </w14:solidFill>
          </w14:textFill>
        </w:rPr>
        <w:t>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资金估算：总计投入500万</w:t>
      </w:r>
      <w:r>
        <w:rPr>
          <w:rFonts w:hint="eastAsia" w:cs="Times New Roman"/>
          <w:color w:val="000000" w:themeColor="text1"/>
          <w:szCs w:val="32"/>
          <w14:textFill>
            <w14:solidFill>
              <w14:schemeClr w14:val="tx1"/>
            </w14:solidFill>
          </w14:textFill>
        </w:rPr>
        <w:t>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完成期限：2035年。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3.应急物资储备</w:t>
      </w:r>
      <w:r>
        <w:rPr>
          <w:rFonts w:hint="eastAsia" w:cs="Times New Roman"/>
          <w:color w:val="000000" w:themeColor="text1"/>
          <w:szCs w:val="32"/>
          <w14:textFill>
            <w14:solidFill>
              <w14:schemeClr w14:val="tx1"/>
            </w14:solidFill>
          </w14:textFill>
        </w:rPr>
        <w:t>库（</w:t>
      </w:r>
      <w:r>
        <w:rPr>
          <w:rFonts w:cs="Times New Roman"/>
          <w:color w:val="000000" w:themeColor="text1"/>
          <w:szCs w:val="32"/>
          <w14:textFill>
            <w14:solidFill>
              <w14:schemeClr w14:val="tx1"/>
            </w14:solidFill>
          </w14:textFill>
        </w:rPr>
        <w:t>点</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升级改造</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建设内容：各镇</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各村（居）委会在现有基础上，升级改造应急物资储备</w:t>
      </w:r>
      <w:r>
        <w:rPr>
          <w:rFonts w:hint="eastAsia" w:cs="Times New Roman"/>
          <w:color w:val="000000" w:themeColor="text1"/>
          <w:szCs w:val="32"/>
          <w14:textFill>
            <w14:solidFill>
              <w14:schemeClr w14:val="tx1"/>
            </w14:solidFill>
          </w14:textFill>
        </w:rPr>
        <w:t>库（</w:t>
      </w:r>
      <w:r>
        <w:rPr>
          <w:rFonts w:cs="Times New Roman"/>
          <w:color w:val="000000" w:themeColor="text1"/>
          <w:szCs w:val="32"/>
          <w14:textFill>
            <w14:solidFill>
              <w14:schemeClr w14:val="tx1"/>
            </w14:solidFill>
          </w14:textFill>
        </w:rPr>
        <w:t>点</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25</w:t>
      </w:r>
      <w:r>
        <w:rPr>
          <w:rFonts w:hint="eastAsia" w:cs="Times New Roman"/>
          <w:color w:val="000000" w:themeColor="text1"/>
          <w:szCs w:val="32"/>
          <w14:textFill>
            <w14:solidFill>
              <w14:schemeClr w14:val="tx1"/>
            </w14:solidFill>
          </w14:textFill>
        </w:rPr>
        <w:t>处</w:t>
      </w:r>
      <w:r>
        <w:rPr>
          <w:rFonts w:cs="Times New Roman"/>
          <w:color w:val="000000" w:themeColor="text1"/>
          <w:szCs w:val="32"/>
          <w14:textFill>
            <w14:solidFill>
              <w14:schemeClr w14:val="tx1"/>
            </w14:solidFill>
          </w14:textFill>
        </w:rPr>
        <w:t>，重点建设视频监控、专用货架、防潮、防虫、防火等设施</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不新增用地</w:t>
      </w:r>
      <w:r>
        <w:rPr>
          <w:rFonts w:hint="eastAsia" w:cs="Times New Roman"/>
          <w:color w:val="000000" w:themeColor="text1"/>
          <w:szCs w:val="32"/>
          <w14:textFill>
            <w14:solidFill>
              <w14:schemeClr w14:val="tx1"/>
            </w14:solidFill>
          </w14:textFill>
        </w:rPr>
        <w:t>。</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建设地址：</w:t>
      </w:r>
      <w:r>
        <w:rPr>
          <w:rFonts w:hint="eastAsia" w:cs="Times New Roman"/>
          <w:color w:val="000000" w:themeColor="text1"/>
          <w:szCs w:val="32"/>
          <w14:textFill>
            <w14:solidFill>
              <w14:schemeClr w14:val="tx1"/>
            </w14:solidFill>
          </w14:textFill>
        </w:rPr>
        <w:t>老池</w:t>
      </w:r>
      <w:r>
        <w:rPr>
          <w:rFonts w:cs="Times New Roman"/>
          <w:color w:val="000000" w:themeColor="text1"/>
          <w:szCs w:val="32"/>
          <w14:textFill>
            <w14:solidFill>
              <w14:schemeClr w14:val="tx1"/>
            </w14:solidFill>
          </w14:textFill>
        </w:rPr>
        <w:t>镇</w:t>
      </w:r>
      <w:r>
        <w:rPr>
          <w:rFonts w:hint="eastAsia" w:cs="Times New Roman"/>
          <w:color w:val="000000" w:themeColor="text1"/>
          <w:szCs w:val="32"/>
          <w14:textFill>
            <w14:solidFill>
              <w14:schemeClr w14:val="tx1"/>
            </w14:solidFill>
          </w14:textFill>
        </w:rPr>
        <w:t>、龙凤镇</w:t>
      </w:r>
    </w:p>
    <w:p>
      <w:pPr>
        <w:pStyle w:val="17"/>
        <w:pBdr>
          <w:top w:val="single" w:color="auto" w:sz="4" w:space="1"/>
          <w:left w:val="single" w:color="auto" w:sz="4" w:space="4"/>
          <w:bottom w:val="single" w:color="auto" w:sz="4" w:space="1"/>
          <w:right w:val="single" w:color="auto" w:sz="4" w:space="4"/>
        </w:pBdr>
        <w:ind w:left="0" w:firstLine="640"/>
        <w:rPr>
          <w:rFonts w:ascii="Times New Roman" w:hAnsi="Times New Roman" w:eastAsia="仿宋" w:cs="Times New Roman"/>
          <w:smallCaps w:val="0"/>
          <w:color w:val="000000" w:themeColor="text1"/>
          <w:sz w:val="32"/>
          <w:szCs w:val="32"/>
          <w14:textFill>
            <w14:solidFill>
              <w14:schemeClr w14:val="tx1"/>
            </w14:solidFill>
          </w14:textFill>
        </w:rPr>
      </w:pPr>
      <w:r>
        <w:rPr>
          <w:rFonts w:hint="eastAsia" w:ascii="Times New Roman" w:hAnsi="Times New Roman" w:eastAsia="仿宋" w:cs="Times New Roman"/>
          <w:smallCaps w:val="0"/>
          <w:color w:val="000000" w:themeColor="text1"/>
          <w:sz w:val="32"/>
          <w:szCs w:val="32"/>
          <w14:textFill>
            <w14:solidFill>
              <w14:schemeClr w14:val="tx1"/>
            </w14:solidFill>
          </w14:textFill>
        </w:rPr>
        <w:t>用地</w:t>
      </w:r>
      <w:r>
        <w:rPr>
          <w:rFonts w:ascii="Times New Roman" w:hAnsi="Times New Roman" w:eastAsia="仿宋" w:cs="Times New Roman"/>
          <w:smallCaps w:val="0"/>
          <w:color w:val="000000" w:themeColor="text1"/>
          <w:sz w:val="32"/>
          <w:szCs w:val="32"/>
          <w14:textFill>
            <w14:solidFill>
              <w14:schemeClr w14:val="tx1"/>
            </w14:solidFill>
          </w14:textFill>
        </w:rPr>
        <w:t>面积：</w:t>
      </w:r>
      <w:r>
        <w:rPr>
          <w:rFonts w:hint="eastAsia" w:ascii="Times New Roman" w:hAnsi="Times New Roman" w:eastAsia="仿宋" w:cs="Times New Roman"/>
          <w:smallCaps w:val="0"/>
          <w:color w:val="000000" w:themeColor="text1"/>
          <w:sz w:val="32"/>
          <w:szCs w:val="32"/>
          <w14:textFill>
            <w14:solidFill>
              <w14:schemeClr w14:val="tx1"/>
            </w14:solidFill>
          </w14:textFill>
        </w:rPr>
        <w:t>利旧</w:t>
      </w:r>
      <w:r>
        <w:rPr>
          <w:rFonts w:ascii="Times New Roman" w:hAnsi="Times New Roman" w:eastAsia="仿宋" w:cs="Times New Roman"/>
          <w:smallCaps w:val="0"/>
          <w:color w:val="000000" w:themeColor="text1"/>
          <w:sz w:val="32"/>
          <w:szCs w:val="32"/>
          <w14:textFill>
            <w14:solidFill>
              <w14:schemeClr w14:val="tx1"/>
            </w14:solidFill>
          </w14:textFill>
        </w:rPr>
        <w:t>740</w:t>
      </w:r>
      <w:r>
        <w:rPr>
          <w:rFonts w:hint="eastAsia" w:ascii="Times New Roman" w:hAnsi="Times New Roman" w:eastAsia="仿宋" w:cs="Times New Roman"/>
          <w:smallCaps w:val="0"/>
          <w:color w:val="000000" w:themeColor="text1"/>
          <w:sz w:val="32"/>
          <w:szCs w:val="32"/>
          <w14:textFill>
            <w14:solidFill>
              <w14:schemeClr w14:val="tx1"/>
            </w14:solidFill>
          </w14:textFill>
        </w:rPr>
        <w:t>m</w:t>
      </w:r>
      <w:r>
        <w:rPr>
          <w:rFonts w:ascii="Times New Roman" w:hAnsi="Times New Roman" w:eastAsia="仿宋" w:cs="Times New Roman"/>
          <w:smallCaps w:val="0"/>
          <w:color w:val="000000" w:themeColor="text1"/>
          <w:sz w:val="32"/>
          <w:szCs w:val="32"/>
          <w:vertAlign w:val="superscript"/>
          <w14:textFill>
            <w14:solidFill>
              <w14:schemeClr w14:val="tx1"/>
            </w14:solidFill>
          </w14:textFill>
        </w:rPr>
        <w:t>2</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责任单位：区应急管理局、区发展改革局、区财政局、各镇党委和人民政府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资金估算：总计投入400万</w:t>
      </w:r>
      <w:r>
        <w:rPr>
          <w:rFonts w:hint="eastAsia" w:cs="Times New Roman"/>
          <w:color w:val="000000" w:themeColor="text1"/>
          <w:szCs w:val="32"/>
          <w14:textFill>
            <w14:solidFill>
              <w14:schemeClr w14:val="tx1"/>
            </w14:solidFill>
          </w14:textFill>
        </w:rPr>
        <w:t>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完成期限：2025年。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4.应急避难场所建设</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建设内容：</w:t>
      </w:r>
      <w:r>
        <w:rPr>
          <w:rFonts w:cs="Times New Roman"/>
          <w:szCs w:val="32"/>
        </w:rPr>
        <w:t>优化完善现有避难场所建设，依托学校</w:t>
      </w:r>
      <w:r>
        <w:rPr>
          <w:rFonts w:hint="eastAsia" w:cs="Times New Roman"/>
          <w:szCs w:val="32"/>
        </w:rPr>
        <w:t>、公园</w:t>
      </w:r>
      <w:r>
        <w:rPr>
          <w:rFonts w:cs="Times New Roman"/>
          <w:szCs w:val="32"/>
        </w:rPr>
        <w:t>和村委会</w:t>
      </w:r>
      <w:r>
        <w:rPr>
          <w:rFonts w:hint="eastAsia" w:cs="Times New Roman"/>
          <w:szCs w:val="32"/>
        </w:rPr>
        <w:t>等</w:t>
      </w:r>
      <w:r>
        <w:rPr>
          <w:rFonts w:cs="Times New Roman"/>
          <w:szCs w:val="32"/>
        </w:rPr>
        <w:t>改造</w:t>
      </w:r>
      <w:r>
        <w:rPr>
          <w:rFonts w:hint="eastAsia" w:cs="Times New Roman"/>
          <w:szCs w:val="32"/>
        </w:rPr>
        <w:t>共建</w:t>
      </w:r>
      <w:r>
        <w:rPr>
          <w:rFonts w:cs="Times New Roman"/>
          <w:szCs w:val="32"/>
        </w:rPr>
        <w:t>25个应急避难场所，</w:t>
      </w:r>
      <w:r>
        <w:rPr>
          <w:rFonts w:cs="Times New Roman"/>
          <w:color w:val="000000" w:themeColor="text1"/>
          <w:szCs w:val="32"/>
          <w14:textFill>
            <w14:solidFill>
              <w14:schemeClr w14:val="tx1"/>
            </w14:solidFill>
          </w14:textFill>
        </w:rPr>
        <w:t>通过改造、改建公共建筑等方式持续构建和城镇相协调、室内和室外相结合的镇村两级应急避难体系</w:t>
      </w:r>
      <w:r>
        <w:rPr>
          <w:rFonts w:hint="eastAsia" w:cs="Times New Roman"/>
          <w:color w:val="000000" w:themeColor="text1"/>
          <w:szCs w:val="32"/>
          <w14:textFill>
            <w14:solidFill>
              <w14:schemeClr w14:val="tx1"/>
            </w14:solidFill>
          </w14:textFill>
        </w:rPr>
        <w:t>，</w:t>
      </w:r>
      <w:r>
        <w:rPr>
          <w:rFonts w:cs="Times New Roman"/>
          <w:szCs w:val="32"/>
        </w:rPr>
        <w:t>不新增用地。</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建设地点：</w:t>
      </w:r>
      <w:r>
        <w:rPr>
          <w:rFonts w:hint="eastAsia" w:cs="Times New Roman"/>
          <w:color w:val="000000" w:themeColor="text1"/>
          <w:szCs w:val="32"/>
          <w14:textFill>
            <w14:solidFill>
              <w14:schemeClr w14:val="tx1"/>
            </w14:solidFill>
          </w14:textFill>
        </w:rPr>
        <w:t>老池</w:t>
      </w:r>
      <w:r>
        <w:rPr>
          <w:rFonts w:cs="Times New Roman"/>
          <w:color w:val="000000" w:themeColor="text1"/>
          <w:szCs w:val="32"/>
          <w14:textFill>
            <w14:solidFill>
              <w14:schemeClr w14:val="tx1"/>
            </w14:solidFill>
          </w14:textFill>
        </w:rPr>
        <w:t>镇</w:t>
      </w:r>
      <w:r>
        <w:rPr>
          <w:rFonts w:hint="eastAsia" w:cs="Times New Roman"/>
          <w:color w:val="000000" w:themeColor="text1"/>
          <w:szCs w:val="32"/>
          <w14:textFill>
            <w14:solidFill>
              <w14:schemeClr w14:val="tx1"/>
            </w14:solidFill>
          </w14:textFill>
        </w:rPr>
        <w:t>、龙凤镇</w:t>
      </w:r>
    </w:p>
    <w:p>
      <w:pPr>
        <w:pStyle w:val="17"/>
        <w:pBdr>
          <w:top w:val="single" w:color="auto" w:sz="4" w:space="1"/>
          <w:left w:val="single" w:color="auto" w:sz="4" w:space="4"/>
          <w:bottom w:val="single" w:color="auto" w:sz="4" w:space="1"/>
          <w:right w:val="single" w:color="auto" w:sz="4" w:space="4"/>
        </w:pBdr>
        <w:ind w:left="0" w:firstLine="640"/>
        <w:rPr>
          <w:rFonts w:ascii="Times New Roman" w:hAnsi="Times New Roman" w:eastAsia="仿宋" w:cs="Times New Roman"/>
          <w:smallCaps w:val="0"/>
          <w:color w:val="000000" w:themeColor="text1"/>
          <w:sz w:val="32"/>
          <w:szCs w:val="32"/>
          <w14:textFill>
            <w14:solidFill>
              <w14:schemeClr w14:val="tx1"/>
            </w14:solidFill>
          </w14:textFill>
        </w:rPr>
      </w:pPr>
      <w:r>
        <w:rPr>
          <w:rFonts w:hint="eastAsia" w:ascii="Times New Roman" w:hAnsi="Times New Roman" w:eastAsia="仿宋" w:cs="Times New Roman"/>
          <w:smallCaps w:val="0"/>
          <w:color w:val="000000" w:themeColor="text1"/>
          <w:sz w:val="32"/>
          <w:szCs w:val="32"/>
          <w14:textFill>
            <w14:solidFill>
              <w14:schemeClr w14:val="tx1"/>
            </w14:solidFill>
          </w14:textFill>
        </w:rPr>
        <w:t>用地</w:t>
      </w:r>
      <w:r>
        <w:rPr>
          <w:rFonts w:ascii="Times New Roman" w:hAnsi="Times New Roman" w:eastAsia="仿宋" w:cs="Times New Roman"/>
          <w:smallCaps w:val="0"/>
          <w:color w:val="000000" w:themeColor="text1"/>
          <w:sz w:val="32"/>
          <w:szCs w:val="32"/>
          <w14:textFill>
            <w14:solidFill>
              <w14:schemeClr w14:val="tx1"/>
            </w14:solidFill>
          </w14:textFill>
        </w:rPr>
        <w:t>面积：</w:t>
      </w:r>
      <w:r>
        <w:rPr>
          <w:rFonts w:hint="eastAsia" w:ascii="Times New Roman" w:hAnsi="Times New Roman" w:eastAsia="仿宋" w:cs="Times New Roman"/>
          <w:smallCaps w:val="0"/>
          <w:color w:val="000000" w:themeColor="text1"/>
          <w:sz w:val="32"/>
          <w:szCs w:val="32"/>
          <w14:textFill>
            <w14:solidFill>
              <w14:schemeClr w14:val="tx1"/>
            </w14:solidFill>
          </w14:textFill>
        </w:rPr>
        <w:t>利旧</w:t>
      </w:r>
      <w:r>
        <w:rPr>
          <w:rFonts w:ascii="Times New Roman" w:hAnsi="Times New Roman" w:eastAsia="仿宋" w:cs="Times New Roman"/>
          <w:smallCaps w:val="0"/>
          <w:color w:val="000000" w:themeColor="text1"/>
          <w:sz w:val="32"/>
          <w:szCs w:val="32"/>
          <w14:textFill>
            <w14:solidFill>
              <w14:schemeClr w14:val="tx1"/>
            </w14:solidFill>
          </w14:textFill>
        </w:rPr>
        <w:t>48052</w:t>
      </w:r>
      <w:r>
        <w:rPr>
          <w:rFonts w:hint="eastAsia" w:ascii="Times New Roman" w:hAnsi="Times New Roman" w:eastAsia="仿宋" w:cs="Times New Roman"/>
          <w:smallCaps w:val="0"/>
          <w:color w:val="000000" w:themeColor="text1"/>
          <w:sz w:val="32"/>
          <w:szCs w:val="32"/>
          <w14:textFill>
            <w14:solidFill>
              <w14:schemeClr w14:val="tx1"/>
            </w14:solidFill>
          </w14:textFill>
        </w:rPr>
        <w:t>m</w:t>
      </w:r>
      <w:r>
        <w:rPr>
          <w:rFonts w:ascii="Times New Roman" w:hAnsi="Times New Roman" w:eastAsia="仿宋" w:cs="Times New Roman"/>
          <w:smallCaps w:val="0"/>
          <w:color w:val="000000" w:themeColor="text1"/>
          <w:sz w:val="32"/>
          <w:szCs w:val="32"/>
          <w:vertAlign w:val="superscript"/>
          <w14:textFill>
            <w14:solidFill>
              <w14:schemeClr w14:val="tx1"/>
            </w14:solidFill>
          </w14:textFill>
        </w:rPr>
        <w:t>2</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w:t>
      </w:r>
      <w:r>
        <w:rPr>
          <w:rFonts w:hint="eastAsia" w:cs="Times New Roman"/>
          <w:color w:val="000000" w:themeColor="text1"/>
          <w:szCs w:val="32"/>
          <w:lang w:eastAsia="zh-CN"/>
          <w14:textFill>
            <w14:solidFill>
              <w14:schemeClr w14:val="tx1"/>
            </w14:solidFill>
          </w14:textFill>
        </w:rPr>
        <w:t>区应急管理局</w:t>
      </w:r>
      <w:r>
        <w:rPr>
          <w:rFonts w:cs="Times New Roman"/>
          <w:color w:val="000000" w:themeColor="text1"/>
          <w:szCs w:val="32"/>
          <w14:textFill>
            <w14:solidFill>
              <w14:schemeClr w14:val="tx1"/>
            </w14:solidFill>
          </w14:textFill>
        </w:rPr>
        <w:t>、区住房城乡建设局、区教育局、区财政局、各镇党委和人民政府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资金估算：总计投入1000万</w:t>
      </w:r>
      <w:r>
        <w:rPr>
          <w:rFonts w:hint="eastAsia" w:cs="Times New Roman"/>
          <w:color w:val="000000" w:themeColor="text1"/>
          <w:szCs w:val="32"/>
          <w14:textFill>
            <w14:solidFill>
              <w14:schemeClr w14:val="tx1"/>
            </w14:solidFill>
          </w14:textFill>
        </w:rPr>
        <w:t>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完成期限：2035年。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5.应急装备建设</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建设内容：为各镇应急队配备1架无人机，培训无人机飞手。加强救生衣、救生圈、皮划艇等防汛抗旱救援装备，棉被、帐篷、折叠床等救灾物资配备</w:t>
      </w:r>
      <w:r>
        <w:rPr>
          <w:rFonts w:hint="eastAsia" w:cs="Times New Roman"/>
          <w:color w:val="000000" w:themeColor="text1"/>
          <w:szCs w:val="32"/>
          <w14:textFill>
            <w14:solidFill>
              <w14:schemeClr w14:val="tx1"/>
            </w14:solidFill>
          </w14:textFill>
        </w:rPr>
        <w:t>。</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建设地点：</w:t>
      </w:r>
      <w:r>
        <w:rPr>
          <w:rFonts w:hint="eastAsia" w:cs="Times New Roman"/>
          <w:color w:val="000000" w:themeColor="text1"/>
          <w:szCs w:val="32"/>
          <w14:textFill>
            <w14:solidFill>
              <w14:schemeClr w14:val="tx1"/>
            </w14:solidFill>
          </w14:textFill>
        </w:rPr>
        <w:t>老池</w:t>
      </w:r>
      <w:r>
        <w:rPr>
          <w:rFonts w:cs="Times New Roman"/>
          <w:color w:val="000000" w:themeColor="text1"/>
          <w:szCs w:val="32"/>
          <w14:textFill>
            <w14:solidFill>
              <w14:schemeClr w14:val="tx1"/>
            </w14:solidFill>
          </w14:textFill>
        </w:rPr>
        <w:t>镇</w:t>
      </w:r>
      <w:r>
        <w:rPr>
          <w:rFonts w:hint="eastAsia" w:cs="Times New Roman"/>
          <w:color w:val="000000" w:themeColor="text1"/>
          <w:szCs w:val="32"/>
          <w14:textFill>
            <w14:solidFill>
              <w14:schemeClr w14:val="tx1"/>
            </w14:solidFill>
          </w14:textFill>
        </w:rPr>
        <w:t>、龙凤镇</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责任单位：区应急管理局，各镇党委和人民政府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资金估算：总计投入300万</w:t>
      </w:r>
      <w:r>
        <w:rPr>
          <w:rFonts w:hint="eastAsia" w:cs="Times New Roman"/>
          <w:color w:val="000000" w:themeColor="text1"/>
          <w:szCs w:val="32"/>
          <w14:textFill>
            <w14:solidFill>
              <w14:schemeClr w14:val="tx1"/>
            </w14:solidFill>
          </w14:textFill>
        </w:rPr>
        <w:t>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完成期限：2025年。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6.应急预案编制与修订</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建设内容：以“科学化、实用化、效能化”为目标，结合各镇特点，查漏补缺，加强基层和企事业单位应急预案建设，重点推进应急预案进社区、进乡村、进企业、进学校以及重点行业，积极完善应急预案体系，梯次推进预案编修工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建设地点：老池</w:t>
      </w:r>
      <w:r>
        <w:rPr>
          <w:rFonts w:cs="Times New Roman"/>
          <w:color w:val="000000" w:themeColor="text1"/>
          <w:szCs w:val="32"/>
          <w14:textFill>
            <w14:solidFill>
              <w14:schemeClr w14:val="tx1"/>
            </w14:solidFill>
          </w14:textFill>
        </w:rPr>
        <w:t>镇</w:t>
      </w:r>
      <w:r>
        <w:rPr>
          <w:rFonts w:hint="eastAsia" w:cs="Times New Roman"/>
          <w:color w:val="000000" w:themeColor="text1"/>
          <w:szCs w:val="32"/>
          <w14:textFill>
            <w14:solidFill>
              <w14:schemeClr w14:val="tx1"/>
            </w14:solidFill>
          </w14:textFill>
        </w:rPr>
        <w:t>、龙凤镇</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责任单位：区应急管理局，</w:t>
      </w:r>
      <w:r>
        <w:rPr>
          <w:rFonts w:cs="Times New Roman"/>
          <w:color w:val="000000" w:themeColor="text1"/>
          <w:szCs w:val="32"/>
          <w14:textFill>
            <w14:solidFill>
              <w14:schemeClr w14:val="tx1"/>
            </w14:solidFill>
          </w14:textFill>
        </w:rPr>
        <w:t>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资金估算：总计投入</w:t>
      </w:r>
      <w:r>
        <w:rPr>
          <w:rFonts w:cs="Times New Roman"/>
          <w:color w:val="000000" w:themeColor="text1"/>
          <w:szCs w:val="32"/>
          <w14:textFill>
            <w14:solidFill>
              <w14:schemeClr w14:val="tx1"/>
            </w14:solidFill>
          </w14:textFill>
        </w:rPr>
        <w:t>4</w:t>
      </w:r>
      <w:r>
        <w:rPr>
          <w:rFonts w:hint="eastAsia" w:cs="Times New Roman"/>
          <w:color w:val="000000" w:themeColor="text1"/>
          <w:szCs w:val="32"/>
          <w14:textFill>
            <w14:solidFill>
              <w14:schemeClr w14:val="tx1"/>
            </w14:solidFill>
          </w14:textFill>
        </w:rPr>
        <w:t>0万元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完成期限：2025年。</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7.应急演练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建设内容：各镇开展洪涝灾害、地质灾害、森林防灭火等演练每季度不少于1次，各学校开展地震灾害、火灾等演练每学期不少于1次</w:t>
      </w:r>
      <w:r>
        <w:rPr>
          <w:rFonts w:hint="eastAsia" w:cs="Times New Roman"/>
          <w:color w:val="000000" w:themeColor="text1"/>
          <w:szCs w:val="32"/>
          <w14:textFill>
            <w14:solidFill>
              <w14:schemeClr w14:val="tx1"/>
            </w14:solidFill>
          </w14:textFill>
        </w:rPr>
        <w:t>。</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责任单位：区应急管理局，区自然资源规划局、区水利局、区教育和体育局、各镇党委和人民政府</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资金估算：10万元/年，共计50万</w:t>
      </w:r>
      <w:r>
        <w:rPr>
          <w:rFonts w:hint="eastAsia" w:cs="Times New Roman"/>
          <w:color w:val="000000" w:themeColor="text1"/>
          <w:szCs w:val="32"/>
          <w14:textFill>
            <w14:solidFill>
              <w14:schemeClr w14:val="tx1"/>
            </w14:solidFill>
          </w14:textFill>
        </w:rPr>
        <w:t>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完成期限：2025年。</w:t>
      </w:r>
    </w:p>
    <w:p>
      <w:pPr>
        <w:pStyle w:val="4"/>
        <w:rPr>
          <w:rFonts w:cs="Times New Roman"/>
        </w:rPr>
      </w:pPr>
      <w:bookmarkStart w:id="47" w:name="_Toc27153"/>
      <w:r>
        <w:rPr>
          <w:rFonts w:cs="Times New Roman"/>
        </w:rPr>
        <w:t>（五）先进信息技术应用方面</w:t>
      </w:r>
      <w:bookmarkEnd w:id="47"/>
    </w:p>
    <w:p>
      <w:pPr>
        <w:ind w:firstLine="643"/>
        <w:rPr>
          <w:rFonts w:cs="Times New Roman"/>
          <w:szCs w:val="32"/>
        </w:rPr>
      </w:pPr>
      <w:bookmarkStart w:id="48" w:name="_Toc27863"/>
      <w:r>
        <w:rPr>
          <w:rFonts w:cs="Times New Roman"/>
          <w:b/>
          <w:bCs/>
          <w:szCs w:val="32"/>
        </w:rPr>
        <w:t>应急指挥中心建设</w:t>
      </w:r>
      <w:bookmarkEnd w:id="48"/>
      <w:r>
        <w:rPr>
          <w:rFonts w:cs="Times New Roman"/>
          <w:b/>
          <w:bCs/>
          <w:szCs w:val="32"/>
        </w:rPr>
        <w:t>。</w:t>
      </w:r>
      <w:r>
        <w:rPr>
          <w:rFonts w:cs="Times New Roman"/>
          <w:szCs w:val="32"/>
        </w:rPr>
        <w:t>建设</w:t>
      </w:r>
      <w:r>
        <w:rPr>
          <w:rFonts w:hint="eastAsia" w:cs="Times New Roman"/>
          <w:szCs w:val="32"/>
        </w:rPr>
        <w:t>各</w:t>
      </w:r>
      <w:r>
        <w:rPr>
          <w:rFonts w:cs="Times New Roman"/>
          <w:szCs w:val="32"/>
        </w:rPr>
        <w:t>镇级应急指挥中心及配套设施，实现指挥救援、监测预警、监督管理、决策支持和社会动员等功能，推动片区应急管理信息化工作向“智慧应急”迈进。</w:t>
      </w:r>
    </w:p>
    <w:p>
      <w:pPr>
        <w:ind w:firstLine="643"/>
        <w:rPr>
          <w:rFonts w:cs="Times New Roman"/>
        </w:rPr>
      </w:pPr>
      <w:bookmarkStart w:id="49" w:name="_Toc17511"/>
      <w:r>
        <w:rPr>
          <w:rFonts w:cs="Times New Roman"/>
          <w:b/>
          <w:bCs/>
          <w:szCs w:val="32"/>
        </w:rPr>
        <w:t>应急指挥网络建设</w:t>
      </w:r>
      <w:bookmarkEnd w:id="49"/>
      <w:r>
        <w:rPr>
          <w:rFonts w:cs="Times New Roman"/>
          <w:b/>
          <w:bCs/>
          <w:szCs w:val="32"/>
        </w:rPr>
        <w:t>。</w:t>
      </w:r>
      <w:r>
        <w:rPr>
          <w:rFonts w:cs="Times New Roman"/>
          <w:bCs/>
          <w:szCs w:val="32"/>
        </w:rPr>
        <w:t>完善应急广播村村响发布系统，建立应急信号主备传输链路，在</w:t>
      </w:r>
      <w:r>
        <w:rPr>
          <w:rFonts w:hint="eastAsia" w:cs="Times New Roman"/>
          <w:bCs/>
          <w:szCs w:val="32"/>
        </w:rPr>
        <w:t>“</w:t>
      </w:r>
      <w:r>
        <w:rPr>
          <w:rFonts w:cs="Times New Roman"/>
          <w:bCs/>
          <w:szCs w:val="32"/>
        </w:rPr>
        <w:t>镇-村（社区）-组（社）</w:t>
      </w:r>
      <w:r>
        <w:rPr>
          <w:rFonts w:hint="eastAsia" w:cs="Times New Roman"/>
          <w:bCs/>
          <w:szCs w:val="32"/>
        </w:rPr>
        <w:t>”</w:t>
      </w:r>
      <w:r>
        <w:rPr>
          <w:rFonts w:cs="Times New Roman"/>
          <w:bCs/>
          <w:szCs w:val="32"/>
        </w:rPr>
        <w:t>三级部署应急广播主动发布终端系统。</w:t>
      </w:r>
      <w:r>
        <w:rPr>
          <w:rFonts w:cs="Times New Roman"/>
          <w:szCs w:val="32"/>
        </w:rPr>
        <w:t>结合社会治理智能化建设，各镇、村（社区）运用手机、微信群、卫星电话、广播村村响系统、手持对讲机等信息化手段，搭建指挥网络，实现灾情反馈、指令下达、信息传递顺畅高效、务实管用。</w:t>
      </w:r>
    </w:p>
    <w:tbl>
      <w:tblPr>
        <w:tblStyle w:val="46"/>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1" w:hRule="atLeast"/>
          <w:jc w:val="center"/>
        </w:trPr>
        <w:tc>
          <w:tcPr>
            <w:tcW w:w="5000" w:type="pct"/>
            <w:vAlign w:val="center"/>
          </w:tcPr>
          <w:p>
            <w:pPr>
              <w:adjustRightInd w:val="0"/>
              <w:snapToGrid w:val="0"/>
              <w:ind w:firstLine="0" w:firstLineChars="0"/>
              <w:jc w:val="center"/>
              <w:rPr>
                <w:rFonts w:cs="Times New Roman"/>
                <w:szCs w:val="32"/>
              </w:rPr>
            </w:pPr>
            <w:r>
              <w:rPr>
                <w:rFonts w:cs="Times New Roman"/>
                <w:szCs w:val="32"/>
              </w:rPr>
              <w:t>专栏5：信息化建设重点工程</w:t>
            </w:r>
          </w:p>
          <w:p>
            <w:pPr>
              <w:adjustRightInd w:val="0"/>
              <w:snapToGrid w:val="0"/>
              <w:ind w:firstLine="640"/>
              <w:rPr>
                <w:rFonts w:cs="Times New Roman"/>
                <w:szCs w:val="32"/>
              </w:rPr>
            </w:pPr>
            <w:r>
              <w:rPr>
                <w:rFonts w:cs="Times New Roman"/>
                <w:szCs w:val="32"/>
              </w:rPr>
              <w:t>1.应急指挥中心建设</w:t>
            </w:r>
          </w:p>
          <w:p>
            <w:pPr>
              <w:adjustRightInd w:val="0"/>
              <w:snapToGrid w:val="0"/>
              <w:ind w:firstLine="640"/>
              <w:rPr>
                <w:rFonts w:cs="Times New Roman"/>
                <w:szCs w:val="32"/>
              </w:rPr>
            </w:pPr>
            <w:r>
              <w:rPr>
                <w:rFonts w:cs="Times New Roman"/>
                <w:szCs w:val="32"/>
              </w:rPr>
              <w:t>建设内容：依托个</w:t>
            </w:r>
            <w:r>
              <w:rPr>
                <w:rFonts w:hint="eastAsia" w:cs="Times New Roman"/>
                <w:szCs w:val="32"/>
              </w:rPr>
              <w:t>各</w:t>
            </w:r>
            <w:r>
              <w:rPr>
                <w:rFonts w:cs="Times New Roman"/>
                <w:szCs w:val="32"/>
              </w:rPr>
              <w:t>镇政府现有信息化基础设施，</w:t>
            </w:r>
            <w:r>
              <w:rPr>
                <w:rFonts w:hint="eastAsia" w:cs="Times New Roman"/>
                <w:szCs w:val="32"/>
              </w:rPr>
              <w:t>改造建设</w:t>
            </w:r>
            <w:r>
              <w:rPr>
                <w:rFonts w:cs="Times New Roman"/>
                <w:szCs w:val="32"/>
              </w:rPr>
              <w:t>应急指挥分中心1处。整合</w:t>
            </w:r>
            <w:r>
              <w:rPr>
                <w:rFonts w:hint="eastAsia" w:cs="Times New Roman"/>
                <w:szCs w:val="32"/>
              </w:rPr>
              <w:t>各</w:t>
            </w:r>
            <w:r>
              <w:rPr>
                <w:rFonts w:cs="Times New Roman"/>
                <w:szCs w:val="32"/>
              </w:rPr>
              <w:t>镇数据监管、查询；风险监测、上报以及第一现场应急处突等工作需求，建设智慧乡镇终端，并接入片区智慧平台，提供移动端日常工作信息查询需要以及紧急事件上报和应急视频会商功能</w:t>
            </w:r>
            <w:r>
              <w:rPr>
                <w:rFonts w:hint="eastAsia" w:cs="Times New Roman"/>
                <w:szCs w:val="32"/>
              </w:rPr>
              <w:t>。</w:t>
            </w:r>
          </w:p>
          <w:p>
            <w:pPr>
              <w:adjustRightInd w:val="0"/>
              <w:snapToGrid w:val="0"/>
              <w:ind w:firstLine="640"/>
              <w:rPr>
                <w:rFonts w:cs="Times New Roman"/>
                <w:szCs w:val="32"/>
              </w:rPr>
            </w:pPr>
            <w:r>
              <w:rPr>
                <w:rFonts w:cs="Times New Roman"/>
                <w:szCs w:val="32"/>
              </w:rPr>
              <w:t>责任单位：区应急管理局，</w:t>
            </w:r>
            <w:r>
              <w:rPr>
                <w:rFonts w:hint="eastAsia" w:cs="Times New Roman"/>
                <w:szCs w:val="32"/>
              </w:rPr>
              <w:t>老池镇</w:t>
            </w:r>
            <w:r>
              <w:rPr>
                <w:rFonts w:cs="Times New Roman"/>
                <w:szCs w:val="32"/>
              </w:rPr>
              <w:t>党委和人民政府</w:t>
            </w:r>
          </w:p>
          <w:p>
            <w:pPr>
              <w:pStyle w:val="17"/>
              <w:ind w:left="0" w:firstLine="640"/>
              <w:rPr>
                <w:rFonts w:ascii="Times New Roman" w:hAnsi="Times New Roman" w:eastAsia="仿宋" w:cs="Times New Roman"/>
                <w:smallCaps w:val="0"/>
                <w:sz w:val="32"/>
                <w:szCs w:val="32"/>
              </w:rPr>
            </w:pPr>
            <w:r>
              <w:rPr>
                <w:rFonts w:ascii="Times New Roman" w:hAnsi="Times New Roman" w:eastAsia="仿宋" w:cs="Times New Roman"/>
                <w:smallCaps w:val="0"/>
                <w:sz w:val="32"/>
                <w:szCs w:val="32"/>
              </w:rPr>
              <w:t>建设地点：</w:t>
            </w:r>
            <w:r>
              <w:rPr>
                <w:rFonts w:hint="eastAsia" w:ascii="Times New Roman" w:hAnsi="Times New Roman" w:eastAsia="仿宋" w:cs="Times New Roman"/>
                <w:smallCaps w:val="0"/>
                <w:sz w:val="32"/>
                <w:szCs w:val="32"/>
              </w:rPr>
              <w:t>老池镇</w:t>
            </w:r>
          </w:p>
          <w:p>
            <w:pPr>
              <w:pStyle w:val="17"/>
              <w:ind w:left="0" w:firstLine="640"/>
              <w:rPr>
                <w:rFonts w:ascii="Times New Roman" w:hAnsi="Times New Roman" w:eastAsia="仿宋" w:cs="Times New Roman"/>
                <w:smallCaps w:val="0"/>
                <w:sz w:val="32"/>
                <w:szCs w:val="32"/>
              </w:rPr>
            </w:pPr>
            <w:r>
              <w:rPr>
                <w:rFonts w:hint="eastAsia" w:ascii="Times New Roman" w:hAnsi="Times New Roman" w:eastAsia="仿宋" w:cs="Times New Roman"/>
                <w:smallCaps w:val="0"/>
                <w:sz w:val="32"/>
                <w:szCs w:val="32"/>
              </w:rPr>
              <w:t>用地</w:t>
            </w:r>
            <w:r>
              <w:rPr>
                <w:rFonts w:ascii="Times New Roman" w:hAnsi="Times New Roman" w:eastAsia="仿宋" w:cs="Times New Roman"/>
                <w:smallCaps w:val="0"/>
                <w:sz w:val="32"/>
                <w:szCs w:val="32"/>
              </w:rPr>
              <w:t>面积：</w:t>
            </w:r>
            <w:r>
              <w:rPr>
                <w:rFonts w:hint="eastAsia" w:ascii="Times New Roman" w:hAnsi="Times New Roman" w:eastAsia="仿宋" w:cs="Times New Roman"/>
                <w:smallCaps w:val="0"/>
                <w:sz w:val="32"/>
                <w:szCs w:val="32"/>
              </w:rPr>
              <w:t>利旧200m</w:t>
            </w:r>
            <w:r>
              <w:rPr>
                <w:rFonts w:ascii="Times New Roman" w:hAnsi="Times New Roman" w:eastAsia="仿宋" w:cs="Times New Roman"/>
                <w:smallCaps w:val="0"/>
                <w:sz w:val="32"/>
                <w:szCs w:val="32"/>
                <w:vertAlign w:val="superscript"/>
              </w:rPr>
              <w:t>2</w:t>
            </w:r>
          </w:p>
          <w:p>
            <w:pPr>
              <w:adjustRightInd w:val="0"/>
              <w:snapToGrid w:val="0"/>
              <w:ind w:firstLine="640"/>
              <w:rPr>
                <w:rFonts w:cs="Times New Roman"/>
                <w:szCs w:val="32"/>
              </w:rPr>
            </w:pPr>
            <w:r>
              <w:rPr>
                <w:rFonts w:cs="Times New Roman"/>
                <w:szCs w:val="32"/>
              </w:rPr>
              <w:t>资金估算：总计投入</w:t>
            </w:r>
            <w:r>
              <w:rPr>
                <w:rFonts w:hint="eastAsia" w:cs="Times New Roman"/>
                <w:szCs w:val="32"/>
              </w:rPr>
              <w:t>2</w:t>
            </w:r>
            <w:r>
              <w:rPr>
                <w:rFonts w:cs="Times New Roman"/>
                <w:szCs w:val="32"/>
              </w:rPr>
              <w:t>00万元</w:t>
            </w:r>
          </w:p>
          <w:p>
            <w:pPr>
              <w:adjustRightInd w:val="0"/>
              <w:snapToGrid w:val="0"/>
              <w:ind w:firstLine="640"/>
              <w:rPr>
                <w:rFonts w:cs="Times New Roman"/>
                <w:szCs w:val="32"/>
              </w:rPr>
            </w:pPr>
            <w:r>
              <w:rPr>
                <w:rFonts w:cs="Times New Roman"/>
                <w:szCs w:val="32"/>
              </w:rPr>
              <w:t>完成时限：2025年。</w:t>
            </w:r>
          </w:p>
          <w:p>
            <w:pPr>
              <w:adjustRightInd w:val="0"/>
              <w:snapToGrid w:val="0"/>
              <w:ind w:firstLine="640"/>
              <w:rPr>
                <w:rFonts w:cs="Times New Roman"/>
                <w:szCs w:val="32"/>
              </w:rPr>
            </w:pPr>
            <w:r>
              <w:rPr>
                <w:rFonts w:cs="Times New Roman"/>
                <w:szCs w:val="32"/>
              </w:rPr>
              <w:t>2.应急广播提升改造工程</w:t>
            </w:r>
          </w:p>
          <w:p>
            <w:pPr>
              <w:adjustRightInd w:val="0"/>
              <w:snapToGrid w:val="0"/>
              <w:ind w:firstLine="640"/>
              <w:rPr>
                <w:rFonts w:cs="Times New Roman"/>
                <w:szCs w:val="32"/>
              </w:rPr>
            </w:pPr>
            <w:r>
              <w:rPr>
                <w:rFonts w:cs="Times New Roman"/>
                <w:szCs w:val="32"/>
              </w:rPr>
              <w:t>建设目的：升级、改造各镇现有广播系统，提高应急广播覆盖率，实现片区村（社区）人口覆盖率超90%，提升灾害预警信息传播、防灾减灾宣传</w:t>
            </w:r>
            <w:r>
              <w:rPr>
                <w:rFonts w:hint="eastAsia" w:cs="Times New Roman"/>
                <w:szCs w:val="32"/>
              </w:rPr>
              <w:t>。</w:t>
            </w:r>
          </w:p>
          <w:p>
            <w:pPr>
              <w:adjustRightInd w:val="0"/>
              <w:snapToGrid w:val="0"/>
              <w:ind w:firstLine="640"/>
              <w:rPr>
                <w:rFonts w:cs="Times New Roman"/>
                <w:szCs w:val="32"/>
              </w:rPr>
            </w:pPr>
            <w:r>
              <w:rPr>
                <w:rFonts w:cs="Times New Roman"/>
                <w:szCs w:val="32"/>
              </w:rPr>
              <w:t>建设地点：</w:t>
            </w:r>
            <w:r>
              <w:rPr>
                <w:rFonts w:hint="eastAsia" w:cs="Times New Roman"/>
                <w:szCs w:val="32"/>
              </w:rPr>
              <w:t>老池镇、龙凤镇</w:t>
            </w:r>
            <w:r>
              <w:rPr>
                <w:rFonts w:cs="Times New Roman"/>
                <w:szCs w:val="32"/>
              </w:rPr>
              <w:t>及各村（社区）</w:t>
            </w:r>
          </w:p>
          <w:p>
            <w:pPr>
              <w:adjustRightInd w:val="0"/>
              <w:snapToGrid w:val="0"/>
              <w:ind w:firstLine="640"/>
              <w:rPr>
                <w:rFonts w:cs="Times New Roman"/>
                <w:szCs w:val="32"/>
              </w:rPr>
            </w:pPr>
            <w:r>
              <w:rPr>
                <w:rFonts w:cs="Times New Roman"/>
                <w:szCs w:val="32"/>
              </w:rPr>
              <w:t>责任单位：</w:t>
            </w:r>
            <w:r>
              <w:rPr>
                <w:rFonts w:hint="eastAsia" w:cs="Times New Roman"/>
                <w:szCs w:val="32"/>
              </w:rPr>
              <w:t>区文化广播电视和旅游局，</w:t>
            </w:r>
            <w:r>
              <w:rPr>
                <w:rFonts w:cs="Times New Roman"/>
                <w:szCs w:val="32"/>
              </w:rPr>
              <w:t>区融媒体中心</w:t>
            </w:r>
          </w:p>
          <w:p>
            <w:pPr>
              <w:adjustRightInd w:val="0"/>
              <w:snapToGrid w:val="0"/>
              <w:ind w:firstLine="640"/>
              <w:rPr>
                <w:rFonts w:cs="Times New Roman"/>
                <w:szCs w:val="32"/>
              </w:rPr>
            </w:pPr>
            <w:r>
              <w:rPr>
                <w:rFonts w:cs="Times New Roman"/>
                <w:szCs w:val="32"/>
              </w:rPr>
              <w:t>资金估算：总计投入300万元</w:t>
            </w:r>
          </w:p>
          <w:p>
            <w:pPr>
              <w:pStyle w:val="10"/>
              <w:tabs>
                <w:tab w:val="left" w:pos="312"/>
              </w:tabs>
              <w:adjustRightInd w:val="0"/>
              <w:snapToGrid w:val="0"/>
              <w:spacing w:after="0" w:line="550" w:lineRule="exact"/>
              <w:ind w:firstLine="640" w:firstLineChars="200"/>
              <w:jc w:val="both"/>
              <w:rPr>
                <w:sz w:val="32"/>
                <w:szCs w:val="32"/>
              </w:rPr>
            </w:pPr>
            <w:r>
              <w:rPr>
                <w:sz w:val="32"/>
                <w:szCs w:val="32"/>
              </w:rPr>
              <w:t>完成时限：2035年。</w:t>
            </w:r>
          </w:p>
        </w:tc>
      </w:tr>
    </w:tbl>
    <w:p>
      <w:pPr>
        <w:pStyle w:val="4"/>
        <w:rPr>
          <w:rFonts w:cs="Times New Roman"/>
        </w:rPr>
      </w:pPr>
      <w:bookmarkStart w:id="50" w:name="_Toc5217"/>
      <w:r>
        <w:rPr>
          <w:rFonts w:cs="Times New Roman"/>
        </w:rPr>
        <w:t>（六）应急管理共建共治共享格局</w:t>
      </w:r>
      <w:bookmarkEnd w:id="50"/>
    </w:p>
    <w:p>
      <w:pPr>
        <w:pStyle w:val="37"/>
        <w:spacing w:line="550" w:lineRule="exact"/>
        <w:ind w:firstLine="643"/>
        <w:rPr>
          <w:rFonts w:eastAsia="仿宋"/>
        </w:rPr>
      </w:pPr>
      <w:r>
        <w:rPr>
          <w:rFonts w:eastAsia="仿宋"/>
          <w:b/>
          <w:bCs/>
          <w:szCs w:val="32"/>
        </w:rPr>
        <w:t>提升基层应急能力。</w:t>
      </w:r>
      <w:r>
        <w:rPr>
          <w:rFonts w:eastAsia="仿宋"/>
        </w:rPr>
        <w:t>加强</w:t>
      </w:r>
      <w:r>
        <w:rPr>
          <w:rFonts w:hint="eastAsia" w:eastAsia="仿宋"/>
        </w:rPr>
        <w:t>各</w:t>
      </w:r>
      <w:r>
        <w:rPr>
          <w:rFonts w:eastAsia="仿宋"/>
        </w:rPr>
        <w:t>镇、村（社区）领导干部、应急管理人员、救援队伍业务培训，依托高等院校、培训机构等组织开展应急指挥、应急救援等方面的技能培训，全面提升基层业务素质和实战技能。提升各类灾害信息员能力，开展专业技能培训，确保熟悉掌握灾害信息统计报送和灾情核查评估等业务。</w:t>
      </w:r>
    </w:p>
    <w:p>
      <w:pPr>
        <w:ind w:firstLine="643"/>
        <w:rPr>
          <w:rFonts w:cs="Times New Roman"/>
        </w:rPr>
      </w:pPr>
      <w:bookmarkStart w:id="51" w:name="_Toc14916"/>
      <w:r>
        <w:rPr>
          <w:rFonts w:cs="Times New Roman"/>
          <w:b/>
          <w:bCs/>
          <w:szCs w:val="32"/>
        </w:rPr>
        <w:t>加强文化宣传教育</w:t>
      </w:r>
      <w:bookmarkEnd w:id="51"/>
      <w:r>
        <w:rPr>
          <w:rFonts w:cs="Times New Roman"/>
          <w:b/>
          <w:bCs/>
          <w:szCs w:val="32"/>
        </w:rPr>
        <w:t>。</w:t>
      </w:r>
      <w:r>
        <w:rPr>
          <w:rFonts w:cs="Times New Roman"/>
        </w:rPr>
        <w:t>深入推进安全宣传进企业、进农村、进社区、进学校、进家庭，提高公众防灾避险意识和自救互救能力。结合防灾减灾日、安全生产月、消防宣传月等重要节点，开展形式多样的宣传教育活动。利用片区文化活动室、全民健身广场等建设应急宣教场所，设置应急知识宣传栏，加强生产安全事故典型案例警示教育，普及安全知识，强化应急意识。</w:t>
      </w:r>
    </w:p>
    <w:p>
      <w:pPr>
        <w:ind w:firstLine="643"/>
        <w:rPr>
          <w:rFonts w:cs="Times New Roman"/>
        </w:rPr>
      </w:pPr>
      <w:bookmarkStart w:id="52" w:name="_Toc21768"/>
      <w:bookmarkStart w:id="53" w:name="_Toc97021381"/>
      <w:bookmarkStart w:id="54" w:name="_Toc13806"/>
      <w:bookmarkStart w:id="55" w:name="_Toc21612"/>
      <w:bookmarkStart w:id="56" w:name="_Toc23010"/>
      <w:bookmarkStart w:id="57" w:name="_Toc24630"/>
      <w:bookmarkStart w:id="58" w:name="_Toc16359"/>
      <w:bookmarkStart w:id="59" w:name="_Toc23511"/>
      <w:r>
        <w:rPr>
          <w:rFonts w:cs="Times New Roman"/>
          <w:b/>
          <w:bCs/>
          <w:szCs w:val="32"/>
        </w:rPr>
        <w:t>强化社会协同防范</w:t>
      </w:r>
      <w:bookmarkEnd w:id="52"/>
      <w:bookmarkEnd w:id="53"/>
      <w:bookmarkEnd w:id="54"/>
      <w:bookmarkEnd w:id="55"/>
      <w:bookmarkEnd w:id="56"/>
      <w:bookmarkEnd w:id="57"/>
      <w:bookmarkEnd w:id="58"/>
      <w:bookmarkEnd w:id="59"/>
      <w:r>
        <w:rPr>
          <w:rFonts w:cs="Times New Roman"/>
          <w:b/>
          <w:bCs/>
          <w:szCs w:val="32"/>
        </w:rPr>
        <w:t>。</w:t>
      </w:r>
      <w:r>
        <w:rPr>
          <w:rFonts w:cs="Times New Roman"/>
        </w:rPr>
        <w:t>健全防治结合、联防联控、群防群控的工作机制，完善社区动员、社会救助、社会福利、社会事务、社会力量的</w:t>
      </w:r>
      <w:r>
        <w:rPr>
          <w:rFonts w:hint="eastAsia" w:cs="Times New Roman"/>
        </w:rPr>
        <w:t>“</w:t>
      </w:r>
      <w:r>
        <w:rPr>
          <w:rFonts w:cs="Times New Roman"/>
        </w:rPr>
        <w:t>五社</w:t>
      </w:r>
      <w:r>
        <w:rPr>
          <w:rFonts w:hint="eastAsia" w:cs="Times New Roman"/>
        </w:rPr>
        <w:t>”</w:t>
      </w:r>
      <w:r>
        <w:rPr>
          <w:rFonts w:cs="Times New Roman"/>
        </w:rPr>
        <w:t>联动机制，引导社会公众积极参与突发事件应对工作，开展常态化应急疏散演练。探索推进保险机构灾害事故预防和灾后补偿服务，推行安全生产责任保险。</w:t>
      </w:r>
    </w:p>
    <w:p>
      <w:pPr>
        <w:pBdr>
          <w:top w:val="single" w:color="auto" w:sz="4" w:space="1"/>
          <w:left w:val="single" w:color="auto" w:sz="4" w:space="4"/>
          <w:bottom w:val="single" w:color="auto" w:sz="4" w:space="1"/>
          <w:right w:val="single" w:color="auto" w:sz="4" w:space="4"/>
        </w:pBdr>
        <w:ind w:firstLine="0" w:firstLineChars="0"/>
        <w:jc w:val="center"/>
        <w:rPr>
          <w:rFonts w:cs="Times New Roman"/>
        </w:rPr>
      </w:pPr>
      <w:r>
        <w:rPr>
          <w:rFonts w:cs="Times New Roman"/>
        </w:rPr>
        <w:t>专栏6：共建共治共享重点工程</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1.综合减灾示范社区建设</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28"/>
          <w:szCs w:val="28"/>
        </w:rPr>
      </w:pPr>
      <w:r>
        <w:rPr>
          <w:sz w:val="32"/>
          <w:szCs w:val="22"/>
        </w:rPr>
        <w:t>建设内容：</w:t>
      </w:r>
      <w:r>
        <w:rPr>
          <w:rFonts w:hint="eastAsia"/>
          <w:sz w:val="32"/>
          <w:szCs w:val="22"/>
        </w:rPr>
        <w:t>推进片区开展综合减灾示范村（社区）、安全生产示范村（社区）、安全文化示范单位建设，切实提升公众防灾减灾能力和水平，提高基层关键基础设施和重点场所的安全韧性。其中：争创国家级综合减灾示范村（社区）</w:t>
      </w:r>
      <w:r>
        <w:rPr>
          <w:sz w:val="32"/>
          <w:szCs w:val="22"/>
        </w:rPr>
        <w:t>1</w:t>
      </w:r>
      <w:r>
        <w:rPr>
          <w:rFonts w:hint="eastAsia"/>
          <w:sz w:val="32"/>
          <w:szCs w:val="22"/>
        </w:rPr>
        <w:t>个，省级综合减灾示范村（社区）</w:t>
      </w:r>
      <w:r>
        <w:rPr>
          <w:sz w:val="32"/>
          <w:szCs w:val="22"/>
        </w:rPr>
        <w:t>2</w:t>
      </w:r>
      <w:r>
        <w:rPr>
          <w:rFonts w:hint="eastAsia"/>
          <w:sz w:val="32"/>
          <w:szCs w:val="22"/>
        </w:rPr>
        <w:t>个，省级安全村（社区）</w:t>
      </w:r>
      <w:r>
        <w:rPr>
          <w:sz w:val="32"/>
          <w:szCs w:val="22"/>
        </w:rPr>
        <w:t>3</w:t>
      </w:r>
      <w:r>
        <w:rPr>
          <w:rFonts w:hint="eastAsia"/>
          <w:sz w:val="32"/>
          <w:szCs w:val="22"/>
        </w:rPr>
        <w:t>个。</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建设地点：片区各村（社区）</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责任单位：区应急管理局</w:t>
      </w:r>
      <w:r>
        <w:rPr>
          <w:rFonts w:hint="eastAsia"/>
          <w:sz w:val="32"/>
          <w:szCs w:val="22"/>
        </w:rPr>
        <w:t>，各镇党委和人民政府</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资金估算：总计投入100万元</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完成时限：2025年。</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2.应急宣教阵地建设</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建设内容：持续推进安全生产</w:t>
      </w:r>
      <w:r>
        <w:rPr>
          <w:rFonts w:hint="eastAsia" w:ascii="仿宋" w:hAnsi="仿宋" w:eastAsia="仿宋" w:cs="仿宋"/>
          <w:sz w:val="32"/>
          <w:szCs w:val="22"/>
        </w:rPr>
        <w:t>“五进”</w:t>
      </w:r>
      <w:r>
        <w:rPr>
          <w:sz w:val="32"/>
          <w:szCs w:val="22"/>
        </w:rPr>
        <w:t>活动，于片区内各村（社区）的党员活动中心设置村级宣教场所，开展宣传培训；学校开展应急宣教进课堂活动，培训儿童和青少年</w:t>
      </w:r>
      <w:r>
        <w:rPr>
          <w:rFonts w:hint="eastAsia"/>
          <w:sz w:val="32"/>
          <w:szCs w:val="22"/>
        </w:rPr>
        <w:t>。</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责任单位：</w:t>
      </w:r>
      <w:r>
        <w:rPr>
          <w:rFonts w:hint="eastAsia"/>
          <w:sz w:val="32"/>
          <w:szCs w:val="22"/>
        </w:rPr>
        <w:t>区应急管理局，区教育和体育局，各镇党委和人民政府</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资金估算：总计投入50万元</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完成期限：2035年</w:t>
      </w:r>
      <w:r>
        <w:rPr>
          <w:rFonts w:hint="eastAsia"/>
          <w:sz w:val="32"/>
          <w:szCs w:val="22"/>
        </w:rPr>
        <w:t>。</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3.应急知识宣传栏建设</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建设内容：在村（居）委会聚居点、文化广场、学校、医院等设置应急知识科普专栏，增加应急知识科普书籍、应急管理时事资讯等文化内容。</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建设地点：片区各学校、文化广场、医院</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责任单位：各镇党委和人民政府</w:t>
      </w:r>
    </w:p>
    <w:p>
      <w:pPr>
        <w:pStyle w:val="10"/>
        <w:pBdr>
          <w:top w:val="single" w:color="auto" w:sz="4" w:space="1"/>
          <w:left w:val="single" w:color="auto" w:sz="4" w:space="4"/>
          <w:bottom w:val="single" w:color="auto" w:sz="4" w:space="1"/>
          <w:right w:val="single" w:color="auto" w:sz="4" w:space="4"/>
        </w:pBdr>
        <w:spacing w:after="0" w:line="550" w:lineRule="exact"/>
        <w:ind w:firstLine="640" w:firstLineChars="200"/>
        <w:jc w:val="both"/>
        <w:rPr>
          <w:sz w:val="32"/>
          <w:szCs w:val="22"/>
        </w:rPr>
      </w:pPr>
      <w:r>
        <w:rPr>
          <w:sz w:val="32"/>
          <w:szCs w:val="22"/>
        </w:rPr>
        <w:t>资金估算：总计投入50万元</w:t>
      </w:r>
    </w:p>
    <w:p>
      <w:pPr>
        <w:pBdr>
          <w:top w:val="single" w:color="auto" w:sz="4" w:space="1"/>
          <w:left w:val="single" w:color="auto" w:sz="4" w:space="4"/>
          <w:bottom w:val="single" w:color="auto" w:sz="4" w:space="1"/>
          <w:right w:val="single" w:color="auto" w:sz="4" w:space="4"/>
        </w:pBdr>
        <w:ind w:firstLine="640"/>
        <w:rPr>
          <w:rFonts w:cs="Times New Roman"/>
          <w:color w:val="000000" w:themeColor="text1"/>
          <w:szCs w:val="32"/>
          <w14:textFill>
            <w14:solidFill>
              <w14:schemeClr w14:val="tx1"/>
            </w14:solidFill>
          </w14:textFill>
        </w:rPr>
      </w:pPr>
      <w:r>
        <w:rPr>
          <w:rFonts w:cs="Times New Roman"/>
        </w:rPr>
        <w:t>完成期限：2035年</w:t>
      </w:r>
      <w:r>
        <w:rPr>
          <w:rFonts w:hint="eastAsia" w:cs="Times New Roman"/>
        </w:rPr>
        <w:t>。</w:t>
      </w:r>
    </w:p>
    <w:bookmarkEnd w:id="45"/>
    <w:p>
      <w:pPr>
        <w:pStyle w:val="3"/>
        <w:rPr>
          <w:rFonts w:cs="Times New Roman"/>
        </w:rPr>
      </w:pPr>
      <w:bookmarkStart w:id="60" w:name="_Toc2746"/>
      <w:bookmarkStart w:id="61" w:name="_Toc98773659"/>
      <w:bookmarkStart w:id="62" w:name="_Toc91790511"/>
      <w:r>
        <w:rPr>
          <w:rFonts w:cs="Times New Roman"/>
        </w:rPr>
        <w:t>五、保障措施</w:t>
      </w:r>
      <w:bookmarkEnd w:id="60"/>
      <w:bookmarkEnd w:id="61"/>
      <w:bookmarkEnd w:id="62"/>
      <w:bookmarkStart w:id="63" w:name="_Toc98773660"/>
      <w:bookmarkStart w:id="64" w:name="_Toc91790512"/>
    </w:p>
    <w:bookmarkEnd w:id="63"/>
    <w:bookmarkEnd w:id="64"/>
    <w:p>
      <w:pPr>
        <w:pStyle w:val="4"/>
        <w:rPr>
          <w:rFonts w:cs="Times New Roman"/>
          <w:bCs w:val="0"/>
        </w:rPr>
      </w:pPr>
      <w:bookmarkStart w:id="65" w:name="_Toc28610"/>
      <w:bookmarkStart w:id="66" w:name="_Toc11031"/>
      <w:r>
        <w:rPr>
          <w:rFonts w:cs="Times New Roman"/>
          <w:bCs w:val="0"/>
        </w:rPr>
        <w:t>（一）完善组织保障</w:t>
      </w:r>
      <w:bookmarkEnd w:id="65"/>
      <w:bookmarkEnd w:id="66"/>
    </w:p>
    <w:p>
      <w:pPr>
        <w:ind w:firstLine="640"/>
        <w:rPr>
          <w:rFonts w:cs="Times New Roman"/>
        </w:rPr>
      </w:pPr>
      <w:bookmarkStart w:id="67" w:name="_Toc98773661"/>
      <w:bookmarkStart w:id="68" w:name="_Toc12001"/>
      <w:bookmarkStart w:id="69" w:name="_Toc91790513"/>
      <w:r>
        <w:rPr>
          <w:rFonts w:cs="Times New Roman"/>
        </w:rPr>
        <w:t>加强组织领导，统筹协调推进。根据本规划要求，结合实际制定规划实施方案，细化工作分工，严格落实责任主体，加强规划实施与年度计划的衔接，明确规划各项任务的推进计划、时间节点和阶段目标。强化统筹协调，确保规划实施有序推进、确保重大举措有效落地，确保各项目标如期实现。</w:t>
      </w:r>
    </w:p>
    <w:bookmarkEnd w:id="67"/>
    <w:bookmarkEnd w:id="68"/>
    <w:bookmarkEnd w:id="69"/>
    <w:p>
      <w:pPr>
        <w:pStyle w:val="4"/>
        <w:rPr>
          <w:rFonts w:cs="Times New Roman"/>
        </w:rPr>
      </w:pPr>
      <w:bookmarkStart w:id="70" w:name="_Toc12446"/>
      <w:bookmarkStart w:id="71" w:name="_Toc98773662"/>
      <w:r>
        <w:rPr>
          <w:rFonts w:cs="Times New Roman"/>
        </w:rPr>
        <w:t>（二）强化资金保障</w:t>
      </w:r>
      <w:bookmarkEnd w:id="70"/>
    </w:p>
    <w:p>
      <w:pPr>
        <w:ind w:firstLine="640"/>
        <w:rPr>
          <w:rFonts w:cs="Times New Roman"/>
        </w:rPr>
      </w:pPr>
      <w:r>
        <w:rPr>
          <w:rFonts w:cs="Times New Roman"/>
        </w:rPr>
        <w:t>优化资金投入机制，积极争取上级政策和财政支持，区财政局统筹安排规划重大工程项目所需财政资金。建立健全政府、企业、社会相结合的应急管理体系投入机制，扩大应急管理专项资金规模，发挥财政资金引领带动作用，动员全社会广泛参与应急管理事业建设，保障工程项目实施落地，加强资金的使用和管理。</w:t>
      </w:r>
    </w:p>
    <w:bookmarkEnd w:id="71"/>
    <w:p>
      <w:pPr>
        <w:pStyle w:val="4"/>
        <w:rPr>
          <w:rFonts w:cs="Times New Roman"/>
        </w:rPr>
      </w:pPr>
      <w:bookmarkStart w:id="72" w:name="_Toc1441"/>
      <w:bookmarkStart w:id="73" w:name="_Toc17249"/>
      <w:r>
        <w:rPr>
          <w:rFonts w:cs="Times New Roman"/>
        </w:rPr>
        <w:t>（三）强化政策保障</w:t>
      </w:r>
      <w:bookmarkEnd w:id="72"/>
      <w:bookmarkEnd w:id="73"/>
    </w:p>
    <w:p>
      <w:pPr>
        <w:widowControl/>
        <w:ind w:firstLine="640"/>
        <w:jc w:val="left"/>
        <w:rPr>
          <w:rFonts w:cs="Times New Roman"/>
        </w:rPr>
      </w:pPr>
      <w:bookmarkStart w:id="74" w:name="_Toc19127"/>
      <w:r>
        <w:rPr>
          <w:rFonts w:cs="Times New Roman"/>
        </w:rPr>
        <w:t>结合两项改革</w:t>
      </w:r>
      <w:r>
        <w:rPr>
          <w:rFonts w:hint="eastAsia" w:cs="Times New Roman"/>
        </w:rPr>
        <w:t>“</w:t>
      </w:r>
      <w:r>
        <w:rPr>
          <w:rFonts w:cs="Times New Roman"/>
        </w:rPr>
        <w:t>后半篇</w:t>
      </w:r>
      <w:r>
        <w:rPr>
          <w:rFonts w:hint="eastAsia" w:cs="Times New Roman"/>
        </w:rPr>
        <w:t>”</w:t>
      </w:r>
      <w:r>
        <w:rPr>
          <w:rFonts w:cs="Times New Roman"/>
        </w:rPr>
        <w:t>文章专项工作方案及专项规划，制定详细项目计划安排。协调项目完成情况纳入相关负责人的年度目标任务履职考核，量化考核任务，细化考核目标。</w:t>
      </w:r>
      <w:r>
        <w:rPr>
          <w:rFonts w:cs="Times New Roman"/>
          <w:lang w:bidi="ar"/>
        </w:rPr>
        <w:t>片区管辖</w:t>
      </w:r>
      <w:r>
        <w:rPr>
          <w:rFonts w:hint="eastAsia" w:cs="Times New Roman"/>
          <w:lang w:bidi="ar"/>
        </w:rPr>
        <w:t>各镇</w:t>
      </w:r>
      <w:r>
        <w:rPr>
          <w:rFonts w:cs="Times New Roman"/>
          <w:lang w:bidi="ar"/>
        </w:rPr>
        <w:t>开展规划实施年度监测分析、中期评估和终期评估，及时公布进展情况，加强对片区规划实施情况的监督检查和考核评估，确保工作有序推进。</w:t>
      </w:r>
    </w:p>
    <w:p>
      <w:pPr>
        <w:pStyle w:val="4"/>
        <w:rPr>
          <w:rFonts w:cs="Times New Roman"/>
        </w:rPr>
      </w:pPr>
      <w:bookmarkStart w:id="75" w:name="_Toc18819"/>
      <w:r>
        <w:rPr>
          <w:rFonts w:cs="Times New Roman"/>
        </w:rPr>
        <w:t>（四）加大督查问效</w:t>
      </w:r>
      <w:bookmarkEnd w:id="74"/>
      <w:bookmarkEnd w:id="75"/>
    </w:p>
    <w:p>
      <w:pPr>
        <w:widowControl/>
        <w:ind w:firstLine="640"/>
        <w:rPr>
          <w:rFonts w:cs="Times New Roman"/>
        </w:rPr>
        <w:sectPr>
          <w:footerReference r:id="rId12" w:type="first"/>
          <w:footerReference r:id="rId11" w:type="default"/>
          <w:pgSz w:w="11906" w:h="16838"/>
          <w:pgMar w:top="1458" w:right="1474" w:bottom="1985" w:left="1588" w:header="851" w:footer="1134" w:gutter="0"/>
          <w:pgNumType w:start="1"/>
          <w:cols w:space="425" w:num="1"/>
          <w:titlePg/>
          <w:docGrid w:type="lines" w:linePitch="435" w:charSpace="0"/>
        </w:sectPr>
      </w:pPr>
      <w:r>
        <w:rPr>
          <w:rFonts w:cs="Times New Roman"/>
        </w:rPr>
        <w:t>建立督导、考核以及</w:t>
      </w:r>
      <w:r>
        <w:rPr>
          <w:rFonts w:cs="Times New Roman"/>
          <w:kern w:val="0"/>
          <w:szCs w:val="32"/>
        </w:rPr>
        <w:t>履职</w:t>
      </w:r>
      <w:r>
        <w:rPr>
          <w:rFonts w:cs="Times New Roman"/>
        </w:rPr>
        <w:t>尽责、监督问责机制，坚持将应急管理与经济社会发展同步推进落实，把应急管理工作纳入领导干部绩效考核，结合年度工作安排，分解落实规划目标与任务，建立科学的考核评价机制，全面分析检查规划实施效果。加强应急管理政策落实、重大项目建设、资金物资使用等审计监督，实施过程中要根据统一部署开展规划评估工作，确保各项规划任务落地，按时保质完成规划目标。加强规划实施的社会监督，开展规划宣传和展示，及时公布规划的进展情况，营造全员共同参与和支持规划实施的氛围，确保规划相关任务高质量完成。</w:t>
      </w:r>
    </w:p>
    <w:p>
      <w:pPr>
        <w:spacing w:line="600" w:lineRule="exact"/>
        <w:ind w:firstLine="0" w:firstLineChars="0"/>
        <w:jc w:val="left"/>
        <w:outlineLvl w:val="0"/>
        <w:rPr>
          <w:rFonts w:eastAsia="黑体" w:cs="Times New Roman"/>
          <w:szCs w:val="32"/>
        </w:rPr>
      </w:pPr>
      <w:bookmarkStart w:id="76" w:name="_Toc6135"/>
      <w:bookmarkStart w:id="77" w:name="_Toc22538"/>
      <w:r>
        <w:rPr>
          <w:rFonts w:eastAsia="黑体" w:cs="Times New Roman"/>
          <w:szCs w:val="32"/>
        </w:rPr>
        <w:t>附表</w:t>
      </w:r>
      <w:bookmarkEnd w:id="76"/>
      <w:bookmarkEnd w:id="77"/>
    </w:p>
    <w:p>
      <w:pPr>
        <w:ind w:firstLine="640"/>
        <w:rPr>
          <w:rFonts w:cs="Times New Roman"/>
          <w:szCs w:val="32"/>
        </w:rPr>
      </w:pPr>
      <w:r>
        <w:rPr>
          <w:rFonts w:cs="Times New Roman"/>
          <w:szCs w:val="32"/>
        </w:rPr>
        <w:t>1.片区企业风险等级及分布表……………………………35</w:t>
      </w:r>
    </w:p>
    <w:p>
      <w:pPr>
        <w:ind w:firstLine="640"/>
        <w:rPr>
          <w:rFonts w:cs="Times New Roman"/>
          <w:szCs w:val="32"/>
        </w:rPr>
      </w:pPr>
      <w:r>
        <w:rPr>
          <w:rFonts w:cs="Times New Roman"/>
          <w:szCs w:val="32"/>
        </w:rPr>
        <w:t>2.片区近年来典型安全生产和自然灾害事故统计表……36</w:t>
      </w:r>
    </w:p>
    <w:p>
      <w:pPr>
        <w:ind w:firstLine="640"/>
        <w:rPr>
          <w:rFonts w:cs="Times New Roman"/>
          <w:szCs w:val="32"/>
        </w:rPr>
      </w:pPr>
      <w:r>
        <w:rPr>
          <w:rFonts w:cs="Times New Roman"/>
          <w:szCs w:val="32"/>
        </w:rPr>
        <w:t>3.片区应急队伍统计及分布表……………………………37</w:t>
      </w:r>
    </w:p>
    <w:p>
      <w:pPr>
        <w:ind w:firstLine="640"/>
        <w:rPr>
          <w:rFonts w:cs="Times New Roman"/>
          <w:szCs w:val="32"/>
        </w:rPr>
      </w:pPr>
      <w:r>
        <w:rPr>
          <w:rFonts w:cs="Times New Roman"/>
          <w:szCs w:val="32"/>
        </w:rPr>
        <w:t>4.片区应急救援装备、物资统计及分布表………………40</w:t>
      </w:r>
    </w:p>
    <w:p>
      <w:pPr>
        <w:ind w:firstLine="640"/>
        <w:rPr>
          <w:rFonts w:cs="Times New Roman"/>
          <w:szCs w:val="32"/>
        </w:rPr>
      </w:pPr>
      <w:r>
        <w:rPr>
          <w:rFonts w:cs="Times New Roman"/>
          <w:szCs w:val="32"/>
        </w:rPr>
        <w:t>5.片区应急管理用地现状和规划用地指标………………42</w:t>
      </w:r>
    </w:p>
    <w:p>
      <w:pPr>
        <w:ind w:firstLine="640"/>
        <w:rPr>
          <w:rFonts w:cs="Times New Roman"/>
          <w:szCs w:val="32"/>
        </w:rPr>
        <w:sectPr>
          <w:pgSz w:w="11906" w:h="16838"/>
          <w:pgMar w:top="2098" w:right="1474" w:bottom="1984" w:left="1587" w:header="851" w:footer="1134" w:gutter="0"/>
          <w:cols w:space="0" w:num="1"/>
          <w:docGrid w:type="lines" w:linePitch="435" w:charSpace="0"/>
        </w:sectPr>
      </w:pPr>
      <w:r>
        <w:rPr>
          <w:rFonts w:cs="Times New Roman"/>
          <w:szCs w:val="32"/>
        </w:rPr>
        <w:t>6.片区重点工程项目统计表………………………………47</w:t>
      </w:r>
    </w:p>
    <w:p>
      <w:pPr>
        <w:ind w:firstLine="643"/>
        <w:jc w:val="center"/>
        <w:rPr>
          <w:rFonts w:cs="Times New Roman"/>
          <w:b/>
          <w:bCs/>
          <w:szCs w:val="32"/>
        </w:rPr>
      </w:pPr>
      <w:r>
        <w:rPr>
          <w:rFonts w:eastAsia="黑体" w:cs="Times New Roman"/>
          <w:b/>
          <w:bCs/>
          <w:szCs w:val="32"/>
        </w:rPr>
        <w:t>附表1  企业风险等级及分布表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992"/>
        <w:gridCol w:w="2126"/>
        <w:gridCol w:w="993"/>
        <w:gridCol w:w="1275"/>
        <w:gridCol w:w="1252"/>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6" w:type="dxa"/>
            <w:noWrap/>
            <w:vAlign w:val="center"/>
          </w:tcPr>
          <w:p>
            <w:pPr>
              <w:ind w:firstLine="0" w:firstLineChars="0"/>
              <w:rPr>
                <w:rFonts w:ascii="仿宋" w:hAnsi="仿宋" w:cs="Times New Roman"/>
                <w:b/>
                <w:bCs/>
                <w:color w:val="000000" w:themeColor="text1"/>
                <w:kern w:val="0"/>
                <w:sz w:val="24"/>
                <w:szCs w:val="24"/>
                <w14:textFill>
                  <w14:solidFill>
                    <w14:schemeClr w14:val="tx1"/>
                  </w14:solidFill>
                </w14:textFill>
              </w:rPr>
            </w:pPr>
            <w:r>
              <w:rPr>
                <w:rFonts w:hint="eastAsia" w:ascii="仿宋" w:hAnsi="仿宋" w:cs="Times New Roman"/>
                <w:b/>
                <w:bCs/>
                <w:color w:val="000000" w:themeColor="text1"/>
                <w:kern w:val="0"/>
                <w:sz w:val="24"/>
                <w:szCs w:val="24"/>
                <w14:textFill>
                  <w14:solidFill>
                    <w14:schemeClr w14:val="tx1"/>
                  </w14:solidFill>
                </w14:textFill>
              </w:rPr>
              <w:t>序号</w:t>
            </w:r>
          </w:p>
        </w:tc>
        <w:tc>
          <w:tcPr>
            <w:tcW w:w="992" w:type="dxa"/>
            <w:noWrap/>
            <w:vAlign w:val="center"/>
          </w:tcPr>
          <w:p>
            <w:pPr>
              <w:ind w:firstLine="0" w:firstLineChars="0"/>
              <w:rPr>
                <w:rFonts w:ascii="仿宋" w:hAnsi="仿宋" w:cs="Times New Roman"/>
                <w:b/>
                <w:bCs/>
                <w:color w:val="000000" w:themeColor="text1"/>
                <w:kern w:val="0"/>
                <w:sz w:val="24"/>
                <w:szCs w:val="24"/>
                <w14:textFill>
                  <w14:solidFill>
                    <w14:schemeClr w14:val="tx1"/>
                  </w14:solidFill>
                </w14:textFill>
              </w:rPr>
            </w:pPr>
            <w:r>
              <w:rPr>
                <w:rFonts w:hint="eastAsia" w:ascii="仿宋" w:hAnsi="仿宋" w:cs="Times New Roman"/>
                <w:b/>
                <w:bCs/>
                <w:color w:val="000000" w:themeColor="text1"/>
                <w:kern w:val="0"/>
                <w:sz w:val="24"/>
                <w:szCs w:val="24"/>
                <w14:textFill>
                  <w14:solidFill>
                    <w14:schemeClr w14:val="tx1"/>
                  </w14:solidFill>
                </w14:textFill>
              </w:rPr>
              <w:t>类型</w:t>
            </w:r>
          </w:p>
        </w:tc>
        <w:tc>
          <w:tcPr>
            <w:tcW w:w="2126" w:type="dxa"/>
            <w:noWrap/>
            <w:vAlign w:val="center"/>
          </w:tcPr>
          <w:p>
            <w:pPr>
              <w:ind w:firstLine="197" w:firstLineChars="82"/>
              <w:rPr>
                <w:rFonts w:ascii="仿宋" w:hAnsi="仿宋" w:cs="Times New Roman"/>
                <w:b/>
                <w:bCs/>
                <w:color w:val="000000" w:themeColor="text1"/>
                <w:kern w:val="0"/>
                <w:sz w:val="24"/>
                <w:szCs w:val="24"/>
                <w14:textFill>
                  <w14:solidFill>
                    <w14:schemeClr w14:val="tx1"/>
                  </w14:solidFill>
                </w14:textFill>
              </w:rPr>
            </w:pPr>
            <w:r>
              <w:rPr>
                <w:rFonts w:hint="eastAsia" w:ascii="仿宋" w:hAnsi="仿宋" w:cs="Times New Roman"/>
                <w:b/>
                <w:bCs/>
                <w:color w:val="000000" w:themeColor="text1"/>
                <w:kern w:val="0"/>
                <w:sz w:val="24"/>
                <w:szCs w:val="24"/>
                <w14:textFill>
                  <w14:solidFill>
                    <w14:schemeClr w14:val="tx1"/>
                  </w14:solidFill>
                </w14:textFill>
              </w:rPr>
              <w:t>企业名称</w:t>
            </w:r>
          </w:p>
        </w:tc>
        <w:tc>
          <w:tcPr>
            <w:tcW w:w="993" w:type="dxa"/>
            <w:noWrap/>
            <w:vAlign w:val="center"/>
          </w:tcPr>
          <w:p>
            <w:pPr>
              <w:ind w:firstLine="197" w:firstLineChars="82"/>
              <w:rPr>
                <w:rFonts w:ascii="仿宋" w:hAnsi="仿宋" w:cs="Times New Roman"/>
                <w:b/>
                <w:bCs/>
                <w:color w:val="000000" w:themeColor="text1"/>
                <w:kern w:val="0"/>
                <w:sz w:val="24"/>
                <w:szCs w:val="24"/>
                <w14:textFill>
                  <w14:solidFill>
                    <w14:schemeClr w14:val="tx1"/>
                  </w14:solidFill>
                </w14:textFill>
              </w:rPr>
            </w:pPr>
            <w:r>
              <w:rPr>
                <w:rFonts w:hint="eastAsia" w:ascii="仿宋" w:hAnsi="仿宋" w:cs="Times New Roman"/>
                <w:b/>
                <w:bCs/>
                <w:color w:val="000000" w:themeColor="text1"/>
                <w:kern w:val="0"/>
                <w:sz w:val="24"/>
                <w:szCs w:val="24"/>
                <w14:textFill>
                  <w14:solidFill>
                    <w14:schemeClr w14:val="tx1"/>
                  </w14:solidFill>
                </w14:textFill>
              </w:rPr>
              <w:t>位置</w:t>
            </w:r>
          </w:p>
        </w:tc>
        <w:tc>
          <w:tcPr>
            <w:tcW w:w="1275" w:type="dxa"/>
            <w:vAlign w:val="center"/>
          </w:tcPr>
          <w:p>
            <w:pPr>
              <w:ind w:firstLine="0" w:firstLineChars="0"/>
              <w:rPr>
                <w:rFonts w:ascii="仿宋" w:hAnsi="仿宋" w:cs="Times New Roman"/>
                <w:b/>
                <w:bCs/>
                <w:color w:val="000000" w:themeColor="text1"/>
                <w:kern w:val="0"/>
                <w:sz w:val="24"/>
                <w:szCs w:val="24"/>
                <w14:textFill>
                  <w14:solidFill>
                    <w14:schemeClr w14:val="tx1"/>
                  </w14:solidFill>
                </w14:textFill>
              </w:rPr>
            </w:pPr>
            <w:r>
              <w:rPr>
                <w:rFonts w:ascii="仿宋" w:hAnsi="仿宋" w:cs="Times New Roman"/>
                <w:b/>
                <w:bCs/>
                <w:color w:val="000000" w:themeColor="text1"/>
                <w:kern w:val="0"/>
                <w:sz w:val="24"/>
                <w:szCs w:val="24"/>
                <w14:textFill>
                  <w14:solidFill>
                    <w14:schemeClr w14:val="tx1"/>
                  </w14:solidFill>
                </w14:textFill>
              </w:rPr>
              <w:t>风险等级</w:t>
            </w:r>
          </w:p>
        </w:tc>
        <w:tc>
          <w:tcPr>
            <w:tcW w:w="1252" w:type="dxa"/>
            <w:vAlign w:val="center"/>
          </w:tcPr>
          <w:p>
            <w:pPr>
              <w:ind w:firstLine="0" w:firstLineChars="0"/>
              <w:rPr>
                <w:rFonts w:ascii="仿宋" w:hAnsi="仿宋" w:cs="Times New Roman"/>
                <w:b/>
                <w:bCs/>
                <w:color w:val="000000" w:themeColor="text1"/>
                <w:kern w:val="0"/>
                <w:sz w:val="24"/>
                <w:szCs w:val="24"/>
                <w14:textFill>
                  <w14:solidFill>
                    <w14:schemeClr w14:val="tx1"/>
                  </w14:solidFill>
                </w14:textFill>
              </w:rPr>
            </w:pPr>
            <w:r>
              <w:rPr>
                <w:rFonts w:ascii="仿宋" w:hAnsi="仿宋" w:cs="Times New Roman"/>
                <w:b/>
                <w:bCs/>
                <w:color w:val="000000" w:themeColor="text1"/>
                <w:kern w:val="0"/>
                <w:sz w:val="24"/>
                <w:szCs w:val="24"/>
                <w14:textFill>
                  <w14:solidFill>
                    <w14:schemeClr w14:val="tx1"/>
                  </w14:solidFill>
                </w14:textFill>
              </w:rPr>
              <w:t>生产情况</w:t>
            </w:r>
          </w:p>
        </w:tc>
        <w:tc>
          <w:tcPr>
            <w:tcW w:w="812" w:type="dxa"/>
            <w:noWrap/>
            <w:vAlign w:val="center"/>
          </w:tcPr>
          <w:p>
            <w:pPr>
              <w:ind w:firstLine="0" w:firstLineChars="0"/>
              <w:rPr>
                <w:rFonts w:ascii="仿宋" w:hAnsi="仿宋" w:cs="Times New Roman"/>
                <w:b/>
                <w:bCs/>
                <w:color w:val="000000" w:themeColor="text1"/>
                <w:kern w:val="0"/>
                <w:sz w:val="24"/>
                <w:szCs w:val="24"/>
                <w14:textFill>
                  <w14:solidFill>
                    <w14:schemeClr w14:val="tx1"/>
                  </w14:solidFill>
                </w14:textFill>
              </w:rPr>
            </w:pPr>
            <w:r>
              <w:rPr>
                <w:rFonts w:ascii="仿宋" w:hAnsi="仿宋" w:cs="Times New Roman"/>
                <w:b/>
                <w:bCs/>
                <w:color w:val="000000" w:themeColor="text1"/>
                <w:kern w:val="0"/>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noWrap/>
            <w:vAlign w:val="center"/>
          </w:tcPr>
          <w:p>
            <w:pPr>
              <w:pStyle w:val="49"/>
              <w:numPr>
                <w:ilvl w:val="0"/>
                <w:numId w:val="1"/>
              </w:numPr>
              <w:spacing w:line="240" w:lineRule="auto"/>
              <w:ind w:firstLineChars="0"/>
              <w:jc w:val="left"/>
              <w:rPr>
                <w:rFonts w:ascii="仿宋" w:hAnsi="仿宋" w:cs="Times New Roman"/>
                <w:color w:val="000000" w:themeColor="text1"/>
                <w:kern w:val="0"/>
                <w:sz w:val="24"/>
                <w:szCs w:val="24"/>
                <w14:textFill>
                  <w14:solidFill>
                    <w14:schemeClr w14:val="tx1"/>
                  </w14:solidFill>
                </w14:textFill>
              </w:rPr>
            </w:pPr>
          </w:p>
        </w:tc>
        <w:tc>
          <w:tcPr>
            <w:tcW w:w="992" w:type="dxa"/>
            <w:noWrap/>
            <w:vAlign w:val="center"/>
          </w:tcPr>
          <w:p>
            <w:pPr>
              <w:spacing w:line="240" w:lineRule="auto"/>
              <w:ind w:firstLine="0" w:firstLineChars="0"/>
              <w:rPr>
                <w:rFonts w:ascii="仿宋" w:hAnsi="仿宋" w:cs="Times New Roman"/>
                <w:color w:val="000000" w:themeColor="text1"/>
                <w:kern w:val="0"/>
                <w:sz w:val="24"/>
                <w:szCs w:val="24"/>
                <w14:textFill>
                  <w14:solidFill>
                    <w14:schemeClr w14:val="tx1"/>
                  </w14:solidFill>
                </w14:textFill>
              </w:rPr>
            </w:pPr>
            <w:r>
              <w:rPr>
                <w:rFonts w:hint="eastAsia" w:ascii="仿宋" w:hAnsi="仿宋" w:cs="宋体"/>
                <w:color w:val="000000"/>
                <w:kern w:val="0"/>
                <w:sz w:val="24"/>
                <w:szCs w:val="24"/>
              </w:rPr>
              <w:t>燃气</w:t>
            </w:r>
          </w:p>
        </w:tc>
        <w:tc>
          <w:tcPr>
            <w:tcW w:w="2126" w:type="dxa"/>
            <w:noWrap/>
          </w:tcPr>
          <w:p>
            <w:pPr>
              <w:spacing w:line="240" w:lineRule="auto"/>
              <w:ind w:firstLine="0" w:firstLineChars="0"/>
              <w:rPr>
                <w:rFonts w:ascii="仿宋" w:hAnsi="仿宋" w:cs="Times New Roman"/>
                <w:kern w:val="0"/>
                <w:sz w:val="24"/>
                <w:szCs w:val="24"/>
              </w:rPr>
            </w:pPr>
            <w:r>
              <w:rPr>
                <w:rFonts w:hint="eastAsia" w:ascii="仿宋" w:hAnsi="仿宋" w:cs="Times New Roman"/>
                <w:kern w:val="0"/>
                <w:sz w:val="24"/>
                <w:szCs w:val="24"/>
              </w:rPr>
              <w:t>明龙天然气有限公司</w:t>
            </w:r>
          </w:p>
        </w:tc>
        <w:tc>
          <w:tcPr>
            <w:tcW w:w="993" w:type="dxa"/>
            <w:noWrap/>
            <w:vAlign w:val="center"/>
          </w:tcPr>
          <w:p>
            <w:pPr>
              <w:spacing w:line="240" w:lineRule="auto"/>
              <w:ind w:left="0" w:leftChars="-35" w:hanging="112" w:hangingChars="47"/>
              <w:jc w:val="center"/>
              <w:rPr>
                <w:rFonts w:ascii="仿宋" w:hAnsi="仿宋" w:cs="Times New Roman"/>
                <w:kern w:val="0"/>
                <w:sz w:val="24"/>
                <w:szCs w:val="24"/>
              </w:rPr>
            </w:pPr>
            <w:r>
              <w:rPr>
                <w:rFonts w:hint="eastAsia" w:ascii="仿宋" w:hAnsi="仿宋" w:cs="Times New Roman"/>
                <w:kern w:val="0"/>
                <w:sz w:val="24"/>
                <w:szCs w:val="24"/>
              </w:rPr>
              <w:t>龙凤镇</w:t>
            </w:r>
          </w:p>
        </w:tc>
        <w:tc>
          <w:tcPr>
            <w:tcW w:w="1275" w:type="dxa"/>
            <w:vAlign w:val="center"/>
          </w:tcPr>
          <w:p>
            <w:pPr>
              <w:spacing w:line="240" w:lineRule="auto"/>
              <w:ind w:firstLine="0" w:firstLineChars="0"/>
              <w:jc w:val="center"/>
              <w:rPr>
                <w:rFonts w:ascii="仿宋" w:hAnsi="仿宋" w:cs="Times New Roman"/>
                <w:kern w:val="0"/>
                <w:sz w:val="24"/>
                <w:szCs w:val="24"/>
              </w:rPr>
            </w:pPr>
            <w:r>
              <w:rPr>
                <w:rFonts w:hint="eastAsia" w:ascii="仿宋" w:hAnsi="仿宋" w:cs="Times New Roman"/>
                <w:kern w:val="0"/>
                <w:sz w:val="24"/>
                <w:szCs w:val="24"/>
              </w:rPr>
              <w:t>C</w:t>
            </w:r>
          </w:p>
        </w:tc>
        <w:tc>
          <w:tcPr>
            <w:tcW w:w="1252" w:type="dxa"/>
            <w:vAlign w:val="center"/>
          </w:tcPr>
          <w:p>
            <w:pPr>
              <w:spacing w:line="240" w:lineRule="auto"/>
              <w:ind w:firstLine="0" w:firstLineChars="0"/>
              <w:rPr>
                <w:rFonts w:ascii="仿宋" w:hAnsi="仿宋" w:cs="Times New Roman"/>
                <w:kern w:val="0"/>
                <w:sz w:val="24"/>
                <w:szCs w:val="24"/>
              </w:rPr>
            </w:pPr>
            <w:r>
              <w:rPr>
                <w:rFonts w:hint="eastAsia" w:ascii="仿宋" w:hAnsi="仿宋" w:cs="Times New Roman"/>
                <w:kern w:val="0"/>
                <w:sz w:val="24"/>
                <w:szCs w:val="24"/>
              </w:rPr>
              <w:t>正常营业</w:t>
            </w:r>
          </w:p>
        </w:tc>
        <w:tc>
          <w:tcPr>
            <w:tcW w:w="812" w:type="dxa"/>
            <w:noWrap/>
            <w:vAlign w:val="center"/>
          </w:tcPr>
          <w:p>
            <w:pPr>
              <w:spacing w:line="240" w:lineRule="auto"/>
              <w:ind w:firstLine="480"/>
              <w:jc w:val="center"/>
              <w:rPr>
                <w:rFonts w:ascii="仿宋" w:hAnsi="仿宋" w:cs="Times New Roman"/>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noWrap/>
            <w:vAlign w:val="center"/>
          </w:tcPr>
          <w:p>
            <w:pPr>
              <w:pStyle w:val="49"/>
              <w:numPr>
                <w:ilvl w:val="0"/>
                <w:numId w:val="1"/>
              </w:numPr>
              <w:spacing w:line="240" w:lineRule="auto"/>
              <w:ind w:firstLineChars="0"/>
              <w:jc w:val="left"/>
              <w:rPr>
                <w:rFonts w:ascii="仿宋" w:hAnsi="仿宋" w:cs="Times New Roman"/>
                <w:color w:val="000000" w:themeColor="text1"/>
                <w:kern w:val="0"/>
                <w:sz w:val="24"/>
                <w:szCs w:val="24"/>
                <w14:textFill>
                  <w14:solidFill>
                    <w14:schemeClr w14:val="tx1"/>
                  </w14:solidFill>
                </w14:textFill>
              </w:rPr>
            </w:pPr>
          </w:p>
        </w:tc>
        <w:tc>
          <w:tcPr>
            <w:tcW w:w="992" w:type="dxa"/>
            <w:vMerge w:val="restart"/>
            <w:vAlign w:val="center"/>
          </w:tcPr>
          <w:p>
            <w:pPr>
              <w:spacing w:line="240" w:lineRule="auto"/>
              <w:ind w:firstLine="0" w:firstLineChars="0"/>
              <w:rPr>
                <w:rFonts w:ascii="仿宋" w:hAnsi="仿宋" w:cs="Times New Roman"/>
                <w:color w:val="000000" w:themeColor="text1"/>
                <w:kern w:val="0"/>
                <w:sz w:val="24"/>
                <w:szCs w:val="24"/>
                <w14:textFill>
                  <w14:solidFill>
                    <w14:schemeClr w14:val="tx1"/>
                  </w14:solidFill>
                </w14:textFill>
              </w:rPr>
            </w:pPr>
            <w:r>
              <w:rPr>
                <w:rFonts w:hint="eastAsia" w:ascii="仿宋" w:hAnsi="仿宋" w:cs="Times New Roman"/>
                <w:color w:val="000000" w:themeColor="text1"/>
                <w:kern w:val="0"/>
                <w:sz w:val="24"/>
                <w:szCs w:val="24"/>
                <w14:textFill>
                  <w14:solidFill>
                    <w14:schemeClr w14:val="tx1"/>
                  </w14:solidFill>
                </w14:textFill>
              </w:rPr>
              <w:t>建材厂</w:t>
            </w:r>
          </w:p>
        </w:tc>
        <w:tc>
          <w:tcPr>
            <w:tcW w:w="2126" w:type="dxa"/>
            <w:noWrap/>
            <w:vAlign w:val="center"/>
          </w:tcPr>
          <w:p>
            <w:pPr>
              <w:spacing w:line="240" w:lineRule="auto"/>
              <w:ind w:firstLine="480"/>
              <w:jc w:val="left"/>
              <w:rPr>
                <w:rFonts w:ascii="仿宋" w:hAnsi="仿宋" w:cs="Times New Roman"/>
                <w:kern w:val="0"/>
                <w:sz w:val="24"/>
                <w:szCs w:val="24"/>
              </w:rPr>
            </w:pPr>
            <w:r>
              <w:rPr>
                <w:rFonts w:hint="eastAsia" w:ascii="仿宋" w:hAnsi="仿宋" w:cs="Times New Roman"/>
                <w:kern w:val="0"/>
                <w:sz w:val="24"/>
                <w:szCs w:val="24"/>
              </w:rPr>
              <w:t>华全建材</w:t>
            </w:r>
          </w:p>
        </w:tc>
        <w:tc>
          <w:tcPr>
            <w:tcW w:w="993" w:type="dxa"/>
            <w:noWrap/>
          </w:tcPr>
          <w:p>
            <w:pPr>
              <w:spacing w:line="240" w:lineRule="auto"/>
              <w:ind w:left="0" w:leftChars="-35" w:hanging="112" w:hangingChars="47"/>
              <w:jc w:val="center"/>
              <w:rPr>
                <w:rFonts w:ascii="仿宋" w:hAnsi="仿宋" w:cs="Times New Roman"/>
                <w:kern w:val="0"/>
                <w:sz w:val="24"/>
                <w:szCs w:val="24"/>
              </w:rPr>
            </w:pPr>
            <w:r>
              <w:rPr>
                <w:rFonts w:hint="eastAsia" w:ascii="仿宋" w:hAnsi="仿宋" w:cs="Times New Roman"/>
                <w:kern w:val="0"/>
                <w:sz w:val="24"/>
                <w:szCs w:val="24"/>
              </w:rPr>
              <w:t>老池镇</w:t>
            </w:r>
          </w:p>
        </w:tc>
        <w:tc>
          <w:tcPr>
            <w:tcW w:w="1275" w:type="dxa"/>
            <w:vAlign w:val="center"/>
          </w:tcPr>
          <w:p>
            <w:pPr>
              <w:spacing w:line="240" w:lineRule="auto"/>
              <w:ind w:firstLine="0" w:firstLineChars="0"/>
              <w:jc w:val="center"/>
              <w:rPr>
                <w:rFonts w:ascii="仿宋" w:hAnsi="仿宋" w:cs="Times New Roman"/>
                <w:kern w:val="0"/>
                <w:sz w:val="24"/>
                <w:szCs w:val="24"/>
              </w:rPr>
            </w:pPr>
            <w:r>
              <w:rPr>
                <w:rFonts w:hint="eastAsia" w:ascii="仿宋" w:hAnsi="仿宋" w:cs="Times New Roman"/>
                <w:kern w:val="0"/>
                <w:sz w:val="24"/>
                <w:szCs w:val="24"/>
              </w:rPr>
              <w:t>C</w:t>
            </w:r>
          </w:p>
        </w:tc>
        <w:tc>
          <w:tcPr>
            <w:tcW w:w="1252" w:type="dxa"/>
            <w:vAlign w:val="center"/>
          </w:tcPr>
          <w:p>
            <w:pPr>
              <w:spacing w:line="240" w:lineRule="auto"/>
              <w:ind w:firstLine="0" w:firstLineChars="0"/>
              <w:rPr>
                <w:rFonts w:ascii="仿宋" w:hAnsi="仿宋" w:cs="Times New Roman"/>
                <w:kern w:val="0"/>
                <w:sz w:val="24"/>
                <w:szCs w:val="24"/>
              </w:rPr>
            </w:pPr>
            <w:r>
              <w:rPr>
                <w:rFonts w:hint="eastAsia" w:ascii="仿宋" w:hAnsi="仿宋" w:cs="Times New Roman"/>
                <w:kern w:val="0"/>
                <w:sz w:val="24"/>
                <w:szCs w:val="24"/>
              </w:rPr>
              <w:t>正常营业</w:t>
            </w:r>
          </w:p>
        </w:tc>
        <w:tc>
          <w:tcPr>
            <w:tcW w:w="812" w:type="dxa"/>
            <w:noWrap/>
            <w:vAlign w:val="center"/>
          </w:tcPr>
          <w:p>
            <w:pPr>
              <w:spacing w:line="240" w:lineRule="auto"/>
              <w:ind w:firstLine="480"/>
              <w:jc w:val="center"/>
              <w:rPr>
                <w:rFonts w:eastAsia="宋体" w:cs="Times New Roman"/>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noWrap/>
            <w:vAlign w:val="center"/>
          </w:tcPr>
          <w:p>
            <w:pPr>
              <w:pStyle w:val="49"/>
              <w:numPr>
                <w:ilvl w:val="0"/>
                <w:numId w:val="1"/>
              </w:numPr>
              <w:spacing w:line="240" w:lineRule="auto"/>
              <w:ind w:firstLineChars="0"/>
              <w:jc w:val="left"/>
              <w:rPr>
                <w:rFonts w:ascii="仿宋" w:hAnsi="仿宋" w:cs="Times New Roman"/>
                <w:color w:val="000000" w:themeColor="text1"/>
                <w:kern w:val="0"/>
                <w:sz w:val="24"/>
                <w:szCs w:val="24"/>
                <w14:textFill>
                  <w14:solidFill>
                    <w14:schemeClr w14:val="tx1"/>
                  </w14:solidFill>
                </w14:textFill>
              </w:rPr>
            </w:pPr>
          </w:p>
        </w:tc>
        <w:tc>
          <w:tcPr>
            <w:tcW w:w="992" w:type="dxa"/>
            <w:vMerge w:val="continue"/>
            <w:vAlign w:val="center"/>
          </w:tcPr>
          <w:p>
            <w:pPr>
              <w:spacing w:line="240" w:lineRule="auto"/>
              <w:ind w:firstLine="480"/>
              <w:jc w:val="center"/>
              <w:rPr>
                <w:rFonts w:ascii="仿宋" w:hAnsi="仿宋" w:cs="Times New Roman"/>
                <w:color w:val="000000" w:themeColor="text1"/>
                <w:kern w:val="0"/>
                <w:sz w:val="24"/>
                <w:szCs w:val="24"/>
                <w14:textFill>
                  <w14:solidFill>
                    <w14:schemeClr w14:val="tx1"/>
                  </w14:solidFill>
                </w14:textFill>
              </w:rPr>
            </w:pPr>
          </w:p>
        </w:tc>
        <w:tc>
          <w:tcPr>
            <w:tcW w:w="2126" w:type="dxa"/>
            <w:noWrap/>
            <w:vAlign w:val="center"/>
          </w:tcPr>
          <w:p>
            <w:pPr>
              <w:spacing w:line="240" w:lineRule="auto"/>
              <w:ind w:firstLine="480"/>
              <w:jc w:val="left"/>
              <w:rPr>
                <w:rFonts w:ascii="仿宋" w:hAnsi="仿宋" w:cs="Times New Roman"/>
                <w:kern w:val="0"/>
                <w:sz w:val="24"/>
                <w:szCs w:val="24"/>
              </w:rPr>
            </w:pPr>
            <w:r>
              <w:rPr>
                <w:rFonts w:hint="eastAsia" w:ascii="仿宋" w:hAnsi="仿宋" w:cs="Times New Roman"/>
                <w:kern w:val="0"/>
                <w:sz w:val="24"/>
                <w:szCs w:val="24"/>
              </w:rPr>
              <w:t>茂源建材</w:t>
            </w:r>
          </w:p>
        </w:tc>
        <w:tc>
          <w:tcPr>
            <w:tcW w:w="993" w:type="dxa"/>
            <w:noWrap/>
          </w:tcPr>
          <w:p>
            <w:pPr>
              <w:spacing w:line="240" w:lineRule="auto"/>
              <w:ind w:left="0" w:leftChars="-35" w:hanging="112" w:hangingChars="47"/>
              <w:jc w:val="center"/>
              <w:rPr>
                <w:rFonts w:ascii="仿宋" w:hAnsi="仿宋" w:cs="Times New Roman"/>
                <w:kern w:val="0"/>
                <w:sz w:val="24"/>
                <w:szCs w:val="24"/>
              </w:rPr>
            </w:pPr>
            <w:r>
              <w:rPr>
                <w:rFonts w:hint="eastAsia" w:ascii="仿宋" w:hAnsi="仿宋" w:cs="Times New Roman"/>
                <w:kern w:val="0"/>
                <w:sz w:val="24"/>
                <w:szCs w:val="24"/>
              </w:rPr>
              <w:t>老池镇</w:t>
            </w:r>
          </w:p>
        </w:tc>
        <w:tc>
          <w:tcPr>
            <w:tcW w:w="1275" w:type="dxa"/>
            <w:vAlign w:val="center"/>
          </w:tcPr>
          <w:p>
            <w:pPr>
              <w:spacing w:line="240" w:lineRule="auto"/>
              <w:ind w:firstLine="0" w:firstLineChars="0"/>
              <w:jc w:val="center"/>
              <w:rPr>
                <w:rFonts w:ascii="仿宋" w:hAnsi="仿宋" w:cs="Times New Roman"/>
                <w:kern w:val="0"/>
                <w:sz w:val="24"/>
                <w:szCs w:val="24"/>
              </w:rPr>
            </w:pPr>
            <w:r>
              <w:rPr>
                <w:rFonts w:hint="eastAsia" w:ascii="仿宋" w:hAnsi="仿宋" w:cs="Times New Roman"/>
                <w:kern w:val="0"/>
                <w:sz w:val="24"/>
                <w:szCs w:val="24"/>
              </w:rPr>
              <w:t>C</w:t>
            </w:r>
          </w:p>
        </w:tc>
        <w:tc>
          <w:tcPr>
            <w:tcW w:w="1252" w:type="dxa"/>
            <w:vAlign w:val="center"/>
          </w:tcPr>
          <w:p>
            <w:pPr>
              <w:spacing w:line="240" w:lineRule="auto"/>
              <w:ind w:firstLine="0" w:firstLineChars="0"/>
              <w:rPr>
                <w:rFonts w:ascii="仿宋" w:hAnsi="仿宋" w:cs="Times New Roman"/>
                <w:kern w:val="0"/>
                <w:sz w:val="24"/>
                <w:szCs w:val="24"/>
              </w:rPr>
            </w:pPr>
            <w:r>
              <w:rPr>
                <w:rFonts w:hint="eastAsia" w:ascii="仿宋" w:hAnsi="仿宋" w:cs="Times New Roman"/>
                <w:kern w:val="0"/>
                <w:sz w:val="24"/>
                <w:szCs w:val="24"/>
              </w:rPr>
              <w:t>正常营业</w:t>
            </w:r>
          </w:p>
        </w:tc>
        <w:tc>
          <w:tcPr>
            <w:tcW w:w="812" w:type="dxa"/>
            <w:noWrap/>
            <w:vAlign w:val="center"/>
          </w:tcPr>
          <w:p>
            <w:pPr>
              <w:spacing w:line="240" w:lineRule="auto"/>
              <w:ind w:firstLine="480"/>
              <w:jc w:val="center"/>
              <w:rPr>
                <w:rFonts w:eastAsia="宋体" w:cs="Times New Roman"/>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noWrap/>
            <w:vAlign w:val="center"/>
          </w:tcPr>
          <w:p>
            <w:pPr>
              <w:pStyle w:val="49"/>
              <w:numPr>
                <w:ilvl w:val="0"/>
                <w:numId w:val="1"/>
              </w:numPr>
              <w:spacing w:line="240" w:lineRule="auto"/>
              <w:ind w:firstLineChars="0"/>
              <w:jc w:val="left"/>
              <w:rPr>
                <w:rFonts w:ascii="仿宋" w:hAnsi="仿宋" w:cs="Times New Roman"/>
                <w:color w:val="000000" w:themeColor="text1"/>
                <w:kern w:val="0"/>
                <w:sz w:val="24"/>
                <w:szCs w:val="24"/>
                <w14:textFill>
                  <w14:solidFill>
                    <w14:schemeClr w14:val="tx1"/>
                  </w14:solidFill>
                </w14:textFill>
              </w:rPr>
            </w:pPr>
          </w:p>
        </w:tc>
        <w:tc>
          <w:tcPr>
            <w:tcW w:w="992" w:type="dxa"/>
            <w:vMerge w:val="continue"/>
            <w:vAlign w:val="center"/>
          </w:tcPr>
          <w:p>
            <w:pPr>
              <w:spacing w:line="240" w:lineRule="auto"/>
              <w:ind w:firstLine="480"/>
              <w:jc w:val="center"/>
              <w:rPr>
                <w:rFonts w:ascii="仿宋" w:hAnsi="仿宋" w:cs="Times New Roman"/>
                <w:color w:val="000000" w:themeColor="text1"/>
                <w:kern w:val="0"/>
                <w:sz w:val="24"/>
                <w:szCs w:val="24"/>
                <w14:textFill>
                  <w14:solidFill>
                    <w14:schemeClr w14:val="tx1"/>
                  </w14:solidFill>
                </w14:textFill>
              </w:rPr>
            </w:pPr>
          </w:p>
        </w:tc>
        <w:tc>
          <w:tcPr>
            <w:tcW w:w="2126" w:type="dxa"/>
            <w:noWrap/>
            <w:vAlign w:val="center"/>
          </w:tcPr>
          <w:p>
            <w:pPr>
              <w:spacing w:line="240" w:lineRule="auto"/>
              <w:ind w:firstLine="480"/>
              <w:jc w:val="left"/>
              <w:rPr>
                <w:rFonts w:ascii="仿宋" w:hAnsi="仿宋" w:cs="Times New Roman"/>
                <w:kern w:val="0"/>
                <w:sz w:val="24"/>
                <w:szCs w:val="24"/>
              </w:rPr>
            </w:pPr>
            <w:r>
              <w:rPr>
                <w:rFonts w:hint="eastAsia" w:ascii="仿宋" w:hAnsi="仿宋" w:cs="Times New Roman"/>
                <w:kern w:val="0"/>
                <w:sz w:val="24"/>
                <w:szCs w:val="24"/>
              </w:rPr>
              <w:t>三林建材</w:t>
            </w:r>
          </w:p>
        </w:tc>
        <w:tc>
          <w:tcPr>
            <w:tcW w:w="993" w:type="dxa"/>
            <w:noWrap/>
          </w:tcPr>
          <w:p>
            <w:pPr>
              <w:spacing w:line="240" w:lineRule="auto"/>
              <w:ind w:left="0" w:leftChars="-35" w:hanging="112" w:hangingChars="47"/>
              <w:jc w:val="center"/>
              <w:rPr>
                <w:rFonts w:ascii="仿宋" w:hAnsi="仿宋" w:cs="Times New Roman"/>
                <w:kern w:val="0"/>
                <w:sz w:val="24"/>
                <w:szCs w:val="24"/>
              </w:rPr>
            </w:pPr>
            <w:r>
              <w:rPr>
                <w:rFonts w:hint="eastAsia" w:ascii="仿宋" w:hAnsi="仿宋" w:cs="Times New Roman"/>
                <w:kern w:val="0"/>
                <w:sz w:val="24"/>
                <w:szCs w:val="24"/>
              </w:rPr>
              <w:t>老池镇</w:t>
            </w:r>
          </w:p>
        </w:tc>
        <w:tc>
          <w:tcPr>
            <w:tcW w:w="1275" w:type="dxa"/>
            <w:vAlign w:val="center"/>
          </w:tcPr>
          <w:p>
            <w:pPr>
              <w:spacing w:line="240" w:lineRule="auto"/>
              <w:ind w:firstLine="0" w:firstLineChars="0"/>
              <w:jc w:val="center"/>
              <w:rPr>
                <w:rFonts w:ascii="仿宋" w:hAnsi="仿宋" w:cs="Times New Roman"/>
                <w:kern w:val="0"/>
                <w:sz w:val="24"/>
                <w:szCs w:val="24"/>
              </w:rPr>
            </w:pPr>
            <w:r>
              <w:rPr>
                <w:rFonts w:hint="eastAsia" w:ascii="仿宋" w:hAnsi="仿宋" w:cs="Times New Roman"/>
                <w:kern w:val="0"/>
                <w:sz w:val="24"/>
                <w:szCs w:val="24"/>
              </w:rPr>
              <w:t>C</w:t>
            </w:r>
          </w:p>
        </w:tc>
        <w:tc>
          <w:tcPr>
            <w:tcW w:w="1252" w:type="dxa"/>
            <w:vAlign w:val="center"/>
          </w:tcPr>
          <w:p>
            <w:pPr>
              <w:spacing w:line="240" w:lineRule="auto"/>
              <w:ind w:firstLine="0" w:firstLineChars="0"/>
              <w:rPr>
                <w:rFonts w:ascii="仿宋" w:hAnsi="仿宋" w:cs="Times New Roman"/>
                <w:kern w:val="0"/>
                <w:sz w:val="24"/>
                <w:szCs w:val="24"/>
              </w:rPr>
            </w:pPr>
            <w:r>
              <w:rPr>
                <w:rFonts w:hint="eastAsia" w:ascii="仿宋" w:hAnsi="仿宋" w:cs="Times New Roman"/>
                <w:kern w:val="0"/>
                <w:sz w:val="24"/>
                <w:szCs w:val="24"/>
              </w:rPr>
              <w:t>正常营业</w:t>
            </w:r>
          </w:p>
        </w:tc>
        <w:tc>
          <w:tcPr>
            <w:tcW w:w="812" w:type="dxa"/>
            <w:noWrap/>
            <w:vAlign w:val="center"/>
          </w:tcPr>
          <w:p>
            <w:pPr>
              <w:spacing w:line="240" w:lineRule="auto"/>
              <w:ind w:firstLine="480"/>
              <w:jc w:val="center"/>
              <w:rPr>
                <w:rFonts w:eastAsia="宋体" w:cs="Times New Roman"/>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noWrap/>
            <w:vAlign w:val="center"/>
          </w:tcPr>
          <w:p>
            <w:pPr>
              <w:pStyle w:val="49"/>
              <w:numPr>
                <w:ilvl w:val="0"/>
                <w:numId w:val="1"/>
              </w:numPr>
              <w:spacing w:line="240" w:lineRule="auto"/>
              <w:ind w:firstLineChars="0"/>
              <w:jc w:val="left"/>
              <w:rPr>
                <w:rFonts w:ascii="仿宋" w:hAnsi="仿宋" w:cs="Times New Roman"/>
                <w:color w:val="000000" w:themeColor="text1"/>
                <w:kern w:val="0"/>
                <w:sz w:val="24"/>
                <w:szCs w:val="24"/>
                <w14:textFill>
                  <w14:solidFill>
                    <w14:schemeClr w14:val="tx1"/>
                  </w14:solidFill>
                </w14:textFill>
              </w:rPr>
            </w:pPr>
          </w:p>
        </w:tc>
        <w:tc>
          <w:tcPr>
            <w:tcW w:w="992" w:type="dxa"/>
            <w:vMerge w:val="continue"/>
            <w:vAlign w:val="center"/>
          </w:tcPr>
          <w:p>
            <w:pPr>
              <w:spacing w:line="240" w:lineRule="auto"/>
              <w:ind w:firstLine="480"/>
              <w:jc w:val="center"/>
              <w:rPr>
                <w:rFonts w:ascii="仿宋" w:hAnsi="仿宋" w:cs="Times New Roman"/>
                <w:color w:val="000000" w:themeColor="text1"/>
                <w:kern w:val="0"/>
                <w:sz w:val="24"/>
                <w:szCs w:val="24"/>
                <w14:textFill>
                  <w14:solidFill>
                    <w14:schemeClr w14:val="tx1"/>
                  </w14:solidFill>
                </w14:textFill>
              </w:rPr>
            </w:pPr>
          </w:p>
        </w:tc>
        <w:tc>
          <w:tcPr>
            <w:tcW w:w="2126" w:type="dxa"/>
            <w:noWrap/>
            <w:vAlign w:val="center"/>
          </w:tcPr>
          <w:p>
            <w:pPr>
              <w:spacing w:line="240" w:lineRule="auto"/>
              <w:ind w:firstLine="0" w:firstLineChars="0"/>
              <w:jc w:val="left"/>
              <w:rPr>
                <w:rFonts w:ascii="仿宋" w:hAnsi="仿宋" w:cs="Times New Roman"/>
                <w:kern w:val="0"/>
                <w:sz w:val="24"/>
                <w:szCs w:val="24"/>
              </w:rPr>
            </w:pPr>
            <w:r>
              <w:rPr>
                <w:rFonts w:hint="eastAsia" w:ascii="仿宋" w:hAnsi="仿宋" w:cs="Times New Roman"/>
                <w:kern w:val="0"/>
                <w:sz w:val="24"/>
                <w:szCs w:val="24"/>
              </w:rPr>
              <w:t>万顺华源砂石厂</w:t>
            </w:r>
          </w:p>
        </w:tc>
        <w:tc>
          <w:tcPr>
            <w:tcW w:w="993" w:type="dxa"/>
            <w:noWrap/>
          </w:tcPr>
          <w:p>
            <w:pPr>
              <w:spacing w:line="240" w:lineRule="auto"/>
              <w:ind w:left="0" w:leftChars="-35" w:hanging="112" w:hangingChars="47"/>
              <w:jc w:val="center"/>
              <w:rPr>
                <w:rFonts w:ascii="仿宋" w:hAnsi="仿宋" w:cs="Times New Roman"/>
                <w:kern w:val="0"/>
                <w:sz w:val="24"/>
                <w:szCs w:val="24"/>
              </w:rPr>
            </w:pPr>
            <w:r>
              <w:rPr>
                <w:rFonts w:hint="eastAsia" w:ascii="仿宋" w:hAnsi="仿宋" w:cs="Times New Roman"/>
                <w:kern w:val="0"/>
                <w:sz w:val="24"/>
                <w:szCs w:val="24"/>
              </w:rPr>
              <w:t>老池镇</w:t>
            </w:r>
          </w:p>
        </w:tc>
        <w:tc>
          <w:tcPr>
            <w:tcW w:w="1275" w:type="dxa"/>
            <w:vAlign w:val="center"/>
          </w:tcPr>
          <w:p>
            <w:pPr>
              <w:spacing w:line="240" w:lineRule="auto"/>
              <w:ind w:firstLine="0" w:firstLineChars="0"/>
              <w:jc w:val="center"/>
              <w:rPr>
                <w:rFonts w:ascii="仿宋" w:hAnsi="仿宋" w:cs="Times New Roman"/>
                <w:kern w:val="0"/>
                <w:sz w:val="24"/>
                <w:szCs w:val="24"/>
              </w:rPr>
            </w:pPr>
            <w:r>
              <w:rPr>
                <w:rFonts w:hint="eastAsia" w:ascii="仿宋" w:hAnsi="仿宋" w:cs="Times New Roman"/>
                <w:kern w:val="0"/>
                <w:sz w:val="24"/>
                <w:szCs w:val="24"/>
              </w:rPr>
              <w:t>C</w:t>
            </w:r>
          </w:p>
        </w:tc>
        <w:tc>
          <w:tcPr>
            <w:tcW w:w="1252" w:type="dxa"/>
            <w:vAlign w:val="center"/>
          </w:tcPr>
          <w:p>
            <w:pPr>
              <w:spacing w:line="240" w:lineRule="auto"/>
              <w:ind w:firstLine="0" w:firstLineChars="0"/>
              <w:rPr>
                <w:rFonts w:ascii="仿宋" w:hAnsi="仿宋" w:cs="Times New Roman"/>
                <w:kern w:val="0"/>
                <w:sz w:val="24"/>
                <w:szCs w:val="24"/>
              </w:rPr>
            </w:pPr>
            <w:r>
              <w:rPr>
                <w:rFonts w:hint="eastAsia" w:ascii="仿宋" w:hAnsi="仿宋" w:cs="Times New Roman"/>
                <w:kern w:val="0"/>
                <w:sz w:val="24"/>
                <w:szCs w:val="24"/>
              </w:rPr>
              <w:t>正常营业</w:t>
            </w:r>
          </w:p>
        </w:tc>
        <w:tc>
          <w:tcPr>
            <w:tcW w:w="812" w:type="dxa"/>
            <w:noWrap/>
            <w:vAlign w:val="center"/>
          </w:tcPr>
          <w:p>
            <w:pPr>
              <w:spacing w:line="240" w:lineRule="auto"/>
              <w:ind w:firstLine="480"/>
              <w:jc w:val="center"/>
              <w:rPr>
                <w:rFonts w:eastAsia="宋体" w:cs="Times New Roman"/>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noWrap/>
            <w:vAlign w:val="center"/>
          </w:tcPr>
          <w:p>
            <w:pPr>
              <w:pStyle w:val="49"/>
              <w:numPr>
                <w:ilvl w:val="0"/>
                <w:numId w:val="1"/>
              </w:numPr>
              <w:spacing w:line="240" w:lineRule="auto"/>
              <w:ind w:firstLineChars="0"/>
              <w:jc w:val="left"/>
              <w:rPr>
                <w:rFonts w:ascii="仿宋" w:hAnsi="仿宋" w:cs="Times New Roman"/>
                <w:color w:val="000000" w:themeColor="text1"/>
                <w:kern w:val="0"/>
                <w:sz w:val="24"/>
                <w:szCs w:val="24"/>
                <w14:textFill>
                  <w14:solidFill>
                    <w14:schemeClr w14:val="tx1"/>
                  </w14:solidFill>
                </w14:textFill>
              </w:rPr>
            </w:pPr>
          </w:p>
        </w:tc>
        <w:tc>
          <w:tcPr>
            <w:tcW w:w="992" w:type="dxa"/>
            <w:vMerge w:val="continue"/>
            <w:vAlign w:val="center"/>
          </w:tcPr>
          <w:p>
            <w:pPr>
              <w:spacing w:line="240" w:lineRule="auto"/>
              <w:ind w:firstLine="480"/>
              <w:jc w:val="center"/>
              <w:rPr>
                <w:rFonts w:ascii="仿宋" w:hAnsi="仿宋" w:cs="Times New Roman"/>
                <w:color w:val="000000" w:themeColor="text1"/>
                <w:kern w:val="0"/>
                <w:sz w:val="24"/>
                <w:szCs w:val="24"/>
                <w14:textFill>
                  <w14:solidFill>
                    <w14:schemeClr w14:val="tx1"/>
                  </w14:solidFill>
                </w14:textFill>
              </w:rPr>
            </w:pPr>
          </w:p>
        </w:tc>
        <w:tc>
          <w:tcPr>
            <w:tcW w:w="2126" w:type="dxa"/>
            <w:noWrap/>
            <w:vAlign w:val="center"/>
          </w:tcPr>
          <w:p>
            <w:pPr>
              <w:spacing w:line="240" w:lineRule="auto"/>
              <w:ind w:firstLine="480"/>
              <w:jc w:val="left"/>
              <w:rPr>
                <w:rFonts w:ascii="仿宋" w:hAnsi="仿宋" w:cs="Times New Roman"/>
                <w:kern w:val="0"/>
                <w:sz w:val="24"/>
                <w:szCs w:val="24"/>
              </w:rPr>
            </w:pPr>
            <w:r>
              <w:rPr>
                <w:rFonts w:hint="eastAsia" w:ascii="仿宋" w:hAnsi="仿宋" w:cs="Times New Roman"/>
                <w:kern w:val="0"/>
                <w:sz w:val="24"/>
                <w:szCs w:val="24"/>
              </w:rPr>
              <w:t>嘉宏砂石厂</w:t>
            </w:r>
          </w:p>
        </w:tc>
        <w:tc>
          <w:tcPr>
            <w:tcW w:w="993" w:type="dxa"/>
            <w:noWrap/>
          </w:tcPr>
          <w:p>
            <w:pPr>
              <w:spacing w:line="240" w:lineRule="auto"/>
              <w:ind w:left="0" w:leftChars="-35" w:hanging="112" w:hangingChars="47"/>
              <w:jc w:val="center"/>
              <w:rPr>
                <w:rFonts w:ascii="仿宋" w:hAnsi="仿宋" w:cs="Times New Roman"/>
                <w:kern w:val="0"/>
                <w:sz w:val="24"/>
                <w:szCs w:val="24"/>
              </w:rPr>
            </w:pPr>
            <w:r>
              <w:rPr>
                <w:rFonts w:hint="eastAsia" w:ascii="仿宋" w:hAnsi="仿宋" w:cs="Times New Roman"/>
                <w:kern w:val="0"/>
                <w:sz w:val="24"/>
                <w:szCs w:val="24"/>
              </w:rPr>
              <w:t>老池镇</w:t>
            </w:r>
          </w:p>
        </w:tc>
        <w:tc>
          <w:tcPr>
            <w:tcW w:w="1275" w:type="dxa"/>
            <w:vAlign w:val="center"/>
          </w:tcPr>
          <w:p>
            <w:pPr>
              <w:spacing w:line="240" w:lineRule="auto"/>
              <w:ind w:firstLine="0" w:firstLineChars="0"/>
              <w:jc w:val="center"/>
              <w:rPr>
                <w:rFonts w:ascii="仿宋" w:hAnsi="仿宋" w:cs="Times New Roman"/>
                <w:kern w:val="0"/>
                <w:sz w:val="24"/>
                <w:szCs w:val="24"/>
              </w:rPr>
            </w:pPr>
            <w:r>
              <w:rPr>
                <w:rFonts w:hint="eastAsia" w:ascii="仿宋" w:hAnsi="仿宋" w:cs="Times New Roman"/>
                <w:kern w:val="0"/>
                <w:sz w:val="24"/>
                <w:szCs w:val="24"/>
              </w:rPr>
              <w:t>C</w:t>
            </w:r>
          </w:p>
        </w:tc>
        <w:tc>
          <w:tcPr>
            <w:tcW w:w="1252" w:type="dxa"/>
            <w:vAlign w:val="center"/>
          </w:tcPr>
          <w:p>
            <w:pPr>
              <w:spacing w:line="240" w:lineRule="auto"/>
              <w:ind w:firstLine="0" w:firstLineChars="0"/>
              <w:rPr>
                <w:rFonts w:ascii="仿宋" w:hAnsi="仿宋" w:cs="Times New Roman"/>
                <w:kern w:val="0"/>
                <w:sz w:val="24"/>
                <w:szCs w:val="24"/>
              </w:rPr>
            </w:pPr>
            <w:r>
              <w:rPr>
                <w:rFonts w:hint="eastAsia" w:ascii="仿宋" w:hAnsi="仿宋" w:cs="Times New Roman"/>
                <w:kern w:val="0"/>
                <w:sz w:val="24"/>
                <w:szCs w:val="24"/>
              </w:rPr>
              <w:t>正常营业</w:t>
            </w:r>
          </w:p>
        </w:tc>
        <w:tc>
          <w:tcPr>
            <w:tcW w:w="812" w:type="dxa"/>
            <w:noWrap/>
            <w:vAlign w:val="center"/>
          </w:tcPr>
          <w:p>
            <w:pPr>
              <w:spacing w:line="240" w:lineRule="auto"/>
              <w:ind w:firstLine="480"/>
              <w:jc w:val="center"/>
              <w:rPr>
                <w:rFonts w:eastAsia="宋体" w:cs="Times New Roman"/>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noWrap/>
            <w:vAlign w:val="center"/>
          </w:tcPr>
          <w:p>
            <w:pPr>
              <w:pStyle w:val="49"/>
              <w:numPr>
                <w:ilvl w:val="0"/>
                <w:numId w:val="1"/>
              </w:numPr>
              <w:spacing w:line="240" w:lineRule="auto"/>
              <w:ind w:firstLineChars="0"/>
              <w:jc w:val="left"/>
              <w:rPr>
                <w:rFonts w:ascii="仿宋" w:hAnsi="仿宋" w:cs="Times New Roman"/>
                <w:color w:val="000000" w:themeColor="text1"/>
                <w:kern w:val="0"/>
                <w:sz w:val="24"/>
                <w:szCs w:val="24"/>
                <w14:textFill>
                  <w14:solidFill>
                    <w14:schemeClr w14:val="tx1"/>
                  </w14:solidFill>
                </w14:textFill>
              </w:rPr>
            </w:pPr>
          </w:p>
        </w:tc>
        <w:tc>
          <w:tcPr>
            <w:tcW w:w="992" w:type="dxa"/>
            <w:vMerge w:val="continue"/>
            <w:vAlign w:val="center"/>
          </w:tcPr>
          <w:p>
            <w:pPr>
              <w:spacing w:line="240" w:lineRule="auto"/>
              <w:ind w:firstLine="480"/>
              <w:jc w:val="center"/>
              <w:rPr>
                <w:rFonts w:ascii="仿宋" w:hAnsi="仿宋" w:cs="Times New Roman"/>
                <w:color w:val="000000" w:themeColor="text1"/>
                <w:kern w:val="0"/>
                <w:sz w:val="24"/>
                <w:szCs w:val="24"/>
                <w14:textFill>
                  <w14:solidFill>
                    <w14:schemeClr w14:val="tx1"/>
                  </w14:solidFill>
                </w14:textFill>
              </w:rPr>
            </w:pPr>
          </w:p>
        </w:tc>
        <w:tc>
          <w:tcPr>
            <w:tcW w:w="2126" w:type="dxa"/>
            <w:noWrap/>
            <w:vAlign w:val="center"/>
          </w:tcPr>
          <w:p>
            <w:pPr>
              <w:spacing w:line="240" w:lineRule="auto"/>
              <w:ind w:firstLine="480"/>
              <w:jc w:val="left"/>
              <w:rPr>
                <w:rFonts w:ascii="仿宋" w:hAnsi="仿宋" w:cs="Times New Roman"/>
                <w:kern w:val="0"/>
                <w:sz w:val="24"/>
                <w:szCs w:val="24"/>
              </w:rPr>
            </w:pPr>
            <w:r>
              <w:rPr>
                <w:rFonts w:hint="eastAsia" w:ascii="仿宋" w:hAnsi="仿宋" w:cs="Times New Roman"/>
                <w:kern w:val="0"/>
                <w:sz w:val="24"/>
                <w:szCs w:val="24"/>
              </w:rPr>
              <w:t>恒源砂石厂</w:t>
            </w:r>
          </w:p>
        </w:tc>
        <w:tc>
          <w:tcPr>
            <w:tcW w:w="993" w:type="dxa"/>
            <w:noWrap/>
          </w:tcPr>
          <w:p>
            <w:pPr>
              <w:spacing w:line="240" w:lineRule="auto"/>
              <w:ind w:left="0" w:leftChars="-35" w:hanging="112" w:hangingChars="47"/>
              <w:jc w:val="center"/>
              <w:rPr>
                <w:rFonts w:ascii="仿宋" w:hAnsi="仿宋" w:cs="Times New Roman"/>
                <w:kern w:val="0"/>
                <w:sz w:val="24"/>
                <w:szCs w:val="24"/>
              </w:rPr>
            </w:pPr>
            <w:r>
              <w:rPr>
                <w:rFonts w:hint="eastAsia" w:ascii="仿宋" w:hAnsi="仿宋" w:cs="Times New Roman"/>
                <w:kern w:val="0"/>
                <w:sz w:val="24"/>
                <w:szCs w:val="24"/>
              </w:rPr>
              <w:t>老池镇</w:t>
            </w:r>
          </w:p>
        </w:tc>
        <w:tc>
          <w:tcPr>
            <w:tcW w:w="1275" w:type="dxa"/>
            <w:vAlign w:val="center"/>
          </w:tcPr>
          <w:p>
            <w:pPr>
              <w:spacing w:line="240" w:lineRule="auto"/>
              <w:ind w:firstLine="0" w:firstLineChars="0"/>
              <w:jc w:val="center"/>
              <w:rPr>
                <w:rFonts w:ascii="仿宋" w:hAnsi="仿宋" w:cs="Times New Roman"/>
                <w:kern w:val="0"/>
                <w:sz w:val="24"/>
                <w:szCs w:val="24"/>
              </w:rPr>
            </w:pPr>
            <w:r>
              <w:rPr>
                <w:rFonts w:hint="eastAsia" w:ascii="仿宋" w:hAnsi="仿宋" w:cs="Times New Roman"/>
                <w:kern w:val="0"/>
                <w:sz w:val="24"/>
                <w:szCs w:val="24"/>
              </w:rPr>
              <w:t>C</w:t>
            </w:r>
          </w:p>
        </w:tc>
        <w:tc>
          <w:tcPr>
            <w:tcW w:w="1252" w:type="dxa"/>
            <w:vAlign w:val="center"/>
          </w:tcPr>
          <w:p>
            <w:pPr>
              <w:spacing w:line="240" w:lineRule="auto"/>
              <w:ind w:firstLine="0" w:firstLineChars="0"/>
              <w:rPr>
                <w:rFonts w:ascii="仿宋" w:hAnsi="仿宋" w:cs="Times New Roman"/>
                <w:kern w:val="0"/>
                <w:sz w:val="24"/>
                <w:szCs w:val="24"/>
              </w:rPr>
            </w:pPr>
            <w:r>
              <w:rPr>
                <w:rFonts w:hint="eastAsia" w:ascii="仿宋" w:hAnsi="仿宋" w:cs="Times New Roman"/>
                <w:kern w:val="0"/>
                <w:sz w:val="24"/>
                <w:szCs w:val="24"/>
              </w:rPr>
              <w:t>正常营业</w:t>
            </w:r>
          </w:p>
        </w:tc>
        <w:tc>
          <w:tcPr>
            <w:tcW w:w="812" w:type="dxa"/>
            <w:noWrap/>
            <w:vAlign w:val="center"/>
          </w:tcPr>
          <w:p>
            <w:pPr>
              <w:spacing w:line="240" w:lineRule="auto"/>
              <w:ind w:firstLine="480"/>
              <w:jc w:val="center"/>
              <w:rPr>
                <w:rFonts w:eastAsia="宋体" w:cs="Times New Roman"/>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noWrap/>
            <w:vAlign w:val="center"/>
          </w:tcPr>
          <w:p>
            <w:pPr>
              <w:pStyle w:val="49"/>
              <w:numPr>
                <w:ilvl w:val="0"/>
                <w:numId w:val="1"/>
              </w:numPr>
              <w:spacing w:line="240" w:lineRule="auto"/>
              <w:ind w:firstLineChars="0"/>
              <w:jc w:val="left"/>
              <w:rPr>
                <w:rFonts w:ascii="仿宋" w:hAnsi="仿宋" w:cs="Times New Roman"/>
                <w:color w:val="000000" w:themeColor="text1"/>
                <w:kern w:val="0"/>
                <w:sz w:val="24"/>
                <w:szCs w:val="24"/>
                <w14:textFill>
                  <w14:solidFill>
                    <w14:schemeClr w14:val="tx1"/>
                  </w14:solidFill>
                </w14:textFill>
              </w:rPr>
            </w:pPr>
          </w:p>
        </w:tc>
        <w:tc>
          <w:tcPr>
            <w:tcW w:w="992" w:type="dxa"/>
            <w:vMerge w:val="continue"/>
            <w:vAlign w:val="center"/>
          </w:tcPr>
          <w:p>
            <w:pPr>
              <w:spacing w:line="240" w:lineRule="auto"/>
              <w:ind w:firstLine="480"/>
              <w:jc w:val="center"/>
              <w:rPr>
                <w:rFonts w:ascii="仿宋" w:hAnsi="仿宋" w:cs="Times New Roman"/>
                <w:color w:val="000000" w:themeColor="text1"/>
                <w:kern w:val="0"/>
                <w:sz w:val="24"/>
                <w:szCs w:val="24"/>
                <w14:textFill>
                  <w14:solidFill>
                    <w14:schemeClr w14:val="tx1"/>
                  </w14:solidFill>
                </w14:textFill>
              </w:rPr>
            </w:pPr>
          </w:p>
        </w:tc>
        <w:tc>
          <w:tcPr>
            <w:tcW w:w="2126" w:type="dxa"/>
            <w:noWrap/>
            <w:vAlign w:val="center"/>
          </w:tcPr>
          <w:p>
            <w:pPr>
              <w:spacing w:line="240" w:lineRule="auto"/>
              <w:ind w:firstLine="480"/>
              <w:jc w:val="left"/>
              <w:rPr>
                <w:rFonts w:ascii="仿宋" w:hAnsi="仿宋" w:cs="Times New Roman"/>
                <w:kern w:val="0"/>
                <w:sz w:val="24"/>
                <w:szCs w:val="24"/>
              </w:rPr>
            </w:pPr>
            <w:r>
              <w:rPr>
                <w:rFonts w:hint="eastAsia" w:ascii="仿宋" w:hAnsi="仿宋" w:cs="Times New Roman"/>
                <w:kern w:val="0"/>
                <w:sz w:val="24"/>
                <w:szCs w:val="24"/>
              </w:rPr>
              <w:t>桐浩砂石厂</w:t>
            </w:r>
          </w:p>
        </w:tc>
        <w:tc>
          <w:tcPr>
            <w:tcW w:w="993" w:type="dxa"/>
            <w:noWrap/>
          </w:tcPr>
          <w:p>
            <w:pPr>
              <w:spacing w:line="240" w:lineRule="auto"/>
              <w:ind w:left="0" w:leftChars="-35" w:hanging="112" w:hangingChars="47"/>
              <w:jc w:val="center"/>
              <w:rPr>
                <w:rFonts w:ascii="仿宋" w:hAnsi="仿宋" w:cs="Times New Roman"/>
                <w:kern w:val="0"/>
                <w:sz w:val="24"/>
                <w:szCs w:val="24"/>
              </w:rPr>
            </w:pPr>
            <w:r>
              <w:rPr>
                <w:rFonts w:hint="eastAsia" w:ascii="仿宋" w:hAnsi="仿宋" w:cs="Times New Roman"/>
                <w:kern w:val="0"/>
                <w:sz w:val="24"/>
                <w:szCs w:val="24"/>
              </w:rPr>
              <w:t>老池镇</w:t>
            </w:r>
          </w:p>
        </w:tc>
        <w:tc>
          <w:tcPr>
            <w:tcW w:w="1275" w:type="dxa"/>
            <w:vAlign w:val="center"/>
          </w:tcPr>
          <w:p>
            <w:pPr>
              <w:spacing w:line="240" w:lineRule="auto"/>
              <w:ind w:firstLine="0" w:firstLineChars="0"/>
              <w:jc w:val="center"/>
              <w:rPr>
                <w:rFonts w:ascii="仿宋" w:hAnsi="仿宋" w:cs="Times New Roman"/>
                <w:kern w:val="0"/>
                <w:sz w:val="24"/>
                <w:szCs w:val="24"/>
              </w:rPr>
            </w:pPr>
            <w:r>
              <w:rPr>
                <w:rFonts w:hint="eastAsia" w:ascii="仿宋" w:hAnsi="仿宋" w:cs="Times New Roman"/>
                <w:kern w:val="0"/>
                <w:sz w:val="24"/>
                <w:szCs w:val="24"/>
              </w:rPr>
              <w:t>C</w:t>
            </w:r>
          </w:p>
        </w:tc>
        <w:tc>
          <w:tcPr>
            <w:tcW w:w="1252" w:type="dxa"/>
            <w:vAlign w:val="center"/>
          </w:tcPr>
          <w:p>
            <w:pPr>
              <w:spacing w:line="240" w:lineRule="auto"/>
              <w:ind w:firstLine="0" w:firstLineChars="0"/>
              <w:rPr>
                <w:rFonts w:ascii="仿宋" w:hAnsi="仿宋" w:cs="Times New Roman"/>
                <w:kern w:val="0"/>
                <w:sz w:val="24"/>
                <w:szCs w:val="24"/>
              </w:rPr>
            </w:pPr>
            <w:r>
              <w:rPr>
                <w:rFonts w:hint="eastAsia" w:ascii="仿宋" w:hAnsi="仿宋" w:cs="Times New Roman"/>
                <w:kern w:val="0"/>
                <w:sz w:val="24"/>
                <w:szCs w:val="24"/>
              </w:rPr>
              <w:t>正常营业</w:t>
            </w:r>
          </w:p>
        </w:tc>
        <w:tc>
          <w:tcPr>
            <w:tcW w:w="812" w:type="dxa"/>
            <w:noWrap/>
            <w:vAlign w:val="center"/>
          </w:tcPr>
          <w:p>
            <w:pPr>
              <w:spacing w:line="240" w:lineRule="auto"/>
              <w:ind w:firstLine="480"/>
              <w:jc w:val="center"/>
              <w:rPr>
                <w:rFonts w:eastAsia="宋体" w:cs="Times New Roman"/>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noWrap/>
            <w:vAlign w:val="center"/>
          </w:tcPr>
          <w:p>
            <w:pPr>
              <w:pStyle w:val="49"/>
              <w:numPr>
                <w:ilvl w:val="0"/>
                <w:numId w:val="1"/>
              </w:numPr>
              <w:spacing w:line="240" w:lineRule="auto"/>
              <w:ind w:firstLineChars="0"/>
              <w:jc w:val="left"/>
              <w:rPr>
                <w:rFonts w:ascii="仿宋" w:hAnsi="仿宋" w:cs="Times New Roman"/>
                <w:color w:val="000000" w:themeColor="text1"/>
                <w:kern w:val="0"/>
                <w:sz w:val="24"/>
                <w:szCs w:val="24"/>
                <w14:textFill>
                  <w14:solidFill>
                    <w14:schemeClr w14:val="tx1"/>
                  </w14:solidFill>
                </w14:textFill>
              </w:rPr>
            </w:pPr>
          </w:p>
        </w:tc>
        <w:tc>
          <w:tcPr>
            <w:tcW w:w="992" w:type="dxa"/>
            <w:vMerge w:val="restart"/>
            <w:vAlign w:val="center"/>
          </w:tcPr>
          <w:p>
            <w:pPr>
              <w:spacing w:line="240" w:lineRule="auto"/>
              <w:ind w:firstLine="0" w:firstLineChars="0"/>
              <w:rPr>
                <w:rFonts w:ascii="仿宋" w:hAnsi="仿宋" w:cs="Times New Roman"/>
                <w:color w:val="000000" w:themeColor="text1"/>
                <w:kern w:val="0"/>
                <w:sz w:val="24"/>
                <w:szCs w:val="24"/>
                <w14:textFill>
                  <w14:solidFill>
                    <w14:schemeClr w14:val="tx1"/>
                  </w14:solidFill>
                </w14:textFill>
              </w:rPr>
            </w:pPr>
            <w:r>
              <w:rPr>
                <w:rFonts w:hint="eastAsia" w:ascii="仿宋" w:hAnsi="仿宋" w:cs="Times New Roman"/>
                <w:color w:val="000000" w:themeColor="text1"/>
                <w:kern w:val="0"/>
                <w:sz w:val="24"/>
                <w:szCs w:val="24"/>
                <w14:textFill>
                  <w14:solidFill>
                    <w14:schemeClr w14:val="tx1"/>
                  </w14:solidFill>
                </w14:textFill>
              </w:rPr>
              <w:t>加油站</w:t>
            </w:r>
          </w:p>
        </w:tc>
        <w:tc>
          <w:tcPr>
            <w:tcW w:w="2126" w:type="dxa"/>
            <w:noWrap/>
            <w:vAlign w:val="center"/>
          </w:tcPr>
          <w:p>
            <w:pPr>
              <w:spacing w:line="240" w:lineRule="auto"/>
              <w:ind w:firstLine="480"/>
              <w:jc w:val="left"/>
              <w:rPr>
                <w:rFonts w:ascii="仿宋" w:hAnsi="仿宋" w:cs="Times New Roman"/>
                <w:kern w:val="0"/>
                <w:sz w:val="24"/>
                <w:szCs w:val="24"/>
              </w:rPr>
            </w:pPr>
            <w:r>
              <w:rPr>
                <w:rFonts w:hint="eastAsia" w:ascii="仿宋" w:hAnsi="仿宋" w:cs="Times New Roman"/>
                <w:kern w:val="0"/>
                <w:sz w:val="24"/>
                <w:szCs w:val="24"/>
              </w:rPr>
              <w:t>继禄加油站</w:t>
            </w:r>
          </w:p>
        </w:tc>
        <w:tc>
          <w:tcPr>
            <w:tcW w:w="993" w:type="dxa"/>
            <w:noWrap/>
          </w:tcPr>
          <w:p>
            <w:pPr>
              <w:spacing w:line="240" w:lineRule="auto"/>
              <w:ind w:left="0" w:leftChars="-35" w:hanging="112" w:hangingChars="47"/>
              <w:jc w:val="center"/>
              <w:rPr>
                <w:rFonts w:ascii="仿宋" w:hAnsi="仿宋" w:cs="Times New Roman"/>
                <w:kern w:val="0"/>
                <w:sz w:val="24"/>
                <w:szCs w:val="24"/>
              </w:rPr>
            </w:pPr>
            <w:r>
              <w:rPr>
                <w:rFonts w:hint="eastAsia" w:ascii="仿宋" w:hAnsi="仿宋" w:cs="Times New Roman"/>
                <w:kern w:val="0"/>
                <w:sz w:val="24"/>
                <w:szCs w:val="24"/>
              </w:rPr>
              <w:t>老池镇</w:t>
            </w:r>
          </w:p>
        </w:tc>
        <w:tc>
          <w:tcPr>
            <w:tcW w:w="1275" w:type="dxa"/>
            <w:vAlign w:val="center"/>
          </w:tcPr>
          <w:p>
            <w:pPr>
              <w:spacing w:line="240" w:lineRule="auto"/>
              <w:ind w:firstLine="0" w:firstLineChars="0"/>
              <w:jc w:val="center"/>
              <w:rPr>
                <w:rFonts w:ascii="仿宋" w:hAnsi="仿宋" w:cs="Times New Roman"/>
                <w:kern w:val="0"/>
                <w:sz w:val="24"/>
                <w:szCs w:val="24"/>
              </w:rPr>
            </w:pPr>
            <w:r>
              <w:rPr>
                <w:rFonts w:hint="eastAsia" w:ascii="仿宋" w:hAnsi="仿宋" w:cs="Times New Roman"/>
                <w:kern w:val="0"/>
                <w:sz w:val="24"/>
                <w:szCs w:val="24"/>
              </w:rPr>
              <w:t>C</w:t>
            </w:r>
          </w:p>
        </w:tc>
        <w:tc>
          <w:tcPr>
            <w:tcW w:w="1252" w:type="dxa"/>
            <w:vAlign w:val="center"/>
          </w:tcPr>
          <w:p>
            <w:pPr>
              <w:spacing w:line="240" w:lineRule="auto"/>
              <w:ind w:firstLine="0" w:firstLineChars="0"/>
              <w:rPr>
                <w:rFonts w:ascii="仿宋" w:hAnsi="仿宋" w:cs="Times New Roman"/>
                <w:kern w:val="0"/>
                <w:sz w:val="24"/>
                <w:szCs w:val="24"/>
              </w:rPr>
            </w:pPr>
            <w:r>
              <w:rPr>
                <w:rFonts w:hint="eastAsia" w:ascii="仿宋" w:hAnsi="仿宋" w:cs="Times New Roman"/>
                <w:kern w:val="0"/>
                <w:sz w:val="24"/>
                <w:szCs w:val="24"/>
              </w:rPr>
              <w:t>正常营业</w:t>
            </w:r>
          </w:p>
        </w:tc>
        <w:tc>
          <w:tcPr>
            <w:tcW w:w="812" w:type="dxa"/>
            <w:noWrap/>
            <w:vAlign w:val="center"/>
          </w:tcPr>
          <w:p>
            <w:pPr>
              <w:spacing w:line="240" w:lineRule="auto"/>
              <w:ind w:firstLine="480"/>
              <w:jc w:val="center"/>
              <w:rPr>
                <w:rFonts w:ascii="仿宋" w:hAnsi="仿宋" w:cs="Times New Roman"/>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noWrap/>
            <w:vAlign w:val="center"/>
          </w:tcPr>
          <w:p>
            <w:pPr>
              <w:pStyle w:val="49"/>
              <w:numPr>
                <w:ilvl w:val="0"/>
                <w:numId w:val="1"/>
              </w:numPr>
              <w:spacing w:line="240" w:lineRule="auto"/>
              <w:ind w:firstLineChars="0"/>
              <w:jc w:val="left"/>
              <w:rPr>
                <w:rFonts w:ascii="仿宋" w:hAnsi="仿宋" w:cs="Times New Roman"/>
                <w:color w:val="000000" w:themeColor="text1"/>
                <w:kern w:val="0"/>
                <w:sz w:val="24"/>
                <w:szCs w:val="24"/>
                <w14:textFill>
                  <w14:solidFill>
                    <w14:schemeClr w14:val="tx1"/>
                  </w14:solidFill>
                </w14:textFill>
              </w:rPr>
            </w:pPr>
          </w:p>
        </w:tc>
        <w:tc>
          <w:tcPr>
            <w:tcW w:w="992" w:type="dxa"/>
            <w:vMerge w:val="continue"/>
            <w:vAlign w:val="center"/>
          </w:tcPr>
          <w:p>
            <w:pPr>
              <w:spacing w:line="240" w:lineRule="auto"/>
              <w:ind w:firstLine="480"/>
              <w:jc w:val="center"/>
              <w:rPr>
                <w:rFonts w:ascii="仿宋" w:hAnsi="仿宋" w:cs="Times New Roman"/>
                <w:color w:val="000000" w:themeColor="text1"/>
                <w:kern w:val="0"/>
                <w:sz w:val="24"/>
                <w:szCs w:val="24"/>
                <w14:textFill>
                  <w14:solidFill>
                    <w14:schemeClr w14:val="tx1"/>
                  </w14:solidFill>
                </w14:textFill>
              </w:rPr>
            </w:pPr>
          </w:p>
        </w:tc>
        <w:tc>
          <w:tcPr>
            <w:tcW w:w="2126" w:type="dxa"/>
            <w:noWrap/>
            <w:vAlign w:val="center"/>
          </w:tcPr>
          <w:p>
            <w:pPr>
              <w:spacing w:line="240" w:lineRule="auto"/>
              <w:ind w:firstLine="480"/>
              <w:jc w:val="left"/>
              <w:rPr>
                <w:rFonts w:ascii="仿宋" w:hAnsi="仿宋" w:cs="Times New Roman"/>
                <w:kern w:val="0"/>
                <w:sz w:val="24"/>
                <w:szCs w:val="24"/>
              </w:rPr>
            </w:pPr>
            <w:r>
              <w:rPr>
                <w:rFonts w:hint="eastAsia" w:ascii="仿宋" w:hAnsi="仿宋" w:cs="Times New Roman"/>
                <w:kern w:val="0"/>
                <w:sz w:val="24"/>
                <w:szCs w:val="24"/>
              </w:rPr>
              <w:t>三薪加油站</w:t>
            </w:r>
          </w:p>
        </w:tc>
        <w:tc>
          <w:tcPr>
            <w:tcW w:w="993" w:type="dxa"/>
            <w:noWrap/>
          </w:tcPr>
          <w:p>
            <w:pPr>
              <w:spacing w:line="240" w:lineRule="auto"/>
              <w:ind w:left="0" w:leftChars="-35" w:hanging="112" w:hangingChars="47"/>
              <w:jc w:val="center"/>
              <w:rPr>
                <w:rFonts w:ascii="仿宋" w:hAnsi="仿宋" w:cs="Times New Roman"/>
                <w:kern w:val="0"/>
                <w:sz w:val="24"/>
                <w:szCs w:val="24"/>
              </w:rPr>
            </w:pPr>
            <w:r>
              <w:rPr>
                <w:rFonts w:hint="eastAsia" w:ascii="仿宋" w:hAnsi="仿宋" w:cs="Times New Roman"/>
                <w:kern w:val="0"/>
                <w:sz w:val="24"/>
                <w:szCs w:val="24"/>
              </w:rPr>
              <w:t>老池镇</w:t>
            </w:r>
          </w:p>
        </w:tc>
        <w:tc>
          <w:tcPr>
            <w:tcW w:w="1275" w:type="dxa"/>
            <w:vAlign w:val="center"/>
          </w:tcPr>
          <w:p>
            <w:pPr>
              <w:spacing w:line="240" w:lineRule="auto"/>
              <w:ind w:firstLine="0" w:firstLineChars="0"/>
              <w:jc w:val="center"/>
              <w:rPr>
                <w:rFonts w:ascii="仿宋" w:hAnsi="仿宋" w:cs="Times New Roman"/>
                <w:kern w:val="0"/>
                <w:sz w:val="24"/>
                <w:szCs w:val="24"/>
              </w:rPr>
            </w:pPr>
            <w:r>
              <w:rPr>
                <w:rFonts w:hint="eastAsia" w:ascii="仿宋" w:hAnsi="仿宋" w:cs="Times New Roman"/>
                <w:kern w:val="0"/>
                <w:sz w:val="24"/>
                <w:szCs w:val="24"/>
              </w:rPr>
              <w:t>C</w:t>
            </w:r>
          </w:p>
        </w:tc>
        <w:tc>
          <w:tcPr>
            <w:tcW w:w="1252" w:type="dxa"/>
            <w:vAlign w:val="center"/>
          </w:tcPr>
          <w:p>
            <w:pPr>
              <w:spacing w:line="240" w:lineRule="auto"/>
              <w:ind w:firstLine="0" w:firstLineChars="0"/>
              <w:rPr>
                <w:rFonts w:ascii="仿宋" w:hAnsi="仿宋" w:cs="Times New Roman"/>
                <w:kern w:val="0"/>
                <w:sz w:val="24"/>
                <w:szCs w:val="24"/>
              </w:rPr>
            </w:pPr>
            <w:r>
              <w:rPr>
                <w:rFonts w:hint="eastAsia" w:ascii="仿宋" w:hAnsi="仿宋" w:cs="Times New Roman"/>
                <w:kern w:val="0"/>
                <w:sz w:val="24"/>
                <w:szCs w:val="24"/>
              </w:rPr>
              <w:t>正常营业</w:t>
            </w:r>
          </w:p>
        </w:tc>
        <w:tc>
          <w:tcPr>
            <w:tcW w:w="812" w:type="dxa"/>
            <w:noWrap/>
            <w:vAlign w:val="center"/>
          </w:tcPr>
          <w:p>
            <w:pPr>
              <w:spacing w:line="240" w:lineRule="auto"/>
              <w:ind w:firstLine="480"/>
              <w:jc w:val="center"/>
              <w:rPr>
                <w:rFonts w:ascii="仿宋" w:hAnsi="仿宋" w:cs="Times New Roman"/>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noWrap/>
            <w:vAlign w:val="center"/>
          </w:tcPr>
          <w:p>
            <w:pPr>
              <w:pStyle w:val="49"/>
              <w:numPr>
                <w:ilvl w:val="0"/>
                <w:numId w:val="1"/>
              </w:numPr>
              <w:spacing w:line="240" w:lineRule="auto"/>
              <w:ind w:firstLineChars="0"/>
              <w:jc w:val="left"/>
              <w:rPr>
                <w:rFonts w:ascii="仿宋" w:hAnsi="仿宋" w:cs="Times New Roman"/>
                <w:color w:val="000000" w:themeColor="text1"/>
                <w:kern w:val="0"/>
                <w:sz w:val="24"/>
                <w:szCs w:val="24"/>
                <w14:textFill>
                  <w14:solidFill>
                    <w14:schemeClr w14:val="tx1"/>
                  </w14:solidFill>
                </w14:textFill>
              </w:rPr>
            </w:pPr>
          </w:p>
        </w:tc>
        <w:tc>
          <w:tcPr>
            <w:tcW w:w="992" w:type="dxa"/>
            <w:vAlign w:val="center"/>
          </w:tcPr>
          <w:p>
            <w:pPr>
              <w:spacing w:line="240" w:lineRule="auto"/>
              <w:ind w:firstLine="0" w:firstLineChars="0"/>
              <w:rPr>
                <w:rFonts w:ascii="仿宋" w:hAnsi="仿宋" w:cs="Times New Roman"/>
                <w:color w:val="000000" w:themeColor="text1"/>
                <w:kern w:val="0"/>
                <w:sz w:val="24"/>
                <w:szCs w:val="24"/>
                <w14:textFill>
                  <w14:solidFill>
                    <w14:schemeClr w14:val="tx1"/>
                  </w14:solidFill>
                </w14:textFill>
              </w:rPr>
            </w:pPr>
            <w:r>
              <w:rPr>
                <w:rFonts w:hint="eastAsia" w:ascii="仿宋" w:hAnsi="仿宋" w:cs="Times New Roman"/>
                <w:kern w:val="0"/>
                <w:sz w:val="24"/>
                <w:szCs w:val="24"/>
              </w:rPr>
              <w:t>食品厂</w:t>
            </w:r>
          </w:p>
        </w:tc>
        <w:tc>
          <w:tcPr>
            <w:tcW w:w="2126" w:type="dxa"/>
            <w:noWrap/>
            <w:vAlign w:val="center"/>
          </w:tcPr>
          <w:p>
            <w:pPr>
              <w:spacing w:line="240" w:lineRule="auto"/>
              <w:ind w:firstLine="480"/>
              <w:jc w:val="left"/>
              <w:rPr>
                <w:rFonts w:ascii="仿宋" w:hAnsi="仿宋" w:cs="Times New Roman"/>
                <w:kern w:val="0"/>
                <w:sz w:val="24"/>
                <w:szCs w:val="24"/>
              </w:rPr>
            </w:pPr>
            <w:r>
              <w:rPr>
                <w:rFonts w:hint="eastAsia" w:ascii="仿宋" w:hAnsi="仿宋" w:cs="Times New Roman"/>
                <w:kern w:val="0"/>
                <w:sz w:val="24"/>
                <w:szCs w:val="24"/>
              </w:rPr>
              <w:t>孜轩食品厂</w:t>
            </w:r>
          </w:p>
        </w:tc>
        <w:tc>
          <w:tcPr>
            <w:tcW w:w="993" w:type="dxa"/>
            <w:noWrap/>
          </w:tcPr>
          <w:p>
            <w:pPr>
              <w:spacing w:line="240" w:lineRule="auto"/>
              <w:ind w:left="0" w:leftChars="-35" w:hanging="112" w:hangingChars="47"/>
              <w:jc w:val="center"/>
              <w:rPr>
                <w:rFonts w:ascii="仿宋" w:hAnsi="仿宋" w:cs="Times New Roman"/>
                <w:kern w:val="0"/>
                <w:sz w:val="24"/>
                <w:szCs w:val="24"/>
              </w:rPr>
            </w:pPr>
            <w:r>
              <w:rPr>
                <w:rFonts w:hint="eastAsia" w:ascii="仿宋" w:hAnsi="仿宋" w:cs="Times New Roman"/>
                <w:kern w:val="0"/>
                <w:sz w:val="24"/>
                <w:szCs w:val="24"/>
              </w:rPr>
              <w:t>龙凤镇</w:t>
            </w:r>
          </w:p>
        </w:tc>
        <w:tc>
          <w:tcPr>
            <w:tcW w:w="1275" w:type="dxa"/>
            <w:vAlign w:val="center"/>
          </w:tcPr>
          <w:p>
            <w:pPr>
              <w:spacing w:line="240" w:lineRule="auto"/>
              <w:ind w:firstLine="0" w:firstLineChars="0"/>
              <w:jc w:val="center"/>
              <w:rPr>
                <w:rFonts w:ascii="仿宋" w:hAnsi="仿宋" w:cs="Times New Roman"/>
                <w:kern w:val="0"/>
                <w:sz w:val="24"/>
                <w:szCs w:val="24"/>
              </w:rPr>
            </w:pPr>
            <w:r>
              <w:rPr>
                <w:rFonts w:hint="eastAsia" w:ascii="仿宋" w:hAnsi="仿宋" w:cs="Times New Roman"/>
                <w:kern w:val="0"/>
                <w:sz w:val="24"/>
                <w:szCs w:val="24"/>
              </w:rPr>
              <w:t>C</w:t>
            </w:r>
          </w:p>
        </w:tc>
        <w:tc>
          <w:tcPr>
            <w:tcW w:w="1252" w:type="dxa"/>
            <w:vAlign w:val="center"/>
          </w:tcPr>
          <w:p>
            <w:pPr>
              <w:spacing w:line="240" w:lineRule="auto"/>
              <w:ind w:firstLine="0" w:firstLineChars="0"/>
              <w:rPr>
                <w:rFonts w:ascii="仿宋" w:hAnsi="仿宋" w:cs="Times New Roman"/>
                <w:kern w:val="0"/>
                <w:sz w:val="24"/>
                <w:szCs w:val="24"/>
              </w:rPr>
            </w:pPr>
            <w:r>
              <w:rPr>
                <w:rFonts w:hint="eastAsia" w:ascii="仿宋" w:hAnsi="仿宋" w:cs="Times New Roman"/>
                <w:kern w:val="0"/>
                <w:sz w:val="24"/>
                <w:szCs w:val="24"/>
              </w:rPr>
              <w:t>正常营业</w:t>
            </w:r>
          </w:p>
        </w:tc>
        <w:tc>
          <w:tcPr>
            <w:tcW w:w="812" w:type="dxa"/>
            <w:noWrap/>
            <w:vAlign w:val="center"/>
          </w:tcPr>
          <w:p>
            <w:pPr>
              <w:spacing w:line="240" w:lineRule="auto"/>
              <w:ind w:firstLine="480"/>
              <w:jc w:val="center"/>
              <w:rPr>
                <w:rFonts w:ascii="仿宋" w:hAnsi="仿宋" w:cs="Times New Roman"/>
                <w:kern w:val="0"/>
                <w:sz w:val="24"/>
                <w:szCs w:val="24"/>
              </w:rPr>
            </w:pPr>
          </w:p>
        </w:tc>
      </w:tr>
    </w:tbl>
    <w:p>
      <w:pPr>
        <w:ind w:firstLine="679" w:firstLineChars="283"/>
        <w:rPr>
          <w:rFonts w:ascii="仿宋" w:hAnsi="仿宋" w:cs="Times New Roman"/>
          <w:kern w:val="0"/>
          <w:sz w:val="24"/>
          <w:szCs w:val="24"/>
        </w:rPr>
      </w:pPr>
      <w:r>
        <w:rPr>
          <w:rFonts w:hint="eastAsia" w:ascii="仿宋" w:hAnsi="仿宋" w:cs="Times New Roman"/>
          <w:kern w:val="0"/>
          <w:sz w:val="24"/>
          <w:szCs w:val="24"/>
        </w:rPr>
        <w:t>备注：</w:t>
      </w:r>
      <w:r>
        <w:rPr>
          <w:rFonts w:ascii="仿宋" w:hAnsi="仿宋" w:cs="Times New Roman"/>
          <w:kern w:val="0"/>
          <w:sz w:val="24"/>
          <w:szCs w:val="24"/>
        </w:rPr>
        <w:t>D</w:t>
      </w:r>
      <w:r>
        <w:rPr>
          <w:rFonts w:hint="eastAsia" w:ascii="仿宋" w:hAnsi="仿宋" w:cs="Times New Roman"/>
          <w:kern w:val="0"/>
          <w:sz w:val="24"/>
          <w:szCs w:val="24"/>
        </w:rPr>
        <w:t>级</w:t>
      </w:r>
      <w:r>
        <w:rPr>
          <w:rFonts w:ascii="仿宋" w:hAnsi="仿宋" w:cs="Times New Roman"/>
          <w:kern w:val="0"/>
          <w:sz w:val="24"/>
          <w:szCs w:val="24"/>
        </w:rPr>
        <w:t>\4</w:t>
      </w:r>
      <w:r>
        <w:rPr>
          <w:rFonts w:hint="eastAsia" w:ascii="仿宋" w:hAnsi="仿宋" w:cs="Times New Roman"/>
          <w:kern w:val="0"/>
          <w:sz w:val="24"/>
          <w:szCs w:val="24"/>
        </w:rPr>
        <w:t>级</w:t>
      </w:r>
      <w:r>
        <w:rPr>
          <w:rFonts w:ascii="仿宋" w:hAnsi="仿宋" w:cs="Times New Roman"/>
          <w:kern w:val="0"/>
          <w:sz w:val="24"/>
          <w:szCs w:val="24"/>
        </w:rPr>
        <w:t>\</w:t>
      </w:r>
      <w:r>
        <w:rPr>
          <w:rFonts w:hint="eastAsia" w:ascii="仿宋" w:hAnsi="仿宋" w:cs="Times New Roman"/>
          <w:kern w:val="0"/>
          <w:sz w:val="24"/>
          <w:szCs w:val="24"/>
        </w:rPr>
        <w:t>蓝色</w:t>
      </w:r>
      <w:r>
        <w:rPr>
          <w:rFonts w:ascii="仿宋" w:hAnsi="仿宋" w:cs="Times New Roman"/>
          <w:kern w:val="0"/>
          <w:sz w:val="24"/>
          <w:szCs w:val="24"/>
        </w:rPr>
        <w:t>\</w:t>
      </w:r>
      <w:r>
        <w:rPr>
          <w:rFonts w:hint="eastAsia" w:ascii="仿宋" w:hAnsi="仿宋" w:cs="Times New Roman"/>
          <w:kern w:val="0"/>
          <w:sz w:val="24"/>
          <w:szCs w:val="24"/>
        </w:rPr>
        <w:t>轻度危险：属于低风险；</w:t>
      </w:r>
      <w:r>
        <w:rPr>
          <w:rFonts w:ascii="仿宋" w:hAnsi="仿宋" w:cs="Times New Roman"/>
          <w:kern w:val="0"/>
          <w:sz w:val="24"/>
          <w:szCs w:val="24"/>
        </w:rPr>
        <w:t>C</w:t>
      </w:r>
      <w:r>
        <w:rPr>
          <w:rFonts w:hint="eastAsia" w:ascii="仿宋" w:hAnsi="仿宋" w:cs="Times New Roman"/>
          <w:kern w:val="0"/>
          <w:sz w:val="24"/>
          <w:szCs w:val="24"/>
        </w:rPr>
        <w:t>级</w:t>
      </w:r>
      <w:r>
        <w:rPr>
          <w:rFonts w:ascii="仿宋" w:hAnsi="仿宋" w:cs="Times New Roman"/>
          <w:kern w:val="0"/>
          <w:sz w:val="24"/>
          <w:szCs w:val="24"/>
        </w:rPr>
        <w:t>\3</w:t>
      </w:r>
      <w:r>
        <w:rPr>
          <w:rFonts w:hint="eastAsia" w:ascii="仿宋" w:hAnsi="仿宋" w:cs="Times New Roman"/>
          <w:kern w:val="0"/>
          <w:sz w:val="24"/>
          <w:szCs w:val="24"/>
        </w:rPr>
        <w:t>级</w:t>
      </w:r>
      <w:r>
        <w:rPr>
          <w:rFonts w:ascii="仿宋" w:hAnsi="仿宋" w:cs="Times New Roman"/>
          <w:kern w:val="0"/>
          <w:sz w:val="24"/>
          <w:szCs w:val="24"/>
        </w:rPr>
        <w:t>\</w:t>
      </w:r>
      <w:r>
        <w:rPr>
          <w:rFonts w:hint="eastAsia" w:ascii="仿宋" w:hAnsi="仿宋" w:cs="Times New Roman"/>
          <w:kern w:val="0"/>
          <w:sz w:val="24"/>
          <w:szCs w:val="24"/>
        </w:rPr>
        <w:t>黄色</w:t>
      </w:r>
      <w:r>
        <w:rPr>
          <w:rFonts w:ascii="仿宋" w:hAnsi="仿宋" w:cs="Times New Roman"/>
          <w:kern w:val="0"/>
          <w:sz w:val="24"/>
          <w:szCs w:val="24"/>
        </w:rPr>
        <w:t>\</w:t>
      </w:r>
      <w:r>
        <w:rPr>
          <w:rFonts w:hint="eastAsia" w:ascii="仿宋" w:hAnsi="仿宋" w:cs="Times New Roman"/>
          <w:kern w:val="0"/>
          <w:sz w:val="24"/>
          <w:szCs w:val="24"/>
        </w:rPr>
        <w:t>显著危险：属于一般风险；</w:t>
      </w:r>
      <w:r>
        <w:rPr>
          <w:rFonts w:ascii="仿宋" w:hAnsi="仿宋" w:cs="Times New Roman"/>
          <w:kern w:val="0"/>
          <w:sz w:val="24"/>
          <w:szCs w:val="24"/>
        </w:rPr>
        <w:t xml:space="preserve"> B</w:t>
      </w:r>
      <w:r>
        <w:rPr>
          <w:rFonts w:hint="eastAsia" w:ascii="仿宋" w:hAnsi="仿宋" w:cs="Times New Roman"/>
          <w:kern w:val="0"/>
          <w:sz w:val="24"/>
          <w:szCs w:val="24"/>
        </w:rPr>
        <w:t>级</w:t>
      </w:r>
      <w:r>
        <w:rPr>
          <w:rFonts w:ascii="仿宋" w:hAnsi="仿宋" w:cs="Times New Roman"/>
          <w:kern w:val="0"/>
          <w:sz w:val="24"/>
          <w:szCs w:val="24"/>
        </w:rPr>
        <w:t>\2</w:t>
      </w:r>
      <w:r>
        <w:rPr>
          <w:rFonts w:hint="eastAsia" w:ascii="仿宋" w:hAnsi="仿宋" w:cs="Times New Roman"/>
          <w:kern w:val="0"/>
          <w:sz w:val="24"/>
          <w:szCs w:val="24"/>
        </w:rPr>
        <w:t>级</w:t>
      </w:r>
      <w:r>
        <w:rPr>
          <w:rFonts w:ascii="仿宋" w:hAnsi="仿宋" w:cs="Times New Roman"/>
          <w:kern w:val="0"/>
          <w:sz w:val="24"/>
          <w:szCs w:val="24"/>
        </w:rPr>
        <w:t>\</w:t>
      </w:r>
      <w:r>
        <w:rPr>
          <w:rFonts w:hint="eastAsia" w:ascii="仿宋" w:hAnsi="仿宋" w:cs="Times New Roman"/>
          <w:kern w:val="0"/>
          <w:sz w:val="24"/>
          <w:szCs w:val="24"/>
        </w:rPr>
        <w:t>橙色</w:t>
      </w:r>
      <w:r>
        <w:rPr>
          <w:rFonts w:ascii="仿宋" w:hAnsi="仿宋" w:cs="Times New Roman"/>
          <w:kern w:val="0"/>
          <w:sz w:val="24"/>
          <w:szCs w:val="24"/>
        </w:rPr>
        <w:t>\</w:t>
      </w:r>
      <w:r>
        <w:rPr>
          <w:rFonts w:hint="eastAsia" w:ascii="仿宋" w:hAnsi="仿宋" w:cs="Times New Roman"/>
          <w:kern w:val="0"/>
          <w:sz w:val="24"/>
          <w:szCs w:val="24"/>
        </w:rPr>
        <w:t>高度危险：属于较大风险；</w:t>
      </w:r>
      <w:r>
        <w:rPr>
          <w:rFonts w:ascii="仿宋" w:hAnsi="仿宋" w:cs="Times New Roman"/>
          <w:kern w:val="0"/>
          <w:sz w:val="24"/>
          <w:szCs w:val="24"/>
        </w:rPr>
        <w:t>A</w:t>
      </w:r>
      <w:r>
        <w:rPr>
          <w:rFonts w:hint="eastAsia" w:ascii="仿宋" w:hAnsi="仿宋" w:cs="Times New Roman"/>
          <w:kern w:val="0"/>
          <w:sz w:val="24"/>
          <w:szCs w:val="24"/>
        </w:rPr>
        <w:t>级</w:t>
      </w:r>
      <w:r>
        <w:rPr>
          <w:rFonts w:ascii="仿宋" w:hAnsi="仿宋" w:cs="Times New Roman"/>
          <w:kern w:val="0"/>
          <w:sz w:val="24"/>
          <w:szCs w:val="24"/>
        </w:rPr>
        <w:t>\1</w:t>
      </w:r>
      <w:r>
        <w:rPr>
          <w:rFonts w:hint="eastAsia" w:ascii="仿宋" w:hAnsi="仿宋" w:cs="Times New Roman"/>
          <w:kern w:val="0"/>
          <w:sz w:val="24"/>
          <w:szCs w:val="24"/>
        </w:rPr>
        <w:t>级</w:t>
      </w:r>
      <w:r>
        <w:rPr>
          <w:rFonts w:ascii="仿宋" w:hAnsi="仿宋" w:cs="Times New Roman"/>
          <w:kern w:val="0"/>
          <w:sz w:val="24"/>
          <w:szCs w:val="24"/>
        </w:rPr>
        <w:t>\</w:t>
      </w:r>
      <w:r>
        <w:rPr>
          <w:rFonts w:hint="eastAsia" w:ascii="仿宋" w:hAnsi="仿宋" w:cs="Times New Roman"/>
          <w:kern w:val="0"/>
          <w:sz w:val="24"/>
          <w:szCs w:val="24"/>
        </w:rPr>
        <w:t>红色</w:t>
      </w:r>
      <w:r>
        <w:rPr>
          <w:rFonts w:ascii="仿宋" w:hAnsi="仿宋" w:cs="Times New Roman"/>
          <w:kern w:val="0"/>
          <w:sz w:val="24"/>
          <w:szCs w:val="24"/>
        </w:rPr>
        <w:t>\</w:t>
      </w:r>
      <w:r>
        <w:rPr>
          <w:rFonts w:hint="eastAsia" w:ascii="仿宋" w:hAnsi="仿宋" w:cs="Times New Roman"/>
          <w:kern w:val="0"/>
          <w:sz w:val="24"/>
          <w:szCs w:val="24"/>
        </w:rPr>
        <w:t>极其危险：属于重大风险。</w:t>
      </w:r>
    </w:p>
    <w:p>
      <w:pPr>
        <w:ind w:firstLine="0" w:firstLineChars="0"/>
        <w:rPr>
          <w:rFonts w:cs="Times New Roman"/>
          <w:color w:val="FF0000"/>
          <w:szCs w:val="32"/>
        </w:rPr>
        <w:sectPr>
          <w:footerReference r:id="rId13" w:type="default"/>
          <w:pgSz w:w="11906" w:h="16838"/>
          <w:pgMar w:top="1440" w:right="1800" w:bottom="1440" w:left="1800" w:header="851" w:footer="992" w:gutter="0"/>
          <w:cols w:space="425" w:num="1"/>
          <w:docGrid w:type="lines" w:linePitch="435" w:charSpace="0"/>
        </w:sectPr>
      </w:pPr>
    </w:p>
    <w:p>
      <w:pPr>
        <w:pStyle w:val="5"/>
        <w:ind w:firstLine="0" w:firstLineChars="0"/>
        <w:jc w:val="center"/>
        <w:rPr>
          <w:rFonts w:eastAsia="黑体" w:cs="Times New Roman"/>
          <w:color w:val="FF0000"/>
        </w:rPr>
      </w:pPr>
      <w:r>
        <w:rPr>
          <w:rFonts w:eastAsia="黑体" w:cs="Times New Roman"/>
          <w:color w:val="000000" w:themeColor="text1"/>
          <w14:textFill>
            <w14:solidFill>
              <w14:schemeClr w14:val="tx1"/>
            </w14:solidFill>
          </w14:textFill>
        </w:rPr>
        <w:t>附表2</w:t>
      </w:r>
      <w:r>
        <w:rPr>
          <w:rFonts w:eastAsia="黑体" w:cs="Times New Roman"/>
          <w:color w:val="FF0000"/>
        </w:rPr>
        <w:t xml:space="preserve">  </w:t>
      </w:r>
      <w:r>
        <w:rPr>
          <w:rFonts w:eastAsia="黑体" w:cs="Times New Roman"/>
        </w:rPr>
        <w:t>片区发生安全生产事故人员伤亡和经济财产损失表</w:t>
      </w:r>
    </w:p>
    <w:tbl>
      <w:tblPr>
        <w:tblStyle w:val="22"/>
        <w:tblW w:w="0" w:type="auto"/>
        <w:jc w:val="center"/>
        <w:tblLayout w:type="autofit"/>
        <w:tblCellMar>
          <w:top w:w="0" w:type="dxa"/>
          <w:left w:w="108" w:type="dxa"/>
          <w:bottom w:w="0" w:type="dxa"/>
          <w:right w:w="108" w:type="dxa"/>
        </w:tblCellMar>
      </w:tblPr>
      <w:tblGrid>
        <w:gridCol w:w="704"/>
        <w:gridCol w:w="1701"/>
        <w:gridCol w:w="1276"/>
        <w:gridCol w:w="1276"/>
        <w:gridCol w:w="1275"/>
        <w:gridCol w:w="1276"/>
        <w:gridCol w:w="1276"/>
      </w:tblGrid>
      <w:tr>
        <w:tblPrEx>
          <w:tblCellMar>
            <w:top w:w="0" w:type="dxa"/>
            <w:left w:w="108" w:type="dxa"/>
            <w:bottom w:w="0" w:type="dxa"/>
            <w:right w:w="108" w:type="dxa"/>
          </w:tblCellMar>
        </w:tblPrEx>
        <w:trPr>
          <w:trHeight w:val="550"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序号</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行业类型</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事故</w:t>
            </w:r>
            <w:r>
              <w:rPr>
                <w:rFonts w:hint="eastAsia" w:cs="Times New Roman"/>
                <w:b/>
                <w:bCs/>
                <w:color w:val="000000"/>
                <w:kern w:val="0"/>
                <w:sz w:val="24"/>
                <w:szCs w:val="24"/>
              </w:rPr>
              <w:t>原因</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伤亡情况</w:t>
            </w:r>
          </w:p>
        </w:tc>
        <w:tc>
          <w:tcPr>
            <w:tcW w:w="1275" w:type="dxa"/>
            <w:tcBorders>
              <w:top w:val="single" w:color="auto" w:sz="4" w:space="0"/>
              <w:left w:val="nil"/>
              <w:bottom w:val="single" w:color="auto" w:sz="4" w:space="0"/>
              <w:right w:val="single" w:color="auto" w:sz="4" w:space="0"/>
            </w:tcBorders>
          </w:tcPr>
          <w:p>
            <w:pPr>
              <w:widowControl/>
              <w:spacing w:line="240" w:lineRule="auto"/>
              <w:ind w:firstLine="0" w:firstLineChars="0"/>
              <w:jc w:val="center"/>
              <w:rPr>
                <w:rFonts w:cs="Times New Roman"/>
                <w:b/>
                <w:bCs/>
                <w:color w:val="000000"/>
                <w:kern w:val="0"/>
                <w:sz w:val="24"/>
                <w:szCs w:val="24"/>
              </w:rPr>
            </w:pPr>
            <w:r>
              <w:rPr>
                <w:rFonts w:hint="eastAsia" w:cs="Times New Roman"/>
                <w:b/>
                <w:bCs/>
                <w:color w:val="000000"/>
                <w:kern w:val="0"/>
                <w:sz w:val="24"/>
                <w:szCs w:val="24"/>
              </w:rPr>
              <w:t>所属镇</w:t>
            </w:r>
          </w:p>
        </w:tc>
        <w:tc>
          <w:tcPr>
            <w:tcW w:w="1276"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经济损失</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发生年份</w:t>
            </w:r>
          </w:p>
        </w:tc>
      </w:tr>
      <w:tr>
        <w:tblPrEx>
          <w:tblCellMar>
            <w:top w:w="0" w:type="dxa"/>
            <w:left w:w="108" w:type="dxa"/>
            <w:bottom w:w="0" w:type="dxa"/>
            <w:right w:w="108" w:type="dxa"/>
          </w:tblCellMar>
        </w:tblPrEx>
        <w:trPr>
          <w:trHeight w:val="309"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cs="Times New Roman"/>
                <w:color w:val="000000" w:themeColor="text1"/>
                <w:kern w:val="0"/>
                <w:sz w:val="24"/>
                <w:szCs w:val="24"/>
                <w:lang w:bidi="ar"/>
                <w14:textFill>
                  <w14:solidFill>
                    <w14:schemeClr w14:val="tx1"/>
                  </w14:solidFill>
                </w14:textFill>
              </w:rPr>
              <w:t>1</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cs="Times New Roman"/>
                <w:color w:val="000000" w:themeColor="text1"/>
                <w:kern w:val="0"/>
                <w:sz w:val="24"/>
                <w:szCs w:val="24"/>
                <w:lang w:bidi="ar"/>
                <w14:textFill>
                  <w14:solidFill>
                    <w14:schemeClr w14:val="tx1"/>
                  </w14:solidFill>
                </w14:textFill>
              </w:rPr>
              <w:t>自然灾害</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洪涝</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cs="Times New Roman"/>
                <w:color w:val="000000" w:themeColor="text1"/>
                <w:kern w:val="0"/>
                <w:sz w:val="24"/>
                <w:szCs w:val="24"/>
                <w:lang w:bidi="ar"/>
                <w14:textFill>
                  <w14:solidFill>
                    <w14:schemeClr w14:val="tx1"/>
                  </w14:solidFill>
                </w14:textFill>
              </w:rPr>
              <w:t>无</w:t>
            </w:r>
          </w:p>
        </w:tc>
        <w:tc>
          <w:tcPr>
            <w:tcW w:w="1275" w:type="dxa"/>
            <w:tcBorders>
              <w:top w:val="single" w:color="auto" w:sz="4" w:space="0"/>
              <w:left w:val="nil"/>
              <w:bottom w:val="single" w:color="auto" w:sz="4" w:space="0"/>
              <w:right w:val="single" w:color="auto" w:sz="4" w:space="0"/>
            </w:tcBorders>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龙凤镇</w:t>
            </w:r>
          </w:p>
        </w:tc>
        <w:tc>
          <w:tcPr>
            <w:tcW w:w="1276"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cs="Times New Roman"/>
                <w:color w:val="000000" w:themeColor="text1"/>
                <w:kern w:val="0"/>
                <w:sz w:val="24"/>
                <w:szCs w:val="24"/>
                <w:lang w:bidi="ar"/>
                <w14:textFill>
                  <w14:solidFill>
                    <w14:schemeClr w14:val="tx1"/>
                  </w14:solidFill>
                </w14:textFill>
              </w:rPr>
              <w:t>300万元</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cs="Times New Roman"/>
                <w:color w:val="000000" w:themeColor="text1"/>
                <w:kern w:val="0"/>
                <w:sz w:val="24"/>
                <w:szCs w:val="24"/>
                <w:lang w:bidi="ar"/>
                <w14:textFill>
                  <w14:solidFill>
                    <w14:schemeClr w14:val="tx1"/>
                  </w14:solidFill>
                </w14:textFill>
              </w:rPr>
              <w:t>2016</w:t>
            </w:r>
          </w:p>
        </w:tc>
      </w:tr>
      <w:tr>
        <w:tblPrEx>
          <w:tblCellMar>
            <w:top w:w="0" w:type="dxa"/>
            <w:left w:w="108" w:type="dxa"/>
            <w:bottom w:w="0" w:type="dxa"/>
            <w:right w:w="108" w:type="dxa"/>
          </w:tblCellMar>
        </w:tblPrEx>
        <w:trPr>
          <w:trHeight w:val="309"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cs="Times New Roman"/>
                <w:color w:val="000000" w:themeColor="text1"/>
                <w:kern w:val="0"/>
                <w:sz w:val="24"/>
                <w:szCs w:val="24"/>
                <w:lang w:bidi="ar"/>
                <w14:textFill>
                  <w14:solidFill>
                    <w14:schemeClr w14:val="tx1"/>
                  </w14:solidFill>
                </w14:textFill>
              </w:rPr>
              <w:t>2</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cs="Times New Roman"/>
                <w:color w:val="000000" w:themeColor="text1"/>
                <w:kern w:val="0"/>
                <w:sz w:val="24"/>
                <w:szCs w:val="24"/>
                <w:lang w:bidi="ar"/>
                <w14:textFill>
                  <w14:solidFill>
                    <w14:schemeClr w14:val="tx1"/>
                  </w14:solidFill>
                </w14:textFill>
              </w:rPr>
              <w:t>自然灾害</w:t>
            </w:r>
          </w:p>
        </w:tc>
        <w:tc>
          <w:tcPr>
            <w:tcW w:w="1276" w:type="dxa"/>
            <w:tcBorders>
              <w:top w:val="single" w:color="auto" w:sz="4" w:space="0"/>
              <w:left w:val="nil"/>
              <w:bottom w:val="single" w:color="auto" w:sz="4" w:space="0"/>
              <w:right w:val="single" w:color="auto" w:sz="4" w:space="0"/>
            </w:tcBorders>
            <w:shd w:val="clear" w:color="auto" w:fill="auto"/>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洪涝</w:t>
            </w:r>
          </w:p>
        </w:tc>
        <w:tc>
          <w:tcPr>
            <w:tcW w:w="1276" w:type="dxa"/>
            <w:tcBorders>
              <w:top w:val="single" w:color="auto" w:sz="4" w:space="0"/>
              <w:left w:val="nil"/>
              <w:bottom w:val="single" w:color="auto" w:sz="4" w:space="0"/>
              <w:right w:val="single" w:color="auto" w:sz="4" w:space="0"/>
            </w:tcBorders>
            <w:shd w:val="clear" w:color="auto" w:fill="auto"/>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cs="Times New Roman"/>
                <w:color w:val="000000" w:themeColor="text1"/>
                <w:kern w:val="0"/>
                <w:sz w:val="24"/>
                <w:szCs w:val="24"/>
                <w:lang w:bidi="ar"/>
                <w14:textFill>
                  <w14:solidFill>
                    <w14:schemeClr w14:val="tx1"/>
                  </w14:solidFill>
                </w14:textFill>
              </w:rPr>
              <w:t>无</w:t>
            </w:r>
          </w:p>
        </w:tc>
        <w:tc>
          <w:tcPr>
            <w:tcW w:w="1275" w:type="dxa"/>
            <w:tcBorders>
              <w:left w:val="nil"/>
              <w:bottom w:val="single" w:color="auto" w:sz="4" w:space="0"/>
              <w:right w:val="single" w:color="auto" w:sz="4" w:space="0"/>
            </w:tcBorders>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hint="eastAsia" w:cs="Times New Roman"/>
                <w:color w:val="000000" w:themeColor="text1"/>
                <w:kern w:val="0"/>
                <w:sz w:val="24"/>
                <w:szCs w:val="24"/>
                <w:lang w:bidi="ar"/>
                <w14:textFill>
                  <w14:solidFill>
                    <w14:schemeClr w14:val="tx1"/>
                  </w14:solidFill>
                </w14:textFill>
              </w:rPr>
              <w:t>老池镇</w:t>
            </w:r>
          </w:p>
        </w:tc>
        <w:tc>
          <w:tcPr>
            <w:tcW w:w="1276"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cs="Times New Roman"/>
                <w:color w:val="000000" w:themeColor="text1"/>
                <w:kern w:val="0"/>
                <w:sz w:val="24"/>
                <w:szCs w:val="24"/>
                <w:lang w:bidi="ar"/>
                <w14:textFill>
                  <w14:solidFill>
                    <w14:schemeClr w14:val="tx1"/>
                  </w14:solidFill>
                </w14:textFill>
              </w:rPr>
              <w:t>83万元</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cs="Times New Roman"/>
                <w:color w:val="000000" w:themeColor="text1"/>
                <w:kern w:val="0"/>
                <w:sz w:val="24"/>
                <w:szCs w:val="24"/>
                <w:lang w:bidi="ar"/>
                <w14:textFill>
                  <w14:solidFill>
                    <w14:schemeClr w14:val="tx1"/>
                  </w14:solidFill>
                </w14:textFill>
              </w:rPr>
            </w:pPr>
            <w:r>
              <w:rPr>
                <w:rFonts w:cs="Times New Roman"/>
                <w:color w:val="000000" w:themeColor="text1"/>
                <w:kern w:val="0"/>
                <w:sz w:val="24"/>
                <w:szCs w:val="24"/>
                <w:lang w:bidi="ar"/>
                <w14:textFill>
                  <w14:solidFill>
                    <w14:schemeClr w14:val="tx1"/>
                  </w14:solidFill>
                </w14:textFill>
              </w:rPr>
              <w:t>2020</w:t>
            </w:r>
          </w:p>
        </w:tc>
      </w:tr>
    </w:tbl>
    <w:p>
      <w:pPr>
        <w:ind w:firstLine="640"/>
        <w:jc w:val="center"/>
        <w:rPr>
          <w:rFonts w:cs="Times New Roman"/>
          <w:color w:val="FF0000"/>
          <w:szCs w:val="32"/>
        </w:rPr>
      </w:pPr>
      <w:r>
        <w:rPr>
          <w:rFonts w:cs="Times New Roman"/>
          <w:color w:val="FF0000"/>
          <w:szCs w:val="32"/>
        </w:rPr>
        <w:br w:type="page"/>
      </w:r>
    </w:p>
    <w:p>
      <w:pPr>
        <w:ind w:firstLine="0" w:firstLineChars="0"/>
        <w:jc w:val="center"/>
        <w:rPr>
          <w:rFonts w:eastAsia="黑体" w:cs="Times New Roman"/>
          <w:b/>
          <w:bCs/>
          <w:szCs w:val="32"/>
        </w:rPr>
      </w:pPr>
      <w:r>
        <w:rPr>
          <w:rFonts w:eastAsia="黑体" w:cs="Times New Roman"/>
          <w:b/>
          <w:bCs/>
          <w:szCs w:val="32"/>
        </w:rPr>
        <w:t>附表3  应急队伍统计及分布表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119"/>
        <w:gridCol w:w="1275"/>
        <w:gridCol w:w="993"/>
        <w:gridCol w:w="992"/>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704"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序号</w:t>
            </w:r>
          </w:p>
        </w:tc>
        <w:tc>
          <w:tcPr>
            <w:tcW w:w="3119"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类型</w:t>
            </w:r>
          </w:p>
        </w:tc>
        <w:tc>
          <w:tcPr>
            <w:tcW w:w="1275"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人数</w:t>
            </w:r>
          </w:p>
        </w:tc>
        <w:tc>
          <w:tcPr>
            <w:tcW w:w="993" w:type="dxa"/>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负责人</w:t>
            </w:r>
          </w:p>
        </w:tc>
        <w:tc>
          <w:tcPr>
            <w:tcW w:w="992"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职务</w:t>
            </w:r>
          </w:p>
        </w:tc>
        <w:tc>
          <w:tcPr>
            <w:tcW w:w="1751" w:type="dxa"/>
            <w:noWrap/>
            <w:vAlign w:val="center"/>
          </w:tcPr>
          <w:p>
            <w:pPr>
              <w:ind w:firstLine="0" w:firstLineChars="0"/>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spacing w:line="300" w:lineRule="exact"/>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龙凤镇专职消防救援队伍</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3</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唐奎</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队长</w:t>
            </w:r>
          </w:p>
        </w:tc>
        <w:tc>
          <w:tcPr>
            <w:tcW w:w="17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w:t>
            </w:r>
            <w:r>
              <w:rPr>
                <w:rFonts w:cs="Times New Roman"/>
                <w:color w:val="000000" w:themeColor="text1"/>
                <w:sz w:val="24"/>
                <w:szCs w:val="24"/>
                <w14:textFill>
                  <w14:solidFill>
                    <w14:schemeClr w14:val="tx1"/>
                  </w14:solidFill>
                </w14:textFill>
              </w:rPr>
              <w:t>3778720298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spacing w:line="300" w:lineRule="exact"/>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龙凤镇</w:t>
            </w:r>
            <w:r>
              <w:rPr>
                <w:rFonts w:cs="Times New Roman"/>
                <w:color w:val="000000" w:themeColor="text1"/>
                <w:sz w:val="24"/>
                <w:szCs w:val="24"/>
                <w14:textFill>
                  <w14:solidFill>
                    <w14:schemeClr w14:val="tx1"/>
                  </w14:solidFill>
                </w14:textFill>
              </w:rPr>
              <w:t>综合应急救援队伍</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42</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舒凡</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队长</w:t>
            </w:r>
          </w:p>
        </w:tc>
        <w:tc>
          <w:tcPr>
            <w:tcW w:w="17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w:t>
            </w:r>
            <w:r>
              <w:rPr>
                <w:rFonts w:cs="Times New Roman"/>
                <w:color w:val="000000" w:themeColor="text1"/>
                <w:sz w:val="24"/>
                <w:szCs w:val="24"/>
                <w14:textFill>
                  <w14:solidFill>
                    <w14:schemeClr w14:val="tx1"/>
                  </w14:solidFill>
                </w14:textFill>
              </w:rPr>
              <w:t>5982569159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2"/>
              </w:numPr>
              <w:ind w:firstLineChars="0"/>
              <w:jc w:val="center"/>
              <w:rPr>
                <w:rFonts w:cs="Times New Roman"/>
                <w:color w:val="000000" w:themeColor="text1"/>
                <w:sz w:val="24"/>
                <w:szCs w:val="24"/>
                <w14:textFill>
                  <w14:solidFill>
                    <w14:schemeClr w14:val="tx1"/>
                  </w14:solidFill>
                </w14:textFill>
              </w:rPr>
            </w:pPr>
          </w:p>
        </w:tc>
        <w:tc>
          <w:tcPr>
            <w:tcW w:w="3119" w:type="dxa"/>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老池</w:t>
            </w:r>
            <w:r>
              <w:rPr>
                <w:rFonts w:cs="Times New Roman"/>
                <w:color w:val="000000" w:themeColor="text1"/>
                <w:sz w:val="24"/>
                <w:szCs w:val="24"/>
                <w14:textFill>
                  <w14:solidFill>
                    <w14:schemeClr w14:val="tx1"/>
                  </w14:solidFill>
                </w14:textFill>
              </w:rPr>
              <w:t>镇综合应急救援队伍</w:t>
            </w:r>
          </w:p>
        </w:tc>
        <w:tc>
          <w:tcPr>
            <w:tcW w:w="1275"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2</w:t>
            </w:r>
            <w:r>
              <w:rPr>
                <w:rFonts w:cs="Times New Roman"/>
                <w:color w:val="000000" w:themeColor="text1"/>
                <w:sz w:val="24"/>
                <w:szCs w:val="24"/>
                <w14:textFill>
                  <w14:solidFill>
                    <w14:schemeClr w14:val="tx1"/>
                  </w14:solidFill>
                </w14:textFill>
              </w:rPr>
              <w:t>0</w:t>
            </w:r>
          </w:p>
        </w:tc>
        <w:tc>
          <w:tcPr>
            <w:tcW w:w="993" w:type="dxa"/>
            <w:tcBorders>
              <w:top w:val="nil"/>
              <w:left w:val="single" w:color="auto" w:sz="4" w:space="0"/>
              <w:bottom w:val="single" w:color="auto" w:sz="4" w:space="0"/>
              <w:right w:val="single" w:color="auto" w:sz="4" w:space="0"/>
            </w:tcBorders>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罗中金</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队长</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13808250822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ind w:firstLine="0" w:firstLineChars="0"/>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序号</w:t>
            </w:r>
          </w:p>
        </w:tc>
        <w:tc>
          <w:tcPr>
            <w:tcW w:w="3119" w:type="dxa"/>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类型</w:t>
            </w:r>
          </w:p>
        </w:tc>
        <w:tc>
          <w:tcPr>
            <w:tcW w:w="1275"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所属镇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人数</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负责人</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3"/>
              </w:numPr>
              <w:ind w:firstLineChars="0"/>
              <w:jc w:val="center"/>
              <w:rPr>
                <w:rFonts w:cs="Times New Roman"/>
                <w:color w:val="000000" w:themeColor="text1"/>
                <w:sz w:val="24"/>
                <w:szCs w:val="24"/>
                <w14:textFill>
                  <w14:solidFill>
                    <w14:schemeClr w14:val="tx1"/>
                  </w14:solidFill>
                </w14:textFill>
              </w:rPr>
            </w:pPr>
          </w:p>
        </w:tc>
        <w:tc>
          <w:tcPr>
            <w:tcW w:w="3119" w:type="dxa"/>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龙港</w:t>
            </w:r>
            <w:r>
              <w:rPr>
                <w:rFonts w:cs="Times New Roman"/>
                <w:color w:val="000000" w:themeColor="text1"/>
                <w:sz w:val="24"/>
                <w:szCs w:val="24"/>
                <w14:textFill>
                  <w14:solidFill>
                    <w14:schemeClr w14:val="tx1"/>
                  </w14:solidFill>
                </w14:textFill>
              </w:rPr>
              <w:t>社区综合应急救援分队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老池</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10</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唐志林</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18728503999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3"/>
              </w:numPr>
              <w:ind w:firstLineChars="0"/>
              <w:jc w:val="center"/>
              <w:rPr>
                <w:rFonts w:cs="Times New Roman"/>
                <w:color w:val="000000" w:themeColor="text1"/>
                <w:sz w:val="24"/>
                <w:szCs w:val="24"/>
                <w14:textFill>
                  <w14:solidFill>
                    <w14:schemeClr w14:val="tx1"/>
                  </w14:solidFill>
                </w14:textFill>
              </w:rPr>
            </w:pPr>
          </w:p>
        </w:tc>
        <w:tc>
          <w:tcPr>
            <w:tcW w:w="3119" w:type="dxa"/>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樊哙</w:t>
            </w:r>
            <w:r>
              <w:rPr>
                <w:rFonts w:hint="eastAsia" w:cs="Times New Roman"/>
                <w:color w:val="000000" w:themeColor="text1"/>
                <w:sz w:val="24"/>
                <w:szCs w:val="24"/>
                <w14:textFill>
                  <w14:solidFill>
                    <w14:schemeClr w14:val="tx1"/>
                  </w14:solidFill>
                </w14:textFill>
              </w:rPr>
              <w:t>山</w:t>
            </w:r>
            <w:r>
              <w:rPr>
                <w:rFonts w:cs="Times New Roman"/>
                <w:color w:val="000000" w:themeColor="text1"/>
                <w:sz w:val="24"/>
                <w:szCs w:val="24"/>
                <w14:textFill>
                  <w14:solidFill>
                    <w14:schemeClr w14:val="tx1"/>
                  </w14:solidFill>
                </w14:textFill>
              </w:rPr>
              <w:t>村综合应急救援分队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老池</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10</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陈红兵</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18682537476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3"/>
              </w:numPr>
              <w:ind w:firstLineChars="0"/>
              <w:jc w:val="center"/>
              <w:rPr>
                <w:rFonts w:cs="Times New Roman"/>
                <w:color w:val="000000" w:themeColor="text1"/>
                <w:sz w:val="24"/>
                <w:szCs w:val="24"/>
                <w14:textFill>
                  <w14:solidFill>
                    <w14:schemeClr w14:val="tx1"/>
                  </w14:solidFill>
                </w14:textFill>
              </w:rPr>
            </w:pPr>
          </w:p>
        </w:tc>
        <w:tc>
          <w:tcPr>
            <w:tcW w:w="3119" w:type="dxa"/>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双跃村</w:t>
            </w:r>
            <w:r>
              <w:rPr>
                <w:rFonts w:cs="Times New Roman"/>
                <w:color w:val="000000" w:themeColor="text1"/>
                <w:sz w:val="24"/>
                <w:szCs w:val="24"/>
                <w14:textFill>
                  <w14:solidFill>
                    <w14:schemeClr w14:val="tx1"/>
                  </w14:solidFill>
                </w14:textFill>
              </w:rPr>
              <w:t>综合应急救援分队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老池</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10</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吴昌斌</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15082589000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3"/>
              </w:numPr>
              <w:ind w:firstLineChars="0"/>
              <w:jc w:val="center"/>
              <w:rPr>
                <w:rFonts w:cs="Times New Roman"/>
                <w:color w:val="000000" w:themeColor="text1"/>
                <w:sz w:val="24"/>
                <w:szCs w:val="24"/>
                <w14:textFill>
                  <w14:solidFill>
                    <w14:schemeClr w14:val="tx1"/>
                  </w14:solidFill>
                </w14:textFill>
              </w:rPr>
            </w:pPr>
          </w:p>
        </w:tc>
        <w:tc>
          <w:tcPr>
            <w:tcW w:w="3119" w:type="dxa"/>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花园村</w:t>
            </w:r>
            <w:r>
              <w:rPr>
                <w:rFonts w:cs="Times New Roman"/>
                <w:color w:val="000000" w:themeColor="text1"/>
                <w:sz w:val="24"/>
                <w:szCs w:val="24"/>
                <w14:textFill>
                  <w14:solidFill>
                    <w14:schemeClr w14:val="tx1"/>
                  </w14:solidFill>
                </w14:textFill>
              </w:rPr>
              <w:t>综合应急救援分队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老池</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10</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魏帅</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13551164975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3"/>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铜锣村</w:t>
            </w:r>
            <w:r>
              <w:rPr>
                <w:rFonts w:cs="Times New Roman"/>
                <w:color w:val="000000" w:themeColor="text1"/>
                <w:sz w:val="24"/>
                <w:szCs w:val="24"/>
                <w14:textFill>
                  <w14:solidFill>
                    <w14:schemeClr w14:val="tx1"/>
                  </w14:solidFill>
                </w14:textFill>
              </w:rPr>
              <w:t>综合应急救援分队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老池</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10</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陶文标</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18982561177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3"/>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福龙村</w:t>
            </w:r>
            <w:r>
              <w:rPr>
                <w:rFonts w:cs="Times New Roman"/>
                <w:color w:val="000000" w:themeColor="text1"/>
                <w:sz w:val="24"/>
                <w:szCs w:val="24"/>
                <w14:textFill>
                  <w14:solidFill>
                    <w14:schemeClr w14:val="tx1"/>
                  </w14:solidFill>
                </w14:textFill>
              </w:rPr>
              <w:t>综合应急救援分队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老池</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10</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卢红</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13882556363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3"/>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金凤村</w:t>
            </w:r>
            <w:r>
              <w:rPr>
                <w:rFonts w:cs="Times New Roman"/>
                <w:color w:val="000000" w:themeColor="text1"/>
                <w:sz w:val="24"/>
                <w:szCs w:val="24"/>
                <w14:textFill>
                  <w14:solidFill>
                    <w14:schemeClr w14:val="tx1"/>
                  </w14:solidFill>
                </w14:textFill>
              </w:rPr>
              <w:t>综合应急救援分队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老池</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10</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雷明金</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13882510033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3"/>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龙泉村</w:t>
            </w:r>
            <w:r>
              <w:rPr>
                <w:rFonts w:cs="Times New Roman"/>
                <w:color w:val="000000" w:themeColor="text1"/>
                <w:sz w:val="24"/>
                <w:szCs w:val="24"/>
                <w14:textFill>
                  <w14:solidFill>
                    <w14:schemeClr w14:val="tx1"/>
                  </w14:solidFill>
                </w14:textFill>
              </w:rPr>
              <w:t>综合应急救援分队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老池</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10</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魏雪林</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15082585328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3"/>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芋禾村</w:t>
            </w:r>
            <w:r>
              <w:rPr>
                <w:rFonts w:cs="Times New Roman"/>
                <w:color w:val="000000" w:themeColor="text1"/>
                <w:sz w:val="24"/>
                <w:szCs w:val="24"/>
                <w14:textFill>
                  <w14:solidFill>
                    <w14:schemeClr w14:val="tx1"/>
                  </w14:solidFill>
                </w14:textFill>
              </w:rPr>
              <w:t>综合应急救援分队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老池</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10</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王成亮</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13219206218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3"/>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响水洞村</w:t>
            </w:r>
            <w:r>
              <w:rPr>
                <w:rFonts w:cs="Times New Roman"/>
                <w:color w:val="000000" w:themeColor="text1"/>
                <w:sz w:val="24"/>
                <w:szCs w:val="24"/>
                <w14:textFill>
                  <w14:solidFill>
                    <w14:schemeClr w14:val="tx1"/>
                  </w14:solidFill>
                </w14:textFill>
              </w:rPr>
              <w:t>综合应急救援分队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老池</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10</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彭慧</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13518362945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3"/>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金盆村</w:t>
            </w:r>
            <w:r>
              <w:rPr>
                <w:rFonts w:cs="Times New Roman"/>
                <w:color w:val="000000" w:themeColor="text1"/>
                <w:sz w:val="24"/>
                <w:szCs w:val="24"/>
                <w14:textFill>
                  <w14:solidFill>
                    <w14:schemeClr w14:val="tx1"/>
                  </w14:solidFill>
                </w14:textFill>
              </w:rPr>
              <w:t>综合应急救援分队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老池</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10</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吕二虎</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15390329610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3"/>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书院村</w:t>
            </w:r>
            <w:r>
              <w:rPr>
                <w:rFonts w:cs="Times New Roman"/>
                <w:color w:val="000000" w:themeColor="text1"/>
                <w:sz w:val="24"/>
                <w:szCs w:val="24"/>
                <w14:textFill>
                  <w14:solidFill>
                    <w14:schemeClr w14:val="tx1"/>
                  </w14:solidFill>
                </w14:textFill>
              </w:rPr>
              <w:t>综合应急救援分队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老池</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10</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夏宁波</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18683811053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3"/>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黄桷村</w:t>
            </w:r>
            <w:r>
              <w:rPr>
                <w:rFonts w:cs="Times New Roman"/>
                <w:color w:val="000000" w:themeColor="text1"/>
                <w:sz w:val="24"/>
                <w:szCs w:val="24"/>
                <w14:textFill>
                  <w14:solidFill>
                    <w14:schemeClr w14:val="tx1"/>
                  </w14:solidFill>
                </w14:textFill>
              </w:rPr>
              <w:t>综合应急救援分队</w:t>
            </w:r>
          </w:p>
        </w:tc>
        <w:tc>
          <w:tcPr>
            <w:tcW w:w="1275" w:type="dxa"/>
            <w:tcBorders>
              <w:top w:val="nil"/>
              <w:left w:val="single" w:color="auto" w:sz="4" w:space="0"/>
              <w:bottom w:val="single" w:color="auto" w:sz="4" w:space="0"/>
              <w:right w:val="single" w:color="auto" w:sz="4" w:space="0"/>
            </w:tcBorders>
            <w:shd w:val="clear" w:color="auto" w:fill="auto"/>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老池</w:t>
            </w:r>
            <w:r>
              <w:rPr>
                <w:rFonts w:cs="Times New Roman"/>
                <w:color w:val="000000" w:themeColor="text1"/>
                <w:sz w:val="24"/>
                <w:szCs w:val="24"/>
                <w14:textFill>
                  <w14:solidFill>
                    <w14:schemeClr w14:val="tx1"/>
                  </w14:solidFill>
                </w14:textFill>
              </w:rPr>
              <w:t>镇</w:t>
            </w:r>
          </w:p>
        </w:tc>
        <w:tc>
          <w:tcPr>
            <w:tcW w:w="993" w:type="dxa"/>
            <w:tcBorders>
              <w:top w:val="nil"/>
              <w:left w:val="single" w:color="auto" w:sz="4" w:space="0"/>
              <w:bottom w:val="single" w:color="auto" w:sz="4" w:space="0"/>
              <w:right w:val="single" w:color="auto" w:sz="4" w:space="0"/>
            </w:tcBorders>
            <w:shd w:val="clear" w:color="auto" w:fill="auto"/>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10</w:t>
            </w:r>
          </w:p>
        </w:tc>
        <w:tc>
          <w:tcPr>
            <w:tcW w:w="992"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杨坤太</w:t>
            </w:r>
          </w:p>
        </w:tc>
        <w:tc>
          <w:tcPr>
            <w:tcW w:w="1751"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13568708522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3"/>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定宝村</w:t>
            </w:r>
            <w:r>
              <w:rPr>
                <w:rFonts w:cs="Times New Roman"/>
                <w:color w:val="000000" w:themeColor="text1"/>
                <w:sz w:val="24"/>
                <w:szCs w:val="24"/>
                <w14:textFill>
                  <w14:solidFill>
                    <w14:schemeClr w14:val="tx1"/>
                  </w14:solidFill>
                </w14:textFill>
              </w:rPr>
              <w:t>综合应急救援分队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龙凤</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10</w:t>
            </w:r>
          </w:p>
        </w:tc>
        <w:tc>
          <w:tcPr>
            <w:tcW w:w="992" w:type="dxa"/>
            <w:noWrap/>
            <w:vAlign w:val="center"/>
          </w:tcPr>
          <w:p>
            <w:pPr>
              <w:ind w:firstLine="0" w:firstLineChars="0"/>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陈涛</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w:t>
            </w:r>
            <w:r>
              <w:rPr>
                <w:rFonts w:cs="Times New Roman"/>
                <w:color w:val="000000" w:themeColor="text1"/>
                <w:sz w:val="24"/>
                <w:szCs w:val="24"/>
                <w14:textFill>
                  <w14:solidFill>
                    <w14:schemeClr w14:val="tx1"/>
                  </w14:solidFill>
                </w14:textFill>
              </w:rPr>
              <w:t>3568701183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3"/>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棕树村</w:t>
            </w:r>
            <w:r>
              <w:rPr>
                <w:rFonts w:cs="Times New Roman"/>
                <w:color w:val="000000" w:themeColor="text1"/>
                <w:sz w:val="24"/>
                <w:szCs w:val="24"/>
                <w14:textFill>
                  <w14:solidFill>
                    <w14:schemeClr w14:val="tx1"/>
                  </w14:solidFill>
                </w14:textFill>
              </w:rPr>
              <w:t>综合应急救援分队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龙凤</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15</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陈建</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w:t>
            </w:r>
            <w:r>
              <w:rPr>
                <w:rFonts w:cs="Times New Roman"/>
                <w:color w:val="000000" w:themeColor="text1"/>
                <w:sz w:val="24"/>
                <w:szCs w:val="24"/>
                <w14:textFill>
                  <w14:solidFill>
                    <w14:schemeClr w14:val="tx1"/>
                  </w14:solidFill>
                </w14:textFill>
              </w:rPr>
              <w:t>5244943888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3"/>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寨子村</w:t>
            </w:r>
            <w:r>
              <w:rPr>
                <w:rFonts w:cs="Times New Roman"/>
                <w:color w:val="000000" w:themeColor="text1"/>
                <w:sz w:val="24"/>
                <w:szCs w:val="24"/>
                <w14:textFill>
                  <w14:solidFill>
                    <w14:schemeClr w14:val="tx1"/>
                  </w14:solidFill>
                </w14:textFill>
              </w:rPr>
              <w:t>综合应急救援分队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龙凤</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10</w:t>
            </w:r>
          </w:p>
        </w:tc>
        <w:tc>
          <w:tcPr>
            <w:tcW w:w="992"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陈礼超</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w:t>
            </w:r>
            <w:r>
              <w:rPr>
                <w:rFonts w:cs="Times New Roman"/>
                <w:color w:val="000000" w:themeColor="text1"/>
                <w:sz w:val="24"/>
                <w:szCs w:val="24"/>
                <w14:textFill>
                  <w14:solidFill>
                    <w14:schemeClr w14:val="tx1"/>
                  </w14:solidFill>
                </w14:textFill>
              </w:rPr>
              <w:t>8682517976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pStyle w:val="49"/>
              <w:numPr>
                <w:ilvl w:val="0"/>
                <w:numId w:val="3"/>
              </w:numPr>
              <w:ind w:firstLineChars="0"/>
              <w:jc w:val="center"/>
              <w:rPr>
                <w:rFonts w:cs="Times New Roman"/>
                <w:color w:val="000000" w:themeColor="text1"/>
                <w:sz w:val="24"/>
                <w:szCs w:val="24"/>
                <w14:textFill>
                  <w14:solidFill>
                    <w14:schemeClr w14:val="tx1"/>
                  </w14:solidFill>
                </w14:textFill>
              </w:rPr>
            </w:pPr>
          </w:p>
        </w:tc>
        <w:tc>
          <w:tcPr>
            <w:tcW w:w="3119"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复兴社区</w:t>
            </w:r>
            <w:r>
              <w:rPr>
                <w:rFonts w:cs="Times New Roman"/>
                <w:color w:val="000000" w:themeColor="text1"/>
                <w:sz w:val="24"/>
                <w:szCs w:val="24"/>
                <w14:textFill>
                  <w14:solidFill>
                    <w14:schemeClr w14:val="tx1"/>
                  </w14:solidFill>
                </w14:textFill>
              </w:rPr>
              <w:t>综合应急救援分队</w:t>
            </w:r>
          </w:p>
        </w:tc>
        <w:tc>
          <w:tcPr>
            <w:tcW w:w="1275"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龙凤</w:t>
            </w:r>
            <w:r>
              <w:rPr>
                <w:rFonts w:cs="Times New Roman"/>
                <w:color w:val="000000" w:themeColor="text1"/>
                <w:sz w:val="24"/>
                <w:szCs w:val="24"/>
                <w14:textFill>
                  <w14:solidFill>
                    <w14:schemeClr w14:val="tx1"/>
                  </w14:solidFill>
                </w14:textFill>
              </w:rPr>
              <w:t>镇</w:t>
            </w:r>
          </w:p>
        </w:tc>
        <w:tc>
          <w:tcPr>
            <w:tcW w:w="993" w:type="dxa"/>
          </w:tcPr>
          <w:p>
            <w:pPr>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15</w:t>
            </w:r>
          </w:p>
        </w:tc>
        <w:tc>
          <w:tcPr>
            <w:tcW w:w="992" w:type="dxa"/>
            <w:noWrap/>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牟行兵</w:t>
            </w:r>
          </w:p>
        </w:tc>
        <w:tc>
          <w:tcPr>
            <w:tcW w:w="1751" w:type="dxa"/>
            <w:noWrap/>
            <w:vAlign w:val="center"/>
          </w:tcPr>
          <w:p>
            <w:pPr>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w:t>
            </w:r>
            <w:r>
              <w:rPr>
                <w:rFonts w:cs="Times New Roman"/>
                <w:color w:val="000000" w:themeColor="text1"/>
                <w:sz w:val="24"/>
                <w:szCs w:val="24"/>
                <w14:textFill>
                  <w14:solidFill>
                    <w14:schemeClr w14:val="tx1"/>
                  </w14:solidFill>
                </w14:textFill>
              </w:rPr>
              <w:t>3882511768</w:t>
            </w:r>
          </w:p>
        </w:tc>
      </w:tr>
    </w:tbl>
    <w:p>
      <w:pPr>
        <w:ind w:firstLine="640"/>
        <w:jc w:val="center"/>
        <w:rPr>
          <w:rFonts w:cs="Times New Roman"/>
          <w:color w:val="FF0000"/>
          <w:szCs w:val="32"/>
        </w:rPr>
      </w:pPr>
    </w:p>
    <w:p>
      <w:pPr>
        <w:pStyle w:val="2"/>
        <w:ind w:firstLine="420"/>
      </w:pPr>
      <w:r>
        <w:br w:type="page"/>
      </w:r>
    </w:p>
    <w:p>
      <w:pPr>
        <w:ind w:firstLine="0" w:firstLineChars="0"/>
        <w:jc w:val="center"/>
        <w:rPr>
          <w:rFonts w:eastAsia="黑体" w:cs="Times New Roman"/>
          <w:b/>
          <w:bCs/>
          <w:szCs w:val="32"/>
        </w:rPr>
      </w:pPr>
      <w:r>
        <w:rPr>
          <w:rFonts w:eastAsia="黑体" w:cs="Times New Roman"/>
          <w:b/>
          <w:bCs/>
          <w:szCs w:val="32"/>
        </w:rPr>
        <w:t>附表4  应急救援装备、物资统计及分布表</w:t>
      </w:r>
    </w:p>
    <w:tbl>
      <w:tblPr>
        <w:tblStyle w:val="22"/>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850"/>
        <w:gridCol w:w="851"/>
        <w:gridCol w:w="1984"/>
        <w:gridCol w:w="1985"/>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储备物资</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单位</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hint="eastAsia" w:cs="Times New Roman"/>
                <w:sz w:val="24"/>
                <w:szCs w:val="24"/>
              </w:rPr>
              <w:t>老池</w:t>
            </w:r>
            <w:r>
              <w:rPr>
                <w:rFonts w:cs="Times New Roman"/>
                <w:sz w:val="24"/>
                <w:szCs w:val="24"/>
              </w:rPr>
              <w:t>镇应急物资贮备库</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hint="eastAsia" w:cs="Times New Roman"/>
                <w:sz w:val="24"/>
                <w:szCs w:val="24"/>
              </w:rPr>
              <w:t>龙凤镇</w:t>
            </w:r>
            <w:r>
              <w:rPr>
                <w:rFonts w:cs="Times New Roman"/>
                <w:sz w:val="24"/>
                <w:szCs w:val="24"/>
              </w:rPr>
              <w:t>应急物资贮备库</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6662" w:type="dxa"/>
          <w:trHeight w:val="285" w:hRule="atLeast"/>
          <w:jc w:val="center"/>
        </w:trPr>
        <w:tc>
          <w:tcPr>
            <w:tcW w:w="1555" w:type="dxa"/>
          </w:tcPr>
          <w:p>
            <w:pPr>
              <w:widowControl/>
              <w:adjustRightInd w:val="0"/>
              <w:snapToGrid w:val="0"/>
              <w:spacing w:line="240" w:lineRule="auto"/>
              <w:ind w:firstLine="0" w:firstLineChars="0"/>
              <w:jc w:val="left"/>
              <w:rPr>
                <w:rFonts w:cs="Times New Roman"/>
                <w:sz w:val="24"/>
                <w:szCs w:val="24"/>
              </w:rPr>
            </w:pPr>
            <w:r>
              <w:rPr>
                <w:rFonts w:hint="eastAsia" w:cs="Times New Roman"/>
                <w:sz w:val="24"/>
                <w:szCs w:val="24"/>
              </w:rPr>
              <w:t>生活类物资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left"/>
              <w:rPr>
                <w:rFonts w:cs="Times New Roman"/>
                <w:sz w:val="24"/>
                <w:szCs w:val="24"/>
              </w:rPr>
            </w:pPr>
            <w:r>
              <w:rPr>
                <w:rFonts w:cs="Times New Roman"/>
                <w:sz w:val="24"/>
                <w:szCs w:val="24"/>
              </w:rPr>
              <w:t>其中：救灾帐篷</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顶</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10</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16</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left"/>
              <w:rPr>
                <w:rFonts w:cs="Times New Roman"/>
                <w:sz w:val="24"/>
                <w:szCs w:val="24"/>
              </w:rPr>
            </w:pPr>
            <w:r>
              <w:rPr>
                <w:rFonts w:cs="Times New Roman"/>
                <w:sz w:val="24"/>
                <w:szCs w:val="24"/>
              </w:rPr>
              <w:t>棉被</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床</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30</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left"/>
              <w:rPr>
                <w:rFonts w:cs="Times New Roman"/>
                <w:sz w:val="24"/>
                <w:szCs w:val="24"/>
              </w:rPr>
            </w:pPr>
            <w:r>
              <w:rPr>
                <w:rFonts w:cs="Times New Roman"/>
                <w:sz w:val="24"/>
                <w:szCs w:val="24"/>
              </w:rPr>
              <w:t>棉衣、棉大衣</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件</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60</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left"/>
              <w:rPr>
                <w:rFonts w:cs="Times New Roman"/>
                <w:sz w:val="24"/>
                <w:szCs w:val="24"/>
              </w:rPr>
            </w:pPr>
            <w:r>
              <w:rPr>
                <w:rFonts w:cs="Times New Roman"/>
                <w:sz w:val="24"/>
                <w:szCs w:val="24"/>
              </w:rPr>
              <w:t>毛巾被</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床</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left"/>
              <w:rPr>
                <w:rFonts w:cs="Times New Roman"/>
                <w:sz w:val="24"/>
                <w:szCs w:val="24"/>
              </w:rPr>
            </w:pPr>
            <w:r>
              <w:rPr>
                <w:rFonts w:cs="Times New Roman"/>
                <w:sz w:val="24"/>
                <w:szCs w:val="24"/>
              </w:rPr>
              <w:t>毛毯</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件</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left"/>
              <w:rPr>
                <w:rFonts w:cs="Times New Roman"/>
                <w:sz w:val="24"/>
                <w:szCs w:val="24"/>
              </w:rPr>
            </w:pPr>
            <w:r>
              <w:rPr>
                <w:rFonts w:cs="Times New Roman"/>
                <w:sz w:val="24"/>
                <w:szCs w:val="24"/>
              </w:rPr>
              <w:t>睡袋</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个</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left"/>
              <w:rPr>
                <w:rFonts w:cs="Times New Roman"/>
                <w:sz w:val="24"/>
                <w:szCs w:val="24"/>
              </w:rPr>
            </w:pPr>
            <w:r>
              <w:rPr>
                <w:rFonts w:cs="Times New Roman"/>
                <w:sz w:val="24"/>
                <w:szCs w:val="24"/>
              </w:rPr>
              <w:t>折叠床</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张</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60</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left"/>
              <w:rPr>
                <w:rFonts w:cs="Times New Roman"/>
                <w:sz w:val="24"/>
                <w:szCs w:val="24"/>
              </w:rPr>
            </w:pPr>
            <w:r>
              <w:rPr>
                <w:rFonts w:cs="Times New Roman"/>
                <w:sz w:val="24"/>
                <w:szCs w:val="24"/>
              </w:rPr>
              <w:t>简易厕所</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个</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left"/>
              <w:rPr>
                <w:rFonts w:cs="Times New Roman"/>
                <w:sz w:val="24"/>
                <w:szCs w:val="24"/>
              </w:rPr>
            </w:pPr>
            <w:r>
              <w:rPr>
                <w:rFonts w:cs="Times New Roman"/>
                <w:sz w:val="24"/>
                <w:szCs w:val="24"/>
              </w:rPr>
              <w:t>生活类物资折合金额</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万元</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1.1</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1</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6662" w:type="dxa"/>
          <w:trHeight w:val="285" w:hRule="atLeast"/>
          <w:jc w:val="center"/>
        </w:trPr>
        <w:tc>
          <w:tcPr>
            <w:tcW w:w="1555" w:type="dxa"/>
          </w:tcPr>
          <w:p>
            <w:pPr>
              <w:widowControl/>
              <w:adjustRightInd w:val="0"/>
              <w:snapToGrid w:val="0"/>
              <w:spacing w:line="240" w:lineRule="auto"/>
              <w:ind w:firstLine="0" w:firstLineChars="0"/>
              <w:jc w:val="left"/>
              <w:rPr>
                <w:rFonts w:cs="Times New Roman"/>
                <w:sz w:val="24"/>
                <w:szCs w:val="24"/>
              </w:rPr>
            </w:pPr>
            <w:r>
              <w:rPr>
                <w:rFonts w:hint="eastAsia" w:cs="Times New Roman"/>
                <w:sz w:val="24"/>
                <w:szCs w:val="24"/>
              </w:rPr>
              <w:t>救援类物资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left"/>
              <w:rPr>
                <w:rFonts w:cs="Times New Roman"/>
                <w:sz w:val="24"/>
                <w:szCs w:val="24"/>
              </w:rPr>
            </w:pPr>
            <w:r>
              <w:rPr>
                <w:rFonts w:cs="Times New Roman"/>
                <w:sz w:val="24"/>
                <w:szCs w:val="24"/>
              </w:rPr>
              <w:t>其中：橡皮船（艇）</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艘</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left"/>
              <w:rPr>
                <w:rFonts w:cs="Times New Roman"/>
                <w:sz w:val="24"/>
                <w:szCs w:val="24"/>
              </w:rPr>
            </w:pPr>
            <w:r>
              <w:rPr>
                <w:rFonts w:cs="Times New Roman"/>
                <w:sz w:val="24"/>
                <w:szCs w:val="24"/>
              </w:rPr>
              <w:t>冲锋舟</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艘</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left"/>
              <w:rPr>
                <w:rFonts w:cs="Times New Roman"/>
                <w:sz w:val="24"/>
                <w:szCs w:val="24"/>
              </w:rPr>
            </w:pPr>
            <w:r>
              <w:rPr>
                <w:rFonts w:cs="Times New Roman"/>
                <w:sz w:val="24"/>
                <w:szCs w:val="24"/>
              </w:rPr>
              <w:t>救生船</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艘</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left"/>
              <w:rPr>
                <w:rFonts w:cs="Times New Roman"/>
                <w:sz w:val="24"/>
                <w:szCs w:val="24"/>
              </w:rPr>
            </w:pPr>
            <w:r>
              <w:rPr>
                <w:rFonts w:cs="Times New Roman"/>
                <w:sz w:val="24"/>
                <w:szCs w:val="24"/>
              </w:rPr>
              <w:t>救生衣</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件</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78</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38</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left"/>
              <w:rPr>
                <w:rFonts w:cs="Times New Roman"/>
                <w:sz w:val="24"/>
                <w:szCs w:val="24"/>
              </w:rPr>
            </w:pPr>
            <w:r>
              <w:rPr>
                <w:rFonts w:cs="Times New Roman"/>
                <w:sz w:val="24"/>
                <w:szCs w:val="24"/>
              </w:rPr>
              <w:t>救生圈</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个</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10</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20</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hint="eastAsia" w:cs="Times New Roman"/>
                <w:sz w:val="24"/>
                <w:szCs w:val="24"/>
              </w:rPr>
              <w:t>3</w:t>
            </w:r>
            <w:r>
              <w:rPr>
                <w:rFonts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left"/>
              <w:rPr>
                <w:rFonts w:cs="Times New Roman"/>
                <w:sz w:val="24"/>
                <w:szCs w:val="24"/>
              </w:rPr>
            </w:pPr>
            <w:r>
              <w:rPr>
                <w:rFonts w:cs="Times New Roman"/>
                <w:sz w:val="24"/>
                <w:szCs w:val="24"/>
              </w:rPr>
              <w:t>编织袋</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个</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500</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200</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left"/>
              <w:rPr>
                <w:rFonts w:cs="Times New Roman"/>
                <w:sz w:val="24"/>
                <w:szCs w:val="24"/>
              </w:rPr>
            </w:pPr>
            <w:r>
              <w:rPr>
                <w:rFonts w:cs="Times New Roman"/>
                <w:sz w:val="24"/>
                <w:szCs w:val="24"/>
              </w:rPr>
              <w:t>麻袋</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个</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left"/>
              <w:rPr>
                <w:rFonts w:cs="Times New Roman"/>
                <w:sz w:val="24"/>
                <w:szCs w:val="24"/>
              </w:rPr>
            </w:pPr>
            <w:r>
              <w:rPr>
                <w:rFonts w:cs="Times New Roman"/>
                <w:sz w:val="24"/>
                <w:szCs w:val="24"/>
              </w:rPr>
              <w:t>抽水泵</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个</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1</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1</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left"/>
              <w:rPr>
                <w:rFonts w:cs="Times New Roman"/>
                <w:sz w:val="24"/>
                <w:szCs w:val="24"/>
              </w:rPr>
            </w:pPr>
            <w:r>
              <w:rPr>
                <w:rFonts w:cs="Times New Roman"/>
                <w:sz w:val="24"/>
                <w:szCs w:val="24"/>
              </w:rPr>
              <w:t>救援类物资折合金额</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万元</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0.54</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hint="eastAsia" w:cs="Times New Roman"/>
                <w:sz w:val="24"/>
                <w:szCs w:val="24"/>
              </w:rPr>
              <w:t>1</w:t>
            </w:r>
            <w:r>
              <w:rPr>
                <w:rFonts w:cs="Times New Roman"/>
                <w:sz w:val="24"/>
                <w:szCs w:val="24"/>
              </w:rPr>
              <w:t>.2</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6662" w:type="dxa"/>
          <w:trHeight w:val="285" w:hRule="atLeast"/>
          <w:jc w:val="center"/>
        </w:trPr>
        <w:tc>
          <w:tcPr>
            <w:tcW w:w="1555" w:type="dxa"/>
          </w:tcPr>
          <w:p>
            <w:pPr>
              <w:widowControl/>
              <w:adjustRightInd w:val="0"/>
              <w:snapToGrid w:val="0"/>
              <w:spacing w:line="240" w:lineRule="auto"/>
              <w:ind w:firstLine="0" w:firstLineChars="0"/>
              <w:jc w:val="left"/>
              <w:rPr>
                <w:rFonts w:cs="Times New Roman"/>
                <w:sz w:val="24"/>
                <w:szCs w:val="24"/>
              </w:rPr>
            </w:pPr>
            <w:r>
              <w:rPr>
                <w:rFonts w:hint="eastAsia" w:cs="Times New Roman"/>
                <w:sz w:val="24"/>
                <w:szCs w:val="24"/>
              </w:rPr>
              <w:t>其他物资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left"/>
              <w:rPr>
                <w:rFonts w:cs="Times New Roman"/>
                <w:sz w:val="24"/>
                <w:szCs w:val="24"/>
              </w:rPr>
            </w:pPr>
            <w:r>
              <w:rPr>
                <w:rFonts w:cs="Times New Roman"/>
                <w:sz w:val="24"/>
                <w:szCs w:val="24"/>
              </w:rPr>
              <w:t>其中：发电机</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台</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1</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1</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left"/>
              <w:rPr>
                <w:rFonts w:cs="Times New Roman"/>
                <w:sz w:val="24"/>
                <w:szCs w:val="24"/>
              </w:rPr>
            </w:pPr>
            <w:r>
              <w:rPr>
                <w:rFonts w:cs="Times New Roman"/>
                <w:sz w:val="24"/>
                <w:szCs w:val="24"/>
              </w:rPr>
              <w:t>应急灯</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盏</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2</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45</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05" w:type="dxa"/>
            <w:gridSpan w:val="2"/>
            <w:shd w:val="clear" w:color="auto" w:fill="auto"/>
            <w:vAlign w:val="center"/>
          </w:tcPr>
          <w:p>
            <w:pPr>
              <w:widowControl/>
              <w:adjustRightInd w:val="0"/>
              <w:snapToGrid w:val="0"/>
              <w:spacing w:line="240" w:lineRule="auto"/>
              <w:ind w:firstLine="0" w:firstLineChars="0"/>
              <w:jc w:val="left"/>
              <w:rPr>
                <w:rFonts w:cs="Times New Roman"/>
                <w:sz w:val="24"/>
                <w:szCs w:val="24"/>
              </w:rPr>
            </w:pPr>
            <w:r>
              <w:rPr>
                <w:rFonts w:cs="Times New Roman"/>
                <w:sz w:val="24"/>
                <w:szCs w:val="24"/>
              </w:rPr>
              <w:t>其他物资折合金额</w:t>
            </w:r>
          </w:p>
        </w:tc>
        <w:tc>
          <w:tcPr>
            <w:tcW w:w="851"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万元</w:t>
            </w:r>
          </w:p>
        </w:tc>
        <w:tc>
          <w:tcPr>
            <w:tcW w:w="1984"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0.10</w:t>
            </w:r>
          </w:p>
        </w:tc>
        <w:tc>
          <w:tcPr>
            <w:tcW w:w="1985"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1.12</w:t>
            </w:r>
          </w:p>
        </w:tc>
        <w:tc>
          <w:tcPr>
            <w:tcW w:w="992" w:type="dxa"/>
            <w:shd w:val="clear" w:color="auto" w:fill="auto"/>
            <w:vAlign w:val="center"/>
          </w:tcPr>
          <w:p>
            <w:pPr>
              <w:widowControl/>
              <w:adjustRightInd w:val="0"/>
              <w:snapToGrid w:val="0"/>
              <w:spacing w:line="240" w:lineRule="auto"/>
              <w:ind w:firstLine="0" w:firstLineChars="0"/>
              <w:jc w:val="center"/>
              <w:rPr>
                <w:rFonts w:cs="Times New Roman"/>
                <w:sz w:val="24"/>
                <w:szCs w:val="24"/>
              </w:rPr>
            </w:pPr>
            <w:r>
              <w:rPr>
                <w:rFonts w:cs="Times New Roman"/>
                <w:sz w:val="24"/>
                <w:szCs w:val="24"/>
              </w:rPr>
              <w:t>1.22</w:t>
            </w:r>
          </w:p>
        </w:tc>
      </w:tr>
    </w:tbl>
    <w:p>
      <w:pPr>
        <w:pStyle w:val="2"/>
        <w:ind w:firstLine="420"/>
      </w:pPr>
    </w:p>
    <w:p>
      <w:pPr>
        <w:ind w:firstLine="640"/>
        <w:jc w:val="center"/>
        <w:rPr>
          <w:rFonts w:cs="Times New Roman"/>
          <w:color w:val="FF0000"/>
          <w:szCs w:val="32"/>
        </w:rPr>
      </w:pPr>
    </w:p>
    <w:p>
      <w:pPr>
        <w:pStyle w:val="2"/>
        <w:ind w:firstLine="420"/>
      </w:pPr>
      <w:r>
        <w:br w:type="page"/>
      </w:r>
    </w:p>
    <w:p>
      <w:pPr>
        <w:ind w:firstLine="640"/>
        <w:jc w:val="center"/>
        <w:rPr>
          <w:rFonts w:cs="Times New Roman"/>
          <w:color w:val="FF0000"/>
          <w:szCs w:val="32"/>
        </w:rPr>
        <w:sectPr>
          <w:pgSz w:w="11906" w:h="16838"/>
          <w:pgMar w:top="2098" w:right="1474" w:bottom="1985" w:left="1588" w:header="851" w:footer="992" w:gutter="0"/>
          <w:cols w:space="425" w:num="1"/>
          <w:docGrid w:type="lines" w:linePitch="435" w:charSpace="0"/>
        </w:sectPr>
      </w:pPr>
    </w:p>
    <w:p>
      <w:pPr>
        <w:ind w:firstLine="4818" w:firstLineChars="1500"/>
        <w:rPr>
          <w:rFonts w:eastAsia="黑体" w:cs="Times New Roman"/>
          <w:b/>
          <w:bCs/>
          <w:szCs w:val="32"/>
        </w:rPr>
      </w:pPr>
      <w:r>
        <w:rPr>
          <w:rFonts w:eastAsia="黑体" w:cs="Times New Roman"/>
          <w:b/>
          <w:bCs/>
          <w:szCs w:val="32"/>
        </w:rPr>
        <w:t>附表5  应急管理用地现状和规划用地指标</w:t>
      </w:r>
    </w:p>
    <w:tbl>
      <w:tblPr>
        <w:tblStyle w:val="23"/>
        <w:tblW w:w="47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3195"/>
        <w:gridCol w:w="1526"/>
        <w:gridCol w:w="2722"/>
        <w:gridCol w:w="2271"/>
        <w:gridCol w:w="1704"/>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blHeader/>
          <w:jc w:val="center"/>
        </w:trPr>
        <w:tc>
          <w:tcPr>
            <w:tcW w:w="224" w:type="pct"/>
            <w:vAlign w:val="center"/>
          </w:tcPr>
          <w:p>
            <w:pPr>
              <w:widowControl/>
              <w:adjustRightInd w:val="0"/>
              <w:spacing w:line="240" w:lineRule="exact"/>
              <w:ind w:firstLine="0" w:firstLineChars="0"/>
              <w:contextualSpacing/>
              <w:jc w:val="center"/>
              <w:textAlignment w:val="center"/>
              <w:rPr>
                <w:rFonts w:cs="Times New Roman"/>
                <w:b/>
                <w:bCs/>
                <w:color w:val="000000" w:themeColor="text1"/>
                <w:kern w:val="0"/>
                <w:sz w:val="24"/>
                <w:szCs w:val="24"/>
                <w:lang w:bidi="ar"/>
                <w14:textFill>
                  <w14:solidFill>
                    <w14:schemeClr w14:val="tx1"/>
                  </w14:solidFill>
                </w14:textFill>
              </w:rPr>
            </w:pPr>
            <w:bookmarkStart w:id="78" w:name="_Hlk107182437"/>
            <w:r>
              <w:rPr>
                <w:rFonts w:cs="Times New Roman"/>
                <w:b/>
                <w:bCs/>
                <w:color w:val="000000" w:themeColor="text1"/>
                <w:kern w:val="0"/>
                <w:sz w:val="24"/>
                <w:szCs w:val="24"/>
                <w:lang w:bidi="ar"/>
                <w14:textFill>
                  <w14:solidFill>
                    <w14:schemeClr w14:val="tx1"/>
                  </w14:solidFill>
                </w14:textFill>
              </w:rPr>
              <w:t>序号</w:t>
            </w:r>
          </w:p>
        </w:tc>
        <w:tc>
          <w:tcPr>
            <w:tcW w:w="1189" w:type="pct"/>
            <w:vAlign w:val="center"/>
          </w:tcPr>
          <w:p>
            <w:pPr>
              <w:widowControl/>
              <w:adjustRightInd w:val="0"/>
              <w:spacing w:line="240" w:lineRule="exact"/>
              <w:ind w:firstLine="0" w:firstLineChars="0"/>
              <w:contextualSpacing/>
              <w:jc w:val="center"/>
              <w:textAlignment w:val="center"/>
              <w:rPr>
                <w:rFonts w:cs="Times New Roman"/>
                <w:b/>
                <w:bCs/>
                <w:color w:val="000000" w:themeColor="text1"/>
                <w:kern w:val="0"/>
                <w:sz w:val="24"/>
                <w:szCs w:val="24"/>
                <w:lang w:bidi="ar"/>
                <w14:textFill>
                  <w14:solidFill>
                    <w14:schemeClr w14:val="tx1"/>
                  </w14:solidFill>
                </w14:textFill>
              </w:rPr>
            </w:pPr>
            <w:r>
              <w:rPr>
                <w:rFonts w:cs="Times New Roman"/>
                <w:b/>
                <w:bCs/>
                <w:color w:val="000000" w:themeColor="text1"/>
                <w:kern w:val="0"/>
                <w:sz w:val="24"/>
                <w:szCs w:val="24"/>
                <w:lang w:bidi="ar"/>
                <w14:textFill>
                  <w14:solidFill>
                    <w14:schemeClr w14:val="tx1"/>
                  </w14:solidFill>
                </w14:textFill>
              </w:rPr>
              <w:t>项目名称</w:t>
            </w:r>
          </w:p>
        </w:tc>
        <w:tc>
          <w:tcPr>
            <w:tcW w:w="568" w:type="pct"/>
            <w:vAlign w:val="center"/>
          </w:tcPr>
          <w:p>
            <w:pPr>
              <w:widowControl/>
              <w:adjustRightInd w:val="0"/>
              <w:spacing w:line="240" w:lineRule="exact"/>
              <w:ind w:firstLine="0" w:firstLineChars="0"/>
              <w:contextualSpacing/>
              <w:jc w:val="center"/>
              <w:textAlignment w:val="center"/>
              <w:rPr>
                <w:rFonts w:cs="Times New Roman"/>
                <w:b/>
                <w:bCs/>
                <w:color w:val="000000" w:themeColor="text1"/>
                <w:kern w:val="0"/>
                <w:sz w:val="24"/>
                <w:szCs w:val="24"/>
                <w:lang w:bidi="ar"/>
                <w14:textFill>
                  <w14:solidFill>
                    <w14:schemeClr w14:val="tx1"/>
                  </w14:solidFill>
                </w14:textFill>
              </w:rPr>
            </w:pPr>
            <w:r>
              <w:rPr>
                <w:rFonts w:cs="Times New Roman"/>
                <w:b/>
                <w:bCs/>
                <w:color w:val="000000" w:themeColor="text1"/>
                <w:kern w:val="0"/>
                <w:sz w:val="24"/>
                <w:szCs w:val="24"/>
                <w:lang w:bidi="ar"/>
                <w14:textFill>
                  <w14:solidFill>
                    <w14:schemeClr w14:val="tx1"/>
                  </w14:solidFill>
                </w14:textFill>
              </w:rPr>
              <w:t>所属镇</w:t>
            </w:r>
          </w:p>
        </w:tc>
        <w:tc>
          <w:tcPr>
            <w:tcW w:w="1013" w:type="pct"/>
            <w:vAlign w:val="center"/>
          </w:tcPr>
          <w:p>
            <w:pPr>
              <w:widowControl/>
              <w:adjustRightInd w:val="0"/>
              <w:spacing w:line="240" w:lineRule="exact"/>
              <w:ind w:firstLine="0" w:firstLineChars="0"/>
              <w:contextualSpacing/>
              <w:jc w:val="center"/>
              <w:textAlignment w:val="center"/>
              <w:rPr>
                <w:rFonts w:cs="Times New Roman"/>
                <w:b/>
                <w:bCs/>
                <w:color w:val="000000" w:themeColor="text1"/>
                <w:kern w:val="0"/>
                <w:sz w:val="24"/>
                <w:szCs w:val="24"/>
                <w:lang w:bidi="ar"/>
                <w14:textFill>
                  <w14:solidFill>
                    <w14:schemeClr w14:val="tx1"/>
                  </w14:solidFill>
                </w14:textFill>
              </w:rPr>
            </w:pPr>
            <w:r>
              <w:rPr>
                <w:rFonts w:cs="Times New Roman"/>
                <w:b/>
                <w:bCs/>
                <w:color w:val="000000" w:themeColor="text1"/>
                <w:kern w:val="0"/>
                <w:sz w:val="24"/>
                <w:szCs w:val="24"/>
                <w:lang w:bidi="ar"/>
                <w14:textFill>
                  <w14:solidFill>
                    <w14:schemeClr w14:val="tx1"/>
                  </w14:solidFill>
                </w14:textFill>
              </w:rPr>
              <w:t>用途</w:t>
            </w:r>
          </w:p>
        </w:tc>
        <w:tc>
          <w:tcPr>
            <w:tcW w:w="845" w:type="pct"/>
            <w:vAlign w:val="center"/>
          </w:tcPr>
          <w:p>
            <w:pPr>
              <w:widowControl/>
              <w:adjustRightInd w:val="0"/>
              <w:spacing w:line="240" w:lineRule="exact"/>
              <w:ind w:firstLine="0" w:firstLineChars="0"/>
              <w:contextualSpacing/>
              <w:jc w:val="center"/>
              <w:textAlignment w:val="center"/>
              <w:rPr>
                <w:rFonts w:cs="Times New Roman"/>
                <w:b/>
                <w:bCs/>
                <w:color w:val="000000" w:themeColor="text1"/>
                <w:kern w:val="0"/>
                <w:sz w:val="24"/>
                <w:szCs w:val="24"/>
                <w:lang w:bidi="ar"/>
                <w14:textFill>
                  <w14:solidFill>
                    <w14:schemeClr w14:val="tx1"/>
                  </w14:solidFill>
                </w14:textFill>
              </w:rPr>
            </w:pPr>
            <w:r>
              <w:rPr>
                <w:rFonts w:cs="Times New Roman"/>
                <w:b/>
                <w:bCs/>
                <w:color w:val="000000" w:themeColor="text1"/>
                <w:kern w:val="0"/>
                <w:sz w:val="24"/>
                <w:szCs w:val="24"/>
                <w:lang w:bidi="ar"/>
                <w14:textFill>
                  <w14:solidFill>
                    <w14:schemeClr w14:val="tx1"/>
                  </w14:solidFill>
                </w14:textFill>
              </w:rPr>
              <w:t>用地类型</w:t>
            </w:r>
          </w:p>
        </w:tc>
        <w:tc>
          <w:tcPr>
            <w:tcW w:w="634" w:type="pct"/>
            <w:vAlign w:val="center"/>
          </w:tcPr>
          <w:p>
            <w:pPr>
              <w:widowControl/>
              <w:adjustRightInd w:val="0"/>
              <w:spacing w:line="240" w:lineRule="exact"/>
              <w:ind w:firstLine="0" w:firstLineChars="0"/>
              <w:contextualSpacing/>
              <w:jc w:val="center"/>
              <w:textAlignment w:val="center"/>
              <w:rPr>
                <w:rFonts w:cs="Times New Roman"/>
                <w:b/>
                <w:bCs/>
                <w:color w:val="000000" w:themeColor="text1"/>
                <w:kern w:val="0"/>
                <w:sz w:val="24"/>
                <w:szCs w:val="24"/>
                <w:lang w:bidi="ar"/>
                <w14:textFill>
                  <w14:solidFill>
                    <w14:schemeClr w14:val="tx1"/>
                  </w14:solidFill>
                </w14:textFill>
              </w:rPr>
            </w:pPr>
            <w:r>
              <w:rPr>
                <w:rFonts w:cs="Times New Roman"/>
                <w:b/>
                <w:bCs/>
                <w:color w:val="000000" w:themeColor="text1"/>
                <w:kern w:val="0"/>
                <w:sz w:val="24"/>
                <w:szCs w:val="24"/>
                <w:lang w:bidi="ar"/>
                <w14:textFill>
                  <w14:solidFill>
                    <w14:schemeClr w14:val="tx1"/>
                  </w14:solidFill>
                </w14:textFill>
              </w:rPr>
              <w:t>用地规模（m</w:t>
            </w:r>
            <w:r>
              <w:rPr>
                <w:rFonts w:cs="Times New Roman"/>
                <w:b/>
                <w:bCs/>
                <w:color w:val="000000" w:themeColor="text1"/>
                <w:kern w:val="0"/>
                <w:sz w:val="24"/>
                <w:szCs w:val="24"/>
                <w:vertAlign w:val="superscript"/>
                <w:lang w:bidi="ar"/>
                <w14:textFill>
                  <w14:solidFill>
                    <w14:schemeClr w14:val="tx1"/>
                  </w14:solidFill>
                </w14:textFill>
              </w:rPr>
              <w:t>2</w:t>
            </w:r>
            <w:r>
              <w:rPr>
                <w:rFonts w:cs="Times New Roman"/>
                <w:b/>
                <w:bCs/>
                <w:color w:val="000000" w:themeColor="text1"/>
                <w:kern w:val="0"/>
                <w:sz w:val="24"/>
                <w:szCs w:val="24"/>
                <w:lang w:bidi="ar"/>
                <w14:textFill>
                  <w14:solidFill>
                    <w14:schemeClr w14:val="tx1"/>
                  </w14:solidFill>
                </w14:textFill>
              </w:rPr>
              <w:t>）</w:t>
            </w:r>
          </w:p>
        </w:tc>
        <w:tc>
          <w:tcPr>
            <w:tcW w:w="526" w:type="pct"/>
            <w:vAlign w:val="center"/>
          </w:tcPr>
          <w:p>
            <w:pPr>
              <w:widowControl/>
              <w:adjustRightInd w:val="0"/>
              <w:spacing w:line="240" w:lineRule="exact"/>
              <w:ind w:firstLine="0" w:firstLineChars="0"/>
              <w:contextualSpacing/>
              <w:jc w:val="center"/>
              <w:textAlignment w:val="center"/>
              <w:rPr>
                <w:rFonts w:cs="Times New Roman"/>
                <w:b/>
                <w:bCs/>
                <w:color w:val="000000" w:themeColor="text1"/>
                <w:kern w:val="0"/>
                <w:sz w:val="24"/>
                <w:szCs w:val="24"/>
                <w:lang w:bidi="ar"/>
                <w14:textFill>
                  <w14:solidFill>
                    <w14:schemeClr w14:val="tx1"/>
                  </w14:solidFill>
                </w14:textFill>
              </w:rPr>
            </w:pPr>
            <w:r>
              <w:rPr>
                <w:rFonts w:cs="Times New Roman"/>
                <w:b/>
                <w:bCs/>
                <w:color w:val="000000" w:themeColor="text1"/>
                <w:kern w:val="0"/>
                <w:sz w:val="24"/>
                <w:szCs w:val="24"/>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老池镇应急指挥中心</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老池镇</w:t>
            </w:r>
          </w:p>
        </w:tc>
        <w:tc>
          <w:tcPr>
            <w:tcW w:w="1013"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hint="eastAsia" w:cs="Times New Roman"/>
                <w:sz w:val="24"/>
                <w:szCs w:val="24"/>
              </w:rPr>
              <w:t>指挥调度</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2</w:t>
            </w:r>
            <w:r>
              <w:rPr>
                <w:rFonts w:cs="Times New Roman"/>
                <w:sz w:val="24"/>
                <w:szCs w:val="24"/>
              </w:rPr>
              <w:t>00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芋禾小学校</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老池镇</w:t>
            </w:r>
          </w:p>
        </w:tc>
        <w:tc>
          <w:tcPr>
            <w:tcW w:w="1013"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1677/50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老池学校</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4390</w:t>
            </w:r>
            <w:r>
              <w:rPr>
                <w:rFonts w:hint="eastAsia" w:cs="Times New Roman"/>
                <w:sz w:val="24"/>
                <w:szCs w:val="24"/>
              </w:rPr>
              <w:t>/</w:t>
            </w:r>
            <w:r>
              <w:rPr>
                <w:rFonts w:cs="Times New Roman"/>
                <w:sz w:val="24"/>
                <w:szCs w:val="24"/>
              </w:rPr>
              <w:t>50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三新学校</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6490/50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三新幼儿园</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5033/50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镇中心小学</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6506/50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镇中心幼儿园</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14</w:t>
            </w:r>
            <w:r>
              <w:rPr>
                <w:rFonts w:hint="eastAsia" w:cs="Times New Roman"/>
                <w:sz w:val="24"/>
                <w:szCs w:val="24"/>
              </w:rPr>
              <w:t>00</w:t>
            </w:r>
            <w:r>
              <w:rPr>
                <w:rFonts w:cs="Times New Roman"/>
                <w:sz w:val="24"/>
                <w:szCs w:val="24"/>
              </w:rPr>
              <w:t>/50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复桥初级中学</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龙凤镇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8737/50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复桥小学</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龙凤镇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8450/50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widowControl/>
              <w:adjustRightInd w:val="0"/>
              <w:spacing w:line="240" w:lineRule="exact"/>
              <w:ind w:firstLine="0" w:firstLineChars="0"/>
              <w:contextualSpacing/>
              <w:jc w:val="center"/>
              <w:rPr>
                <w:rFonts w:cs="Times New Roman"/>
                <w:sz w:val="24"/>
                <w:szCs w:val="24"/>
              </w:rPr>
            </w:pPr>
            <w:r>
              <w:rPr>
                <w:rFonts w:hint="eastAsia" w:cs="Times New Roman"/>
                <w:color w:val="000000" w:themeColor="text1"/>
                <w:sz w:val="24"/>
                <w:szCs w:val="24"/>
                <w14:textFill>
                  <w14:solidFill>
                    <w14:schemeClr w14:val="tx1"/>
                  </w14:solidFill>
                </w14:textFill>
              </w:rPr>
              <w:t>龙港</w:t>
            </w:r>
            <w:r>
              <w:rPr>
                <w:rFonts w:cs="Times New Roman"/>
                <w:color w:val="000000" w:themeColor="text1"/>
                <w:sz w:val="24"/>
                <w:szCs w:val="24"/>
                <w14:textFill>
                  <w14:solidFill>
                    <w14:schemeClr w14:val="tx1"/>
                  </w14:solidFill>
                </w14:textFill>
              </w:rPr>
              <w:t>社区</w:t>
            </w:r>
            <w:r>
              <w:rPr>
                <w:rFonts w:hint="eastAsia" w:cs="Times New Roman"/>
                <w:color w:val="000000" w:themeColor="text1"/>
                <w:sz w:val="24"/>
                <w:szCs w:val="24"/>
                <w14:textFill>
                  <w14:solidFill>
                    <w14:schemeClr w14:val="tx1"/>
                  </w14:solidFill>
                </w14:textFill>
              </w:rPr>
              <w:t>居民委员会</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230/20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widowControl/>
              <w:adjustRightInd w:val="0"/>
              <w:spacing w:line="240" w:lineRule="exact"/>
              <w:ind w:firstLine="0" w:firstLineChars="0"/>
              <w:contextualSpacing/>
              <w:jc w:val="center"/>
              <w:rPr>
                <w:rFonts w:cs="Times New Roman"/>
                <w:sz w:val="24"/>
                <w:szCs w:val="24"/>
              </w:rPr>
            </w:pPr>
            <w:r>
              <w:rPr>
                <w:rFonts w:cs="Times New Roman"/>
                <w:color w:val="000000" w:themeColor="text1"/>
                <w:sz w:val="24"/>
                <w:szCs w:val="24"/>
                <w14:textFill>
                  <w14:solidFill>
                    <w14:schemeClr w14:val="tx1"/>
                  </w14:solidFill>
                </w14:textFill>
              </w:rPr>
              <w:t>樊哙</w:t>
            </w:r>
            <w:r>
              <w:rPr>
                <w:rFonts w:hint="eastAsia" w:cs="Times New Roman"/>
                <w:color w:val="000000" w:themeColor="text1"/>
                <w:sz w:val="24"/>
                <w:szCs w:val="24"/>
                <w14:textFill>
                  <w14:solidFill>
                    <w14:schemeClr w14:val="tx1"/>
                  </w14:solidFill>
                </w14:textFill>
              </w:rPr>
              <w:t>山</w:t>
            </w:r>
            <w:r>
              <w:rPr>
                <w:rFonts w:cs="Times New Roman"/>
                <w:color w:val="000000" w:themeColor="text1"/>
                <w:sz w:val="24"/>
                <w:szCs w:val="24"/>
                <w14:textFill>
                  <w14:solidFill>
                    <w14:schemeClr w14:val="tx1"/>
                  </w14:solidFill>
                </w14:textFill>
              </w:rPr>
              <w:t>村</w:t>
            </w:r>
            <w:r>
              <w:rPr>
                <w:rFonts w:hint="eastAsia" w:cs="Times New Roman"/>
                <w:color w:val="000000" w:themeColor="text1"/>
                <w:sz w:val="24"/>
                <w:szCs w:val="24"/>
                <w14:textFill>
                  <w14:solidFill>
                    <w14:schemeClr w14:val="tx1"/>
                  </w14:solidFill>
                </w14:textFill>
              </w:rPr>
              <w:t>村委会</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330/20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widowControl/>
              <w:adjustRightInd w:val="0"/>
              <w:spacing w:line="240" w:lineRule="exact"/>
              <w:ind w:firstLine="0" w:firstLineChars="0"/>
              <w:contextualSpacing/>
              <w:jc w:val="center"/>
              <w:rPr>
                <w:rFonts w:cs="Times New Roman"/>
                <w:sz w:val="24"/>
                <w:szCs w:val="24"/>
              </w:rPr>
            </w:pPr>
            <w:r>
              <w:rPr>
                <w:rFonts w:hint="eastAsia" w:cs="Times New Roman"/>
                <w:color w:val="000000" w:themeColor="text1"/>
                <w:sz w:val="24"/>
                <w:szCs w:val="24"/>
                <w14:textFill>
                  <w14:solidFill>
                    <w14:schemeClr w14:val="tx1"/>
                  </w14:solidFill>
                </w14:textFill>
              </w:rPr>
              <w:t>双跃村村委会</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254/20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widowControl/>
              <w:adjustRightInd w:val="0"/>
              <w:spacing w:line="240" w:lineRule="exact"/>
              <w:ind w:firstLine="0" w:firstLineChars="0"/>
              <w:contextualSpacing/>
              <w:jc w:val="center"/>
              <w:rPr>
                <w:rFonts w:cs="Times New Roman"/>
                <w:sz w:val="24"/>
                <w:szCs w:val="24"/>
              </w:rPr>
            </w:pPr>
            <w:r>
              <w:rPr>
                <w:rFonts w:hint="eastAsia" w:cs="Times New Roman"/>
                <w:color w:val="000000" w:themeColor="text1"/>
                <w:sz w:val="24"/>
                <w:szCs w:val="24"/>
                <w14:textFill>
                  <w14:solidFill>
                    <w14:schemeClr w14:val="tx1"/>
                  </w14:solidFill>
                </w14:textFill>
              </w:rPr>
              <w:t>花园村村委会</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150/20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color w:val="000000" w:themeColor="text1"/>
                <w:sz w:val="24"/>
                <w:szCs w:val="24"/>
                <w14:textFill>
                  <w14:solidFill>
                    <w14:schemeClr w14:val="tx1"/>
                  </w14:solidFill>
                </w14:textFill>
              </w:rPr>
              <w:t>铜锣村村委会</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150/20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color w:val="000000" w:themeColor="text1"/>
                <w:sz w:val="24"/>
                <w:szCs w:val="24"/>
                <w14:textFill>
                  <w14:solidFill>
                    <w14:schemeClr w14:val="tx1"/>
                  </w14:solidFill>
                </w14:textFill>
              </w:rPr>
              <w:t>福龙村村委会</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650/20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color w:val="000000" w:themeColor="text1"/>
                <w:sz w:val="24"/>
                <w:szCs w:val="24"/>
                <w14:textFill>
                  <w14:solidFill>
                    <w14:schemeClr w14:val="tx1"/>
                  </w14:solidFill>
                </w14:textFill>
              </w:rPr>
              <w:t>金凤村村委会</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265/20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color w:val="000000" w:themeColor="text1"/>
                <w:sz w:val="24"/>
                <w:szCs w:val="24"/>
                <w14:textFill>
                  <w14:solidFill>
                    <w14:schemeClr w14:val="tx1"/>
                  </w14:solidFill>
                </w14:textFill>
              </w:rPr>
              <w:t>龙泉村村委会</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200/20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color w:val="000000" w:themeColor="text1"/>
                <w:sz w:val="24"/>
                <w:szCs w:val="24"/>
                <w14:textFill>
                  <w14:solidFill>
                    <w14:schemeClr w14:val="tx1"/>
                  </w14:solidFill>
                </w14:textFill>
              </w:rPr>
              <w:t>芋禾村</w:t>
            </w:r>
            <w:r>
              <w:rPr>
                <w:rFonts w:cs="Times New Roman"/>
                <w:color w:val="000000" w:themeColor="text1"/>
                <w:sz w:val="24"/>
                <w:szCs w:val="24"/>
                <w14:textFill>
                  <w14:solidFill>
                    <w14:schemeClr w14:val="tx1"/>
                  </w14:solidFill>
                </w14:textFill>
              </w:rPr>
              <w:t>综</w:t>
            </w:r>
            <w:r>
              <w:rPr>
                <w:rFonts w:hint="eastAsia" w:cs="Times New Roman"/>
                <w:color w:val="000000" w:themeColor="text1"/>
                <w:sz w:val="24"/>
                <w:szCs w:val="24"/>
                <w14:textFill>
                  <w14:solidFill>
                    <w14:schemeClr w14:val="tx1"/>
                  </w14:solidFill>
                </w14:textFill>
              </w:rPr>
              <w:t>村委会</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500/20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color w:val="000000" w:themeColor="text1"/>
                <w:sz w:val="24"/>
                <w:szCs w:val="24"/>
                <w14:textFill>
                  <w14:solidFill>
                    <w14:schemeClr w14:val="tx1"/>
                  </w14:solidFill>
                </w14:textFill>
              </w:rPr>
              <w:t>响水洞村村委会</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260/20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color w:val="000000" w:themeColor="text1"/>
                <w:sz w:val="24"/>
                <w:szCs w:val="24"/>
                <w14:textFill>
                  <w14:solidFill>
                    <w14:schemeClr w14:val="tx1"/>
                  </w14:solidFill>
                </w14:textFill>
              </w:rPr>
              <w:t>金盆村村委会</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720/20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color w:val="000000" w:themeColor="text1"/>
                <w:sz w:val="24"/>
                <w:szCs w:val="24"/>
                <w14:textFill>
                  <w14:solidFill>
                    <w14:schemeClr w14:val="tx1"/>
                  </w14:solidFill>
                </w14:textFill>
              </w:rPr>
              <w:t>书院村村委会</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410/20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color w:val="000000" w:themeColor="text1"/>
                <w:sz w:val="24"/>
                <w:szCs w:val="24"/>
                <w14:textFill>
                  <w14:solidFill>
                    <w14:schemeClr w14:val="tx1"/>
                  </w14:solidFill>
                </w14:textFill>
              </w:rPr>
              <w:t>黄桷村村委会</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老池镇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150/20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color w:val="000000" w:themeColor="text1"/>
                <w:sz w:val="24"/>
                <w:szCs w:val="24"/>
                <w14:textFill>
                  <w14:solidFill>
                    <w14:schemeClr w14:val="tx1"/>
                  </w14:solidFill>
                </w14:textFill>
              </w:rPr>
              <w:t>定宝村村委会</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龙凤</w:t>
            </w:r>
            <w:r>
              <w:rPr>
                <w:rFonts w:cs="Times New Roman"/>
                <w:sz w:val="24"/>
                <w:szCs w:val="24"/>
              </w:rPr>
              <w:t>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300/20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color w:val="000000" w:themeColor="text1"/>
                <w:sz w:val="24"/>
                <w:szCs w:val="24"/>
                <w14:textFill>
                  <w14:solidFill>
                    <w14:schemeClr w14:val="tx1"/>
                  </w14:solidFill>
                </w14:textFill>
              </w:rPr>
              <w:t>棕树村村委会</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龙凤</w:t>
            </w:r>
            <w:r>
              <w:rPr>
                <w:rFonts w:cs="Times New Roman"/>
                <w:sz w:val="24"/>
                <w:szCs w:val="24"/>
              </w:rPr>
              <w:t>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400/20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color w:val="000000" w:themeColor="text1"/>
                <w:sz w:val="24"/>
                <w:szCs w:val="24"/>
                <w14:textFill>
                  <w14:solidFill>
                    <w14:schemeClr w14:val="tx1"/>
                  </w14:solidFill>
                </w14:textFill>
              </w:rPr>
              <w:t>寨子村村委会</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龙凤</w:t>
            </w:r>
            <w:r>
              <w:rPr>
                <w:rFonts w:cs="Times New Roman"/>
                <w:sz w:val="24"/>
                <w:szCs w:val="24"/>
              </w:rPr>
              <w:t>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200/20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24" w:type="pct"/>
            <w:vAlign w:val="center"/>
          </w:tcPr>
          <w:p>
            <w:pPr>
              <w:pStyle w:val="49"/>
              <w:widowControl/>
              <w:numPr>
                <w:ilvl w:val="0"/>
                <w:numId w:val="4"/>
              </w:numPr>
              <w:adjustRightInd w:val="0"/>
              <w:spacing w:line="240" w:lineRule="exact"/>
              <w:ind w:firstLineChars="0"/>
              <w:contextualSpacing/>
              <w:jc w:val="center"/>
              <w:textAlignment w:val="center"/>
              <w:rPr>
                <w:rFonts w:cs="Times New Roman"/>
                <w:sz w:val="24"/>
                <w:szCs w:val="24"/>
              </w:rPr>
            </w:pPr>
          </w:p>
        </w:tc>
        <w:tc>
          <w:tcPr>
            <w:tcW w:w="1189"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color w:val="000000" w:themeColor="text1"/>
                <w:sz w:val="24"/>
                <w:szCs w:val="24"/>
                <w14:textFill>
                  <w14:solidFill>
                    <w14:schemeClr w14:val="tx1"/>
                  </w14:solidFill>
                </w14:textFill>
              </w:rPr>
              <w:t>复兴社区居民委员会</w:t>
            </w:r>
          </w:p>
        </w:tc>
        <w:tc>
          <w:tcPr>
            <w:tcW w:w="568" w:type="pct"/>
            <w:vAlign w:val="center"/>
          </w:tcPr>
          <w:p>
            <w:pPr>
              <w:adjustRightInd w:val="0"/>
              <w:spacing w:line="240" w:lineRule="exact"/>
              <w:ind w:firstLine="0" w:firstLineChars="0"/>
              <w:contextualSpacing/>
              <w:jc w:val="center"/>
              <w:rPr>
                <w:rFonts w:cs="Times New Roman"/>
                <w:sz w:val="24"/>
                <w:szCs w:val="24"/>
              </w:rPr>
            </w:pPr>
            <w:r>
              <w:rPr>
                <w:rFonts w:hint="eastAsia" w:cs="Times New Roman"/>
                <w:sz w:val="24"/>
                <w:szCs w:val="24"/>
              </w:rPr>
              <w:t>龙凤</w:t>
            </w:r>
            <w:r>
              <w:rPr>
                <w:rFonts w:cs="Times New Roman"/>
                <w:sz w:val="24"/>
                <w:szCs w:val="24"/>
              </w:rPr>
              <w:t>镇</w:t>
            </w:r>
          </w:p>
        </w:tc>
        <w:tc>
          <w:tcPr>
            <w:tcW w:w="1013" w:type="pct"/>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应急避难场所</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物资储备库（点）</w:t>
            </w:r>
          </w:p>
        </w:tc>
        <w:tc>
          <w:tcPr>
            <w:tcW w:w="845" w:type="pct"/>
            <w:vAlign w:val="center"/>
          </w:tcPr>
          <w:p>
            <w:pPr>
              <w:widowControl/>
              <w:adjustRightInd w:val="0"/>
              <w:spacing w:line="240" w:lineRule="exact"/>
              <w:ind w:firstLine="0" w:firstLineChars="0"/>
              <w:contextualSpacing/>
              <w:jc w:val="center"/>
              <w:textAlignment w:val="center"/>
              <w:rPr>
                <w:rFonts w:cs="Times New Roman"/>
                <w:sz w:val="24"/>
                <w:szCs w:val="24"/>
              </w:rPr>
            </w:pPr>
            <w:r>
              <w:rPr>
                <w:rFonts w:cs="Times New Roman"/>
                <w:sz w:val="24"/>
                <w:szCs w:val="24"/>
              </w:rPr>
              <w:t>利旧</w:t>
            </w:r>
          </w:p>
        </w:tc>
        <w:tc>
          <w:tcPr>
            <w:tcW w:w="634" w:type="pct"/>
            <w:vAlign w:val="center"/>
          </w:tcPr>
          <w:p>
            <w:pPr>
              <w:adjustRightInd w:val="0"/>
              <w:spacing w:line="240" w:lineRule="exact"/>
              <w:ind w:firstLine="0" w:firstLineChars="0"/>
              <w:contextualSpacing/>
              <w:jc w:val="center"/>
              <w:rPr>
                <w:rFonts w:cs="Times New Roman"/>
                <w:sz w:val="24"/>
                <w:szCs w:val="24"/>
              </w:rPr>
            </w:pPr>
            <w:r>
              <w:rPr>
                <w:rFonts w:cs="Times New Roman"/>
                <w:sz w:val="24"/>
                <w:szCs w:val="24"/>
              </w:rPr>
              <w:t>200/20</w:t>
            </w:r>
          </w:p>
        </w:tc>
        <w:tc>
          <w:tcPr>
            <w:tcW w:w="526" w:type="pct"/>
            <w:vAlign w:val="center"/>
          </w:tcPr>
          <w:p>
            <w:pPr>
              <w:widowControl/>
              <w:adjustRightInd w:val="0"/>
              <w:spacing w:line="240" w:lineRule="exact"/>
              <w:ind w:firstLine="0" w:firstLineChars="0"/>
              <w:contextualSpacing/>
              <w:jc w:val="center"/>
              <w:textAlignment w:val="center"/>
              <w:rPr>
                <w:rFonts w:cs="Times New Roman"/>
                <w:sz w:val="24"/>
                <w:szCs w:val="24"/>
              </w:rPr>
            </w:pPr>
          </w:p>
        </w:tc>
      </w:tr>
      <w:bookmarkEnd w:id="78"/>
    </w:tbl>
    <w:p>
      <w:pPr>
        <w:ind w:firstLine="148" w:firstLineChars="62"/>
        <w:rPr>
          <w:rFonts w:cs="Times New Roman"/>
          <w:sz w:val="24"/>
          <w:szCs w:val="24"/>
        </w:rPr>
        <w:sectPr>
          <w:pgSz w:w="16838" w:h="11906" w:orient="landscape"/>
          <w:pgMar w:top="1800" w:right="1440" w:bottom="1800" w:left="1440" w:header="851" w:footer="992" w:gutter="0"/>
          <w:cols w:space="425" w:num="1"/>
          <w:docGrid w:type="lines" w:linePitch="435" w:charSpace="0"/>
        </w:sectPr>
      </w:pPr>
      <w:bookmarkStart w:id="79" w:name="_Toc106829488"/>
      <w:bookmarkStart w:id="80" w:name="_Toc3215"/>
    </w:p>
    <w:p>
      <w:pPr>
        <w:spacing w:line="240" w:lineRule="auto"/>
        <w:ind w:firstLine="0" w:firstLineChars="0"/>
        <w:jc w:val="center"/>
        <w:outlineLvl w:val="0"/>
        <w:rPr>
          <w:rFonts w:cs="Times New Roman"/>
        </w:rPr>
      </w:pPr>
      <w:r>
        <w:rPr>
          <w:rFonts w:eastAsia="黑体" w:cs="Times New Roman"/>
          <w:color w:val="000000" w:themeColor="text1"/>
          <w:szCs w:val="32"/>
          <w14:textFill>
            <w14:solidFill>
              <w14:schemeClr w14:val="tx1"/>
            </w14:solidFill>
          </w14:textFill>
        </w:rPr>
        <w:t>表6  重点工程项目统计表</w:t>
      </w:r>
    </w:p>
    <w:bookmarkEnd w:id="79"/>
    <w:bookmarkEnd w:id="80"/>
    <w:tbl>
      <w:tblPr>
        <w:tblStyle w:val="23"/>
        <w:tblpPr w:leftFromText="180" w:rightFromText="180" w:vertAnchor="text" w:horzAnchor="page" w:tblpXSpec="center" w:tblpY="535"/>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386"/>
        <w:gridCol w:w="1386"/>
        <w:gridCol w:w="5142"/>
        <w:gridCol w:w="1236"/>
        <w:gridCol w:w="963"/>
        <w:gridCol w:w="770"/>
        <w:gridCol w:w="808"/>
        <w:gridCol w:w="779"/>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281" w:type="pct"/>
            <w:vAlign w:val="center"/>
          </w:tcPr>
          <w:p>
            <w:pPr>
              <w:spacing w:line="240" w:lineRule="auto"/>
              <w:ind w:firstLine="0" w:firstLineChars="0"/>
              <w:jc w:val="center"/>
              <w:rPr>
                <w:rFonts w:cs="Times New Roman"/>
                <w:b/>
                <w:bCs/>
                <w:sz w:val="21"/>
                <w:szCs w:val="21"/>
              </w:rPr>
            </w:pPr>
            <w:r>
              <w:rPr>
                <w:rFonts w:cs="Times New Roman"/>
                <w:b/>
                <w:bCs/>
                <w:sz w:val="21"/>
                <w:szCs w:val="21"/>
              </w:rPr>
              <w:t>序号</w:t>
            </w:r>
          </w:p>
        </w:tc>
        <w:tc>
          <w:tcPr>
            <w:tcW w:w="489" w:type="pct"/>
            <w:vAlign w:val="center"/>
          </w:tcPr>
          <w:p>
            <w:pPr>
              <w:spacing w:line="240" w:lineRule="auto"/>
              <w:ind w:firstLine="0" w:firstLineChars="0"/>
              <w:jc w:val="center"/>
              <w:rPr>
                <w:rFonts w:cs="Times New Roman"/>
                <w:b/>
                <w:bCs/>
                <w:sz w:val="21"/>
                <w:szCs w:val="21"/>
              </w:rPr>
            </w:pPr>
            <w:r>
              <w:rPr>
                <w:rFonts w:cs="Times New Roman"/>
                <w:b/>
                <w:bCs/>
                <w:sz w:val="21"/>
                <w:szCs w:val="21"/>
              </w:rPr>
              <w:t>项目大类</w:t>
            </w:r>
          </w:p>
        </w:tc>
        <w:tc>
          <w:tcPr>
            <w:tcW w:w="489" w:type="pct"/>
            <w:vAlign w:val="center"/>
          </w:tcPr>
          <w:p>
            <w:pPr>
              <w:spacing w:line="240" w:lineRule="auto"/>
              <w:ind w:firstLine="0" w:firstLineChars="0"/>
              <w:jc w:val="center"/>
              <w:rPr>
                <w:rFonts w:cs="Times New Roman"/>
                <w:b/>
                <w:bCs/>
                <w:sz w:val="21"/>
                <w:szCs w:val="21"/>
              </w:rPr>
            </w:pPr>
            <w:r>
              <w:rPr>
                <w:rFonts w:cs="Times New Roman"/>
                <w:b/>
                <w:bCs/>
                <w:sz w:val="21"/>
                <w:szCs w:val="21"/>
              </w:rPr>
              <w:t>项目小类</w:t>
            </w:r>
          </w:p>
        </w:tc>
        <w:tc>
          <w:tcPr>
            <w:tcW w:w="1815" w:type="pct"/>
            <w:vAlign w:val="center"/>
          </w:tcPr>
          <w:p>
            <w:pPr>
              <w:spacing w:line="240" w:lineRule="auto"/>
              <w:ind w:firstLine="0" w:firstLineChars="0"/>
              <w:jc w:val="center"/>
              <w:rPr>
                <w:rFonts w:cs="Times New Roman"/>
                <w:b/>
                <w:bCs/>
                <w:sz w:val="21"/>
                <w:szCs w:val="21"/>
              </w:rPr>
            </w:pPr>
            <w:r>
              <w:rPr>
                <w:rFonts w:cs="Times New Roman"/>
                <w:b/>
                <w:bCs/>
                <w:sz w:val="21"/>
                <w:szCs w:val="21"/>
              </w:rPr>
              <w:t>建设内容</w:t>
            </w:r>
          </w:p>
        </w:tc>
        <w:tc>
          <w:tcPr>
            <w:tcW w:w="436" w:type="pct"/>
            <w:vAlign w:val="center"/>
          </w:tcPr>
          <w:p>
            <w:pPr>
              <w:spacing w:line="240" w:lineRule="auto"/>
              <w:ind w:firstLine="0" w:firstLineChars="0"/>
              <w:jc w:val="center"/>
              <w:rPr>
                <w:rFonts w:cs="Times New Roman"/>
                <w:b/>
                <w:bCs/>
                <w:sz w:val="21"/>
                <w:szCs w:val="21"/>
              </w:rPr>
            </w:pPr>
            <w:r>
              <w:rPr>
                <w:rFonts w:cs="Times New Roman"/>
                <w:b/>
                <w:bCs/>
                <w:sz w:val="21"/>
                <w:szCs w:val="21"/>
              </w:rPr>
              <w:t>建设地点</w:t>
            </w:r>
          </w:p>
        </w:tc>
        <w:tc>
          <w:tcPr>
            <w:tcW w:w="340" w:type="pct"/>
            <w:vAlign w:val="center"/>
          </w:tcPr>
          <w:p>
            <w:pPr>
              <w:spacing w:line="240" w:lineRule="auto"/>
              <w:ind w:firstLine="0" w:firstLineChars="0"/>
              <w:jc w:val="center"/>
              <w:rPr>
                <w:rFonts w:cs="Times New Roman"/>
                <w:b/>
                <w:bCs/>
                <w:sz w:val="21"/>
                <w:szCs w:val="21"/>
              </w:rPr>
            </w:pPr>
            <w:r>
              <w:rPr>
                <w:rFonts w:cs="Times New Roman"/>
                <w:b/>
                <w:bCs/>
                <w:sz w:val="21"/>
                <w:szCs w:val="21"/>
              </w:rPr>
              <w:t>用地量（m</w:t>
            </w:r>
            <w:r>
              <w:rPr>
                <w:rFonts w:cs="Times New Roman"/>
                <w:b/>
                <w:bCs/>
                <w:sz w:val="21"/>
                <w:szCs w:val="21"/>
                <w:vertAlign w:val="superscript"/>
              </w:rPr>
              <w:t>2</w:t>
            </w:r>
            <w:r>
              <w:rPr>
                <w:rFonts w:cs="Times New Roman"/>
                <w:b/>
                <w:bCs/>
                <w:sz w:val="21"/>
                <w:szCs w:val="21"/>
              </w:rPr>
              <w:t>）</w:t>
            </w:r>
          </w:p>
        </w:tc>
        <w:tc>
          <w:tcPr>
            <w:tcW w:w="272" w:type="pct"/>
            <w:vAlign w:val="center"/>
          </w:tcPr>
          <w:p>
            <w:pPr>
              <w:spacing w:line="240" w:lineRule="auto"/>
              <w:ind w:firstLine="0" w:firstLineChars="0"/>
              <w:jc w:val="center"/>
              <w:rPr>
                <w:rFonts w:cs="Times New Roman"/>
                <w:b/>
                <w:bCs/>
                <w:sz w:val="21"/>
                <w:szCs w:val="21"/>
              </w:rPr>
            </w:pPr>
            <w:r>
              <w:rPr>
                <w:rFonts w:cs="Times New Roman"/>
                <w:b/>
                <w:bCs/>
                <w:sz w:val="21"/>
                <w:szCs w:val="21"/>
              </w:rPr>
              <w:t>用地性质</w:t>
            </w:r>
          </w:p>
        </w:tc>
        <w:tc>
          <w:tcPr>
            <w:tcW w:w="285" w:type="pct"/>
            <w:vAlign w:val="center"/>
          </w:tcPr>
          <w:p>
            <w:pPr>
              <w:spacing w:line="240" w:lineRule="auto"/>
              <w:ind w:firstLine="0" w:firstLineChars="0"/>
              <w:jc w:val="center"/>
              <w:rPr>
                <w:rFonts w:cs="Times New Roman"/>
                <w:b/>
                <w:bCs/>
                <w:sz w:val="21"/>
                <w:szCs w:val="21"/>
              </w:rPr>
            </w:pPr>
            <w:r>
              <w:rPr>
                <w:rFonts w:cs="Times New Roman"/>
                <w:b/>
                <w:bCs/>
                <w:sz w:val="21"/>
                <w:szCs w:val="21"/>
              </w:rPr>
              <w:t>建设期限</w:t>
            </w:r>
          </w:p>
        </w:tc>
        <w:tc>
          <w:tcPr>
            <w:tcW w:w="275" w:type="pct"/>
            <w:vAlign w:val="center"/>
          </w:tcPr>
          <w:p>
            <w:pPr>
              <w:spacing w:line="240" w:lineRule="auto"/>
              <w:ind w:firstLine="0" w:firstLineChars="0"/>
              <w:jc w:val="center"/>
              <w:rPr>
                <w:rFonts w:cs="Times New Roman"/>
                <w:b/>
                <w:bCs/>
                <w:sz w:val="21"/>
                <w:szCs w:val="21"/>
              </w:rPr>
            </w:pPr>
            <w:r>
              <w:rPr>
                <w:rFonts w:cs="Times New Roman"/>
                <w:b/>
                <w:bCs/>
                <w:sz w:val="21"/>
                <w:szCs w:val="21"/>
              </w:rPr>
              <w:t>牵头单位</w:t>
            </w:r>
          </w:p>
        </w:tc>
        <w:tc>
          <w:tcPr>
            <w:tcW w:w="317" w:type="pct"/>
            <w:vAlign w:val="center"/>
          </w:tcPr>
          <w:p>
            <w:pPr>
              <w:spacing w:line="240" w:lineRule="auto"/>
              <w:ind w:firstLine="0" w:firstLineChars="0"/>
              <w:jc w:val="center"/>
              <w:rPr>
                <w:rFonts w:cs="Times New Roman"/>
                <w:b/>
                <w:bCs/>
                <w:sz w:val="21"/>
                <w:szCs w:val="21"/>
              </w:rPr>
            </w:pPr>
            <w:r>
              <w:rPr>
                <w:rFonts w:cs="Times New Roman"/>
                <w:b/>
                <w:bCs/>
                <w:sz w:val="21"/>
                <w:szCs w:val="21"/>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1</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应急管理重点工程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应急管理人员能力提升项目</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加强各镇应急管理人员、安全监管人员、各镇综合应急救援队伍、村（社区）应急救援分队、村（社区）网格员、灾害信息员等人员的综合能力，每年聘请专业人员培训不少于2次。</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老池镇、龙凤镇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区应急管理局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2</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安全生产风险防控重点工程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安全生产基础能力提升工程</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建设集智慧安防、智慧消防、安全隐患分布电子地图等为一体的安全监管平台，实现片区内安全信息化监管；在生产企业关键岗位、高危作业、特种作业等各环节建设在线视频监控及智能报警装置。</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老池镇、龙凤镇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区应急管理局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hint="eastAsia" w:cs="Times New Roman"/>
                <w:sz w:val="21"/>
                <w:szCs w:val="21"/>
              </w:rPr>
              <w:t>3</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安全生产风险防控重点工程</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重点行业领域安全监管服务</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通过政府购买专业技术服务，聘请行业领域专家辅助进行工贸、燃气、建筑施工、道路交通、消防等重点行业领域安全监管和隐患排查等工作。</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老池镇、龙凤镇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区应急管理局</w:t>
            </w:r>
          </w:p>
        </w:tc>
        <w:tc>
          <w:tcPr>
            <w:tcW w:w="317" w:type="pct"/>
            <w:vAlign w:val="center"/>
          </w:tcPr>
          <w:p>
            <w:pPr>
              <w:spacing w:line="240" w:lineRule="auto"/>
              <w:ind w:firstLine="0" w:firstLineChars="0"/>
              <w:jc w:val="center"/>
              <w:rPr>
                <w:rFonts w:cs="Times New Roman"/>
                <w:sz w:val="21"/>
                <w:szCs w:val="21"/>
              </w:rPr>
            </w:pPr>
            <w:r>
              <w:rPr>
                <w:rFonts w:hint="eastAsia" w:cs="Times New Roman"/>
                <w:sz w:val="21"/>
                <w:szCs w:val="21"/>
              </w:rPr>
              <w:t>2</w:t>
            </w:r>
            <w:r>
              <w:rPr>
                <w:rFonts w:cs="Times New Roman"/>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4</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安全生产风险防控重点工程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道路交通安全防护工程</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加强片区内国省道、县乡道穿村过镇、重要平交路口、急弯陡坡、临水临崖等路段安全整治和改造治理；</w:t>
            </w:r>
            <w:r>
              <w:rPr>
                <w:rFonts w:cs="Times New Roman"/>
                <w:sz w:val="21"/>
                <w:szCs w:val="21"/>
              </w:rPr>
              <w:t>在乡道、村道重点部位安装道路防护栏、防护网、凸镜、减速带、夜间照明，进展道路周边环境整治。</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老池镇、龙凤镇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区交通运输局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hint="eastAsia" w:cs="Times New Roman"/>
                <w:sz w:val="21"/>
                <w:szCs w:val="21"/>
              </w:rPr>
              <w:t>5</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安全生产风险防控重点工程</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自建房安全专项整治工程</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加强对片区内城乡所有自建房进行排查摸底，突出人员密集、涉及公共安全的经营性自建房安全隐患排查整治，全面摸清自建房基本情况，重点排查结构安全性（设计、施工、使用等情况）、经营安全性（相关经营许可、场所安全要求等落实情况）、房屋建设合法合规性（土地、规划、建设等手续办理情况）等内容，建立城镇房屋、农村房屋综合管理信息平台，逐一归集排查信息。</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老池镇、龙凤镇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hint="eastAsia" w:cs="Times New Roman"/>
                <w:sz w:val="21"/>
                <w:szCs w:val="21"/>
              </w:rPr>
              <w:t>区住房和城乡建设局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hint="eastAsia" w:cs="Times New Roman"/>
                <w:sz w:val="21"/>
                <w:szCs w:val="21"/>
              </w:rPr>
              <w:t>6</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安全生产风险防控重点工程</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燃气安全专项整治工程</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加强燃气安全检查，特别对加气站、供气管道、餐饮企业等燃气使用场所开展消防安全专项检查，重点对燃气设备安全性、消防设施配备、防火防电自动报警设施运行做好排查整治，加快老旧燃气管线更新改造，积极推动先进技术装备应用、监测预警系统建设、专业人才培养和城市监管中心建设运维。</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老池镇、龙凤镇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hint="eastAsia" w:cs="Times New Roman"/>
                <w:sz w:val="21"/>
                <w:szCs w:val="21"/>
              </w:rPr>
              <w:t>区住房和城乡建设局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9"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7</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自然灾害防治重点工程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防汛抗旱水利提升工程</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①在老池镇金盆村、芋禾村内，以原山坪塘为基础，新建2处小型水库，每处新增库容10万m</w:t>
            </w:r>
            <w:r>
              <w:rPr>
                <w:rFonts w:cs="Times New Roman"/>
                <w:sz w:val="21"/>
                <w:szCs w:val="21"/>
              </w:rPr>
              <w:t>³</w:t>
            </w:r>
            <w:r>
              <w:rPr>
                <w:rFonts w:hint="eastAsia" w:cs="Times New Roman"/>
                <w:sz w:val="21"/>
                <w:szCs w:val="21"/>
              </w:rPr>
              <w:t>。通过农村水利基本建设，新增和恢复蓄引提水能力。②实施大江大河堤防治理工程，推进老池镇大沙坝港区段、三新场镇及薛家坝段共24km防洪堤建设及岸线修复，龙凤镇涪江五桥至龙凤大白塔段3km防洪堤坝整治与建设。③</w:t>
            </w:r>
            <w:r>
              <w:rPr>
                <w:rFonts w:cs="Times New Roman"/>
                <w:sz w:val="21"/>
                <w:szCs w:val="21"/>
              </w:rPr>
              <w:t>响铃河老池乡老池村进行山洪灾害治理</w:t>
            </w:r>
            <w:r>
              <w:rPr>
                <w:rFonts w:hint="eastAsia" w:cs="Times New Roman"/>
                <w:sz w:val="21"/>
                <w:szCs w:val="21"/>
              </w:rPr>
              <w:t>，进一步提高船山区的防洪减灾能力</w:t>
            </w:r>
            <w:r>
              <w:rPr>
                <w:rFonts w:cs="Times New Roman"/>
                <w:sz w:val="21"/>
                <w:szCs w:val="21"/>
              </w:rPr>
              <w:t>。</w:t>
            </w:r>
            <w:r>
              <w:rPr>
                <w:rFonts w:hint="eastAsia" w:cs="Times New Roman"/>
                <w:sz w:val="21"/>
                <w:szCs w:val="21"/>
              </w:rPr>
              <w:t>④</w:t>
            </w:r>
            <w:r>
              <w:rPr>
                <w:rFonts w:cs="Times New Roman"/>
                <w:sz w:val="21"/>
                <w:szCs w:val="21"/>
              </w:rPr>
              <w:t>巩固提升山洪灾害监测预警能力，建立灾害群测群防体系及对片区内病害水库进行除险加固。</w:t>
            </w:r>
          </w:p>
          <w:p>
            <w:pPr>
              <w:spacing w:line="240" w:lineRule="auto"/>
              <w:ind w:firstLine="0" w:firstLineChars="0"/>
              <w:rPr>
                <w:rFonts w:cs="Times New Roman"/>
                <w:sz w:val="21"/>
                <w:szCs w:val="21"/>
              </w:rPr>
            </w:pP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老池镇、龙凤镇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区水利局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53000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8</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自然灾害防治重点工程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抗震防灾能力建设工程</w:t>
            </w:r>
          </w:p>
        </w:tc>
        <w:tc>
          <w:tcPr>
            <w:tcW w:w="1815" w:type="pct"/>
            <w:vAlign w:val="center"/>
          </w:tcPr>
          <w:p>
            <w:pPr>
              <w:spacing w:line="240" w:lineRule="auto"/>
              <w:ind w:firstLine="0" w:firstLineChars="0"/>
              <w:jc w:val="left"/>
              <w:rPr>
                <w:rFonts w:cs="Times New Roman"/>
                <w:sz w:val="21"/>
                <w:szCs w:val="21"/>
              </w:rPr>
            </w:pPr>
            <w:r>
              <w:rPr>
                <w:rFonts w:cs="Times New Roman"/>
                <w:sz w:val="21"/>
                <w:szCs w:val="21"/>
              </w:rPr>
              <w:t>逐年在片区重点部门（单位）以及学校、医院、养老院等人员密集型场所安置地震预警信息终端设施，结合镇级应急指挥中心平台或现有地震监测站平台建设覆盖片区的集地震监测、烈度速报、预警信息发布于一体地震监测预警信息平台系统。</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老池镇、龙凤镇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2035年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区应急管理局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9</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自然灾害防治重点工程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地质灾害综合防治工程</w:t>
            </w:r>
          </w:p>
        </w:tc>
        <w:tc>
          <w:tcPr>
            <w:tcW w:w="1815" w:type="pct"/>
            <w:vAlign w:val="center"/>
          </w:tcPr>
          <w:p>
            <w:pPr>
              <w:spacing w:line="240" w:lineRule="auto"/>
              <w:ind w:firstLine="0" w:firstLineChars="0"/>
              <w:jc w:val="left"/>
              <w:rPr>
                <w:rFonts w:cs="Times New Roman"/>
                <w:sz w:val="21"/>
                <w:szCs w:val="21"/>
              </w:rPr>
            </w:pPr>
            <w:r>
              <w:rPr>
                <w:rFonts w:cs="Times New Roman"/>
                <w:sz w:val="21"/>
                <w:szCs w:val="21"/>
              </w:rPr>
              <w:t>对片区内10处地质灾害隐患点，采用群测群防、避险搬迁、工程治理、排危除险、专业监测等多种方式开展综合防治。</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老池镇、龙凤镇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区自然资源规划局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8"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10</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自然灾害防治重点工程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防灭火宣传教育工程建设</w:t>
            </w:r>
          </w:p>
        </w:tc>
        <w:tc>
          <w:tcPr>
            <w:tcW w:w="1815" w:type="pct"/>
            <w:vAlign w:val="center"/>
          </w:tcPr>
          <w:p>
            <w:pPr>
              <w:spacing w:line="240" w:lineRule="auto"/>
              <w:ind w:firstLine="0" w:firstLineChars="0"/>
              <w:rPr>
                <w:rFonts w:cs="Times New Roman"/>
                <w:sz w:val="21"/>
                <w:szCs w:val="21"/>
              </w:rPr>
            </w:pPr>
            <w:r>
              <w:rPr>
                <w:rFonts w:cs="Times New Roman"/>
                <w:sz w:val="21"/>
                <w:szCs w:val="21"/>
              </w:rPr>
              <w:t>重点林区重点地段新建宣传牌、LED宣传教育警示屏，防火宣传手册，开展防火技能培训和防火演练，扑火队员轮换培训率达100%，重点林区、重点部位宣传警示设施覆盖率达95%。</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老池镇、龙凤镇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hint="eastAsia" w:cs="Times New Roman"/>
                <w:sz w:val="21"/>
                <w:szCs w:val="21"/>
              </w:rPr>
              <w:t>区自然资源规划局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281" w:type="pct"/>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1</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自然灾害防治重点工程</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森林防灭火基础设施建设</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片区各镇建设林火视频监控点各1处，IP广播音柱各1处。在片区内新建森林防火道路45.48公里，改建38.56公里，在老池镇芋禾村规划建设3个消防水池共计120m</w:t>
            </w:r>
            <w:r>
              <w:rPr>
                <w:rFonts w:hint="eastAsia" w:cs="Times New Roman"/>
                <w:sz w:val="21"/>
                <w:szCs w:val="21"/>
                <w:vertAlign w:val="superscript"/>
              </w:rPr>
              <w:t>2</w:t>
            </w:r>
            <w:r>
              <w:rPr>
                <w:rFonts w:hint="eastAsia" w:cs="Times New Roman"/>
                <w:sz w:val="21"/>
                <w:szCs w:val="21"/>
              </w:rPr>
              <w:t>。</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老池镇、龙凤镇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hint="eastAsia" w:cs="Times New Roman"/>
                <w:sz w:val="21"/>
                <w:szCs w:val="21"/>
              </w:rPr>
              <w:t>区自然资源规划局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12</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自然灾害防治重点工程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气象预测预报及气象应急保障体系能力提升</w:t>
            </w:r>
          </w:p>
        </w:tc>
        <w:tc>
          <w:tcPr>
            <w:tcW w:w="1815" w:type="pct"/>
            <w:vAlign w:val="center"/>
          </w:tcPr>
          <w:p>
            <w:pPr>
              <w:spacing w:line="240" w:lineRule="auto"/>
              <w:ind w:firstLine="0" w:firstLineChars="0"/>
              <w:jc w:val="left"/>
              <w:rPr>
                <w:rFonts w:cs="Times New Roman"/>
                <w:sz w:val="21"/>
                <w:szCs w:val="21"/>
              </w:rPr>
            </w:pPr>
            <w:r>
              <w:rPr>
                <w:rFonts w:cs="Times New Roman"/>
                <w:sz w:val="21"/>
                <w:szCs w:val="21"/>
              </w:rPr>
              <w:t>更新运行片区5年以上区域自动气象站设备,易损部件的备份，视频监控系统、使用防爆柜达到100%；直通式气象服务平台建设，购买LED显示屏及配套软件、信息服务平台。</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老池镇、龙凤镇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区应急管理局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281" w:type="pct"/>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3</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应急救援队伍建设</w:t>
            </w:r>
          </w:p>
        </w:tc>
        <w:tc>
          <w:tcPr>
            <w:tcW w:w="1815" w:type="pct"/>
            <w:vAlign w:val="center"/>
          </w:tcPr>
          <w:p>
            <w:pPr>
              <w:spacing w:line="240" w:lineRule="auto"/>
              <w:ind w:firstLine="0" w:firstLineChars="0"/>
              <w:jc w:val="left"/>
              <w:rPr>
                <w:rFonts w:cs="Times New Roman"/>
                <w:sz w:val="21"/>
                <w:szCs w:val="21"/>
              </w:rPr>
            </w:pPr>
            <w:r>
              <w:rPr>
                <w:rFonts w:hint="eastAsia" w:cs="Times New Roman"/>
                <w:sz w:val="21"/>
                <w:szCs w:val="21"/>
              </w:rPr>
              <w:t>加强专业人才引进和培训以及设备建设，推进应急队伍按预案联合演练；在龙凤镇强化建设专职消防队1支；在老池镇建设义务消防队1支；加强消防宣教队伍建设，消防队伍按需配置专兼职人员。</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老池镇、龙凤镇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hint="eastAsia" w:cs="Times New Roman"/>
                <w:sz w:val="21"/>
                <w:szCs w:val="21"/>
              </w:rPr>
              <w:t>区应急管理局</w:t>
            </w:r>
          </w:p>
        </w:tc>
        <w:tc>
          <w:tcPr>
            <w:tcW w:w="317" w:type="pct"/>
            <w:vAlign w:val="center"/>
          </w:tcPr>
          <w:p>
            <w:pPr>
              <w:spacing w:line="240" w:lineRule="auto"/>
              <w:ind w:firstLine="0" w:firstLineChars="0"/>
              <w:jc w:val="center"/>
              <w:rPr>
                <w:rFonts w:cs="Times New Roman"/>
                <w:sz w:val="21"/>
                <w:szCs w:val="21"/>
              </w:rPr>
            </w:pPr>
            <w:r>
              <w:rPr>
                <w:rFonts w:hint="eastAsia" w:cs="Times New Roman"/>
                <w:sz w:val="21"/>
                <w:szCs w:val="21"/>
              </w:rPr>
              <w:t>2</w:t>
            </w:r>
            <w:r>
              <w:rPr>
                <w:rFonts w:cs="Times New Roman"/>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14</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消防站建设</w:t>
            </w:r>
          </w:p>
        </w:tc>
        <w:tc>
          <w:tcPr>
            <w:tcW w:w="1815" w:type="pct"/>
            <w:vAlign w:val="center"/>
          </w:tcPr>
          <w:p>
            <w:pPr>
              <w:spacing w:line="240" w:lineRule="auto"/>
              <w:ind w:firstLine="0" w:firstLineChars="0"/>
              <w:jc w:val="left"/>
              <w:rPr>
                <w:rFonts w:cs="Times New Roman"/>
                <w:sz w:val="21"/>
                <w:szCs w:val="21"/>
              </w:rPr>
            </w:pPr>
            <w:r>
              <w:rPr>
                <w:rFonts w:hint="eastAsia" w:cs="Times New Roman"/>
                <w:sz w:val="21"/>
                <w:szCs w:val="21"/>
              </w:rPr>
              <w:t>片区内各村、社区建成微型消防站，配备相应的现代化通讯设施、消防器材。</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各镇村（社区）</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2035年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区消防救援大队</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15</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应急物资储备</w:t>
            </w:r>
            <w:r>
              <w:rPr>
                <w:rFonts w:hint="eastAsia" w:cs="Times New Roman"/>
                <w:sz w:val="21"/>
                <w:szCs w:val="21"/>
              </w:rPr>
              <w:t>库（点）</w:t>
            </w:r>
            <w:r>
              <w:rPr>
                <w:rFonts w:cs="Times New Roman"/>
                <w:sz w:val="21"/>
                <w:szCs w:val="21"/>
              </w:rPr>
              <w:t>升级改造</w:t>
            </w:r>
          </w:p>
        </w:tc>
        <w:tc>
          <w:tcPr>
            <w:tcW w:w="1815" w:type="pct"/>
            <w:vAlign w:val="center"/>
          </w:tcPr>
          <w:p>
            <w:pPr>
              <w:spacing w:line="240" w:lineRule="auto"/>
              <w:ind w:firstLine="0" w:firstLineChars="0"/>
              <w:jc w:val="left"/>
              <w:rPr>
                <w:rFonts w:cs="Times New Roman"/>
                <w:sz w:val="21"/>
                <w:szCs w:val="21"/>
              </w:rPr>
            </w:pPr>
            <w:r>
              <w:rPr>
                <w:rFonts w:hint="eastAsia" w:cs="Times New Roman"/>
                <w:sz w:val="21"/>
                <w:szCs w:val="21"/>
              </w:rPr>
              <w:t>各镇、各村（居）委会在现有基础上，升级改造应急物资储备库（点）</w:t>
            </w:r>
            <w:r>
              <w:rPr>
                <w:rFonts w:cs="Times New Roman"/>
                <w:sz w:val="21"/>
                <w:szCs w:val="21"/>
              </w:rPr>
              <w:t>25</w:t>
            </w:r>
            <w:r>
              <w:rPr>
                <w:rFonts w:hint="eastAsia" w:cs="Times New Roman"/>
                <w:sz w:val="21"/>
                <w:szCs w:val="21"/>
              </w:rPr>
              <w:t>处，重点建设视频监控、专用货架、防潮、防虫、防火等设施，不新增用地。</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老池镇、龙凤镇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740</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利旧</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16</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应急避难场所建设</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优化完善现有避难场所建设，依托学校、公园和村委会等改造共建</w:t>
            </w:r>
            <w:r>
              <w:rPr>
                <w:rFonts w:cs="Times New Roman"/>
                <w:sz w:val="21"/>
                <w:szCs w:val="21"/>
              </w:rPr>
              <w:t>25</w:t>
            </w:r>
            <w:r>
              <w:rPr>
                <w:rFonts w:hint="eastAsia" w:cs="Times New Roman"/>
                <w:sz w:val="21"/>
                <w:szCs w:val="21"/>
              </w:rPr>
              <w:t>个应急避难场所，通过改造、改建公共建筑等方式持续构建和城镇相协调、室内和室外相结合的镇村两级应急避难体系，不新增用地。</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老池镇、龙凤镇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48052</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利旧</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2035年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17</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应急装备建设</w:t>
            </w:r>
          </w:p>
        </w:tc>
        <w:tc>
          <w:tcPr>
            <w:tcW w:w="1815" w:type="pct"/>
            <w:vAlign w:val="center"/>
          </w:tcPr>
          <w:p>
            <w:pPr>
              <w:spacing w:line="240" w:lineRule="auto"/>
              <w:ind w:firstLine="0" w:firstLineChars="0"/>
              <w:rPr>
                <w:rFonts w:cs="Times New Roman"/>
                <w:sz w:val="21"/>
                <w:szCs w:val="21"/>
              </w:rPr>
            </w:pPr>
            <w:r>
              <w:rPr>
                <w:rFonts w:cs="Times New Roman"/>
                <w:sz w:val="21"/>
                <w:szCs w:val="21"/>
              </w:rPr>
              <w:t>为各镇应急队配备1架无人机，培训无人机飞手。加强救生衣、救生圈、皮划艇等防汛抗旱救援装备，棉被、帐篷、折叠床等救灾物资配备。</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老池镇、龙凤镇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281" w:type="pct"/>
            <w:vAlign w:val="center"/>
          </w:tcPr>
          <w:p>
            <w:pPr>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8</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hint="eastAsia" w:cs="Times New Roman"/>
                <w:sz w:val="21"/>
                <w:szCs w:val="21"/>
              </w:rPr>
              <w:t>应急预案编制与修订</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以“科学化、实用化、效能化”为目标，结合各镇特点，查漏补缺，加强基层和企事业单位应急预案建设，重点推进应急预案进社区、进乡村、进企业、进学校以及重点行业，积极完善应急预案体系，梯次推进预案编修工作。</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老池镇、龙凤镇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19</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应急能力建设重点工程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应急演练</w:t>
            </w:r>
          </w:p>
        </w:tc>
        <w:tc>
          <w:tcPr>
            <w:tcW w:w="1815" w:type="pct"/>
            <w:vAlign w:val="center"/>
          </w:tcPr>
          <w:p>
            <w:pPr>
              <w:spacing w:line="240" w:lineRule="auto"/>
              <w:ind w:firstLine="0" w:firstLineChars="0"/>
              <w:rPr>
                <w:rFonts w:cs="Times New Roman"/>
                <w:sz w:val="21"/>
                <w:szCs w:val="21"/>
              </w:rPr>
            </w:pPr>
            <w:r>
              <w:rPr>
                <w:rFonts w:cs="Times New Roman"/>
                <w:sz w:val="21"/>
                <w:szCs w:val="21"/>
              </w:rPr>
              <w:t>各镇开展山洪灾害、地质灾害、森林防灭火等演练每季度不少于1次，各学校开展山洪灾害、火灾等演练每学期不少于1次。</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老池镇、龙凤镇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20</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信息化建设重点工程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应急指挥中心建设</w:t>
            </w:r>
          </w:p>
        </w:tc>
        <w:tc>
          <w:tcPr>
            <w:tcW w:w="1815" w:type="pct"/>
            <w:vAlign w:val="center"/>
          </w:tcPr>
          <w:p>
            <w:pPr>
              <w:spacing w:line="240" w:lineRule="auto"/>
              <w:ind w:firstLine="0" w:firstLineChars="0"/>
              <w:rPr>
                <w:rFonts w:cs="Times New Roman"/>
                <w:sz w:val="21"/>
                <w:szCs w:val="21"/>
              </w:rPr>
            </w:pPr>
            <w:r>
              <w:rPr>
                <w:rFonts w:hint="eastAsia" w:cs="Times New Roman"/>
                <w:sz w:val="21"/>
                <w:szCs w:val="21"/>
              </w:rPr>
              <w:t>依托个各镇政府现有信息化基础设施，改造建设应急指挥分中心</w:t>
            </w:r>
            <w:r>
              <w:rPr>
                <w:rFonts w:cs="Times New Roman"/>
                <w:sz w:val="21"/>
                <w:szCs w:val="21"/>
              </w:rPr>
              <w:t>1</w:t>
            </w:r>
            <w:r>
              <w:rPr>
                <w:rFonts w:hint="eastAsia" w:cs="Times New Roman"/>
                <w:sz w:val="21"/>
                <w:szCs w:val="21"/>
              </w:rPr>
              <w:t>处。整合各镇数据监管、查询；风险监测、上报以及第一现场应急处突等工作需求，建设智慧乡镇终端，并接入片区智慧平台，提供移动端日常工作信息查询需要以及紧急事件上报和应急视频会商功能。</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老池镇</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200</w:t>
            </w:r>
          </w:p>
        </w:tc>
        <w:tc>
          <w:tcPr>
            <w:tcW w:w="272" w:type="pct"/>
            <w:vAlign w:val="center"/>
          </w:tcPr>
          <w:p>
            <w:pPr>
              <w:spacing w:line="240" w:lineRule="auto"/>
              <w:ind w:firstLine="0" w:firstLineChars="0"/>
              <w:jc w:val="center"/>
              <w:rPr>
                <w:rFonts w:cs="Times New Roman"/>
                <w:sz w:val="21"/>
                <w:szCs w:val="21"/>
              </w:rPr>
            </w:pPr>
            <w:r>
              <w:rPr>
                <w:rFonts w:hint="eastAsia" w:cs="Times New Roman"/>
                <w:sz w:val="21"/>
                <w:szCs w:val="21"/>
              </w:rPr>
              <w:t>利旧</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21</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信息化建设重点工程</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应急广播提升改造工程</w:t>
            </w:r>
          </w:p>
        </w:tc>
        <w:tc>
          <w:tcPr>
            <w:tcW w:w="1815" w:type="pct"/>
            <w:vAlign w:val="center"/>
          </w:tcPr>
          <w:p>
            <w:pPr>
              <w:spacing w:line="240" w:lineRule="auto"/>
              <w:ind w:firstLine="0" w:firstLineChars="0"/>
              <w:rPr>
                <w:rFonts w:cs="Times New Roman"/>
                <w:sz w:val="21"/>
                <w:szCs w:val="21"/>
              </w:rPr>
            </w:pPr>
            <w:r>
              <w:rPr>
                <w:rFonts w:cs="Times New Roman"/>
                <w:sz w:val="21"/>
                <w:szCs w:val="21"/>
              </w:rPr>
              <w:t>升级、改造各镇现有广播系统，提高应急广播覆盖率，实现片区村（社区）人口覆盖率超90%，提升灾害预警信息传播、防灾减灾宣传。</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老池镇、龙凤镇</w:t>
            </w:r>
            <w:r>
              <w:rPr>
                <w:rFonts w:cs="Times New Roman"/>
                <w:sz w:val="21"/>
                <w:szCs w:val="21"/>
              </w:rPr>
              <w:t>及各村（社区）</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2035年</w:t>
            </w:r>
          </w:p>
        </w:tc>
        <w:tc>
          <w:tcPr>
            <w:tcW w:w="275" w:type="pct"/>
            <w:vAlign w:val="center"/>
          </w:tcPr>
          <w:p>
            <w:pPr>
              <w:spacing w:line="240" w:lineRule="auto"/>
              <w:ind w:firstLine="0" w:firstLineChars="0"/>
              <w:jc w:val="center"/>
              <w:rPr>
                <w:rFonts w:cs="Times New Roman"/>
                <w:sz w:val="21"/>
                <w:szCs w:val="21"/>
              </w:rPr>
            </w:pPr>
            <w:r>
              <w:rPr>
                <w:rFonts w:hint="eastAsia" w:cs="Times New Roman"/>
                <w:sz w:val="21"/>
                <w:szCs w:val="21"/>
              </w:rPr>
              <w:t>区文化广播电视和旅游局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22</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应急管理共建共治共享格局</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综合减灾示范社区建设</w:t>
            </w:r>
          </w:p>
        </w:tc>
        <w:tc>
          <w:tcPr>
            <w:tcW w:w="1815" w:type="pct"/>
            <w:vAlign w:val="center"/>
          </w:tcPr>
          <w:p>
            <w:pPr>
              <w:spacing w:line="240" w:lineRule="auto"/>
              <w:ind w:firstLine="0" w:firstLineChars="0"/>
              <w:jc w:val="left"/>
              <w:rPr>
                <w:rFonts w:cs="Times New Roman"/>
                <w:sz w:val="21"/>
                <w:szCs w:val="21"/>
              </w:rPr>
            </w:pPr>
            <w:r>
              <w:rPr>
                <w:rFonts w:hint="eastAsia" w:cs="Times New Roman"/>
                <w:sz w:val="21"/>
                <w:szCs w:val="21"/>
              </w:rPr>
              <w:t>推进片区开展综合减灾示范村（社区）、安全生产示范村（社区）、安全文化示范单位建设，切实提升公众防灾减灾能力和水平，提高基层关键基础设施和重点场所的安全韧性。其中：争创国家级综合减灾示范村（社区）</w:t>
            </w:r>
            <w:r>
              <w:rPr>
                <w:rFonts w:cs="Times New Roman"/>
                <w:sz w:val="21"/>
                <w:szCs w:val="21"/>
              </w:rPr>
              <w:t>1</w:t>
            </w:r>
            <w:r>
              <w:rPr>
                <w:rFonts w:hint="eastAsia" w:cs="Times New Roman"/>
                <w:sz w:val="21"/>
                <w:szCs w:val="21"/>
              </w:rPr>
              <w:t>个，省级综合减灾示范村（社区）</w:t>
            </w:r>
            <w:r>
              <w:rPr>
                <w:rFonts w:cs="Times New Roman"/>
                <w:sz w:val="21"/>
                <w:szCs w:val="21"/>
              </w:rPr>
              <w:t>2</w:t>
            </w:r>
            <w:r>
              <w:rPr>
                <w:rFonts w:hint="eastAsia" w:cs="Times New Roman"/>
                <w:sz w:val="21"/>
                <w:szCs w:val="21"/>
              </w:rPr>
              <w:t>个，省级安全村（社区）</w:t>
            </w:r>
            <w:r>
              <w:rPr>
                <w:rFonts w:cs="Times New Roman"/>
                <w:sz w:val="21"/>
                <w:szCs w:val="21"/>
              </w:rPr>
              <w:t>2</w:t>
            </w:r>
            <w:r>
              <w:rPr>
                <w:rFonts w:hint="eastAsia" w:cs="Times New Roman"/>
                <w:sz w:val="21"/>
                <w:szCs w:val="21"/>
              </w:rPr>
              <w:t>个。</w:t>
            </w:r>
          </w:p>
        </w:tc>
        <w:tc>
          <w:tcPr>
            <w:tcW w:w="436" w:type="pct"/>
            <w:vAlign w:val="center"/>
          </w:tcPr>
          <w:p>
            <w:pPr>
              <w:spacing w:line="240" w:lineRule="auto"/>
              <w:ind w:firstLine="0" w:firstLineChars="0"/>
              <w:jc w:val="center"/>
              <w:rPr>
                <w:rFonts w:cs="Times New Roman"/>
                <w:sz w:val="21"/>
                <w:szCs w:val="21"/>
              </w:rPr>
            </w:pPr>
            <w:r>
              <w:rPr>
                <w:rFonts w:cs="Times New Roman"/>
                <w:sz w:val="21"/>
                <w:szCs w:val="21"/>
              </w:rPr>
              <w:t>片区各村（社区）</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2025年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w:t>
            </w:r>
            <w:r>
              <w:rPr>
                <w:rFonts w:hint="eastAsia" w:cs="Times New Roman"/>
                <w:sz w:val="21"/>
                <w:szCs w:val="21"/>
              </w:rPr>
              <w:t>管理</w:t>
            </w:r>
            <w:r>
              <w:rPr>
                <w:rFonts w:cs="Times New Roman"/>
                <w:sz w:val="21"/>
                <w:szCs w:val="21"/>
              </w:rPr>
              <w:t>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23</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应急管理共建共治共享格局</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应急宣教阵地建设</w:t>
            </w:r>
          </w:p>
        </w:tc>
        <w:tc>
          <w:tcPr>
            <w:tcW w:w="1815" w:type="pct"/>
            <w:vAlign w:val="center"/>
          </w:tcPr>
          <w:p>
            <w:pPr>
              <w:spacing w:line="240" w:lineRule="auto"/>
              <w:ind w:firstLine="0" w:firstLineChars="0"/>
              <w:jc w:val="center"/>
              <w:rPr>
                <w:rFonts w:cs="Times New Roman"/>
                <w:sz w:val="21"/>
                <w:szCs w:val="21"/>
              </w:rPr>
            </w:pPr>
            <w:r>
              <w:rPr>
                <w:rFonts w:cs="Times New Roman"/>
                <w:sz w:val="21"/>
                <w:szCs w:val="21"/>
              </w:rPr>
              <w:t>持续推进安全生产“五进”活动，于片区内各村（社区）的党员活动中心设置村级宣教场所，开展宣传培训；学校开展应急宣教进课堂活动，培训儿童和青少年。</w:t>
            </w:r>
          </w:p>
        </w:tc>
        <w:tc>
          <w:tcPr>
            <w:tcW w:w="436" w:type="pct"/>
            <w:vAlign w:val="center"/>
          </w:tcPr>
          <w:p>
            <w:pPr>
              <w:spacing w:line="240" w:lineRule="auto"/>
              <w:ind w:firstLine="0" w:firstLineChars="0"/>
              <w:jc w:val="center"/>
              <w:rPr>
                <w:rFonts w:cs="Times New Roman"/>
                <w:sz w:val="21"/>
                <w:szCs w:val="21"/>
              </w:rPr>
            </w:pPr>
            <w:r>
              <w:rPr>
                <w:rFonts w:cs="Times New Roman"/>
                <w:sz w:val="21"/>
                <w:szCs w:val="21"/>
              </w:rPr>
              <w:t>片区各镇及各村（社区）</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2035年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w:t>
            </w:r>
            <w:r>
              <w:rPr>
                <w:rFonts w:hint="eastAsia" w:cs="Times New Roman"/>
                <w:sz w:val="21"/>
                <w:szCs w:val="21"/>
              </w:rPr>
              <w:t>管理</w:t>
            </w:r>
            <w:r>
              <w:rPr>
                <w:rFonts w:cs="Times New Roman"/>
                <w:sz w:val="21"/>
                <w:szCs w:val="21"/>
              </w:rPr>
              <w:t>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281" w:type="pct"/>
            <w:vAlign w:val="center"/>
          </w:tcPr>
          <w:p>
            <w:pPr>
              <w:spacing w:line="240" w:lineRule="auto"/>
              <w:ind w:firstLine="0" w:firstLineChars="0"/>
              <w:jc w:val="center"/>
              <w:rPr>
                <w:rFonts w:cs="Times New Roman"/>
                <w:sz w:val="21"/>
                <w:szCs w:val="21"/>
              </w:rPr>
            </w:pPr>
            <w:r>
              <w:rPr>
                <w:rFonts w:cs="Times New Roman"/>
                <w:sz w:val="21"/>
                <w:szCs w:val="21"/>
              </w:rPr>
              <w:t>24</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应急管理共建共治共享格局</w:t>
            </w:r>
          </w:p>
        </w:tc>
        <w:tc>
          <w:tcPr>
            <w:tcW w:w="489" w:type="pct"/>
            <w:vAlign w:val="center"/>
          </w:tcPr>
          <w:p>
            <w:pPr>
              <w:spacing w:line="240" w:lineRule="auto"/>
              <w:ind w:firstLine="0" w:firstLineChars="0"/>
              <w:jc w:val="center"/>
              <w:rPr>
                <w:rFonts w:cs="Times New Roman"/>
                <w:sz w:val="21"/>
                <w:szCs w:val="21"/>
              </w:rPr>
            </w:pPr>
            <w:r>
              <w:rPr>
                <w:rFonts w:cs="Times New Roman"/>
                <w:sz w:val="21"/>
                <w:szCs w:val="21"/>
              </w:rPr>
              <w:t>应急知识宣传栏建设</w:t>
            </w:r>
          </w:p>
        </w:tc>
        <w:tc>
          <w:tcPr>
            <w:tcW w:w="1815" w:type="pct"/>
            <w:vAlign w:val="center"/>
          </w:tcPr>
          <w:p>
            <w:pPr>
              <w:spacing w:line="240" w:lineRule="auto"/>
              <w:ind w:firstLine="0" w:firstLineChars="0"/>
              <w:rPr>
                <w:rFonts w:cs="Times New Roman"/>
                <w:sz w:val="21"/>
                <w:szCs w:val="21"/>
              </w:rPr>
            </w:pPr>
            <w:r>
              <w:rPr>
                <w:rFonts w:cs="Times New Roman"/>
                <w:sz w:val="21"/>
                <w:szCs w:val="21"/>
              </w:rPr>
              <w:t>在村（居）委会聚居点、文化广场、学校、医院等设置应急知识科普专栏，增加应急知识科普书籍、应急管理时事资讯等文化内容。</w:t>
            </w:r>
          </w:p>
        </w:tc>
        <w:tc>
          <w:tcPr>
            <w:tcW w:w="436" w:type="pct"/>
            <w:vAlign w:val="center"/>
          </w:tcPr>
          <w:p>
            <w:pPr>
              <w:spacing w:line="240" w:lineRule="auto"/>
              <w:ind w:firstLine="0" w:firstLineChars="0"/>
              <w:jc w:val="center"/>
              <w:rPr>
                <w:rFonts w:cs="Times New Roman"/>
                <w:sz w:val="21"/>
                <w:szCs w:val="21"/>
              </w:rPr>
            </w:pPr>
            <w:r>
              <w:rPr>
                <w:rFonts w:hint="eastAsia" w:cs="Times New Roman"/>
                <w:sz w:val="21"/>
                <w:szCs w:val="21"/>
              </w:rPr>
              <w:t>片区各学校、广场、医院</w:t>
            </w:r>
          </w:p>
        </w:tc>
        <w:tc>
          <w:tcPr>
            <w:tcW w:w="340"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72" w:type="pct"/>
            <w:vAlign w:val="center"/>
          </w:tcPr>
          <w:p>
            <w:pPr>
              <w:spacing w:line="240" w:lineRule="auto"/>
              <w:ind w:firstLine="0" w:firstLineChars="0"/>
              <w:jc w:val="center"/>
              <w:rPr>
                <w:rFonts w:cs="Times New Roman"/>
                <w:sz w:val="21"/>
                <w:szCs w:val="21"/>
              </w:rPr>
            </w:pPr>
            <w:r>
              <w:rPr>
                <w:rFonts w:cs="Times New Roman"/>
                <w:sz w:val="21"/>
                <w:szCs w:val="21"/>
              </w:rPr>
              <w:t>/</w:t>
            </w:r>
          </w:p>
        </w:tc>
        <w:tc>
          <w:tcPr>
            <w:tcW w:w="285" w:type="pct"/>
            <w:vAlign w:val="center"/>
          </w:tcPr>
          <w:p>
            <w:pPr>
              <w:spacing w:line="240" w:lineRule="auto"/>
              <w:ind w:firstLine="0" w:firstLineChars="0"/>
              <w:jc w:val="center"/>
              <w:rPr>
                <w:rFonts w:cs="Times New Roman"/>
                <w:sz w:val="21"/>
                <w:szCs w:val="21"/>
              </w:rPr>
            </w:pPr>
            <w:r>
              <w:rPr>
                <w:rFonts w:cs="Times New Roman"/>
                <w:sz w:val="21"/>
                <w:szCs w:val="21"/>
              </w:rPr>
              <w:t>2035年</w:t>
            </w:r>
          </w:p>
        </w:tc>
        <w:tc>
          <w:tcPr>
            <w:tcW w:w="275" w:type="pct"/>
            <w:vAlign w:val="center"/>
          </w:tcPr>
          <w:p>
            <w:pPr>
              <w:spacing w:line="240" w:lineRule="auto"/>
              <w:ind w:firstLine="0" w:firstLineChars="0"/>
              <w:jc w:val="center"/>
              <w:rPr>
                <w:rFonts w:cs="Times New Roman"/>
                <w:sz w:val="21"/>
                <w:szCs w:val="21"/>
              </w:rPr>
            </w:pPr>
            <w:r>
              <w:rPr>
                <w:rFonts w:cs="Times New Roman"/>
                <w:sz w:val="21"/>
                <w:szCs w:val="21"/>
              </w:rPr>
              <w:t>区应急</w:t>
            </w:r>
            <w:r>
              <w:rPr>
                <w:rFonts w:hint="eastAsia" w:cs="Times New Roman"/>
                <w:sz w:val="21"/>
                <w:szCs w:val="21"/>
              </w:rPr>
              <w:t>管理</w:t>
            </w:r>
            <w:r>
              <w:rPr>
                <w:rFonts w:cs="Times New Roman"/>
                <w:sz w:val="21"/>
                <w:szCs w:val="21"/>
              </w:rPr>
              <w:t>局</w:t>
            </w:r>
          </w:p>
        </w:tc>
        <w:tc>
          <w:tcPr>
            <w:tcW w:w="317" w:type="pct"/>
            <w:vAlign w:val="center"/>
          </w:tcPr>
          <w:p>
            <w:pPr>
              <w:spacing w:line="240" w:lineRule="auto"/>
              <w:ind w:firstLine="0" w:firstLineChars="0"/>
              <w:jc w:val="center"/>
              <w:rPr>
                <w:rFonts w:cs="Times New Roman"/>
                <w:sz w:val="21"/>
                <w:szCs w:val="21"/>
              </w:rPr>
            </w:pPr>
            <w:r>
              <w:rPr>
                <w:rFonts w:cs="Times New Roman"/>
                <w:sz w:val="21"/>
                <w:szCs w:val="21"/>
              </w:rPr>
              <w:t>50</w:t>
            </w:r>
          </w:p>
        </w:tc>
      </w:tr>
    </w:tbl>
    <w:p>
      <w:pPr>
        <w:pStyle w:val="10"/>
        <w:rPr>
          <w:color w:val="FF0000"/>
        </w:rPr>
        <w:sectPr>
          <w:pgSz w:w="16838" w:h="11906" w:orient="landscape"/>
          <w:pgMar w:top="1800" w:right="1440" w:bottom="1800" w:left="1440" w:header="851" w:footer="992" w:gutter="0"/>
          <w:cols w:space="425" w:num="1"/>
          <w:docGrid w:type="lines" w:linePitch="435" w:charSpace="0"/>
        </w:sectPr>
      </w:pPr>
    </w:p>
    <w:p>
      <w:pPr>
        <w:spacing w:line="600" w:lineRule="exact"/>
        <w:ind w:firstLine="0" w:firstLineChars="0"/>
        <w:jc w:val="left"/>
        <w:outlineLvl w:val="0"/>
        <w:rPr>
          <w:rFonts w:eastAsia="黑体" w:cs="Times New Roman"/>
          <w:szCs w:val="32"/>
        </w:rPr>
      </w:pPr>
      <w:bookmarkStart w:id="81" w:name="_Toc29985"/>
      <w:r>
        <w:rPr>
          <w:rFonts w:eastAsia="黑体" w:cs="Times New Roman"/>
          <w:szCs w:val="32"/>
        </w:rPr>
        <w:t>附图</w:t>
      </w:r>
      <w:bookmarkEnd w:id="81"/>
    </w:p>
    <w:p>
      <w:pPr>
        <w:pStyle w:val="16"/>
        <w:tabs>
          <w:tab w:val="right" w:leader="dot" w:pos="8306"/>
        </w:tabs>
        <w:ind w:firstLine="640" w:firstLineChars="200"/>
        <w:rPr>
          <w:rFonts w:eastAsia="仿宋" w:cs="Times New Roman"/>
          <w:color w:val="000000" w:themeColor="text1"/>
          <w:szCs w:val="32"/>
          <w14:textFill>
            <w14:solidFill>
              <w14:schemeClr w14:val="tx1"/>
            </w14:solidFill>
          </w14:textFill>
        </w:rPr>
      </w:pPr>
      <w:r>
        <w:fldChar w:fldCharType="begin"/>
      </w:r>
      <w:r>
        <w:instrText xml:space="preserve"> HYPERLINK \l "_Toc19569" </w:instrText>
      </w:r>
      <w:r>
        <w:fldChar w:fldCharType="separate"/>
      </w:r>
      <w:r>
        <w:rPr>
          <w:rFonts w:eastAsia="仿宋" w:cs="Times New Roman"/>
          <w:color w:val="000000" w:themeColor="text1"/>
          <w:szCs w:val="32"/>
          <w14:textFill>
            <w14:solidFill>
              <w14:schemeClr w14:val="tx1"/>
            </w14:solidFill>
          </w14:textFill>
        </w:rPr>
        <w:t>1.片区镇村体系及村级片区划分规划图</w:t>
      </w:r>
      <w:r>
        <w:rPr>
          <w:rFonts w:eastAsia="仿宋" w:cs="Times New Roman"/>
          <w:color w:val="000000" w:themeColor="text1"/>
          <w:szCs w:val="32"/>
          <w14:textFill>
            <w14:solidFill>
              <w14:schemeClr w14:val="tx1"/>
            </w14:solidFill>
          </w14:textFill>
        </w:rPr>
        <w:tab/>
      </w:r>
      <w:r>
        <w:rPr>
          <w:rFonts w:eastAsia="仿宋" w:cs="Times New Roman"/>
          <w:color w:val="000000" w:themeColor="text1"/>
          <w:szCs w:val="32"/>
          <w14:textFill>
            <w14:solidFill>
              <w14:schemeClr w14:val="tx1"/>
            </w14:solidFill>
          </w14:textFill>
        </w:rPr>
        <w:t xml:space="preserve">52            </w:t>
      </w:r>
      <w:r>
        <w:rPr>
          <w:rFonts w:eastAsia="仿宋" w:cs="Times New Roman"/>
          <w:color w:val="000000" w:themeColor="text1"/>
          <w:szCs w:val="32"/>
          <w14:textFill>
            <w14:solidFill>
              <w14:schemeClr w14:val="tx1"/>
            </w14:solidFill>
          </w14:textFill>
        </w:rPr>
        <w:fldChar w:fldCharType="end"/>
      </w:r>
    </w:p>
    <w:p>
      <w:pPr>
        <w:pStyle w:val="16"/>
        <w:tabs>
          <w:tab w:val="right" w:leader="dot" w:pos="8306"/>
        </w:tabs>
        <w:ind w:firstLine="640" w:firstLineChars="200"/>
        <w:rPr>
          <w:rFonts w:eastAsia="仿宋" w:cs="Times New Roman"/>
          <w:color w:val="000000" w:themeColor="text1"/>
          <w14:textFill>
            <w14:solidFill>
              <w14:schemeClr w14:val="tx1"/>
            </w14:solidFill>
          </w14:textFill>
        </w:rPr>
      </w:pPr>
      <w:r>
        <w:fldChar w:fldCharType="begin"/>
      </w:r>
      <w:r>
        <w:instrText xml:space="preserve"> HYPERLINK \l "_Toc19569" </w:instrText>
      </w:r>
      <w:r>
        <w:fldChar w:fldCharType="separate"/>
      </w:r>
      <w:r>
        <w:rPr>
          <w:rFonts w:eastAsia="仿宋" w:cs="Times New Roman"/>
          <w:color w:val="000000" w:themeColor="text1"/>
          <w:szCs w:val="32"/>
          <w14:textFill>
            <w14:solidFill>
              <w14:schemeClr w14:val="tx1"/>
            </w14:solidFill>
          </w14:textFill>
        </w:rPr>
        <w:t>2.片区安全生产风险分布图</w:t>
      </w:r>
      <w:bookmarkStart w:id="82" w:name="_Hlk107178391"/>
      <w:r>
        <w:rPr>
          <w:rFonts w:eastAsia="仿宋" w:cs="Times New Roman"/>
          <w:color w:val="000000" w:themeColor="text1"/>
          <w14:textFill>
            <w14:solidFill>
              <w14:schemeClr w14:val="tx1"/>
            </w14:solidFill>
          </w14:textFill>
        </w:rPr>
        <w:tab/>
      </w:r>
      <w:bookmarkEnd w:id="82"/>
      <w:r>
        <w:rPr>
          <w:rFonts w:eastAsia="仿宋" w:cs="Times New Roman"/>
          <w:color w:val="000000" w:themeColor="text1"/>
          <w14:textFill>
            <w14:solidFill>
              <w14:schemeClr w14:val="tx1"/>
            </w14:solidFill>
          </w14:textFill>
        </w:rPr>
        <w:fldChar w:fldCharType="end"/>
      </w:r>
      <w:r>
        <w:rPr>
          <w:rFonts w:eastAsia="仿宋" w:cs="Times New Roman"/>
          <w:color w:val="000000" w:themeColor="text1"/>
          <w14:textFill>
            <w14:solidFill>
              <w14:schemeClr w14:val="tx1"/>
            </w14:solidFill>
          </w14:textFill>
        </w:rPr>
        <w:t>53</w:t>
      </w:r>
    </w:p>
    <w:p>
      <w:pPr>
        <w:pStyle w:val="18"/>
        <w:tabs>
          <w:tab w:val="right" w:leader="dot" w:pos="8306"/>
        </w:tabs>
        <w:ind w:firstLine="640"/>
        <w:rPr>
          <w:rFonts w:eastAsia="仿宋" w:cs="Times New Roman"/>
          <w:color w:val="000000" w:themeColor="text1"/>
          <w14:textFill>
            <w14:solidFill>
              <w14:schemeClr w14:val="tx1"/>
            </w14:solidFill>
          </w14:textFill>
        </w:rPr>
      </w:pPr>
      <w:bookmarkStart w:id="83" w:name="_Hlk107268206"/>
      <w:r>
        <w:rPr>
          <w:rFonts w:cs="Times New Roman"/>
        </w:rPr>
        <w:fldChar w:fldCharType="begin"/>
      </w:r>
      <w:r>
        <w:rPr>
          <w:rFonts w:cs="Times New Roman"/>
        </w:rPr>
        <w:instrText xml:space="preserve">HYPERLINK \l "_Toc7989"</w:instrText>
      </w:r>
      <w:r>
        <w:rPr>
          <w:rFonts w:cs="Times New Roman"/>
        </w:rPr>
        <w:fldChar w:fldCharType="separate"/>
      </w:r>
      <w:r>
        <w:rPr>
          <w:rFonts w:eastAsia="仿宋" w:cs="Times New Roman"/>
          <w:color w:val="000000" w:themeColor="text1"/>
          <w:szCs w:val="32"/>
          <w14:textFill>
            <w14:solidFill>
              <w14:schemeClr w14:val="tx1"/>
            </w14:solidFill>
          </w14:textFill>
        </w:rPr>
        <w:t>3.片区自然灾害风险分布图</w:t>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fldChar w:fldCharType="end"/>
      </w:r>
      <w:bookmarkEnd w:id="83"/>
      <w:r>
        <w:rPr>
          <w:rFonts w:eastAsia="仿宋" w:cs="Times New Roman"/>
          <w:color w:val="000000" w:themeColor="text1"/>
          <w14:textFill>
            <w14:solidFill>
              <w14:schemeClr w14:val="tx1"/>
            </w14:solidFill>
          </w14:textFill>
        </w:rPr>
        <w:t>54</w:t>
      </w:r>
    </w:p>
    <w:p>
      <w:pPr>
        <w:pStyle w:val="18"/>
        <w:tabs>
          <w:tab w:val="right" w:leader="dot" w:pos="8306"/>
        </w:tabs>
        <w:ind w:firstLine="640"/>
        <w:rPr>
          <w:rFonts w:eastAsia="仿宋" w:cs="Times New Roman"/>
          <w:bCs/>
          <w:color w:val="000000" w:themeColor="text1"/>
          <w14:textFill>
            <w14:solidFill>
              <w14:schemeClr w14:val="tx1"/>
            </w14:solidFill>
          </w14:textFill>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4.片区</w:t>
      </w:r>
      <w:r>
        <w:rPr>
          <w:rFonts w:hint="eastAsia" w:eastAsia="仿宋" w:cs="Times New Roman"/>
          <w:color w:val="000000" w:themeColor="text1"/>
          <w:szCs w:val="32"/>
          <w14:textFill>
            <w14:solidFill>
              <w14:schemeClr w14:val="tx1"/>
            </w14:solidFill>
          </w14:textFill>
        </w:rPr>
        <w:t>应急广播</w:t>
      </w:r>
      <w:r>
        <w:rPr>
          <w:rFonts w:eastAsia="仿宋" w:cs="Times New Roman"/>
          <w:color w:val="000000" w:themeColor="text1"/>
          <w:szCs w:val="32"/>
          <w14:textFill>
            <w14:solidFill>
              <w14:schemeClr w14:val="tx1"/>
            </w14:solidFill>
          </w14:textFill>
        </w:rPr>
        <w:t>现状分布图</w:t>
      </w:r>
      <w:r>
        <w:rPr>
          <w:rFonts w:eastAsia="仿宋" w:cs="Times New Roman"/>
          <w:color w:val="000000" w:themeColor="text1"/>
          <w:szCs w:val="32"/>
          <w14:textFill>
            <w14:solidFill>
              <w14:schemeClr w14:val="tx1"/>
            </w14:solidFill>
          </w14:textFill>
        </w:rPr>
        <w:fldChar w:fldCharType="end"/>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t>55</w:t>
      </w:r>
    </w:p>
    <w:p>
      <w:pPr>
        <w:pStyle w:val="18"/>
        <w:tabs>
          <w:tab w:val="right" w:leader="dot" w:pos="8306"/>
        </w:tabs>
        <w:ind w:firstLine="640"/>
        <w:rPr>
          <w:rFonts w:eastAsia="仿宋" w:cs="Times New Roman"/>
          <w:bCs/>
          <w:color w:val="000000" w:themeColor="text1"/>
          <w14:textFill>
            <w14:solidFill>
              <w14:schemeClr w14:val="tx1"/>
            </w14:solidFill>
          </w14:textFill>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5.片区防灾减灾能力现状分布图</w:t>
      </w:r>
      <w:r>
        <w:rPr>
          <w:rFonts w:eastAsia="仿宋" w:cs="Times New Roman"/>
          <w:color w:val="000000" w:themeColor="text1"/>
          <w:szCs w:val="32"/>
          <w14:textFill>
            <w14:solidFill>
              <w14:schemeClr w14:val="tx1"/>
            </w14:solidFill>
          </w14:textFill>
        </w:rPr>
        <w:fldChar w:fldCharType="end"/>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t>56</w:t>
      </w:r>
    </w:p>
    <w:p>
      <w:pPr>
        <w:pStyle w:val="18"/>
        <w:tabs>
          <w:tab w:val="right" w:leader="dot" w:pos="8306"/>
        </w:tabs>
        <w:ind w:firstLine="640"/>
        <w:rPr>
          <w:rFonts w:eastAsia="仿宋" w:cs="Times New Roman"/>
          <w:color w:val="000000" w:themeColor="text1"/>
          <w14:textFill>
            <w14:solidFill>
              <w14:schemeClr w14:val="tx1"/>
            </w14:solidFill>
          </w14:textFill>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6.片区地质灾害综合防治规划图</w:t>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fldChar w:fldCharType="end"/>
      </w:r>
      <w:r>
        <w:rPr>
          <w:rFonts w:eastAsia="仿宋" w:cs="Times New Roman"/>
          <w:color w:val="000000" w:themeColor="text1"/>
          <w14:textFill>
            <w14:solidFill>
              <w14:schemeClr w14:val="tx1"/>
            </w14:solidFill>
          </w14:textFill>
        </w:rPr>
        <w:t>57</w:t>
      </w:r>
    </w:p>
    <w:p>
      <w:pPr>
        <w:pStyle w:val="18"/>
        <w:tabs>
          <w:tab w:val="right" w:leader="dot" w:pos="8306"/>
        </w:tabs>
        <w:ind w:firstLine="640"/>
        <w:rPr>
          <w:rFonts w:eastAsia="仿宋" w:cs="Times New Roman"/>
          <w:color w:val="000000" w:themeColor="text1"/>
          <w14:textFill>
            <w14:solidFill>
              <w14:schemeClr w14:val="tx1"/>
            </w14:solidFill>
          </w14:textFill>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7.片区应急队伍建设规划图</w:t>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fldChar w:fldCharType="end"/>
      </w:r>
      <w:r>
        <w:rPr>
          <w:rFonts w:eastAsia="仿宋" w:cs="Times New Roman"/>
          <w:color w:val="000000" w:themeColor="text1"/>
          <w14:textFill>
            <w14:solidFill>
              <w14:schemeClr w14:val="tx1"/>
            </w14:solidFill>
          </w14:textFill>
        </w:rPr>
        <w:t>58</w:t>
      </w:r>
    </w:p>
    <w:p>
      <w:pPr>
        <w:pStyle w:val="18"/>
        <w:tabs>
          <w:tab w:val="right" w:leader="dot" w:pos="8306"/>
        </w:tabs>
        <w:ind w:firstLine="640"/>
        <w:rPr>
          <w:rFonts w:cs="Times New Roman"/>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8.片区应急救援保障工程建设规划图</w:t>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fldChar w:fldCharType="end"/>
      </w:r>
      <w:r>
        <w:rPr>
          <w:rFonts w:eastAsia="仿宋" w:cs="Times New Roman"/>
          <w:color w:val="000000" w:themeColor="text1"/>
          <w14:textFill>
            <w14:solidFill>
              <w14:schemeClr w14:val="tx1"/>
            </w14:solidFill>
          </w14:textFill>
        </w:rPr>
        <w:t>59</w:t>
      </w:r>
    </w:p>
    <w:p>
      <w:pPr>
        <w:pStyle w:val="18"/>
        <w:tabs>
          <w:tab w:val="right" w:leader="dot" w:pos="8306"/>
        </w:tabs>
        <w:ind w:firstLine="640"/>
        <w:rPr>
          <w:rFonts w:cs="Times New Roman"/>
        </w:rPr>
      </w:pPr>
      <w:r>
        <w:fldChar w:fldCharType="begin"/>
      </w:r>
      <w:r>
        <w:instrText xml:space="preserve"> HYPERLINK \l "_Toc8628" </w:instrText>
      </w:r>
      <w:r>
        <w:fldChar w:fldCharType="separate"/>
      </w:r>
      <w:r>
        <w:rPr>
          <w:rFonts w:eastAsia="仿宋" w:cs="Times New Roman"/>
          <w:color w:val="000000" w:themeColor="text1"/>
          <w:szCs w:val="32"/>
          <w14:textFill>
            <w14:solidFill>
              <w14:schemeClr w14:val="tx1"/>
            </w14:solidFill>
          </w14:textFill>
        </w:rPr>
        <w:t>9.片区应急避难场所规划图</w:t>
      </w:r>
      <w:r>
        <w:rPr>
          <w:rFonts w:eastAsia="仿宋" w:cs="Times New Roman"/>
          <w:color w:val="000000" w:themeColor="text1"/>
          <w14:textFill>
            <w14:solidFill>
              <w14:schemeClr w14:val="tx1"/>
            </w14:solidFill>
          </w14:textFill>
        </w:rPr>
        <w:tab/>
      </w:r>
      <w:r>
        <w:rPr>
          <w:rFonts w:eastAsia="仿宋" w:cs="Times New Roman"/>
          <w:color w:val="000000" w:themeColor="text1"/>
          <w14:textFill>
            <w14:solidFill>
              <w14:schemeClr w14:val="tx1"/>
            </w14:solidFill>
          </w14:textFill>
        </w:rPr>
        <w:fldChar w:fldCharType="end"/>
      </w:r>
      <w:r>
        <w:rPr>
          <w:rFonts w:eastAsia="仿宋" w:cs="Times New Roman"/>
          <w:color w:val="000000" w:themeColor="text1"/>
          <w14:textFill>
            <w14:solidFill>
              <w14:schemeClr w14:val="tx1"/>
            </w14:solidFill>
          </w14:textFill>
        </w:rPr>
        <w:t>60</w:t>
      </w:r>
    </w:p>
    <w:p>
      <w:pPr>
        <w:ind w:firstLine="640"/>
        <w:rPr>
          <w:rFonts w:cs="Times New Roman"/>
        </w:rPr>
        <w:sectPr>
          <w:pgSz w:w="11906" w:h="16838"/>
          <w:pgMar w:top="2098" w:right="1474" w:bottom="1984" w:left="1587" w:header="851" w:footer="1134" w:gutter="0"/>
          <w:cols w:space="0" w:num="1"/>
          <w:docGrid w:type="lines" w:linePitch="435" w:charSpace="0"/>
        </w:sectPr>
      </w:pPr>
    </w:p>
    <w:p>
      <w:pPr>
        <w:spacing w:line="240" w:lineRule="auto"/>
        <w:ind w:firstLine="0" w:firstLineChars="0"/>
        <w:jc w:val="center"/>
        <w:rPr>
          <w:rFonts w:cs="Times New Roman"/>
        </w:rPr>
      </w:pPr>
      <w:r>
        <w:drawing>
          <wp:inline distT="0" distB="0" distL="0" distR="0">
            <wp:extent cx="8336280" cy="993076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8345804" cy="9942057"/>
                    </a:xfrm>
                    <a:prstGeom prst="rect">
                      <a:avLst/>
                    </a:prstGeom>
                    <a:noFill/>
                    <a:ln>
                      <a:noFill/>
                    </a:ln>
                  </pic:spPr>
                </pic:pic>
              </a:graphicData>
            </a:graphic>
          </wp:inline>
        </w:drawing>
      </w:r>
    </w:p>
    <w:p>
      <w:pPr>
        <w:pStyle w:val="2"/>
        <w:spacing w:line="240" w:lineRule="auto"/>
        <w:ind w:firstLine="0" w:firstLineChars="0"/>
        <w:jc w:val="center"/>
        <w:rPr>
          <w:rFonts w:ascii="Times New Roman" w:hAnsi="Times New Roman" w:cs="Times New Roman"/>
        </w:rPr>
      </w:pPr>
      <w:r>
        <w:drawing>
          <wp:inline distT="0" distB="0" distL="0" distR="0">
            <wp:extent cx="8380730" cy="998347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397717" cy="10003899"/>
                    </a:xfrm>
                    <a:prstGeom prst="rect">
                      <a:avLst/>
                    </a:prstGeom>
                    <a:noFill/>
                    <a:ln>
                      <a:noFill/>
                    </a:ln>
                  </pic:spPr>
                </pic:pic>
              </a:graphicData>
            </a:graphic>
          </wp:inline>
        </w:drawing>
      </w:r>
    </w:p>
    <w:p>
      <w:pPr>
        <w:pStyle w:val="2"/>
        <w:spacing w:line="240" w:lineRule="auto"/>
        <w:ind w:firstLine="0" w:firstLineChars="0"/>
        <w:jc w:val="center"/>
        <w:rPr>
          <w:rFonts w:ascii="Times New Roman" w:hAnsi="Times New Roman" w:cs="Times New Roman"/>
        </w:rPr>
      </w:pPr>
    </w:p>
    <w:p>
      <w:pPr>
        <w:pStyle w:val="2"/>
        <w:spacing w:line="240" w:lineRule="auto"/>
        <w:ind w:firstLine="0" w:firstLineChars="0"/>
        <w:jc w:val="center"/>
        <w:rPr>
          <w:rFonts w:ascii="Times New Roman" w:hAnsi="Times New Roman" w:cs="Times New Roman"/>
        </w:rPr>
      </w:pPr>
      <w:r>
        <w:drawing>
          <wp:inline distT="0" distB="0" distL="0" distR="0">
            <wp:extent cx="8318500" cy="9909175"/>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325781" cy="9918204"/>
                    </a:xfrm>
                    <a:prstGeom prst="rect">
                      <a:avLst/>
                    </a:prstGeom>
                    <a:noFill/>
                    <a:ln>
                      <a:noFill/>
                    </a:ln>
                  </pic:spPr>
                </pic:pic>
              </a:graphicData>
            </a:graphic>
          </wp:inline>
        </w:drawing>
      </w:r>
    </w:p>
    <w:p>
      <w:pPr>
        <w:pStyle w:val="2"/>
        <w:spacing w:line="240" w:lineRule="auto"/>
        <w:ind w:firstLine="0" w:firstLineChars="0"/>
        <w:jc w:val="center"/>
        <w:rPr>
          <w:rFonts w:ascii="Times New Roman" w:hAnsi="Times New Roman" w:cs="Times New Roman"/>
        </w:rPr>
      </w:pPr>
    </w:p>
    <w:p>
      <w:pPr>
        <w:pStyle w:val="2"/>
        <w:spacing w:line="240" w:lineRule="auto"/>
        <w:ind w:firstLine="0" w:firstLineChars="0"/>
        <w:jc w:val="center"/>
        <w:rPr>
          <w:rFonts w:ascii="Times New Roman" w:hAnsi="Times New Roman" w:cs="Times New Roman"/>
        </w:rPr>
      </w:pPr>
    </w:p>
    <w:p>
      <w:pPr>
        <w:pStyle w:val="2"/>
        <w:spacing w:line="240" w:lineRule="auto"/>
        <w:ind w:firstLine="0" w:firstLineChars="0"/>
        <w:jc w:val="center"/>
        <w:rPr>
          <w:rFonts w:ascii="Times New Roman" w:hAnsi="Times New Roman" w:cs="Times New Roman"/>
        </w:rPr>
      </w:pPr>
      <w:r>
        <w:drawing>
          <wp:inline distT="0" distB="0" distL="0" distR="0">
            <wp:extent cx="8425180" cy="1003681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432676" cy="10045546"/>
                    </a:xfrm>
                    <a:prstGeom prst="rect">
                      <a:avLst/>
                    </a:prstGeom>
                    <a:noFill/>
                    <a:ln>
                      <a:noFill/>
                    </a:ln>
                  </pic:spPr>
                </pic:pic>
              </a:graphicData>
            </a:graphic>
          </wp:inline>
        </w:drawing>
      </w:r>
    </w:p>
    <w:p>
      <w:pPr>
        <w:pStyle w:val="2"/>
        <w:spacing w:line="240" w:lineRule="auto"/>
        <w:ind w:firstLine="0" w:firstLineChars="0"/>
        <w:jc w:val="center"/>
        <w:rPr>
          <w:rFonts w:ascii="Times New Roman" w:hAnsi="Times New Roman" w:cs="Times New Roman"/>
        </w:rPr>
      </w:pPr>
    </w:p>
    <w:p>
      <w:pPr>
        <w:pStyle w:val="2"/>
        <w:spacing w:line="240" w:lineRule="auto"/>
        <w:ind w:firstLine="0" w:firstLineChars="0"/>
        <w:jc w:val="center"/>
        <w:rPr>
          <w:rFonts w:ascii="Times New Roman" w:hAnsi="Times New Roman" w:cs="Times New Roman"/>
        </w:rPr>
      </w:pPr>
    </w:p>
    <w:p>
      <w:pPr>
        <w:pStyle w:val="2"/>
        <w:spacing w:line="240" w:lineRule="auto"/>
        <w:ind w:firstLine="0" w:firstLineChars="0"/>
        <w:jc w:val="center"/>
        <w:rPr>
          <w:rFonts w:ascii="Times New Roman" w:hAnsi="Times New Roman" w:cs="Times New Roman"/>
        </w:rPr>
        <w:sectPr>
          <w:footerReference r:id="rId14" w:type="default"/>
          <w:pgSz w:w="16838" w:h="23811"/>
          <w:pgMar w:top="1440" w:right="1800" w:bottom="1440" w:left="1800" w:header="851" w:footer="992" w:gutter="0"/>
          <w:cols w:space="425" w:num="1"/>
          <w:docGrid w:type="lines" w:linePitch="435" w:charSpace="0"/>
        </w:sectPr>
      </w:pPr>
      <w:r>
        <w:drawing>
          <wp:inline distT="0" distB="0" distL="0" distR="0">
            <wp:extent cx="8523605" cy="10153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8532944" cy="10164990"/>
                    </a:xfrm>
                    <a:prstGeom prst="rect">
                      <a:avLst/>
                    </a:prstGeom>
                    <a:noFill/>
                    <a:ln>
                      <a:noFill/>
                    </a:ln>
                  </pic:spPr>
                </pic:pic>
              </a:graphicData>
            </a:graphic>
          </wp:inline>
        </w:drawing>
      </w:r>
      <w:r>
        <w:drawing>
          <wp:inline distT="0" distB="0" distL="0" distR="0">
            <wp:extent cx="8442960" cy="10058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450474" cy="10066748"/>
                    </a:xfrm>
                    <a:prstGeom prst="rect">
                      <a:avLst/>
                    </a:prstGeom>
                    <a:noFill/>
                    <a:ln>
                      <a:noFill/>
                    </a:ln>
                  </pic:spPr>
                </pic:pic>
              </a:graphicData>
            </a:graphic>
          </wp:inline>
        </w:drawing>
      </w:r>
      <w:r>
        <w:drawing>
          <wp:inline distT="0" distB="0" distL="0" distR="0">
            <wp:extent cx="8537575" cy="101707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551758" cy="10187404"/>
                    </a:xfrm>
                    <a:prstGeom prst="rect">
                      <a:avLst/>
                    </a:prstGeom>
                    <a:noFill/>
                    <a:ln>
                      <a:noFill/>
                    </a:ln>
                  </pic:spPr>
                </pic:pic>
              </a:graphicData>
            </a:graphic>
          </wp:inline>
        </w:drawing>
      </w:r>
      <w:r>
        <w:drawing>
          <wp:inline distT="0" distB="0" distL="0" distR="0">
            <wp:extent cx="8389620" cy="99942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8396042" cy="10001904"/>
                    </a:xfrm>
                    <a:prstGeom prst="rect">
                      <a:avLst/>
                    </a:prstGeom>
                    <a:noFill/>
                    <a:ln>
                      <a:noFill/>
                    </a:ln>
                  </pic:spPr>
                </pic:pic>
              </a:graphicData>
            </a:graphic>
          </wp:inline>
        </w:drawing>
      </w:r>
      <w:r>
        <w:drawing>
          <wp:inline distT="0" distB="0" distL="0" distR="0">
            <wp:extent cx="8568055" cy="10206990"/>
            <wp:effectExtent l="0" t="0" r="444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8578256" cy="10218969"/>
                    </a:xfrm>
                    <a:prstGeom prst="rect">
                      <a:avLst/>
                    </a:prstGeom>
                    <a:noFill/>
                    <a:ln>
                      <a:noFill/>
                    </a:ln>
                  </pic:spPr>
                </pic:pic>
              </a:graphicData>
            </a:graphic>
          </wp:inline>
        </w:drawing>
      </w:r>
    </w:p>
    <w:p>
      <w:pPr>
        <w:ind w:firstLine="0" w:firstLineChars="0"/>
        <w:rPr>
          <w:rFonts w:eastAsia="黑体" w:cs="Times New Roman"/>
        </w:rPr>
      </w:pPr>
      <w:r>
        <w:rPr>
          <w:rFonts w:eastAsia="黑体" w:cs="Times New Roman"/>
        </w:rPr>
        <w:t>征求公众意见情况：</w:t>
      </w:r>
    </w:p>
    <w:p>
      <w:pPr>
        <w:pStyle w:val="7"/>
        <w:spacing w:line="240" w:lineRule="auto"/>
        <w:ind w:left="0" w:leftChars="0" w:firstLine="0" w:firstLineChars="0"/>
        <w:rPr>
          <w:rFonts w:ascii="Times New Roman" w:hAnsi="Times New Roman" w:eastAsia="仿宋" w:cs="Times New Roman"/>
        </w:rPr>
      </w:pPr>
    </w:p>
    <w:p>
      <w:pPr>
        <w:pStyle w:val="7"/>
        <w:spacing w:line="240" w:lineRule="auto"/>
        <w:ind w:left="0" w:leftChars="0" w:firstLine="0" w:firstLineChars="0"/>
        <w:jc w:val="left"/>
        <w:rPr>
          <w:rFonts w:ascii="Times New Roman" w:hAnsi="Times New Roman" w:cs="Times New Roman"/>
        </w:rPr>
      </w:pPr>
    </w:p>
    <w:p>
      <w:pPr>
        <w:pStyle w:val="7"/>
        <w:spacing w:line="240" w:lineRule="auto"/>
        <w:ind w:left="0" w:leftChars="0" w:firstLine="0" w:firstLineChars="0"/>
        <w:rPr>
          <w:rFonts w:ascii="Times New Roman" w:hAnsi="Times New Roman" w:cs="Times New Roman"/>
        </w:rPr>
      </w:pPr>
    </w:p>
    <w:p>
      <w:pPr>
        <w:pStyle w:val="7"/>
        <w:ind w:left="640" w:leftChars="0" w:firstLine="640"/>
        <w:rPr>
          <w:rFonts w:ascii="Times New Roman" w:hAnsi="Times New Roman" w:cs="Times New Roman"/>
        </w:rPr>
      </w:pPr>
      <w:r>
        <w:rPr>
          <w:rFonts w:ascii="Times New Roman" w:hAnsi="Times New Roman" w:cs="Times New Roman"/>
        </w:rPr>
        <w:br w:type="page"/>
      </w:r>
    </w:p>
    <w:sectPr>
      <w:pgSz w:w="11906" w:h="16838"/>
      <w:pgMar w:top="1440" w:right="1800" w:bottom="1440" w:left="1800" w:header="851" w:footer="992"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roman"/>
    <w:pitch w:val="default"/>
    <w:sig w:usb0="00000001" w:usb1="080E0000" w:usb2="00000000" w:usb3="00000000" w:csb0="00040000" w:csb1="00000000"/>
  </w:font>
  <w:font w:name="等线 Light">
    <w:altName w:val="华文中宋"/>
    <w:panose1 w:val="02010600030101010101"/>
    <w:charset w:val="86"/>
    <w:family w:val="auto"/>
    <w:pitch w:val="default"/>
    <w:sig w:usb0="00000000" w:usb1="00000000" w:usb2="00000016" w:usb3="00000000" w:csb0="0004000F" w:csb1="00000000"/>
  </w:font>
  <w:font w:name="方正仿宋简体">
    <w:altName w:val="方正仿宋_GBK"/>
    <w:panose1 w:val="02000000000000000000"/>
    <w:charset w:val="86"/>
    <w:family w:val="auto"/>
    <w:pitch w:val="default"/>
    <w:sig w:usb0="00000000" w:usb1="00000000" w:usb2="00000012" w:usb3="00000000" w:csb0="00040001" w:csb1="00000000"/>
  </w:font>
  <w:font w:name="方正小标宋简体">
    <w:panose1 w:val="02000000000000000000"/>
    <w:charset w:val="86"/>
    <w:family w:val="script"/>
    <w:pitch w:val="default"/>
    <w:sig w:usb0="A00002BF" w:usb1="184F6CFA" w:usb2="00000012" w:usb3="00000000" w:csb0="00040001" w:csb1="00000000"/>
  </w:font>
  <w:font w:name="华光小标宋_CNKI">
    <w:altName w:val="方正小标宋简体"/>
    <w:panose1 w:val="02000500000000000000"/>
    <w:charset w:val="86"/>
    <w:family w:val="auto"/>
    <w:pitch w:val="default"/>
    <w:sig w:usb0="00000000" w:usb1="00000000" w:usb2="00000016" w:usb3="00000000" w:csb0="0004000F" w:csb1="00000000"/>
  </w:font>
  <w:font w:name="___WRD_EMBED_SUB_48">
    <w:altName w:val="国标仿宋"/>
    <w:panose1 w:val="02000000000000000000"/>
    <w:charset w:val="86"/>
    <w:family w:val="script"/>
    <w:pitch w:val="default"/>
    <w:sig w:usb0="00000000" w:usb1="00000000" w:usb2="00000000" w:usb3="00000000" w:csb0="00040000" w:csb1="00000000"/>
  </w:font>
  <w:font w:name="国标仿宋">
    <w:panose1 w:val="02000500000000000000"/>
    <w:charset w:val="86"/>
    <w:family w:val="auto"/>
    <w:pitch w:val="default"/>
    <w:sig w:usb0="A00002BF" w:usb1="38C77CFA" w:usb2="00000016" w:usb3="00000000" w:csb0="00060007" w:csb1="00000000"/>
  </w:font>
  <w:font w:name="等线">
    <w:altName w:val="仿宋_GB2312"/>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firstLine="360"/>
                          </w:pPr>
                          <w:r>
                            <w:t xml:space="preserve">— </w:t>
                          </w:r>
                          <w:r>
                            <w:fldChar w:fldCharType="begin"/>
                          </w:r>
                          <w:r>
                            <w:instrText xml:space="preserve"> PAGE  \* MERGEFORMAT </w:instrText>
                          </w:r>
                          <w:r>
                            <w:fldChar w:fldCharType="separate"/>
                          </w:r>
                          <w:r>
                            <w:t>27</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PUStTLAIAAFUEAAAOAAAAZHJz&#10;L2Uyb0RvYy54bWytVM2O0zAQviPxDpbvNGkX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I9RK1MsAgAAVQQAAA4AAAAAAAAAAQAgAAAANQEAAGRy&#10;cy9lMm9Eb2MueG1sUEsFBgAAAAAGAAYAWQEAANMFAAAAAA==&#10;">
              <v:fill on="f" focussize="0,0"/>
              <v:stroke on="f" weight="0.5pt"/>
              <v:imagedata o:title=""/>
              <o:lock v:ext="edit" aspectratio="f"/>
              <v:textbox inset="0mm,0mm,0mm,0mm" style="mso-fit-shape-to-text:t;">
                <w:txbxContent>
                  <w:p>
                    <w:pPr>
                      <w:pStyle w:val="14"/>
                      <w:ind w:firstLine="360"/>
                    </w:pPr>
                    <w:r>
                      <w:t xml:space="preserve">— </w:t>
                    </w:r>
                    <w:r>
                      <w:fldChar w:fldCharType="begin"/>
                    </w:r>
                    <w:r>
                      <w:instrText xml:space="preserve"> PAGE  \* MERGEFORMAT </w:instrText>
                    </w:r>
                    <w:r>
                      <w:fldChar w:fldCharType="separate"/>
                    </w:r>
                    <w:r>
                      <w:t>27</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firstLine="360"/>
                          </w:pPr>
                          <w:r>
                            <w:t>—</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Text Box 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GupiuAaAgAAVAQAAA4AAAAAAAAAAQAgAAAANQEAAGRycy9lMm9Eb2MueG1sUEsFBgAA&#10;AAAGAAYAWQEAAMEFAAAAAA==&#10;">
              <v:fill on="f" focussize="0,0"/>
              <v:stroke on="f" weight="0.5pt"/>
              <v:imagedata o:title=""/>
              <o:lock v:ext="edit" aspectratio="f"/>
              <v:textbox inset="0mm,0mm,0mm,0mm" style="mso-fit-shape-to-text:t;">
                <w:txbxContent>
                  <w:p>
                    <w:pPr>
                      <w:pStyle w:val="14"/>
                      <w:ind w:firstLine="360"/>
                    </w:pPr>
                    <w:r>
                      <w:t>—</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firstLine="360"/>
                          </w:pPr>
                          <w:r>
                            <w:t xml:space="preserve">— </w:t>
                          </w:r>
                          <w:r>
                            <w:fldChar w:fldCharType="begin"/>
                          </w:r>
                          <w:r>
                            <w:instrText xml:space="preserve"> PAGE  \* MERGEFORMAT </w:instrText>
                          </w:r>
                          <w:r>
                            <w:fldChar w:fldCharType="separate"/>
                          </w:r>
                          <w:r>
                            <w:t>49</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vY9gwLAIAAFUEAAAOAAAAZHJz&#10;L2Uyb0RvYy54bWytVM2O0zAQviPxDpbvNGlRV1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95O&#10;0/bC1QNwqZEjkugeG63Q7Jue2d7kZxBzpusMb/mmQvIt8+GBObQCHoxhCfdYCmmQxPQWJaVxX/91&#10;HuNRIXgpqdFaGdWYJErkB43KATAMhhuM/WDoo7oz6NUxhtDy1sQFF+RgFs6oL5igVcwBF9McmTIa&#10;BvMudO2NCeRitWqD0GuWha3eWR6ho3jero4BAra6RlE6JXqt0G1tZfrJiO38576NevobLB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K9j2DAsAgAAVQQAAA4AAAAAAAAAAQAgAAAANQEAAGRy&#10;cy9lMm9Eb2MueG1sUEsFBgAAAAAGAAYAWQEAANMFAAAAAA==&#10;">
              <v:fill on="f" focussize="0,0"/>
              <v:stroke on="f" weight="0.5pt"/>
              <v:imagedata o:title=""/>
              <o:lock v:ext="edit" aspectratio="f"/>
              <v:textbox inset="0mm,0mm,0mm,0mm" style="mso-fit-shape-to-text:t;">
                <w:txbxContent>
                  <w:p>
                    <w:pPr>
                      <w:pStyle w:val="14"/>
                      <w:ind w:firstLine="360"/>
                    </w:pPr>
                    <w:r>
                      <w:t xml:space="preserve">— </w:t>
                    </w:r>
                    <w:r>
                      <w:fldChar w:fldCharType="begin"/>
                    </w:r>
                    <w:r>
                      <w:instrText xml:space="preserve"> PAGE  \* MERGEFORMAT </w:instrText>
                    </w:r>
                    <w:r>
                      <w:fldChar w:fldCharType="separate"/>
                    </w:r>
                    <w:r>
                      <w:t>49</w:t>
                    </w:r>
                    <w:r>
                      <w:fldChar w:fldCharType="end"/>
                    </w:r>
                    <w:r>
                      <w:t xml:space="preserve"> —</w:t>
                    </w:r>
                  </w:p>
                </w:txbxContent>
              </v:textbox>
            </v:shape>
          </w:pict>
        </mc:Fallback>
      </mc:AlternateContent>
    </w:r>
  </w:p>
  <w:p>
    <w:pPr>
      <w:pStyle w:val="14"/>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firstLine="360"/>
                          </w:pPr>
                          <w:r>
                            <w:t xml:space="preserve">— </w:t>
                          </w:r>
                          <w:r>
                            <w:fldChar w:fldCharType="begin"/>
                          </w:r>
                          <w:r>
                            <w:instrText xml:space="preserve"> PAGE  \* MERGEFORMAT </w:instrText>
                          </w:r>
                          <w:r>
                            <w:fldChar w:fldCharType="separate"/>
                          </w:r>
                          <w:r>
                            <w:t>49</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1w58KgIAAFU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gizZlnY6p3lEToq5u3qGCBgp2sUpVdi0ArT1nVmeBlxnP/cd1GPf4P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LNJWO7QAAAABQEAAA8AAAAAAAAAAQAgAAAAOAAAAGRycy9kb3du&#10;cmV2LnhtbFBLAQIUABQAAAAIAIdO4kCM1w58KgIAAFUEAAAOAAAAAAAAAAEAIAAAADUBAABkcnMv&#10;ZTJvRG9jLnhtbFBLBQYAAAAABgAGAFkBAADRBQAAAAA=&#10;">
              <v:fill on="f" focussize="0,0"/>
              <v:stroke on="f" weight="0.5pt"/>
              <v:imagedata o:title=""/>
              <o:lock v:ext="edit" aspectratio="f"/>
              <v:textbox inset="0mm,0mm,0mm,0mm" style="mso-fit-shape-to-text:t;">
                <w:txbxContent>
                  <w:p>
                    <w:pPr>
                      <w:pStyle w:val="14"/>
                      <w:ind w:firstLine="360"/>
                    </w:pPr>
                    <w:r>
                      <w:t xml:space="preserve">— </w:t>
                    </w:r>
                    <w:r>
                      <w:fldChar w:fldCharType="begin"/>
                    </w:r>
                    <w:r>
                      <w:instrText xml:space="preserve"> PAGE  \* MERGEFORMAT </w:instrText>
                    </w:r>
                    <w:r>
                      <w:fldChar w:fldCharType="separate"/>
                    </w:r>
                    <w:r>
                      <w:t>49</w:t>
                    </w:r>
                    <w:r>
                      <w:fldChar w:fldCharType="end"/>
                    </w:r>
                    <w:r>
                      <w:t xml:space="preserve"> —</w:t>
                    </w:r>
                  </w:p>
                </w:txbxContent>
              </v:textbox>
            </v:shape>
          </w:pict>
        </mc:Fallback>
      </mc:AlternateContent>
    </w:r>
  </w:p>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8058BA"/>
    <w:multiLevelType w:val="multilevel"/>
    <w:tmpl w:val="0B8058B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FF86156"/>
    <w:multiLevelType w:val="multilevel"/>
    <w:tmpl w:val="0FF8615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7D70D20"/>
    <w:multiLevelType w:val="multilevel"/>
    <w:tmpl w:val="57D70D20"/>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5D927A95"/>
    <w:multiLevelType w:val="multilevel"/>
    <w:tmpl w:val="5D927A9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60"/>
  <w:drawingGridVerticalSpacing w:val="435"/>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2ZGZiNzZiNDVlOGViOWVmM2JhOTY0NGJkNjUyYzgifQ=="/>
  </w:docVars>
  <w:rsids>
    <w:rsidRoot w:val="00222530"/>
    <w:rsid w:val="00000364"/>
    <w:rsid w:val="00001354"/>
    <w:rsid w:val="00003215"/>
    <w:rsid w:val="00003A9C"/>
    <w:rsid w:val="000042A1"/>
    <w:rsid w:val="00004486"/>
    <w:rsid w:val="000061E1"/>
    <w:rsid w:val="00006950"/>
    <w:rsid w:val="00007338"/>
    <w:rsid w:val="000077ED"/>
    <w:rsid w:val="0000783E"/>
    <w:rsid w:val="00012BC4"/>
    <w:rsid w:val="000130C1"/>
    <w:rsid w:val="00013EFF"/>
    <w:rsid w:val="00014198"/>
    <w:rsid w:val="0001517B"/>
    <w:rsid w:val="00015379"/>
    <w:rsid w:val="00017C95"/>
    <w:rsid w:val="0002095E"/>
    <w:rsid w:val="00020C22"/>
    <w:rsid w:val="0002263F"/>
    <w:rsid w:val="000229D0"/>
    <w:rsid w:val="0002342D"/>
    <w:rsid w:val="0002489A"/>
    <w:rsid w:val="00024A40"/>
    <w:rsid w:val="00024B99"/>
    <w:rsid w:val="000253FB"/>
    <w:rsid w:val="000255B6"/>
    <w:rsid w:val="00025AB5"/>
    <w:rsid w:val="000274DF"/>
    <w:rsid w:val="00027B54"/>
    <w:rsid w:val="00032B97"/>
    <w:rsid w:val="00033F47"/>
    <w:rsid w:val="00035C22"/>
    <w:rsid w:val="00035D68"/>
    <w:rsid w:val="00040C79"/>
    <w:rsid w:val="000412D6"/>
    <w:rsid w:val="000414B0"/>
    <w:rsid w:val="0004281C"/>
    <w:rsid w:val="00042907"/>
    <w:rsid w:val="00042FCA"/>
    <w:rsid w:val="000437B2"/>
    <w:rsid w:val="000439D4"/>
    <w:rsid w:val="000451AB"/>
    <w:rsid w:val="000469E4"/>
    <w:rsid w:val="000475FA"/>
    <w:rsid w:val="0005016F"/>
    <w:rsid w:val="00051CEE"/>
    <w:rsid w:val="00052BBD"/>
    <w:rsid w:val="00053069"/>
    <w:rsid w:val="000537BF"/>
    <w:rsid w:val="000542E5"/>
    <w:rsid w:val="00054C4C"/>
    <w:rsid w:val="0005531E"/>
    <w:rsid w:val="00055B62"/>
    <w:rsid w:val="00055E1A"/>
    <w:rsid w:val="00055EAF"/>
    <w:rsid w:val="00055F98"/>
    <w:rsid w:val="00057503"/>
    <w:rsid w:val="0006031B"/>
    <w:rsid w:val="0006201D"/>
    <w:rsid w:val="00062B5D"/>
    <w:rsid w:val="000637AB"/>
    <w:rsid w:val="00063A7F"/>
    <w:rsid w:val="00063FB8"/>
    <w:rsid w:val="0006467D"/>
    <w:rsid w:val="00064C45"/>
    <w:rsid w:val="00065E42"/>
    <w:rsid w:val="0006685D"/>
    <w:rsid w:val="000669C5"/>
    <w:rsid w:val="00066B1A"/>
    <w:rsid w:val="00067991"/>
    <w:rsid w:val="00067A6A"/>
    <w:rsid w:val="00067D84"/>
    <w:rsid w:val="00070604"/>
    <w:rsid w:val="000708A3"/>
    <w:rsid w:val="0007126F"/>
    <w:rsid w:val="000715BD"/>
    <w:rsid w:val="000739C0"/>
    <w:rsid w:val="00074512"/>
    <w:rsid w:val="00074EAE"/>
    <w:rsid w:val="00076C04"/>
    <w:rsid w:val="00077546"/>
    <w:rsid w:val="000804BF"/>
    <w:rsid w:val="00080595"/>
    <w:rsid w:val="00081607"/>
    <w:rsid w:val="000822B9"/>
    <w:rsid w:val="0008343E"/>
    <w:rsid w:val="0008445B"/>
    <w:rsid w:val="00086193"/>
    <w:rsid w:val="0008635F"/>
    <w:rsid w:val="00086838"/>
    <w:rsid w:val="000868AB"/>
    <w:rsid w:val="0008695E"/>
    <w:rsid w:val="00086BD0"/>
    <w:rsid w:val="00087691"/>
    <w:rsid w:val="0009100D"/>
    <w:rsid w:val="000919CA"/>
    <w:rsid w:val="00091AF0"/>
    <w:rsid w:val="0009330F"/>
    <w:rsid w:val="00093A95"/>
    <w:rsid w:val="00094640"/>
    <w:rsid w:val="000953D1"/>
    <w:rsid w:val="000960BB"/>
    <w:rsid w:val="00096401"/>
    <w:rsid w:val="00096CAF"/>
    <w:rsid w:val="00097743"/>
    <w:rsid w:val="000A2064"/>
    <w:rsid w:val="000A34B8"/>
    <w:rsid w:val="000A4951"/>
    <w:rsid w:val="000A5D71"/>
    <w:rsid w:val="000A72C5"/>
    <w:rsid w:val="000A7AE0"/>
    <w:rsid w:val="000B0D4E"/>
    <w:rsid w:val="000B1393"/>
    <w:rsid w:val="000B1C3B"/>
    <w:rsid w:val="000B2A0D"/>
    <w:rsid w:val="000B2BAA"/>
    <w:rsid w:val="000B415C"/>
    <w:rsid w:val="000B4565"/>
    <w:rsid w:val="000B47F8"/>
    <w:rsid w:val="000B5885"/>
    <w:rsid w:val="000B58EF"/>
    <w:rsid w:val="000B7245"/>
    <w:rsid w:val="000C052F"/>
    <w:rsid w:val="000C0F16"/>
    <w:rsid w:val="000C13F4"/>
    <w:rsid w:val="000C1911"/>
    <w:rsid w:val="000C220C"/>
    <w:rsid w:val="000C2646"/>
    <w:rsid w:val="000C29C5"/>
    <w:rsid w:val="000C3606"/>
    <w:rsid w:val="000C44C7"/>
    <w:rsid w:val="000C4D55"/>
    <w:rsid w:val="000C4D9C"/>
    <w:rsid w:val="000C524C"/>
    <w:rsid w:val="000C5BA6"/>
    <w:rsid w:val="000C6897"/>
    <w:rsid w:val="000C6FA9"/>
    <w:rsid w:val="000C7DDF"/>
    <w:rsid w:val="000D1FC1"/>
    <w:rsid w:val="000D303E"/>
    <w:rsid w:val="000D385A"/>
    <w:rsid w:val="000D3C05"/>
    <w:rsid w:val="000D41BB"/>
    <w:rsid w:val="000D4C55"/>
    <w:rsid w:val="000D5716"/>
    <w:rsid w:val="000D6FC0"/>
    <w:rsid w:val="000E116A"/>
    <w:rsid w:val="000E174C"/>
    <w:rsid w:val="000E1F3F"/>
    <w:rsid w:val="000E2133"/>
    <w:rsid w:val="000E3057"/>
    <w:rsid w:val="000E3A32"/>
    <w:rsid w:val="000E3C0F"/>
    <w:rsid w:val="000E4200"/>
    <w:rsid w:val="000E4522"/>
    <w:rsid w:val="000E4628"/>
    <w:rsid w:val="000E480E"/>
    <w:rsid w:val="000E5615"/>
    <w:rsid w:val="000E597B"/>
    <w:rsid w:val="000E77C5"/>
    <w:rsid w:val="000E7A38"/>
    <w:rsid w:val="000F0011"/>
    <w:rsid w:val="000F1C6C"/>
    <w:rsid w:val="000F20AF"/>
    <w:rsid w:val="000F2325"/>
    <w:rsid w:val="000F37CB"/>
    <w:rsid w:val="000F54DD"/>
    <w:rsid w:val="001001C6"/>
    <w:rsid w:val="00100776"/>
    <w:rsid w:val="0010084A"/>
    <w:rsid w:val="0010133E"/>
    <w:rsid w:val="00102B57"/>
    <w:rsid w:val="00102C2B"/>
    <w:rsid w:val="0010391A"/>
    <w:rsid w:val="00104F30"/>
    <w:rsid w:val="00107E24"/>
    <w:rsid w:val="00111C3E"/>
    <w:rsid w:val="00112CA1"/>
    <w:rsid w:val="00113669"/>
    <w:rsid w:val="00113EE2"/>
    <w:rsid w:val="0011590A"/>
    <w:rsid w:val="0011681F"/>
    <w:rsid w:val="00116FA5"/>
    <w:rsid w:val="00117BEB"/>
    <w:rsid w:val="001200AF"/>
    <w:rsid w:val="0012025D"/>
    <w:rsid w:val="001208DE"/>
    <w:rsid w:val="00120CC9"/>
    <w:rsid w:val="001214B3"/>
    <w:rsid w:val="00121AAF"/>
    <w:rsid w:val="00121B2D"/>
    <w:rsid w:val="0012242C"/>
    <w:rsid w:val="001229ED"/>
    <w:rsid w:val="00123543"/>
    <w:rsid w:val="0012441F"/>
    <w:rsid w:val="001246A3"/>
    <w:rsid w:val="0012518B"/>
    <w:rsid w:val="00126AC1"/>
    <w:rsid w:val="0012774E"/>
    <w:rsid w:val="0013038B"/>
    <w:rsid w:val="0013096A"/>
    <w:rsid w:val="00131EA9"/>
    <w:rsid w:val="00133642"/>
    <w:rsid w:val="00134126"/>
    <w:rsid w:val="00134536"/>
    <w:rsid w:val="00134857"/>
    <w:rsid w:val="00134947"/>
    <w:rsid w:val="00134B04"/>
    <w:rsid w:val="00135649"/>
    <w:rsid w:val="001371E0"/>
    <w:rsid w:val="0013799F"/>
    <w:rsid w:val="001409DC"/>
    <w:rsid w:val="001414D6"/>
    <w:rsid w:val="00141DC2"/>
    <w:rsid w:val="0014380A"/>
    <w:rsid w:val="001440A5"/>
    <w:rsid w:val="00147955"/>
    <w:rsid w:val="0015001B"/>
    <w:rsid w:val="001553B5"/>
    <w:rsid w:val="00155652"/>
    <w:rsid w:val="001564BE"/>
    <w:rsid w:val="00156CCB"/>
    <w:rsid w:val="00156DFA"/>
    <w:rsid w:val="0015739D"/>
    <w:rsid w:val="00157EEA"/>
    <w:rsid w:val="001608A9"/>
    <w:rsid w:val="001611E6"/>
    <w:rsid w:val="00161ED6"/>
    <w:rsid w:val="001624F4"/>
    <w:rsid w:val="00162725"/>
    <w:rsid w:val="00162DBD"/>
    <w:rsid w:val="00163227"/>
    <w:rsid w:val="00164B56"/>
    <w:rsid w:val="00164DD1"/>
    <w:rsid w:val="00165621"/>
    <w:rsid w:val="0016569F"/>
    <w:rsid w:val="00165941"/>
    <w:rsid w:val="00165CED"/>
    <w:rsid w:val="00165EB2"/>
    <w:rsid w:val="00166419"/>
    <w:rsid w:val="001667D7"/>
    <w:rsid w:val="00166E93"/>
    <w:rsid w:val="001676CB"/>
    <w:rsid w:val="001679DC"/>
    <w:rsid w:val="001705AE"/>
    <w:rsid w:val="0017173D"/>
    <w:rsid w:val="00171ED7"/>
    <w:rsid w:val="00172400"/>
    <w:rsid w:val="00172CC9"/>
    <w:rsid w:val="001732A8"/>
    <w:rsid w:val="00173835"/>
    <w:rsid w:val="00176804"/>
    <w:rsid w:val="0017757A"/>
    <w:rsid w:val="0018075C"/>
    <w:rsid w:val="00181EEF"/>
    <w:rsid w:val="00182356"/>
    <w:rsid w:val="0018241F"/>
    <w:rsid w:val="00182DAD"/>
    <w:rsid w:val="0018625C"/>
    <w:rsid w:val="00186D57"/>
    <w:rsid w:val="00187985"/>
    <w:rsid w:val="00187A1F"/>
    <w:rsid w:val="00191B76"/>
    <w:rsid w:val="00191EDB"/>
    <w:rsid w:val="00192414"/>
    <w:rsid w:val="0019326B"/>
    <w:rsid w:val="00193BEB"/>
    <w:rsid w:val="00193C93"/>
    <w:rsid w:val="0019488E"/>
    <w:rsid w:val="00194A0E"/>
    <w:rsid w:val="00194D6D"/>
    <w:rsid w:val="00195470"/>
    <w:rsid w:val="0019571D"/>
    <w:rsid w:val="001960F0"/>
    <w:rsid w:val="0019693F"/>
    <w:rsid w:val="001A1A00"/>
    <w:rsid w:val="001A27B1"/>
    <w:rsid w:val="001A2DBC"/>
    <w:rsid w:val="001A421C"/>
    <w:rsid w:val="001A43F1"/>
    <w:rsid w:val="001A5FC2"/>
    <w:rsid w:val="001A6665"/>
    <w:rsid w:val="001A6ECC"/>
    <w:rsid w:val="001A7CAC"/>
    <w:rsid w:val="001A7D60"/>
    <w:rsid w:val="001A7FDE"/>
    <w:rsid w:val="001B02EA"/>
    <w:rsid w:val="001B0D8B"/>
    <w:rsid w:val="001B17EF"/>
    <w:rsid w:val="001B1922"/>
    <w:rsid w:val="001B3821"/>
    <w:rsid w:val="001B4A62"/>
    <w:rsid w:val="001B5F63"/>
    <w:rsid w:val="001B7188"/>
    <w:rsid w:val="001B7A93"/>
    <w:rsid w:val="001B7C21"/>
    <w:rsid w:val="001C026B"/>
    <w:rsid w:val="001C05DA"/>
    <w:rsid w:val="001C1AAB"/>
    <w:rsid w:val="001C2343"/>
    <w:rsid w:val="001C3A9C"/>
    <w:rsid w:val="001C5F1B"/>
    <w:rsid w:val="001C6F9A"/>
    <w:rsid w:val="001C7CA8"/>
    <w:rsid w:val="001D0356"/>
    <w:rsid w:val="001D0BC6"/>
    <w:rsid w:val="001D1645"/>
    <w:rsid w:val="001D20B8"/>
    <w:rsid w:val="001D2673"/>
    <w:rsid w:val="001D3320"/>
    <w:rsid w:val="001D364B"/>
    <w:rsid w:val="001D45AE"/>
    <w:rsid w:val="001D4F63"/>
    <w:rsid w:val="001D6670"/>
    <w:rsid w:val="001D6860"/>
    <w:rsid w:val="001D724B"/>
    <w:rsid w:val="001D7647"/>
    <w:rsid w:val="001E1024"/>
    <w:rsid w:val="001E402F"/>
    <w:rsid w:val="001E5357"/>
    <w:rsid w:val="001E5709"/>
    <w:rsid w:val="001E60E5"/>
    <w:rsid w:val="001E6E69"/>
    <w:rsid w:val="001E72C7"/>
    <w:rsid w:val="001F128F"/>
    <w:rsid w:val="001F130F"/>
    <w:rsid w:val="001F1719"/>
    <w:rsid w:val="001F1E40"/>
    <w:rsid w:val="001F1F34"/>
    <w:rsid w:val="001F2A4D"/>
    <w:rsid w:val="001F3138"/>
    <w:rsid w:val="001F3469"/>
    <w:rsid w:val="001F3CB0"/>
    <w:rsid w:val="001F4F58"/>
    <w:rsid w:val="001F5672"/>
    <w:rsid w:val="001F590E"/>
    <w:rsid w:val="001F5D61"/>
    <w:rsid w:val="001F7B4E"/>
    <w:rsid w:val="002003E4"/>
    <w:rsid w:val="00201CAD"/>
    <w:rsid w:val="00201CDC"/>
    <w:rsid w:val="00201FEE"/>
    <w:rsid w:val="00202CE7"/>
    <w:rsid w:val="002038EE"/>
    <w:rsid w:val="00204068"/>
    <w:rsid w:val="0020529C"/>
    <w:rsid w:val="00205542"/>
    <w:rsid w:val="002055ED"/>
    <w:rsid w:val="002057E8"/>
    <w:rsid w:val="0020588C"/>
    <w:rsid w:val="00205CA4"/>
    <w:rsid w:val="00207184"/>
    <w:rsid w:val="00207652"/>
    <w:rsid w:val="002104D7"/>
    <w:rsid w:val="0021088B"/>
    <w:rsid w:val="002108BF"/>
    <w:rsid w:val="0021102B"/>
    <w:rsid w:val="00211654"/>
    <w:rsid w:val="002118BB"/>
    <w:rsid w:val="002119D2"/>
    <w:rsid w:val="00212FB6"/>
    <w:rsid w:val="002135AD"/>
    <w:rsid w:val="00213AA9"/>
    <w:rsid w:val="00214C35"/>
    <w:rsid w:val="0021614A"/>
    <w:rsid w:val="00216CFD"/>
    <w:rsid w:val="002178CE"/>
    <w:rsid w:val="00217A91"/>
    <w:rsid w:val="0022096A"/>
    <w:rsid w:val="0022104D"/>
    <w:rsid w:val="00221E2F"/>
    <w:rsid w:val="00222322"/>
    <w:rsid w:val="00222458"/>
    <w:rsid w:val="00222530"/>
    <w:rsid w:val="002229D1"/>
    <w:rsid w:val="00222F43"/>
    <w:rsid w:val="00222F93"/>
    <w:rsid w:val="00223E1D"/>
    <w:rsid w:val="00224A5A"/>
    <w:rsid w:val="0022535D"/>
    <w:rsid w:val="00225E30"/>
    <w:rsid w:val="0022645C"/>
    <w:rsid w:val="00227CBA"/>
    <w:rsid w:val="00230206"/>
    <w:rsid w:val="00230A98"/>
    <w:rsid w:val="00231858"/>
    <w:rsid w:val="0023197B"/>
    <w:rsid w:val="00232D86"/>
    <w:rsid w:val="00234099"/>
    <w:rsid w:val="002356EE"/>
    <w:rsid w:val="00235DDE"/>
    <w:rsid w:val="00235FC2"/>
    <w:rsid w:val="00236422"/>
    <w:rsid w:val="00236C49"/>
    <w:rsid w:val="00237DCE"/>
    <w:rsid w:val="00237FBF"/>
    <w:rsid w:val="00240C58"/>
    <w:rsid w:val="00241D8E"/>
    <w:rsid w:val="0024222E"/>
    <w:rsid w:val="00242907"/>
    <w:rsid w:val="002436DC"/>
    <w:rsid w:val="00243A8A"/>
    <w:rsid w:val="002445D2"/>
    <w:rsid w:val="00244639"/>
    <w:rsid w:val="0024483C"/>
    <w:rsid w:val="0024489A"/>
    <w:rsid w:val="00245A46"/>
    <w:rsid w:val="00245EBC"/>
    <w:rsid w:val="00247EEF"/>
    <w:rsid w:val="00247F9F"/>
    <w:rsid w:val="00250F62"/>
    <w:rsid w:val="0025161B"/>
    <w:rsid w:val="00251C6C"/>
    <w:rsid w:val="00251FA7"/>
    <w:rsid w:val="002525D8"/>
    <w:rsid w:val="002526C2"/>
    <w:rsid w:val="00252D60"/>
    <w:rsid w:val="00254052"/>
    <w:rsid w:val="002549E2"/>
    <w:rsid w:val="00254E9F"/>
    <w:rsid w:val="00256839"/>
    <w:rsid w:val="00256D19"/>
    <w:rsid w:val="00260016"/>
    <w:rsid w:val="00260366"/>
    <w:rsid w:val="00260AE2"/>
    <w:rsid w:val="00262011"/>
    <w:rsid w:val="00262056"/>
    <w:rsid w:val="00262226"/>
    <w:rsid w:val="0026281A"/>
    <w:rsid w:val="00263F51"/>
    <w:rsid w:val="002650B5"/>
    <w:rsid w:val="00265ED2"/>
    <w:rsid w:val="00266087"/>
    <w:rsid w:val="00266452"/>
    <w:rsid w:val="00266505"/>
    <w:rsid w:val="00271057"/>
    <w:rsid w:val="00272167"/>
    <w:rsid w:val="002726DB"/>
    <w:rsid w:val="00272D61"/>
    <w:rsid w:val="00274380"/>
    <w:rsid w:val="00275840"/>
    <w:rsid w:val="00275B31"/>
    <w:rsid w:val="00276A6D"/>
    <w:rsid w:val="00277678"/>
    <w:rsid w:val="00277DB8"/>
    <w:rsid w:val="00280EFC"/>
    <w:rsid w:val="0028179E"/>
    <w:rsid w:val="00281985"/>
    <w:rsid w:val="00281ED2"/>
    <w:rsid w:val="00281FFD"/>
    <w:rsid w:val="00282E7D"/>
    <w:rsid w:val="0028319D"/>
    <w:rsid w:val="0028352E"/>
    <w:rsid w:val="00285032"/>
    <w:rsid w:val="00285373"/>
    <w:rsid w:val="002856B0"/>
    <w:rsid w:val="002858CD"/>
    <w:rsid w:val="00285A85"/>
    <w:rsid w:val="00286215"/>
    <w:rsid w:val="002868DE"/>
    <w:rsid w:val="00286C8C"/>
    <w:rsid w:val="0028797B"/>
    <w:rsid w:val="00290655"/>
    <w:rsid w:val="002911CC"/>
    <w:rsid w:val="002918A0"/>
    <w:rsid w:val="0029238C"/>
    <w:rsid w:val="0029243C"/>
    <w:rsid w:val="00294C8C"/>
    <w:rsid w:val="00297AE8"/>
    <w:rsid w:val="00297DBC"/>
    <w:rsid w:val="00297F4F"/>
    <w:rsid w:val="002A0012"/>
    <w:rsid w:val="002A086F"/>
    <w:rsid w:val="002A1640"/>
    <w:rsid w:val="002A1B03"/>
    <w:rsid w:val="002A1B77"/>
    <w:rsid w:val="002A2540"/>
    <w:rsid w:val="002A3E2D"/>
    <w:rsid w:val="002A40BB"/>
    <w:rsid w:val="002A4752"/>
    <w:rsid w:val="002A4782"/>
    <w:rsid w:val="002A7FF7"/>
    <w:rsid w:val="002B0187"/>
    <w:rsid w:val="002B0F5C"/>
    <w:rsid w:val="002B133C"/>
    <w:rsid w:val="002B196B"/>
    <w:rsid w:val="002B1D7C"/>
    <w:rsid w:val="002B1F1C"/>
    <w:rsid w:val="002B2939"/>
    <w:rsid w:val="002B3C68"/>
    <w:rsid w:val="002B49D4"/>
    <w:rsid w:val="002B5581"/>
    <w:rsid w:val="002B67D7"/>
    <w:rsid w:val="002B713F"/>
    <w:rsid w:val="002C0728"/>
    <w:rsid w:val="002C2770"/>
    <w:rsid w:val="002C28E7"/>
    <w:rsid w:val="002C2D0A"/>
    <w:rsid w:val="002C2E28"/>
    <w:rsid w:val="002C399D"/>
    <w:rsid w:val="002C3C29"/>
    <w:rsid w:val="002C4720"/>
    <w:rsid w:val="002C5ED9"/>
    <w:rsid w:val="002C6A73"/>
    <w:rsid w:val="002C79E9"/>
    <w:rsid w:val="002C7CB0"/>
    <w:rsid w:val="002D1E61"/>
    <w:rsid w:val="002D27C1"/>
    <w:rsid w:val="002D293A"/>
    <w:rsid w:val="002D3E8C"/>
    <w:rsid w:val="002D4261"/>
    <w:rsid w:val="002D43D0"/>
    <w:rsid w:val="002D4F1D"/>
    <w:rsid w:val="002D5189"/>
    <w:rsid w:val="002D5609"/>
    <w:rsid w:val="002D5BE3"/>
    <w:rsid w:val="002E0316"/>
    <w:rsid w:val="002E05A9"/>
    <w:rsid w:val="002E0763"/>
    <w:rsid w:val="002E0825"/>
    <w:rsid w:val="002E0C53"/>
    <w:rsid w:val="002E13F5"/>
    <w:rsid w:val="002E1A47"/>
    <w:rsid w:val="002E256E"/>
    <w:rsid w:val="002E4381"/>
    <w:rsid w:val="002E4F9D"/>
    <w:rsid w:val="002E5565"/>
    <w:rsid w:val="002E7B08"/>
    <w:rsid w:val="002F05C8"/>
    <w:rsid w:val="002F05DD"/>
    <w:rsid w:val="002F1E3D"/>
    <w:rsid w:val="002F3A3A"/>
    <w:rsid w:val="002F496A"/>
    <w:rsid w:val="002F4B12"/>
    <w:rsid w:val="002F7516"/>
    <w:rsid w:val="002F7783"/>
    <w:rsid w:val="002F7F81"/>
    <w:rsid w:val="00300209"/>
    <w:rsid w:val="0030205C"/>
    <w:rsid w:val="00302F19"/>
    <w:rsid w:val="0030366F"/>
    <w:rsid w:val="00303834"/>
    <w:rsid w:val="00303A47"/>
    <w:rsid w:val="00304327"/>
    <w:rsid w:val="003043CB"/>
    <w:rsid w:val="00304554"/>
    <w:rsid w:val="0030492B"/>
    <w:rsid w:val="0030600F"/>
    <w:rsid w:val="003068AD"/>
    <w:rsid w:val="00306DBD"/>
    <w:rsid w:val="003070C2"/>
    <w:rsid w:val="00310801"/>
    <w:rsid w:val="003124E8"/>
    <w:rsid w:val="0031404F"/>
    <w:rsid w:val="00314449"/>
    <w:rsid w:val="0031444C"/>
    <w:rsid w:val="0031484F"/>
    <w:rsid w:val="00314929"/>
    <w:rsid w:val="003153D3"/>
    <w:rsid w:val="00315582"/>
    <w:rsid w:val="00316B30"/>
    <w:rsid w:val="00317279"/>
    <w:rsid w:val="003177A4"/>
    <w:rsid w:val="00317D67"/>
    <w:rsid w:val="00317FE7"/>
    <w:rsid w:val="00320CB1"/>
    <w:rsid w:val="00320CC4"/>
    <w:rsid w:val="00323A23"/>
    <w:rsid w:val="003251F6"/>
    <w:rsid w:val="00325F4F"/>
    <w:rsid w:val="0032662B"/>
    <w:rsid w:val="00326F3C"/>
    <w:rsid w:val="00327914"/>
    <w:rsid w:val="00327D42"/>
    <w:rsid w:val="0033048D"/>
    <w:rsid w:val="003304DD"/>
    <w:rsid w:val="00330696"/>
    <w:rsid w:val="00331486"/>
    <w:rsid w:val="00331671"/>
    <w:rsid w:val="003319E1"/>
    <w:rsid w:val="00332A6F"/>
    <w:rsid w:val="00333972"/>
    <w:rsid w:val="0033427F"/>
    <w:rsid w:val="00335422"/>
    <w:rsid w:val="0033644C"/>
    <w:rsid w:val="00337DBB"/>
    <w:rsid w:val="00340396"/>
    <w:rsid w:val="00341616"/>
    <w:rsid w:val="003442F4"/>
    <w:rsid w:val="003462AD"/>
    <w:rsid w:val="00350047"/>
    <w:rsid w:val="0035067D"/>
    <w:rsid w:val="00350C9F"/>
    <w:rsid w:val="00352839"/>
    <w:rsid w:val="003537FD"/>
    <w:rsid w:val="00354D95"/>
    <w:rsid w:val="00355CCE"/>
    <w:rsid w:val="0035609F"/>
    <w:rsid w:val="00356DBB"/>
    <w:rsid w:val="0035733C"/>
    <w:rsid w:val="00357AAE"/>
    <w:rsid w:val="003602F1"/>
    <w:rsid w:val="003604E7"/>
    <w:rsid w:val="00361804"/>
    <w:rsid w:val="0036215B"/>
    <w:rsid w:val="003625B2"/>
    <w:rsid w:val="00362D40"/>
    <w:rsid w:val="00362E4D"/>
    <w:rsid w:val="00362F78"/>
    <w:rsid w:val="003642FA"/>
    <w:rsid w:val="00365273"/>
    <w:rsid w:val="00365306"/>
    <w:rsid w:val="0036572E"/>
    <w:rsid w:val="00365D50"/>
    <w:rsid w:val="00365D69"/>
    <w:rsid w:val="00365E3B"/>
    <w:rsid w:val="00365EE7"/>
    <w:rsid w:val="00365FEE"/>
    <w:rsid w:val="003660F0"/>
    <w:rsid w:val="003661CD"/>
    <w:rsid w:val="00366EC9"/>
    <w:rsid w:val="003671ED"/>
    <w:rsid w:val="003727FD"/>
    <w:rsid w:val="00372D83"/>
    <w:rsid w:val="00373EEC"/>
    <w:rsid w:val="00373F06"/>
    <w:rsid w:val="00375038"/>
    <w:rsid w:val="00375637"/>
    <w:rsid w:val="00375A27"/>
    <w:rsid w:val="00376399"/>
    <w:rsid w:val="00376921"/>
    <w:rsid w:val="003778D2"/>
    <w:rsid w:val="0038129A"/>
    <w:rsid w:val="003814CD"/>
    <w:rsid w:val="00381602"/>
    <w:rsid w:val="003821BD"/>
    <w:rsid w:val="00382674"/>
    <w:rsid w:val="0038377D"/>
    <w:rsid w:val="0038426F"/>
    <w:rsid w:val="00384446"/>
    <w:rsid w:val="00385158"/>
    <w:rsid w:val="00386560"/>
    <w:rsid w:val="003901B5"/>
    <w:rsid w:val="003908A1"/>
    <w:rsid w:val="00390EDC"/>
    <w:rsid w:val="003915BB"/>
    <w:rsid w:val="00392583"/>
    <w:rsid w:val="003929B1"/>
    <w:rsid w:val="00392D8D"/>
    <w:rsid w:val="00393246"/>
    <w:rsid w:val="00393CC6"/>
    <w:rsid w:val="00393FAE"/>
    <w:rsid w:val="003952B5"/>
    <w:rsid w:val="0039567A"/>
    <w:rsid w:val="00397DA6"/>
    <w:rsid w:val="003A1041"/>
    <w:rsid w:val="003A19DF"/>
    <w:rsid w:val="003A36F4"/>
    <w:rsid w:val="003A3BD0"/>
    <w:rsid w:val="003A4E29"/>
    <w:rsid w:val="003A61C8"/>
    <w:rsid w:val="003A62CA"/>
    <w:rsid w:val="003A62E3"/>
    <w:rsid w:val="003A6CC7"/>
    <w:rsid w:val="003A6F8A"/>
    <w:rsid w:val="003A7155"/>
    <w:rsid w:val="003A74E5"/>
    <w:rsid w:val="003A7AE7"/>
    <w:rsid w:val="003B12AA"/>
    <w:rsid w:val="003B23C2"/>
    <w:rsid w:val="003B3909"/>
    <w:rsid w:val="003B3F24"/>
    <w:rsid w:val="003B4168"/>
    <w:rsid w:val="003B4A22"/>
    <w:rsid w:val="003B4CC3"/>
    <w:rsid w:val="003B4F16"/>
    <w:rsid w:val="003B5749"/>
    <w:rsid w:val="003B7310"/>
    <w:rsid w:val="003C00D2"/>
    <w:rsid w:val="003C0360"/>
    <w:rsid w:val="003C2A90"/>
    <w:rsid w:val="003C30AC"/>
    <w:rsid w:val="003C35E6"/>
    <w:rsid w:val="003C434E"/>
    <w:rsid w:val="003C4613"/>
    <w:rsid w:val="003C4638"/>
    <w:rsid w:val="003C5CA3"/>
    <w:rsid w:val="003C5FBD"/>
    <w:rsid w:val="003C6ACE"/>
    <w:rsid w:val="003C739A"/>
    <w:rsid w:val="003C77CA"/>
    <w:rsid w:val="003C7E0E"/>
    <w:rsid w:val="003D009D"/>
    <w:rsid w:val="003D04E4"/>
    <w:rsid w:val="003D0830"/>
    <w:rsid w:val="003D2B48"/>
    <w:rsid w:val="003D33A6"/>
    <w:rsid w:val="003D576B"/>
    <w:rsid w:val="003D59B5"/>
    <w:rsid w:val="003D793C"/>
    <w:rsid w:val="003E0A78"/>
    <w:rsid w:val="003E0C13"/>
    <w:rsid w:val="003E361A"/>
    <w:rsid w:val="003E594B"/>
    <w:rsid w:val="003E5D6F"/>
    <w:rsid w:val="003E64F1"/>
    <w:rsid w:val="003E7A6B"/>
    <w:rsid w:val="003F03F2"/>
    <w:rsid w:val="003F06C1"/>
    <w:rsid w:val="003F087F"/>
    <w:rsid w:val="003F091B"/>
    <w:rsid w:val="003F0962"/>
    <w:rsid w:val="003F1AC7"/>
    <w:rsid w:val="003F1F70"/>
    <w:rsid w:val="003F225B"/>
    <w:rsid w:val="003F2949"/>
    <w:rsid w:val="003F56FA"/>
    <w:rsid w:val="003F5849"/>
    <w:rsid w:val="003F7C03"/>
    <w:rsid w:val="00400988"/>
    <w:rsid w:val="004011EE"/>
    <w:rsid w:val="0040128C"/>
    <w:rsid w:val="00401C21"/>
    <w:rsid w:val="00402DA7"/>
    <w:rsid w:val="0040327D"/>
    <w:rsid w:val="00403C9E"/>
    <w:rsid w:val="004045E7"/>
    <w:rsid w:val="0040551A"/>
    <w:rsid w:val="00406368"/>
    <w:rsid w:val="00407381"/>
    <w:rsid w:val="0040757A"/>
    <w:rsid w:val="0041176B"/>
    <w:rsid w:val="00411E13"/>
    <w:rsid w:val="00412117"/>
    <w:rsid w:val="00412ACE"/>
    <w:rsid w:val="00413A4D"/>
    <w:rsid w:val="00413AF9"/>
    <w:rsid w:val="004150DA"/>
    <w:rsid w:val="00415756"/>
    <w:rsid w:val="00416980"/>
    <w:rsid w:val="00416F6D"/>
    <w:rsid w:val="004178B4"/>
    <w:rsid w:val="00420C26"/>
    <w:rsid w:val="00420EF4"/>
    <w:rsid w:val="004216F2"/>
    <w:rsid w:val="00423ED3"/>
    <w:rsid w:val="00423EFD"/>
    <w:rsid w:val="004255BC"/>
    <w:rsid w:val="00426A46"/>
    <w:rsid w:val="00427181"/>
    <w:rsid w:val="004276F0"/>
    <w:rsid w:val="00427996"/>
    <w:rsid w:val="00427EAB"/>
    <w:rsid w:val="004309D2"/>
    <w:rsid w:val="004311E2"/>
    <w:rsid w:val="00431D88"/>
    <w:rsid w:val="004321AA"/>
    <w:rsid w:val="00432732"/>
    <w:rsid w:val="0043456C"/>
    <w:rsid w:val="00435968"/>
    <w:rsid w:val="00437EA1"/>
    <w:rsid w:val="00440796"/>
    <w:rsid w:val="00440B69"/>
    <w:rsid w:val="00444DEE"/>
    <w:rsid w:val="00445A87"/>
    <w:rsid w:val="004465DB"/>
    <w:rsid w:val="00447074"/>
    <w:rsid w:val="00451992"/>
    <w:rsid w:val="0045220C"/>
    <w:rsid w:val="004535E5"/>
    <w:rsid w:val="00454805"/>
    <w:rsid w:val="00455365"/>
    <w:rsid w:val="00455532"/>
    <w:rsid w:val="004556D1"/>
    <w:rsid w:val="00456338"/>
    <w:rsid w:val="00456468"/>
    <w:rsid w:val="0045709C"/>
    <w:rsid w:val="00457CE5"/>
    <w:rsid w:val="00460736"/>
    <w:rsid w:val="004609B1"/>
    <w:rsid w:val="004611DE"/>
    <w:rsid w:val="004642B0"/>
    <w:rsid w:val="00466537"/>
    <w:rsid w:val="00466EC2"/>
    <w:rsid w:val="00467291"/>
    <w:rsid w:val="00467642"/>
    <w:rsid w:val="00467FDF"/>
    <w:rsid w:val="004702F8"/>
    <w:rsid w:val="00471088"/>
    <w:rsid w:val="00471A27"/>
    <w:rsid w:val="00473661"/>
    <w:rsid w:val="00473B22"/>
    <w:rsid w:val="00473D00"/>
    <w:rsid w:val="00474315"/>
    <w:rsid w:val="00476141"/>
    <w:rsid w:val="0047650E"/>
    <w:rsid w:val="00477B6C"/>
    <w:rsid w:val="0048007A"/>
    <w:rsid w:val="0048170C"/>
    <w:rsid w:val="00481A49"/>
    <w:rsid w:val="004848DB"/>
    <w:rsid w:val="00486615"/>
    <w:rsid w:val="004910CF"/>
    <w:rsid w:val="004911E9"/>
    <w:rsid w:val="00491A3B"/>
    <w:rsid w:val="0049218C"/>
    <w:rsid w:val="0049226B"/>
    <w:rsid w:val="00494719"/>
    <w:rsid w:val="00494D2B"/>
    <w:rsid w:val="00495063"/>
    <w:rsid w:val="00495071"/>
    <w:rsid w:val="00495084"/>
    <w:rsid w:val="00495B71"/>
    <w:rsid w:val="00496389"/>
    <w:rsid w:val="0049707F"/>
    <w:rsid w:val="004973D7"/>
    <w:rsid w:val="0049753E"/>
    <w:rsid w:val="00497757"/>
    <w:rsid w:val="004A0C27"/>
    <w:rsid w:val="004A14F0"/>
    <w:rsid w:val="004A3B80"/>
    <w:rsid w:val="004A3B9E"/>
    <w:rsid w:val="004A53A5"/>
    <w:rsid w:val="004A5507"/>
    <w:rsid w:val="004A59FC"/>
    <w:rsid w:val="004A5FF8"/>
    <w:rsid w:val="004A6694"/>
    <w:rsid w:val="004A6B95"/>
    <w:rsid w:val="004B00D0"/>
    <w:rsid w:val="004B34E9"/>
    <w:rsid w:val="004B3772"/>
    <w:rsid w:val="004B5B47"/>
    <w:rsid w:val="004C09F0"/>
    <w:rsid w:val="004C0AC5"/>
    <w:rsid w:val="004C0E78"/>
    <w:rsid w:val="004C2489"/>
    <w:rsid w:val="004C24D6"/>
    <w:rsid w:val="004C2A4E"/>
    <w:rsid w:val="004C2CEA"/>
    <w:rsid w:val="004C2EBE"/>
    <w:rsid w:val="004C3669"/>
    <w:rsid w:val="004C36A7"/>
    <w:rsid w:val="004C3CC3"/>
    <w:rsid w:val="004C4F92"/>
    <w:rsid w:val="004C6BBA"/>
    <w:rsid w:val="004C74FC"/>
    <w:rsid w:val="004C79FA"/>
    <w:rsid w:val="004D0295"/>
    <w:rsid w:val="004D0603"/>
    <w:rsid w:val="004D1032"/>
    <w:rsid w:val="004D157A"/>
    <w:rsid w:val="004D2213"/>
    <w:rsid w:val="004D33DE"/>
    <w:rsid w:val="004D3EA2"/>
    <w:rsid w:val="004D4875"/>
    <w:rsid w:val="004D5183"/>
    <w:rsid w:val="004D6E75"/>
    <w:rsid w:val="004D769E"/>
    <w:rsid w:val="004D7D05"/>
    <w:rsid w:val="004D7F09"/>
    <w:rsid w:val="004E03AB"/>
    <w:rsid w:val="004E190A"/>
    <w:rsid w:val="004E3C32"/>
    <w:rsid w:val="004E3E01"/>
    <w:rsid w:val="004E4434"/>
    <w:rsid w:val="004E4A9D"/>
    <w:rsid w:val="004E6077"/>
    <w:rsid w:val="004E7DAD"/>
    <w:rsid w:val="004F0158"/>
    <w:rsid w:val="004F034C"/>
    <w:rsid w:val="004F2F7E"/>
    <w:rsid w:val="004F5205"/>
    <w:rsid w:val="004F78BF"/>
    <w:rsid w:val="004F7F9B"/>
    <w:rsid w:val="00500314"/>
    <w:rsid w:val="0050129C"/>
    <w:rsid w:val="00503232"/>
    <w:rsid w:val="00503DE6"/>
    <w:rsid w:val="00503F7F"/>
    <w:rsid w:val="00504BED"/>
    <w:rsid w:val="00504F88"/>
    <w:rsid w:val="00505ED2"/>
    <w:rsid w:val="0050641A"/>
    <w:rsid w:val="00506619"/>
    <w:rsid w:val="005068CB"/>
    <w:rsid w:val="00506A8F"/>
    <w:rsid w:val="0050744A"/>
    <w:rsid w:val="00507D93"/>
    <w:rsid w:val="0051197A"/>
    <w:rsid w:val="00511C14"/>
    <w:rsid w:val="005123FF"/>
    <w:rsid w:val="005125C9"/>
    <w:rsid w:val="00512E15"/>
    <w:rsid w:val="0051494C"/>
    <w:rsid w:val="005172A4"/>
    <w:rsid w:val="005179D9"/>
    <w:rsid w:val="00517D55"/>
    <w:rsid w:val="005203EC"/>
    <w:rsid w:val="005204DD"/>
    <w:rsid w:val="00520997"/>
    <w:rsid w:val="00520F7B"/>
    <w:rsid w:val="0052265D"/>
    <w:rsid w:val="00522EAC"/>
    <w:rsid w:val="005230B2"/>
    <w:rsid w:val="00523281"/>
    <w:rsid w:val="00523525"/>
    <w:rsid w:val="005246E5"/>
    <w:rsid w:val="00524FFC"/>
    <w:rsid w:val="005253D1"/>
    <w:rsid w:val="00525665"/>
    <w:rsid w:val="005259CA"/>
    <w:rsid w:val="00525B8E"/>
    <w:rsid w:val="005267FE"/>
    <w:rsid w:val="00526E43"/>
    <w:rsid w:val="00530503"/>
    <w:rsid w:val="00531BA8"/>
    <w:rsid w:val="005324E3"/>
    <w:rsid w:val="00532834"/>
    <w:rsid w:val="00533991"/>
    <w:rsid w:val="00533F9D"/>
    <w:rsid w:val="00534DDA"/>
    <w:rsid w:val="00536084"/>
    <w:rsid w:val="00536381"/>
    <w:rsid w:val="00536F34"/>
    <w:rsid w:val="00537E95"/>
    <w:rsid w:val="005404E2"/>
    <w:rsid w:val="00540A1F"/>
    <w:rsid w:val="00541A3C"/>
    <w:rsid w:val="00542E80"/>
    <w:rsid w:val="0054426A"/>
    <w:rsid w:val="00544B39"/>
    <w:rsid w:val="00546080"/>
    <w:rsid w:val="00546198"/>
    <w:rsid w:val="00547A4F"/>
    <w:rsid w:val="005501C6"/>
    <w:rsid w:val="005502C6"/>
    <w:rsid w:val="00551459"/>
    <w:rsid w:val="005517DC"/>
    <w:rsid w:val="00551F8D"/>
    <w:rsid w:val="00552F5E"/>
    <w:rsid w:val="00553ECE"/>
    <w:rsid w:val="00554300"/>
    <w:rsid w:val="00554AA2"/>
    <w:rsid w:val="00560C00"/>
    <w:rsid w:val="00564080"/>
    <w:rsid w:val="0056409B"/>
    <w:rsid w:val="005654BB"/>
    <w:rsid w:val="0056579F"/>
    <w:rsid w:val="00565A98"/>
    <w:rsid w:val="00566539"/>
    <w:rsid w:val="00566824"/>
    <w:rsid w:val="00567002"/>
    <w:rsid w:val="005672D4"/>
    <w:rsid w:val="005676F3"/>
    <w:rsid w:val="00567D7D"/>
    <w:rsid w:val="0057015C"/>
    <w:rsid w:val="00570E5A"/>
    <w:rsid w:val="00573098"/>
    <w:rsid w:val="0057462A"/>
    <w:rsid w:val="005747DB"/>
    <w:rsid w:val="00574D99"/>
    <w:rsid w:val="005752E4"/>
    <w:rsid w:val="005753FB"/>
    <w:rsid w:val="00575BD7"/>
    <w:rsid w:val="00575C5D"/>
    <w:rsid w:val="00575EB3"/>
    <w:rsid w:val="005770F4"/>
    <w:rsid w:val="00577419"/>
    <w:rsid w:val="00580311"/>
    <w:rsid w:val="00581507"/>
    <w:rsid w:val="00582054"/>
    <w:rsid w:val="005828B8"/>
    <w:rsid w:val="00582CBF"/>
    <w:rsid w:val="005839DD"/>
    <w:rsid w:val="00584391"/>
    <w:rsid w:val="0058504B"/>
    <w:rsid w:val="0058561C"/>
    <w:rsid w:val="00586F52"/>
    <w:rsid w:val="00590755"/>
    <w:rsid w:val="00590BDE"/>
    <w:rsid w:val="00590CE8"/>
    <w:rsid w:val="00591ABE"/>
    <w:rsid w:val="005928F1"/>
    <w:rsid w:val="00592F1D"/>
    <w:rsid w:val="00593B04"/>
    <w:rsid w:val="005943BA"/>
    <w:rsid w:val="00594BFD"/>
    <w:rsid w:val="00595750"/>
    <w:rsid w:val="00595986"/>
    <w:rsid w:val="00595F04"/>
    <w:rsid w:val="00597152"/>
    <w:rsid w:val="005975B9"/>
    <w:rsid w:val="00597630"/>
    <w:rsid w:val="00597795"/>
    <w:rsid w:val="005A0B62"/>
    <w:rsid w:val="005A10B3"/>
    <w:rsid w:val="005A1190"/>
    <w:rsid w:val="005A2B40"/>
    <w:rsid w:val="005A2F7B"/>
    <w:rsid w:val="005A3284"/>
    <w:rsid w:val="005A32D6"/>
    <w:rsid w:val="005A4329"/>
    <w:rsid w:val="005A4D37"/>
    <w:rsid w:val="005A4FA4"/>
    <w:rsid w:val="005A5D50"/>
    <w:rsid w:val="005B05DC"/>
    <w:rsid w:val="005B0968"/>
    <w:rsid w:val="005B1AC5"/>
    <w:rsid w:val="005B2B27"/>
    <w:rsid w:val="005B6528"/>
    <w:rsid w:val="005B7112"/>
    <w:rsid w:val="005B719E"/>
    <w:rsid w:val="005B7F45"/>
    <w:rsid w:val="005C01B2"/>
    <w:rsid w:val="005C1500"/>
    <w:rsid w:val="005C1A00"/>
    <w:rsid w:val="005C1AFC"/>
    <w:rsid w:val="005C2029"/>
    <w:rsid w:val="005C223E"/>
    <w:rsid w:val="005C2554"/>
    <w:rsid w:val="005C2621"/>
    <w:rsid w:val="005C2940"/>
    <w:rsid w:val="005C35CA"/>
    <w:rsid w:val="005C4224"/>
    <w:rsid w:val="005C5D3B"/>
    <w:rsid w:val="005C68AB"/>
    <w:rsid w:val="005C6C33"/>
    <w:rsid w:val="005C7D80"/>
    <w:rsid w:val="005D1E95"/>
    <w:rsid w:val="005D37AF"/>
    <w:rsid w:val="005D4F88"/>
    <w:rsid w:val="005D5E8B"/>
    <w:rsid w:val="005D5F5C"/>
    <w:rsid w:val="005D60B3"/>
    <w:rsid w:val="005D652B"/>
    <w:rsid w:val="005D66B8"/>
    <w:rsid w:val="005D69BB"/>
    <w:rsid w:val="005D7A36"/>
    <w:rsid w:val="005E2903"/>
    <w:rsid w:val="005E30D5"/>
    <w:rsid w:val="005E3224"/>
    <w:rsid w:val="005E429C"/>
    <w:rsid w:val="005E42C0"/>
    <w:rsid w:val="005E446C"/>
    <w:rsid w:val="005E4DFE"/>
    <w:rsid w:val="005E685A"/>
    <w:rsid w:val="005E7EC7"/>
    <w:rsid w:val="005F00E0"/>
    <w:rsid w:val="005F1902"/>
    <w:rsid w:val="005F5988"/>
    <w:rsid w:val="005F62AD"/>
    <w:rsid w:val="005F6946"/>
    <w:rsid w:val="005F6BF4"/>
    <w:rsid w:val="006008DB"/>
    <w:rsid w:val="00601A33"/>
    <w:rsid w:val="0060271D"/>
    <w:rsid w:val="0060314D"/>
    <w:rsid w:val="00604FB7"/>
    <w:rsid w:val="0060539A"/>
    <w:rsid w:val="00605D5E"/>
    <w:rsid w:val="00606125"/>
    <w:rsid w:val="006074EB"/>
    <w:rsid w:val="00607679"/>
    <w:rsid w:val="0060780D"/>
    <w:rsid w:val="006106F6"/>
    <w:rsid w:val="00610BC1"/>
    <w:rsid w:val="00610C35"/>
    <w:rsid w:val="00610EEA"/>
    <w:rsid w:val="00611686"/>
    <w:rsid w:val="006127B7"/>
    <w:rsid w:val="006144FB"/>
    <w:rsid w:val="0061451B"/>
    <w:rsid w:val="006148C7"/>
    <w:rsid w:val="00615476"/>
    <w:rsid w:val="006155ED"/>
    <w:rsid w:val="006173F0"/>
    <w:rsid w:val="00620B05"/>
    <w:rsid w:val="00622AB8"/>
    <w:rsid w:val="0062480C"/>
    <w:rsid w:val="006262F6"/>
    <w:rsid w:val="006267FC"/>
    <w:rsid w:val="00626A39"/>
    <w:rsid w:val="006303A6"/>
    <w:rsid w:val="006310B1"/>
    <w:rsid w:val="00632539"/>
    <w:rsid w:val="006325B6"/>
    <w:rsid w:val="00632B18"/>
    <w:rsid w:val="00632ED7"/>
    <w:rsid w:val="00633BB6"/>
    <w:rsid w:val="00634056"/>
    <w:rsid w:val="00635D6B"/>
    <w:rsid w:val="00637E63"/>
    <w:rsid w:val="00640D32"/>
    <w:rsid w:val="00643017"/>
    <w:rsid w:val="00643789"/>
    <w:rsid w:val="00644872"/>
    <w:rsid w:val="00644BF8"/>
    <w:rsid w:val="00644DD8"/>
    <w:rsid w:val="00646389"/>
    <w:rsid w:val="006464B6"/>
    <w:rsid w:val="00646911"/>
    <w:rsid w:val="006478AF"/>
    <w:rsid w:val="00647DDA"/>
    <w:rsid w:val="006507A7"/>
    <w:rsid w:val="0065135C"/>
    <w:rsid w:val="00654FC1"/>
    <w:rsid w:val="0065593C"/>
    <w:rsid w:val="00655D94"/>
    <w:rsid w:val="00656455"/>
    <w:rsid w:val="006565BD"/>
    <w:rsid w:val="006567C6"/>
    <w:rsid w:val="00657662"/>
    <w:rsid w:val="00657E40"/>
    <w:rsid w:val="0066099B"/>
    <w:rsid w:val="0066238F"/>
    <w:rsid w:val="00663242"/>
    <w:rsid w:val="0066378F"/>
    <w:rsid w:val="00663C93"/>
    <w:rsid w:val="006651C6"/>
    <w:rsid w:val="00666AFB"/>
    <w:rsid w:val="00666E86"/>
    <w:rsid w:val="00667411"/>
    <w:rsid w:val="0067083A"/>
    <w:rsid w:val="00671071"/>
    <w:rsid w:val="006720C6"/>
    <w:rsid w:val="00672392"/>
    <w:rsid w:val="00672393"/>
    <w:rsid w:val="00672993"/>
    <w:rsid w:val="00672B87"/>
    <w:rsid w:val="00672DAF"/>
    <w:rsid w:val="0067314C"/>
    <w:rsid w:val="00673B3E"/>
    <w:rsid w:val="00674137"/>
    <w:rsid w:val="00674540"/>
    <w:rsid w:val="0067457E"/>
    <w:rsid w:val="006748F8"/>
    <w:rsid w:val="006753CD"/>
    <w:rsid w:val="0067695C"/>
    <w:rsid w:val="0067766C"/>
    <w:rsid w:val="0068097C"/>
    <w:rsid w:val="00681015"/>
    <w:rsid w:val="0068228C"/>
    <w:rsid w:val="00683253"/>
    <w:rsid w:val="00683809"/>
    <w:rsid w:val="00683E44"/>
    <w:rsid w:val="0068474C"/>
    <w:rsid w:val="00685AFF"/>
    <w:rsid w:val="00687BEE"/>
    <w:rsid w:val="00690430"/>
    <w:rsid w:val="00690565"/>
    <w:rsid w:val="006909DA"/>
    <w:rsid w:val="00691E70"/>
    <w:rsid w:val="0069336D"/>
    <w:rsid w:val="0069408D"/>
    <w:rsid w:val="0069421C"/>
    <w:rsid w:val="006942A2"/>
    <w:rsid w:val="00694545"/>
    <w:rsid w:val="00694DFC"/>
    <w:rsid w:val="006963BD"/>
    <w:rsid w:val="0069756E"/>
    <w:rsid w:val="006977B1"/>
    <w:rsid w:val="006A0268"/>
    <w:rsid w:val="006A0AB2"/>
    <w:rsid w:val="006A0CD3"/>
    <w:rsid w:val="006A0E45"/>
    <w:rsid w:val="006A13BB"/>
    <w:rsid w:val="006A40CD"/>
    <w:rsid w:val="006A53A7"/>
    <w:rsid w:val="006A59CF"/>
    <w:rsid w:val="006A64A8"/>
    <w:rsid w:val="006A64B9"/>
    <w:rsid w:val="006A6A6B"/>
    <w:rsid w:val="006B0598"/>
    <w:rsid w:val="006B0602"/>
    <w:rsid w:val="006B0633"/>
    <w:rsid w:val="006B15BC"/>
    <w:rsid w:val="006B162E"/>
    <w:rsid w:val="006B1B35"/>
    <w:rsid w:val="006B1E42"/>
    <w:rsid w:val="006B1E8A"/>
    <w:rsid w:val="006B32A3"/>
    <w:rsid w:val="006B3904"/>
    <w:rsid w:val="006B434B"/>
    <w:rsid w:val="006B47C2"/>
    <w:rsid w:val="006B4C89"/>
    <w:rsid w:val="006B61CF"/>
    <w:rsid w:val="006B65B2"/>
    <w:rsid w:val="006B7052"/>
    <w:rsid w:val="006B715B"/>
    <w:rsid w:val="006B7DDD"/>
    <w:rsid w:val="006C08BE"/>
    <w:rsid w:val="006C16E5"/>
    <w:rsid w:val="006C1ADE"/>
    <w:rsid w:val="006C1F82"/>
    <w:rsid w:val="006C3BC1"/>
    <w:rsid w:val="006C442B"/>
    <w:rsid w:val="006C4436"/>
    <w:rsid w:val="006C500C"/>
    <w:rsid w:val="006C5C4E"/>
    <w:rsid w:val="006C6B58"/>
    <w:rsid w:val="006C7C09"/>
    <w:rsid w:val="006D0054"/>
    <w:rsid w:val="006D3529"/>
    <w:rsid w:val="006D357C"/>
    <w:rsid w:val="006D3BC2"/>
    <w:rsid w:val="006D521C"/>
    <w:rsid w:val="006D5750"/>
    <w:rsid w:val="006D61F5"/>
    <w:rsid w:val="006D65D2"/>
    <w:rsid w:val="006D6A98"/>
    <w:rsid w:val="006D7D92"/>
    <w:rsid w:val="006E0BD9"/>
    <w:rsid w:val="006E0DEA"/>
    <w:rsid w:val="006E0E38"/>
    <w:rsid w:val="006E0F46"/>
    <w:rsid w:val="006E3445"/>
    <w:rsid w:val="006E3CE8"/>
    <w:rsid w:val="006E42FF"/>
    <w:rsid w:val="006E4659"/>
    <w:rsid w:val="006E4AB9"/>
    <w:rsid w:val="006E4B18"/>
    <w:rsid w:val="006E6590"/>
    <w:rsid w:val="006E702B"/>
    <w:rsid w:val="006E728F"/>
    <w:rsid w:val="006E7E6D"/>
    <w:rsid w:val="006F0156"/>
    <w:rsid w:val="006F085C"/>
    <w:rsid w:val="006F278F"/>
    <w:rsid w:val="006F2D58"/>
    <w:rsid w:val="006F4165"/>
    <w:rsid w:val="006F41BD"/>
    <w:rsid w:val="006F4CBB"/>
    <w:rsid w:val="006F5374"/>
    <w:rsid w:val="006F54B8"/>
    <w:rsid w:val="006F59F5"/>
    <w:rsid w:val="006F651F"/>
    <w:rsid w:val="006F6A03"/>
    <w:rsid w:val="006F754A"/>
    <w:rsid w:val="006F7E34"/>
    <w:rsid w:val="00700772"/>
    <w:rsid w:val="00700B27"/>
    <w:rsid w:val="00700EF2"/>
    <w:rsid w:val="0070224A"/>
    <w:rsid w:val="00702443"/>
    <w:rsid w:val="007034F0"/>
    <w:rsid w:val="00703658"/>
    <w:rsid w:val="00703A83"/>
    <w:rsid w:val="00707781"/>
    <w:rsid w:val="007101B8"/>
    <w:rsid w:val="00711089"/>
    <w:rsid w:val="00713A4D"/>
    <w:rsid w:val="00714499"/>
    <w:rsid w:val="00715B33"/>
    <w:rsid w:val="00720188"/>
    <w:rsid w:val="00720887"/>
    <w:rsid w:val="007208DB"/>
    <w:rsid w:val="00720F12"/>
    <w:rsid w:val="00721AEF"/>
    <w:rsid w:val="00721D3C"/>
    <w:rsid w:val="00722D8D"/>
    <w:rsid w:val="00723914"/>
    <w:rsid w:val="00723E55"/>
    <w:rsid w:val="00724C28"/>
    <w:rsid w:val="00724DEC"/>
    <w:rsid w:val="00727009"/>
    <w:rsid w:val="00727BC3"/>
    <w:rsid w:val="00731C98"/>
    <w:rsid w:val="007368B9"/>
    <w:rsid w:val="00736AAF"/>
    <w:rsid w:val="00736D3C"/>
    <w:rsid w:val="00741C89"/>
    <w:rsid w:val="00743511"/>
    <w:rsid w:val="00743808"/>
    <w:rsid w:val="007450E0"/>
    <w:rsid w:val="007462CD"/>
    <w:rsid w:val="00747BE5"/>
    <w:rsid w:val="00751951"/>
    <w:rsid w:val="007519CB"/>
    <w:rsid w:val="00751EA6"/>
    <w:rsid w:val="00752F9F"/>
    <w:rsid w:val="007533F4"/>
    <w:rsid w:val="0075570D"/>
    <w:rsid w:val="0076095C"/>
    <w:rsid w:val="00760A72"/>
    <w:rsid w:val="00763022"/>
    <w:rsid w:val="00764205"/>
    <w:rsid w:val="00765DB8"/>
    <w:rsid w:val="00765E76"/>
    <w:rsid w:val="00766741"/>
    <w:rsid w:val="00766C3A"/>
    <w:rsid w:val="00767CE1"/>
    <w:rsid w:val="00767F0C"/>
    <w:rsid w:val="00770E91"/>
    <w:rsid w:val="00771A65"/>
    <w:rsid w:val="00773249"/>
    <w:rsid w:val="007754E9"/>
    <w:rsid w:val="007755FA"/>
    <w:rsid w:val="00776AE9"/>
    <w:rsid w:val="00776B5D"/>
    <w:rsid w:val="007771A1"/>
    <w:rsid w:val="0077739A"/>
    <w:rsid w:val="00780379"/>
    <w:rsid w:val="00782DBE"/>
    <w:rsid w:val="0078496E"/>
    <w:rsid w:val="00786711"/>
    <w:rsid w:val="0078781D"/>
    <w:rsid w:val="00787825"/>
    <w:rsid w:val="00787B27"/>
    <w:rsid w:val="00787DFD"/>
    <w:rsid w:val="00793A23"/>
    <w:rsid w:val="007966ED"/>
    <w:rsid w:val="00796F5B"/>
    <w:rsid w:val="007A0E41"/>
    <w:rsid w:val="007A0E61"/>
    <w:rsid w:val="007A1546"/>
    <w:rsid w:val="007A1902"/>
    <w:rsid w:val="007A2F07"/>
    <w:rsid w:val="007A3A9B"/>
    <w:rsid w:val="007A3F67"/>
    <w:rsid w:val="007A4820"/>
    <w:rsid w:val="007A4894"/>
    <w:rsid w:val="007A6928"/>
    <w:rsid w:val="007A79B5"/>
    <w:rsid w:val="007B05CE"/>
    <w:rsid w:val="007B1718"/>
    <w:rsid w:val="007B1F36"/>
    <w:rsid w:val="007B274E"/>
    <w:rsid w:val="007B3933"/>
    <w:rsid w:val="007B3C20"/>
    <w:rsid w:val="007B5FEC"/>
    <w:rsid w:val="007B6A3A"/>
    <w:rsid w:val="007B6A9D"/>
    <w:rsid w:val="007B77E4"/>
    <w:rsid w:val="007B7E69"/>
    <w:rsid w:val="007C1917"/>
    <w:rsid w:val="007C2FBE"/>
    <w:rsid w:val="007C2FFB"/>
    <w:rsid w:val="007C35EE"/>
    <w:rsid w:val="007C39C9"/>
    <w:rsid w:val="007C40FB"/>
    <w:rsid w:val="007C410E"/>
    <w:rsid w:val="007C662C"/>
    <w:rsid w:val="007C6C9E"/>
    <w:rsid w:val="007C6CD8"/>
    <w:rsid w:val="007C70A6"/>
    <w:rsid w:val="007C7568"/>
    <w:rsid w:val="007D0803"/>
    <w:rsid w:val="007D0D07"/>
    <w:rsid w:val="007D0E5C"/>
    <w:rsid w:val="007D265F"/>
    <w:rsid w:val="007D52B9"/>
    <w:rsid w:val="007D5AD3"/>
    <w:rsid w:val="007D665D"/>
    <w:rsid w:val="007D697F"/>
    <w:rsid w:val="007D6A0F"/>
    <w:rsid w:val="007E017B"/>
    <w:rsid w:val="007E01C4"/>
    <w:rsid w:val="007E0C56"/>
    <w:rsid w:val="007E0E0C"/>
    <w:rsid w:val="007E101E"/>
    <w:rsid w:val="007E215E"/>
    <w:rsid w:val="007E2375"/>
    <w:rsid w:val="007E26D5"/>
    <w:rsid w:val="007E293F"/>
    <w:rsid w:val="007E2D5D"/>
    <w:rsid w:val="007E2EC5"/>
    <w:rsid w:val="007E397B"/>
    <w:rsid w:val="007E4650"/>
    <w:rsid w:val="007E51C0"/>
    <w:rsid w:val="007E5A7A"/>
    <w:rsid w:val="007E5AD5"/>
    <w:rsid w:val="007E6047"/>
    <w:rsid w:val="007E6F82"/>
    <w:rsid w:val="007E7C9E"/>
    <w:rsid w:val="007E7D4A"/>
    <w:rsid w:val="007F05A4"/>
    <w:rsid w:val="007F1E40"/>
    <w:rsid w:val="007F26D5"/>
    <w:rsid w:val="007F33F9"/>
    <w:rsid w:val="007F55EA"/>
    <w:rsid w:val="007F5F61"/>
    <w:rsid w:val="007F606E"/>
    <w:rsid w:val="007F76C1"/>
    <w:rsid w:val="00800B19"/>
    <w:rsid w:val="00801D42"/>
    <w:rsid w:val="00801FC9"/>
    <w:rsid w:val="0080300D"/>
    <w:rsid w:val="008035D4"/>
    <w:rsid w:val="00803863"/>
    <w:rsid w:val="00803C94"/>
    <w:rsid w:val="00804220"/>
    <w:rsid w:val="008044F0"/>
    <w:rsid w:val="00805963"/>
    <w:rsid w:val="00805DA5"/>
    <w:rsid w:val="00805DC4"/>
    <w:rsid w:val="00805E5A"/>
    <w:rsid w:val="00806CCA"/>
    <w:rsid w:val="008073E5"/>
    <w:rsid w:val="00810099"/>
    <w:rsid w:val="00810532"/>
    <w:rsid w:val="00810DCA"/>
    <w:rsid w:val="00810F4F"/>
    <w:rsid w:val="00812D0F"/>
    <w:rsid w:val="00813D18"/>
    <w:rsid w:val="0081454D"/>
    <w:rsid w:val="00815A57"/>
    <w:rsid w:val="00815DA3"/>
    <w:rsid w:val="00815DC3"/>
    <w:rsid w:val="00816534"/>
    <w:rsid w:val="0081665A"/>
    <w:rsid w:val="008169D3"/>
    <w:rsid w:val="00817EE7"/>
    <w:rsid w:val="008210CC"/>
    <w:rsid w:val="00822213"/>
    <w:rsid w:val="008235E1"/>
    <w:rsid w:val="00823975"/>
    <w:rsid w:val="00824323"/>
    <w:rsid w:val="00825264"/>
    <w:rsid w:val="00825908"/>
    <w:rsid w:val="008278BB"/>
    <w:rsid w:val="008301FB"/>
    <w:rsid w:val="00830417"/>
    <w:rsid w:val="00831713"/>
    <w:rsid w:val="008327AB"/>
    <w:rsid w:val="00832974"/>
    <w:rsid w:val="00832C56"/>
    <w:rsid w:val="00832EB7"/>
    <w:rsid w:val="00836C2F"/>
    <w:rsid w:val="00837583"/>
    <w:rsid w:val="008402F6"/>
    <w:rsid w:val="0084171D"/>
    <w:rsid w:val="008418FC"/>
    <w:rsid w:val="00841B4C"/>
    <w:rsid w:val="00841D90"/>
    <w:rsid w:val="008437E6"/>
    <w:rsid w:val="008438E4"/>
    <w:rsid w:val="0084390D"/>
    <w:rsid w:val="00844285"/>
    <w:rsid w:val="00845303"/>
    <w:rsid w:val="00845722"/>
    <w:rsid w:val="00845871"/>
    <w:rsid w:val="00847A3A"/>
    <w:rsid w:val="00850F3A"/>
    <w:rsid w:val="00851195"/>
    <w:rsid w:val="0085237D"/>
    <w:rsid w:val="00852BC8"/>
    <w:rsid w:val="008531DA"/>
    <w:rsid w:val="00853663"/>
    <w:rsid w:val="008554A3"/>
    <w:rsid w:val="008555D4"/>
    <w:rsid w:val="0085576B"/>
    <w:rsid w:val="00855DFA"/>
    <w:rsid w:val="00856439"/>
    <w:rsid w:val="0085662D"/>
    <w:rsid w:val="00856B3D"/>
    <w:rsid w:val="0085772B"/>
    <w:rsid w:val="00857775"/>
    <w:rsid w:val="00861DC7"/>
    <w:rsid w:val="008646B3"/>
    <w:rsid w:val="00865889"/>
    <w:rsid w:val="008666EB"/>
    <w:rsid w:val="00870C87"/>
    <w:rsid w:val="00871987"/>
    <w:rsid w:val="00871FE6"/>
    <w:rsid w:val="00872CFA"/>
    <w:rsid w:val="00872D94"/>
    <w:rsid w:val="00873199"/>
    <w:rsid w:val="008733EA"/>
    <w:rsid w:val="008737C7"/>
    <w:rsid w:val="00874606"/>
    <w:rsid w:val="00874D6F"/>
    <w:rsid w:val="00875719"/>
    <w:rsid w:val="008762B4"/>
    <w:rsid w:val="00876473"/>
    <w:rsid w:val="00880005"/>
    <w:rsid w:val="0088030D"/>
    <w:rsid w:val="008810BB"/>
    <w:rsid w:val="008810BF"/>
    <w:rsid w:val="00882B04"/>
    <w:rsid w:val="008842D8"/>
    <w:rsid w:val="00884CB1"/>
    <w:rsid w:val="00885156"/>
    <w:rsid w:val="00885689"/>
    <w:rsid w:val="00885BD7"/>
    <w:rsid w:val="00886A5B"/>
    <w:rsid w:val="00886B0A"/>
    <w:rsid w:val="008875A6"/>
    <w:rsid w:val="0089048A"/>
    <w:rsid w:val="008917C0"/>
    <w:rsid w:val="00892652"/>
    <w:rsid w:val="008926D2"/>
    <w:rsid w:val="00892901"/>
    <w:rsid w:val="00893A95"/>
    <w:rsid w:val="008947D8"/>
    <w:rsid w:val="0089635D"/>
    <w:rsid w:val="00896CDB"/>
    <w:rsid w:val="008976E8"/>
    <w:rsid w:val="00897C9A"/>
    <w:rsid w:val="00897E3A"/>
    <w:rsid w:val="008A0715"/>
    <w:rsid w:val="008A07D3"/>
    <w:rsid w:val="008A181E"/>
    <w:rsid w:val="008A185B"/>
    <w:rsid w:val="008A2C50"/>
    <w:rsid w:val="008A5201"/>
    <w:rsid w:val="008A724D"/>
    <w:rsid w:val="008B0DE9"/>
    <w:rsid w:val="008B3FAD"/>
    <w:rsid w:val="008B417D"/>
    <w:rsid w:val="008B41AE"/>
    <w:rsid w:val="008B4726"/>
    <w:rsid w:val="008B5C19"/>
    <w:rsid w:val="008B5DF6"/>
    <w:rsid w:val="008B70B1"/>
    <w:rsid w:val="008B73E6"/>
    <w:rsid w:val="008C02C8"/>
    <w:rsid w:val="008C0DDA"/>
    <w:rsid w:val="008C1223"/>
    <w:rsid w:val="008C1F7B"/>
    <w:rsid w:val="008C3C2D"/>
    <w:rsid w:val="008C4638"/>
    <w:rsid w:val="008C4961"/>
    <w:rsid w:val="008C53E9"/>
    <w:rsid w:val="008C5477"/>
    <w:rsid w:val="008C56D0"/>
    <w:rsid w:val="008C62BB"/>
    <w:rsid w:val="008C7499"/>
    <w:rsid w:val="008D2393"/>
    <w:rsid w:val="008D26F2"/>
    <w:rsid w:val="008E0BBD"/>
    <w:rsid w:val="008E2987"/>
    <w:rsid w:val="008E35A9"/>
    <w:rsid w:val="008E37F0"/>
    <w:rsid w:val="008E4153"/>
    <w:rsid w:val="008E441D"/>
    <w:rsid w:val="008E4B12"/>
    <w:rsid w:val="008E516D"/>
    <w:rsid w:val="008E6ABE"/>
    <w:rsid w:val="008E7204"/>
    <w:rsid w:val="008F1835"/>
    <w:rsid w:val="008F2399"/>
    <w:rsid w:val="008F3A61"/>
    <w:rsid w:val="008F3ABD"/>
    <w:rsid w:val="008F3D3F"/>
    <w:rsid w:val="008F4240"/>
    <w:rsid w:val="008F5E20"/>
    <w:rsid w:val="008F6D63"/>
    <w:rsid w:val="00900139"/>
    <w:rsid w:val="00900157"/>
    <w:rsid w:val="009007D5"/>
    <w:rsid w:val="009015FB"/>
    <w:rsid w:val="0090322C"/>
    <w:rsid w:val="0090362F"/>
    <w:rsid w:val="00903C64"/>
    <w:rsid w:val="00903E91"/>
    <w:rsid w:val="0090426C"/>
    <w:rsid w:val="0090467B"/>
    <w:rsid w:val="009051B7"/>
    <w:rsid w:val="0090544A"/>
    <w:rsid w:val="009055F9"/>
    <w:rsid w:val="00906033"/>
    <w:rsid w:val="00906A0C"/>
    <w:rsid w:val="00907784"/>
    <w:rsid w:val="00907E75"/>
    <w:rsid w:val="00910EE6"/>
    <w:rsid w:val="00911089"/>
    <w:rsid w:val="00911697"/>
    <w:rsid w:val="00911B19"/>
    <w:rsid w:val="00911B3F"/>
    <w:rsid w:val="0091267C"/>
    <w:rsid w:val="0091274A"/>
    <w:rsid w:val="00912760"/>
    <w:rsid w:val="00912CF9"/>
    <w:rsid w:val="00912D2A"/>
    <w:rsid w:val="009137BA"/>
    <w:rsid w:val="009170E5"/>
    <w:rsid w:val="00917284"/>
    <w:rsid w:val="00921089"/>
    <w:rsid w:val="00921E09"/>
    <w:rsid w:val="00922450"/>
    <w:rsid w:val="0092263B"/>
    <w:rsid w:val="009229CB"/>
    <w:rsid w:val="00923472"/>
    <w:rsid w:val="00923D28"/>
    <w:rsid w:val="009258BE"/>
    <w:rsid w:val="00925C4D"/>
    <w:rsid w:val="00925C56"/>
    <w:rsid w:val="00925E40"/>
    <w:rsid w:val="00926F58"/>
    <w:rsid w:val="00927852"/>
    <w:rsid w:val="009315EF"/>
    <w:rsid w:val="00931890"/>
    <w:rsid w:val="009329A1"/>
    <w:rsid w:val="0093382C"/>
    <w:rsid w:val="00935E46"/>
    <w:rsid w:val="00936526"/>
    <w:rsid w:val="00936E04"/>
    <w:rsid w:val="009379E5"/>
    <w:rsid w:val="00940DD1"/>
    <w:rsid w:val="0094439D"/>
    <w:rsid w:val="009445A6"/>
    <w:rsid w:val="0094533A"/>
    <w:rsid w:val="0094592E"/>
    <w:rsid w:val="00945E17"/>
    <w:rsid w:val="00945FB0"/>
    <w:rsid w:val="00947AD8"/>
    <w:rsid w:val="00947C20"/>
    <w:rsid w:val="009514AD"/>
    <w:rsid w:val="00951923"/>
    <w:rsid w:val="00951E53"/>
    <w:rsid w:val="00952C92"/>
    <w:rsid w:val="00954155"/>
    <w:rsid w:val="009545FF"/>
    <w:rsid w:val="009559C9"/>
    <w:rsid w:val="0096008E"/>
    <w:rsid w:val="00960627"/>
    <w:rsid w:val="00960727"/>
    <w:rsid w:val="00960F63"/>
    <w:rsid w:val="009614AC"/>
    <w:rsid w:val="009619DE"/>
    <w:rsid w:val="00962493"/>
    <w:rsid w:val="00962C4D"/>
    <w:rsid w:val="00962D0E"/>
    <w:rsid w:val="00963368"/>
    <w:rsid w:val="00963484"/>
    <w:rsid w:val="00963B23"/>
    <w:rsid w:val="009647B5"/>
    <w:rsid w:val="009655F7"/>
    <w:rsid w:val="00966D50"/>
    <w:rsid w:val="00966DC9"/>
    <w:rsid w:val="00967BA5"/>
    <w:rsid w:val="0097044A"/>
    <w:rsid w:val="009747D9"/>
    <w:rsid w:val="0097610E"/>
    <w:rsid w:val="00976BA7"/>
    <w:rsid w:val="00976D16"/>
    <w:rsid w:val="009773E2"/>
    <w:rsid w:val="00981569"/>
    <w:rsid w:val="009815CB"/>
    <w:rsid w:val="009819CB"/>
    <w:rsid w:val="00981B55"/>
    <w:rsid w:val="009821C4"/>
    <w:rsid w:val="0098253B"/>
    <w:rsid w:val="00982A8C"/>
    <w:rsid w:val="00982AEE"/>
    <w:rsid w:val="0098392B"/>
    <w:rsid w:val="00984C6F"/>
    <w:rsid w:val="00985EB7"/>
    <w:rsid w:val="00986ABE"/>
    <w:rsid w:val="00987EC4"/>
    <w:rsid w:val="009902F5"/>
    <w:rsid w:val="0099144C"/>
    <w:rsid w:val="009918A7"/>
    <w:rsid w:val="009919D0"/>
    <w:rsid w:val="00992E29"/>
    <w:rsid w:val="00994862"/>
    <w:rsid w:val="00995735"/>
    <w:rsid w:val="009969AE"/>
    <w:rsid w:val="00996D47"/>
    <w:rsid w:val="009A09A8"/>
    <w:rsid w:val="009A27D0"/>
    <w:rsid w:val="009A2FD8"/>
    <w:rsid w:val="009A3930"/>
    <w:rsid w:val="009A3E83"/>
    <w:rsid w:val="009A4591"/>
    <w:rsid w:val="009A45DE"/>
    <w:rsid w:val="009A508B"/>
    <w:rsid w:val="009A50F7"/>
    <w:rsid w:val="009A5980"/>
    <w:rsid w:val="009A5C9A"/>
    <w:rsid w:val="009A6182"/>
    <w:rsid w:val="009A6491"/>
    <w:rsid w:val="009A753A"/>
    <w:rsid w:val="009B2A2A"/>
    <w:rsid w:val="009B3210"/>
    <w:rsid w:val="009B4956"/>
    <w:rsid w:val="009B5FF6"/>
    <w:rsid w:val="009B6431"/>
    <w:rsid w:val="009B7FAC"/>
    <w:rsid w:val="009C0725"/>
    <w:rsid w:val="009C0B0B"/>
    <w:rsid w:val="009C1052"/>
    <w:rsid w:val="009C1A78"/>
    <w:rsid w:val="009C2CD9"/>
    <w:rsid w:val="009C3FA8"/>
    <w:rsid w:val="009C5648"/>
    <w:rsid w:val="009C5AF3"/>
    <w:rsid w:val="009C6408"/>
    <w:rsid w:val="009C6B2F"/>
    <w:rsid w:val="009D0216"/>
    <w:rsid w:val="009D305B"/>
    <w:rsid w:val="009D3666"/>
    <w:rsid w:val="009D3F31"/>
    <w:rsid w:val="009D471D"/>
    <w:rsid w:val="009D57F2"/>
    <w:rsid w:val="009D68A6"/>
    <w:rsid w:val="009D6907"/>
    <w:rsid w:val="009D697A"/>
    <w:rsid w:val="009D733D"/>
    <w:rsid w:val="009D7A5C"/>
    <w:rsid w:val="009E147B"/>
    <w:rsid w:val="009E58C5"/>
    <w:rsid w:val="009E5C42"/>
    <w:rsid w:val="009E6276"/>
    <w:rsid w:val="009E6592"/>
    <w:rsid w:val="009E6B03"/>
    <w:rsid w:val="009E6BA3"/>
    <w:rsid w:val="009E7289"/>
    <w:rsid w:val="009E79A2"/>
    <w:rsid w:val="009F05E9"/>
    <w:rsid w:val="009F0A0C"/>
    <w:rsid w:val="009F263B"/>
    <w:rsid w:val="009F431B"/>
    <w:rsid w:val="009F5B24"/>
    <w:rsid w:val="00A00844"/>
    <w:rsid w:val="00A01AA1"/>
    <w:rsid w:val="00A0223A"/>
    <w:rsid w:val="00A026DD"/>
    <w:rsid w:val="00A02D07"/>
    <w:rsid w:val="00A03352"/>
    <w:rsid w:val="00A04565"/>
    <w:rsid w:val="00A04A92"/>
    <w:rsid w:val="00A04EF9"/>
    <w:rsid w:val="00A06284"/>
    <w:rsid w:val="00A10443"/>
    <w:rsid w:val="00A1088D"/>
    <w:rsid w:val="00A10A02"/>
    <w:rsid w:val="00A118FF"/>
    <w:rsid w:val="00A119BE"/>
    <w:rsid w:val="00A11F26"/>
    <w:rsid w:val="00A12630"/>
    <w:rsid w:val="00A1308B"/>
    <w:rsid w:val="00A152D0"/>
    <w:rsid w:val="00A15FF4"/>
    <w:rsid w:val="00A16DB0"/>
    <w:rsid w:val="00A17D94"/>
    <w:rsid w:val="00A200AE"/>
    <w:rsid w:val="00A224BE"/>
    <w:rsid w:val="00A23CF6"/>
    <w:rsid w:val="00A24611"/>
    <w:rsid w:val="00A25F18"/>
    <w:rsid w:val="00A26051"/>
    <w:rsid w:val="00A275E8"/>
    <w:rsid w:val="00A27CB4"/>
    <w:rsid w:val="00A27E21"/>
    <w:rsid w:val="00A3005E"/>
    <w:rsid w:val="00A3097C"/>
    <w:rsid w:val="00A30DE9"/>
    <w:rsid w:val="00A321D6"/>
    <w:rsid w:val="00A3303D"/>
    <w:rsid w:val="00A33B8F"/>
    <w:rsid w:val="00A34124"/>
    <w:rsid w:val="00A34676"/>
    <w:rsid w:val="00A34776"/>
    <w:rsid w:val="00A3498C"/>
    <w:rsid w:val="00A351FB"/>
    <w:rsid w:val="00A35520"/>
    <w:rsid w:val="00A36B95"/>
    <w:rsid w:val="00A4016C"/>
    <w:rsid w:val="00A401D6"/>
    <w:rsid w:val="00A4030C"/>
    <w:rsid w:val="00A4173F"/>
    <w:rsid w:val="00A42252"/>
    <w:rsid w:val="00A423E3"/>
    <w:rsid w:val="00A43C05"/>
    <w:rsid w:val="00A4482C"/>
    <w:rsid w:val="00A448AB"/>
    <w:rsid w:val="00A44B33"/>
    <w:rsid w:val="00A45659"/>
    <w:rsid w:val="00A462B2"/>
    <w:rsid w:val="00A46E62"/>
    <w:rsid w:val="00A47555"/>
    <w:rsid w:val="00A477F3"/>
    <w:rsid w:val="00A5118A"/>
    <w:rsid w:val="00A52A09"/>
    <w:rsid w:val="00A52D02"/>
    <w:rsid w:val="00A53D3E"/>
    <w:rsid w:val="00A5546E"/>
    <w:rsid w:val="00A554BD"/>
    <w:rsid w:val="00A55BC2"/>
    <w:rsid w:val="00A5643F"/>
    <w:rsid w:val="00A56F77"/>
    <w:rsid w:val="00A60CA0"/>
    <w:rsid w:val="00A60CA1"/>
    <w:rsid w:val="00A60CF2"/>
    <w:rsid w:val="00A61478"/>
    <w:rsid w:val="00A61518"/>
    <w:rsid w:val="00A61CD2"/>
    <w:rsid w:val="00A6363F"/>
    <w:rsid w:val="00A64378"/>
    <w:rsid w:val="00A64514"/>
    <w:rsid w:val="00A65E6C"/>
    <w:rsid w:val="00A6651D"/>
    <w:rsid w:val="00A66520"/>
    <w:rsid w:val="00A66593"/>
    <w:rsid w:val="00A66878"/>
    <w:rsid w:val="00A706B7"/>
    <w:rsid w:val="00A70846"/>
    <w:rsid w:val="00A72002"/>
    <w:rsid w:val="00A7411A"/>
    <w:rsid w:val="00A8045C"/>
    <w:rsid w:val="00A81D8B"/>
    <w:rsid w:val="00A82C5A"/>
    <w:rsid w:val="00A83953"/>
    <w:rsid w:val="00A8405F"/>
    <w:rsid w:val="00A8534F"/>
    <w:rsid w:val="00A8554B"/>
    <w:rsid w:val="00A8598C"/>
    <w:rsid w:val="00A864E1"/>
    <w:rsid w:val="00A866F1"/>
    <w:rsid w:val="00A86D70"/>
    <w:rsid w:val="00A8767A"/>
    <w:rsid w:val="00A9001D"/>
    <w:rsid w:val="00A90431"/>
    <w:rsid w:val="00A9111E"/>
    <w:rsid w:val="00A919A9"/>
    <w:rsid w:val="00A92801"/>
    <w:rsid w:val="00A93828"/>
    <w:rsid w:val="00A94854"/>
    <w:rsid w:val="00A94940"/>
    <w:rsid w:val="00A95CC3"/>
    <w:rsid w:val="00A96AD5"/>
    <w:rsid w:val="00A97793"/>
    <w:rsid w:val="00AA2A51"/>
    <w:rsid w:val="00AA3B0D"/>
    <w:rsid w:val="00AA3EE2"/>
    <w:rsid w:val="00AA750C"/>
    <w:rsid w:val="00AB0D75"/>
    <w:rsid w:val="00AB1D8A"/>
    <w:rsid w:val="00AB3750"/>
    <w:rsid w:val="00AB45F6"/>
    <w:rsid w:val="00AB6061"/>
    <w:rsid w:val="00AB6924"/>
    <w:rsid w:val="00AB6A89"/>
    <w:rsid w:val="00AB7ECE"/>
    <w:rsid w:val="00AC0289"/>
    <w:rsid w:val="00AC02D4"/>
    <w:rsid w:val="00AC0C7A"/>
    <w:rsid w:val="00AC153D"/>
    <w:rsid w:val="00AC1CEE"/>
    <w:rsid w:val="00AC1DFD"/>
    <w:rsid w:val="00AC3562"/>
    <w:rsid w:val="00AC45C3"/>
    <w:rsid w:val="00AC4D5D"/>
    <w:rsid w:val="00AC62BA"/>
    <w:rsid w:val="00AC6F2C"/>
    <w:rsid w:val="00AC71E5"/>
    <w:rsid w:val="00AD0174"/>
    <w:rsid w:val="00AD0B77"/>
    <w:rsid w:val="00AD11FA"/>
    <w:rsid w:val="00AD194E"/>
    <w:rsid w:val="00AD1B5A"/>
    <w:rsid w:val="00AD4336"/>
    <w:rsid w:val="00AD66BA"/>
    <w:rsid w:val="00AE057C"/>
    <w:rsid w:val="00AE0B1E"/>
    <w:rsid w:val="00AE29E3"/>
    <w:rsid w:val="00AE2B62"/>
    <w:rsid w:val="00AE2CEA"/>
    <w:rsid w:val="00AE3D74"/>
    <w:rsid w:val="00AE421C"/>
    <w:rsid w:val="00AE4683"/>
    <w:rsid w:val="00AE521F"/>
    <w:rsid w:val="00AE6B2C"/>
    <w:rsid w:val="00AE6CA1"/>
    <w:rsid w:val="00AE791B"/>
    <w:rsid w:val="00AE7EC2"/>
    <w:rsid w:val="00AF0232"/>
    <w:rsid w:val="00AF0F99"/>
    <w:rsid w:val="00AF11E1"/>
    <w:rsid w:val="00AF1488"/>
    <w:rsid w:val="00AF36D2"/>
    <w:rsid w:val="00AF5091"/>
    <w:rsid w:val="00AF516B"/>
    <w:rsid w:val="00AF5D32"/>
    <w:rsid w:val="00AF6102"/>
    <w:rsid w:val="00AF6E4B"/>
    <w:rsid w:val="00AF73BF"/>
    <w:rsid w:val="00AF7998"/>
    <w:rsid w:val="00B00A12"/>
    <w:rsid w:val="00B043B3"/>
    <w:rsid w:val="00B05558"/>
    <w:rsid w:val="00B0562D"/>
    <w:rsid w:val="00B06311"/>
    <w:rsid w:val="00B07E5C"/>
    <w:rsid w:val="00B10277"/>
    <w:rsid w:val="00B10591"/>
    <w:rsid w:val="00B108E7"/>
    <w:rsid w:val="00B10BCE"/>
    <w:rsid w:val="00B11468"/>
    <w:rsid w:val="00B12536"/>
    <w:rsid w:val="00B12C16"/>
    <w:rsid w:val="00B135B3"/>
    <w:rsid w:val="00B13798"/>
    <w:rsid w:val="00B1453C"/>
    <w:rsid w:val="00B145D9"/>
    <w:rsid w:val="00B15154"/>
    <w:rsid w:val="00B1541E"/>
    <w:rsid w:val="00B15AE9"/>
    <w:rsid w:val="00B15B6F"/>
    <w:rsid w:val="00B15D4F"/>
    <w:rsid w:val="00B165B2"/>
    <w:rsid w:val="00B175B3"/>
    <w:rsid w:val="00B1770A"/>
    <w:rsid w:val="00B20337"/>
    <w:rsid w:val="00B20D6B"/>
    <w:rsid w:val="00B2150C"/>
    <w:rsid w:val="00B233C4"/>
    <w:rsid w:val="00B23E2C"/>
    <w:rsid w:val="00B241E0"/>
    <w:rsid w:val="00B25FC3"/>
    <w:rsid w:val="00B31F15"/>
    <w:rsid w:val="00B31F27"/>
    <w:rsid w:val="00B33070"/>
    <w:rsid w:val="00B343B2"/>
    <w:rsid w:val="00B34930"/>
    <w:rsid w:val="00B349A0"/>
    <w:rsid w:val="00B34EBD"/>
    <w:rsid w:val="00B352C5"/>
    <w:rsid w:val="00B3584D"/>
    <w:rsid w:val="00B36E18"/>
    <w:rsid w:val="00B4001F"/>
    <w:rsid w:val="00B4033D"/>
    <w:rsid w:val="00B41B3F"/>
    <w:rsid w:val="00B44818"/>
    <w:rsid w:val="00B44B4D"/>
    <w:rsid w:val="00B44F80"/>
    <w:rsid w:val="00B454B0"/>
    <w:rsid w:val="00B45ECC"/>
    <w:rsid w:val="00B460D4"/>
    <w:rsid w:val="00B4714A"/>
    <w:rsid w:val="00B47219"/>
    <w:rsid w:val="00B47F71"/>
    <w:rsid w:val="00B50B22"/>
    <w:rsid w:val="00B51220"/>
    <w:rsid w:val="00B512BE"/>
    <w:rsid w:val="00B51A9B"/>
    <w:rsid w:val="00B52298"/>
    <w:rsid w:val="00B53634"/>
    <w:rsid w:val="00B53DB3"/>
    <w:rsid w:val="00B54E9F"/>
    <w:rsid w:val="00B55B39"/>
    <w:rsid w:val="00B5613C"/>
    <w:rsid w:val="00B56431"/>
    <w:rsid w:val="00B564C0"/>
    <w:rsid w:val="00B60510"/>
    <w:rsid w:val="00B6080B"/>
    <w:rsid w:val="00B60BB7"/>
    <w:rsid w:val="00B61D0A"/>
    <w:rsid w:val="00B624F7"/>
    <w:rsid w:val="00B62A40"/>
    <w:rsid w:val="00B62AF6"/>
    <w:rsid w:val="00B64A8D"/>
    <w:rsid w:val="00B6525E"/>
    <w:rsid w:val="00B655C6"/>
    <w:rsid w:val="00B659D4"/>
    <w:rsid w:val="00B65BD6"/>
    <w:rsid w:val="00B663AA"/>
    <w:rsid w:val="00B6648D"/>
    <w:rsid w:val="00B66C05"/>
    <w:rsid w:val="00B66DC9"/>
    <w:rsid w:val="00B66E76"/>
    <w:rsid w:val="00B701B7"/>
    <w:rsid w:val="00B70233"/>
    <w:rsid w:val="00B71388"/>
    <w:rsid w:val="00B72889"/>
    <w:rsid w:val="00B7291A"/>
    <w:rsid w:val="00B72944"/>
    <w:rsid w:val="00B72D22"/>
    <w:rsid w:val="00B732A2"/>
    <w:rsid w:val="00B74084"/>
    <w:rsid w:val="00B7440D"/>
    <w:rsid w:val="00B7669E"/>
    <w:rsid w:val="00B772E7"/>
    <w:rsid w:val="00B77749"/>
    <w:rsid w:val="00B77F2D"/>
    <w:rsid w:val="00B80428"/>
    <w:rsid w:val="00B8073D"/>
    <w:rsid w:val="00B80D93"/>
    <w:rsid w:val="00B84C55"/>
    <w:rsid w:val="00B8510E"/>
    <w:rsid w:val="00B86CFC"/>
    <w:rsid w:val="00B872C0"/>
    <w:rsid w:val="00B90A19"/>
    <w:rsid w:val="00B90A6F"/>
    <w:rsid w:val="00B9318B"/>
    <w:rsid w:val="00B93E37"/>
    <w:rsid w:val="00B94A8B"/>
    <w:rsid w:val="00B95436"/>
    <w:rsid w:val="00B967E0"/>
    <w:rsid w:val="00B970FD"/>
    <w:rsid w:val="00B97950"/>
    <w:rsid w:val="00B97C94"/>
    <w:rsid w:val="00BA0024"/>
    <w:rsid w:val="00BA0C16"/>
    <w:rsid w:val="00BA1A6E"/>
    <w:rsid w:val="00BA2641"/>
    <w:rsid w:val="00BA5173"/>
    <w:rsid w:val="00BA5258"/>
    <w:rsid w:val="00BA5ED4"/>
    <w:rsid w:val="00BA6251"/>
    <w:rsid w:val="00BA6869"/>
    <w:rsid w:val="00BA6A00"/>
    <w:rsid w:val="00BA7CA9"/>
    <w:rsid w:val="00BB1131"/>
    <w:rsid w:val="00BB2A16"/>
    <w:rsid w:val="00BB4A46"/>
    <w:rsid w:val="00BB5FDB"/>
    <w:rsid w:val="00BB6E8E"/>
    <w:rsid w:val="00BB6FA1"/>
    <w:rsid w:val="00BB752F"/>
    <w:rsid w:val="00BB7FD1"/>
    <w:rsid w:val="00BC4A9D"/>
    <w:rsid w:val="00BC6FBB"/>
    <w:rsid w:val="00BC7AD1"/>
    <w:rsid w:val="00BC7E1E"/>
    <w:rsid w:val="00BD1040"/>
    <w:rsid w:val="00BD2F76"/>
    <w:rsid w:val="00BD342E"/>
    <w:rsid w:val="00BD3978"/>
    <w:rsid w:val="00BD3E58"/>
    <w:rsid w:val="00BD3FFF"/>
    <w:rsid w:val="00BD4450"/>
    <w:rsid w:val="00BD45D8"/>
    <w:rsid w:val="00BD4A7B"/>
    <w:rsid w:val="00BD4BFF"/>
    <w:rsid w:val="00BD6BDD"/>
    <w:rsid w:val="00BD7CAB"/>
    <w:rsid w:val="00BE0C13"/>
    <w:rsid w:val="00BE1CD1"/>
    <w:rsid w:val="00BE2D54"/>
    <w:rsid w:val="00BE42DD"/>
    <w:rsid w:val="00BE4BFB"/>
    <w:rsid w:val="00BE55FF"/>
    <w:rsid w:val="00BE6A01"/>
    <w:rsid w:val="00BE6D98"/>
    <w:rsid w:val="00BE6ECE"/>
    <w:rsid w:val="00BF0757"/>
    <w:rsid w:val="00BF1533"/>
    <w:rsid w:val="00BF2846"/>
    <w:rsid w:val="00BF28A6"/>
    <w:rsid w:val="00BF2D52"/>
    <w:rsid w:val="00BF2E77"/>
    <w:rsid w:val="00BF682C"/>
    <w:rsid w:val="00C00616"/>
    <w:rsid w:val="00C009CE"/>
    <w:rsid w:val="00C00AA7"/>
    <w:rsid w:val="00C019B2"/>
    <w:rsid w:val="00C01ADC"/>
    <w:rsid w:val="00C02EF8"/>
    <w:rsid w:val="00C03100"/>
    <w:rsid w:val="00C04685"/>
    <w:rsid w:val="00C05325"/>
    <w:rsid w:val="00C0573D"/>
    <w:rsid w:val="00C057DB"/>
    <w:rsid w:val="00C06257"/>
    <w:rsid w:val="00C071FE"/>
    <w:rsid w:val="00C1004C"/>
    <w:rsid w:val="00C109B8"/>
    <w:rsid w:val="00C10A92"/>
    <w:rsid w:val="00C10D92"/>
    <w:rsid w:val="00C11734"/>
    <w:rsid w:val="00C1174A"/>
    <w:rsid w:val="00C12D74"/>
    <w:rsid w:val="00C138FC"/>
    <w:rsid w:val="00C13C14"/>
    <w:rsid w:val="00C14E3C"/>
    <w:rsid w:val="00C16B61"/>
    <w:rsid w:val="00C20466"/>
    <w:rsid w:val="00C205BD"/>
    <w:rsid w:val="00C21952"/>
    <w:rsid w:val="00C2232A"/>
    <w:rsid w:val="00C2287A"/>
    <w:rsid w:val="00C23A0B"/>
    <w:rsid w:val="00C24292"/>
    <w:rsid w:val="00C2512A"/>
    <w:rsid w:val="00C252EC"/>
    <w:rsid w:val="00C27239"/>
    <w:rsid w:val="00C30574"/>
    <w:rsid w:val="00C3086D"/>
    <w:rsid w:val="00C30AFD"/>
    <w:rsid w:val="00C31AFD"/>
    <w:rsid w:val="00C3219E"/>
    <w:rsid w:val="00C3220F"/>
    <w:rsid w:val="00C3234D"/>
    <w:rsid w:val="00C32CAC"/>
    <w:rsid w:val="00C32E75"/>
    <w:rsid w:val="00C32F23"/>
    <w:rsid w:val="00C33D79"/>
    <w:rsid w:val="00C341DD"/>
    <w:rsid w:val="00C35BBE"/>
    <w:rsid w:val="00C3619E"/>
    <w:rsid w:val="00C364AF"/>
    <w:rsid w:val="00C371F6"/>
    <w:rsid w:val="00C37B7A"/>
    <w:rsid w:val="00C40511"/>
    <w:rsid w:val="00C41468"/>
    <w:rsid w:val="00C42479"/>
    <w:rsid w:val="00C424A9"/>
    <w:rsid w:val="00C447F2"/>
    <w:rsid w:val="00C44887"/>
    <w:rsid w:val="00C44974"/>
    <w:rsid w:val="00C449BD"/>
    <w:rsid w:val="00C44E97"/>
    <w:rsid w:val="00C450DD"/>
    <w:rsid w:val="00C45B8D"/>
    <w:rsid w:val="00C46900"/>
    <w:rsid w:val="00C47976"/>
    <w:rsid w:val="00C5019A"/>
    <w:rsid w:val="00C50685"/>
    <w:rsid w:val="00C50974"/>
    <w:rsid w:val="00C50CE5"/>
    <w:rsid w:val="00C52A5A"/>
    <w:rsid w:val="00C534CC"/>
    <w:rsid w:val="00C54A65"/>
    <w:rsid w:val="00C55BA4"/>
    <w:rsid w:val="00C55D04"/>
    <w:rsid w:val="00C560BF"/>
    <w:rsid w:val="00C560EA"/>
    <w:rsid w:val="00C56715"/>
    <w:rsid w:val="00C56788"/>
    <w:rsid w:val="00C56B9C"/>
    <w:rsid w:val="00C57999"/>
    <w:rsid w:val="00C6102D"/>
    <w:rsid w:val="00C610D4"/>
    <w:rsid w:val="00C6233F"/>
    <w:rsid w:val="00C6346E"/>
    <w:rsid w:val="00C63745"/>
    <w:rsid w:val="00C63DDC"/>
    <w:rsid w:val="00C647F6"/>
    <w:rsid w:val="00C65CF9"/>
    <w:rsid w:val="00C665C9"/>
    <w:rsid w:val="00C66E31"/>
    <w:rsid w:val="00C71D2F"/>
    <w:rsid w:val="00C725CA"/>
    <w:rsid w:val="00C72CB2"/>
    <w:rsid w:val="00C73604"/>
    <w:rsid w:val="00C74BC3"/>
    <w:rsid w:val="00C74FDE"/>
    <w:rsid w:val="00C7512A"/>
    <w:rsid w:val="00C7542A"/>
    <w:rsid w:val="00C75B61"/>
    <w:rsid w:val="00C75D0B"/>
    <w:rsid w:val="00C76C09"/>
    <w:rsid w:val="00C77613"/>
    <w:rsid w:val="00C80572"/>
    <w:rsid w:val="00C8111A"/>
    <w:rsid w:val="00C81175"/>
    <w:rsid w:val="00C83200"/>
    <w:rsid w:val="00C839DE"/>
    <w:rsid w:val="00C83BB3"/>
    <w:rsid w:val="00C852FE"/>
    <w:rsid w:val="00C85601"/>
    <w:rsid w:val="00C8594A"/>
    <w:rsid w:val="00C8681C"/>
    <w:rsid w:val="00C87B2D"/>
    <w:rsid w:val="00C90373"/>
    <w:rsid w:val="00C908A8"/>
    <w:rsid w:val="00C91365"/>
    <w:rsid w:val="00C917D4"/>
    <w:rsid w:val="00C9364E"/>
    <w:rsid w:val="00C93ACC"/>
    <w:rsid w:val="00C957B7"/>
    <w:rsid w:val="00C957EE"/>
    <w:rsid w:val="00C964F9"/>
    <w:rsid w:val="00C96658"/>
    <w:rsid w:val="00C969EE"/>
    <w:rsid w:val="00C97944"/>
    <w:rsid w:val="00CA047D"/>
    <w:rsid w:val="00CA0A10"/>
    <w:rsid w:val="00CA0A87"/>
    <w:rsid w:val="00CA0D3E"/>
    <w:rsid w:val="00CA15DF"/>
    <w:rsid w:val="00CA2071"/>
    <w:rsid w:val="00CA24E2"/>
    <w:rsid w:val="00CA2C41"/>
    <w:rsid w:val="00CA2C42"/>
    <w:rsid w:val="00CA2DC1"/>
    <w:rsid w:val="00CA329E"/>
    <w:rsid w:val="00CA4177"/>
    <w:rsid w:val="00CA4F69"/>
    <w:rsid w:val="00CA5A53"/>
    <w:rsid w:val="00CA5B5F"/>
    <w:rsid w:val="00CA6F15"/>
    <w:rsid w:val="00CA6F2C"/>
    <w:rsid w:val="00CA7B9E"/>
    <w:rsid w:val="00CB0604"/>
    <w:rsid w:val="00CB0B66"/>
    <w:rsid w:val="00CB2725"/>
    <w:rsid w:val="00CB291A"/>
    <w:rsid w:val="00CB4002"/>
    <w:rsid w:val="00CB43EC"/>
    <w:rsid w:val="00CB4CF2"/>
    <w:rsid w:val="00CB6056"/>
    <w:rsid w:val="00CB62F9"/>
    <w:rsid w:val="00CB64C2"/>
    <w:rsid w:val="00CB744F"/>
    <w:rsid w:val="00CB777E"/>
    <w:rsid w:val="00CC1401"/>
    <w:rsid w:val="00CC1B1B"/>
    <w:rsid w:val="00CC1D69"/>
    <w:rsid w:val="00CC3769"/>
    <w:rsid w:val="00CC41DB"/>
    <w:rsid w:val="00CC4255"/>
    <w:rsid w:val="00CC4825"/>
    <w:rsid w:val="00CC507F"/>
    <w:rsid w:val="00CC5D60"/>
    <w:rsid w:val="00CC5E41"/>
    <w:rsid w:val="00CC6D1F"/>
    <w:rsid w:val="00CD00B0"/>
    <w:rsid w:val="00CD02D8"/>
    <w:rsid w:val="00CD16FF"/>
    <w:rsid w:val="00CD1F78"/>
    <w:rsid w:val="00CD23A8"/>
    <w:rsid w:val="00CD2A39"/>
    <w:rsid w:val="00CD30B4"/>
    <w:rsid w:val="00CD3232"/>
    <w:rsid w:val="00CD476D"/>
    <w:rsid w:val="00CD4807"/>
    <w:rsid w:val="00CD5BAD"/>
    <w:rsid w:val="00CD6B8A"/>
    <w:rsid w:val="00CD7B1A"/>
    <w:rsid w:val="00CE0469"/>
    <w:rsid w:val="00CE079A"/>
    <w:rsid w:val="00CE1A54"/>
    <w:rsid w:val="00CE1A8F"/>
    <w:rsid w:val="00CE2B04"/>
    <w:rsid w:val="00CE355A"/>
    <w:rsid w:val="00CE5072"/>
    <w:rsid w:val="00CE611B"/>
    <w:rsid w:val="00CE6A92"/>
    <w:rsid w:val="00CE6E60"/>
    <w:rsid w:val="00CE7366"/>
    <w:rsid w:val="00CF0005"/>
    <w:rsid w:val="00CF0AFD"/>
    <w:rsid w:val="00CF0EE3"/>
    <w:rsid w:val="00CF1279"/>
    <w:rsid w:val="00CF2E17"/>
    <w:rsid w:val="00CF302F"/>
    <w:rsid w:val="00CF31F0"/>
    <w:rsid w:val="00CF42B3"/>
    <w:rsid w:val="00CF49A0"/>
    <w:rsid w:val="00CF5BAC"/>
    <w:rsid w:val="00CF79F5"/>
    <w:rsid w:val="00CF7FED"/>
    <w:rsid w:val="00D0059E"/>
    <w:rsid w:val="00D01B1A"/>
    <w:rsid w:val="00D01DD2"/>
    <w:rsid w:val="00D026C3"/>
    <w:rsid w:val="00D029B6"/>
    <w:rsid w:val="00D02C90"/>
    <w:rsid w:val="00D0340D"/>
    <w:rsid w:val="00D05011"/>
    <w:rsid w:val="00D05325"/>
    <w:rsid w:val="00D05EF3"/>
    <w:rsid w:val="00D0686F"/>
    <w:rsid w:val="00D06BE7"/>
    <w:rsid w:val="00D06F5E"/>
    <w:rsid w:val="00D073DB"/>
    <w:rsid w:val="00D074F4"/>
    <w:rsid w:val="00D100BA"/>
    <w:rsid w:val="00D10255"/>
    <w:rsid w:val="00D109AA"/>
    <w:rsid w:val="00D10FDE"/>
    <w:rsid w:val="00D11ABB"/>
    <w:rsid w:val="00D11E0E"/>
    <w:rsid w:val="00D13227"/>
    <w:rsid w:val="00D1428C"/>
    <w:rsid w:val="00D15931"/>
    <w:rsid w:val="00D172D5"/>
    <w:rsid w:val="00D20646"/>
    <w:rsid w:val="00D20823"/>
    <w:rsid w:val="00D20B4D"/>
    <w:rsid w:val="00D213A2"/>
    <w:rsid w:val="00D21AF7"/>
    <w:rsid w:val="00D21B43"/>
    <w:rsid w:val="00D21B55"/>
    <w:rsid w:val="00D223D1"/>
    <w:rsid w:val="00D2262E"/>
    <w:rsid w:val="00D22680"/>
    <w:rsid w:val="00D22733"/>
    <w:rsid w:val="00D241B3"/>
    <w:rsid w:val="00D26EDC"/>
    <w:rsid w:val="00D271C0"/>
    <w:rsid w:val="00D2741D"/>
    <w:rsid w:val="00D27702"/>
    <w:rsid w:val="00D32929"/>
    <w:rsid w:val="00D32981"/>
    <w:rsid w:val="00D32C5F"/>
    <w:rsid w:val="00D34475"/>
    <w:rsid w:val="00D349AD"/>
    <w:rsid w:val="00D36086"/>
    <w:rsid w:val="00D368E9"/>
    <w:rsid w:val="00D370E6"/>
    <w:rsid w:val="00D37947"/>
    <w:rsid w:val="00D4054A"/>
    <w:rsid w:val="00D40627"/>
    <w:rsid w:val="00D40A12"/>
    <w:rsid w:val="00D40C0C"/>
    <w:rsid w:val="00D40D69"/>
    <w:rsid w:val="00D40EB1"/>
    <w:rsid w:val="00D416A2"/>
    <w:rsid w:val="00D4304B"/>
    <w:rsid w:val="00D43BAA"/>
    <w:rsid w:val="00D43EA4"/>
    <w:rsid w:val="00D45DF0"/>
    <w:rsid w:val="00D465C4"/>
    <w:rsid w:val="00D46C16"/>
    <w:rsid w:val="00D46C7A"/>
    <w:rsid w:val="00D46DE4"/>
    <w:rsid w:val="00D50B17"/>
    <w:rsid w:val="00D522C3"/>
    <w:rsid w:val="00D52EAE"/>
    <w:rsid w:val="00D5494F"/>
    <w:rsid w:val="00D54D68"/>
    <w:rsid w:val="00D554B1"/>
    <w:rsid w:val="00D55931"/>
    <w:rsid w:val="00D56292"/>
    <w:rsid w:val="00D564B2"/>
    <w:rsid w:val="00D56671"/>
    <w:rsid w:val="00D568BA"/>
    <w:rsid w:val="00D56EB6"/>
    <w:rsid w:val="00D571BF"/>
    <w:rsid w:val="00D57632"/>
    <w:rsid w:val="00D60EA6"/>
    <w:rsid w:val="00D615E7"/>
    <w:rsid w:val="00D6176A"/>
    <w:rsid w:val="00D62AC6"/>
    <w:rsid w:val="00D62CA9"/>
    <w:rsid w:val="00D64D3D"/>
    <w:rsid w:val="00D65C36"/>
    <w:rsid w:val="00D675DC"/>
    <w:rsid w:val="00D67D1C"/>
    <w:rsid w:val="00D70764"/>
    <w:rsid w:val="00D727BC"/>
    <w:rsid w:val="00D72C7D"/>
    <w:rsid w:val="00D72DC9"/>
    <w:rsid w:val="00D7330B"/>
    <w:rsid w:val="00D73845"/>
    <w:rsid w:val="00D74E66"/>
    <w:rsid w:val="00D7559E"/>
    <w:rsid w:val="00D75A15"/>
    <w:rsid w:val="00D811F7"/>
    <w:rsid w:val="00D828F1"/>
    <w:rsid w:val="00D83869"/>
    <w:rsid w:val="00D83F9A"/>
    <w:rsid w:val="00D84342"/>
    <w:rsid w:val="00D845CD"/>
    <w:rsid w:val="00D848AE"/>
    <w:rsid w:val="00D85070"/>
    <w:rsid w:val="00D8517F"/>
    <w:rsid w:val="00D8521F"/>
    <w:rsid w:val="00D903DC"/>
    <w:rsid w:val="00D90E66"/>
    <w:rsid w:val="00D913AA"/>
    <w:rsid w:val="00D91991"/>
    <w:rsid w:val="00D92A39"/>
    <w:rsid w:val="00D935FE"/>
    <w:rsid w:val="00D94201"/>
    <w:rsid w:val="00D94BB2"/>
    <w:rsid w:val="00D95703"/>
    <w:rsid w:val="00D9775B"/>
    <w:rsid w:val="00DA0522"/>
    <w:rsid w:val="00DA1057"/>
    <w:rsid w:val="00DA1518"/>
    <w:rsid w:val="00DA26C6"/>
    <w:rsid w:val="00DA4A64"/>
    <w:rsid w:val="00DA4E43"/>
    <w:rsid w:val="00DA6251"/>
    <w:rsid w:val="00DA631F"/>
    <w:rsid w:val="00DB077B"/>
    <w:rsid w:val="00DB0829"/>
    <w:rsid w:val="00DB09A7"/>
    <w:rsid w:val="00DB24AB"/>
    <w:rsid w:val="00DB2963"/>
    <w:rsid w:val="00DB2E2E"/>
    <w:rsid w:val="00DB37D5"/>
    <w:rsid w:val="00DB408E"/>
    <w:rsid w:val="00DB47DD"/>
    <w:rsid w:val="00DB59E5"/>
    <w:rsid w:val="00DB5F06"/>
    <w:rsid w:val="00DB75EB"/>
    <w:rsid w:val="00DB7875"/>
    <w:rsid w:val="00DB7AF6"/>
    <w:rsid w:val="00DB7B87"/>
    <w:rsid w:val="00DB7D24"/>
    <w:rsid w:val="00DC0149"/>
    <w:rsid w:val="00DC0716"/>
    <w:rsid w:val="00DC0783"/>
    <w:rsid w:val="00DC0832"/>
    <w:rsid w:val="00DC4609"/>
    <w:rsid w:val="00DC4CB4"/>
    <w:rsid w:val="00DC50DE"/>
    <w:rsid w:val="00DC5C6E"/>
    <w:rsid w:val="00DD091B"/>
    <w:rsid w:val="00DD0A44"/>
    <w:rsid w:val="00DD24C8"/>
    <w:rsid w:val="00DD256F"/>
    <w:rsid w:val="00DD2C9D"/>
    <w:rsid w:val="00DD33C0"/>
    <w:rsid w:val="00DD37B2"/>
    <w:rsid w:val="00DD37E8"/>
    <w:rsid w:val="00DD4829"/>
    <w:rsid w:val="00DD5894"/>
    <w:rsid w:val="00DD5A48"/>
    <w:rsid w:val="00DD6945"/>
    <w:rsid w:val="00DD74DB"/>
    <w:rsid w:val="00DD7FCB"/>
    <w:rsid w:val="00DE01C9"/>
    <w:rsid w:val="00DE1DCF"/>
    <w:rsid w:val="00DE247A"/>
    <w:rsid w:val="00DE3586"/>
    <w:rsid w:val="00DE3855"/>
    <w:rsid w:val="00DE40E9"/>
    <w:rsid w:val="00DE4D23"/>
    <w:rsid w:val="00DE624A"/>
    <w:rsid w:val="00DF17E1"/>
    <w:rsid w:val="00DF2073"/>
    <w:rsid w:val="00DF37AC"/>
    <w:rsid w:val="00DF3E6C"/>
    <w:rsid w:val="00DF3EC4"/>
    <w:rsid w:val="00DF4BA1"/>
    <w:rsid w:val="00DF4D71"/>
    <w:rsid w:val="00DF519E"/>
    <w:rsid w:val="00DF53CE"/>
    <w:rsid w:val="00DF563C"/>
    <w:rsid w:val="00DF7409"/>
    <w:rsid w:val="00DF766C"/>
    <w:rsid w:val="00E00BB7"/>
    <w:rsid w:val="00E00D63"/>
    <w:rsid w:val="00E01001"/>
    <w:rsid w:val="00E01516"/>
    <w:rsid w:val="00E02BBA"/>
    <w:rsid w:val="00E057CE"/>
    <w:rsid w:val="00E06313"/>
    <w:rsid w:val="00E07444"/>
    <w:rsid w:val="00E12377"/>
    <w:rsid w:val="00E13C25"/>
    <w:rsid w:val="00E14272"/>
    <w:rsid w:val="00E1568A"/>
    <w:rsid w:val="00E175E4"/>
    <w:rsid w:val="00E208D8"/>
    <w:rsid w:val="00E21A49"/>
    <w:rsid w:val="00E23017"/>
    <w:rsid w:val="00E23095"/>
    <w:rsid w:val="00E23B08"/>
    <w:rsid w:val="00E24B15"/>
    <w:rsid w:val="00E24E3E"/>
    <w:rsid w:val="00E24FCD"/>
    <w:rsid w:val="00E25B75"/>
    <w:rsid w:val="00E26194"/>
    <w:rsid w:val="00E262E8"/>
    <w:rsid w:val="00E26553"/>
    <w:rsid w:val="00E27A5A"/>
    <w:rsid w:val="00E30D35"/>
    <w:rsid w:val="00E31558"/>
    <w:rsid w:val="00E33AA3"/>
    <w:rsid w:val="00E34039"/>
    <w:rsid w:val="00E350AA"/>
    <w:rsid w:val="00E3535C"/>
    <w:rsid w:val="00E3770E"/>
    <w:rsid w:val="00E40668"/>
    <w:rsid w:val="00E4147C"/>
    <w:rsid w:val="00E41DB9"/>
    <w:rsid w:val="00E42410"/>
    <w:rsid w:val="00E429F0"/>
    <w:rsid w:val="00E45637"/>
    <w:rsid w:val="00E45BC3"/>
    <w:rsid w:val="00E46426"/>
    <w:rsid w:val="00E46C6E"/>
    <w:rsid w:val="00E46F86"/>
    <w:rsid w:val="00E47297"/>
    <w:rsid w:val="00E53AC2"/>
    <w:rsid w:val="00E53B7A"/>
    <w:rsid w:val="00E53D41"/>
    <w:rsid w:val="00E55BC6"/>
    <w:rsid w:val="00E562E0"/>
    <w:rsid w:val="00E562E6"/>
    <w:rsid w:val="00E56BED"/>
    <w:rsid w:val="00E57A4F"/>
    <w:rsid w:val="00E57DC4"/>
    <w:rsid w:val="00E57DCC"/>
    <w:rsid w:val="00E60043"/>
    <w:rsid w:val="00E60CD5"/>
    <w:rsid w:val="00E664BE"/>
    <w:rsid w:val="00E670C7"/>
    <w:rsid w:val="00E67330"/>
    <w:rsid w:val="00E6791F"/>
    <w:rsid w:val="00E70D6B"/>
    <w:rsid w:val="00E70E16"/>
    <w:rsid w:val="00E71082"/>
    <w:rsid w:val="00E72356"/>
    <w:rsid w:val="00E72FB3"/>
    <w:rsid w:val="00E741B4"/>
    <w:rsid w:val="00E764D5"/>
    <w:rsid w:val="00E77906"/>
    <w:rsid w:val="00E77EB4"/>
    <w:rsid w:val="00E81F26"/>
    <w:rsid w:val="00E824FD"/>
    <w:rsid w:val="00E829B0"/>
    <w:rsid w:val="00E84E7D"/>
    <w:rsid w:val="00E850EA"/>
    <w:rsid w:val="00E85297"/>
    <w:rsid w:val="00E8530B"/>
    <w:rsid w:val="00E86A21"/>
    <w:rsid w:val="00E90004"/>
    <w:rsid w:val="00E919EF"/>
    <w:rsid w:val="00E92168"/>
    <w:rsid w:val="00E9297C"/>
    <w:rsid w:val="00E92B34"/>
    <w:rsid w:val="00E92C89"/>
    <w:rsid w:val="00E92D52"/>
    <w:rsid w:val="00E93296"/>
    <w:rsid w:val="00E93C86"/>
    <w:rsid w:val="00E940F0"/>
    <w:rsid w:val="00E95102"/>
    <w:rsid w:val="00E952C2"/>
    <w:rsid w:val="00E95DD9"/>
    <w:rsid w:val="00E965C9"/>
    <w:rsid w:val="00E96657"/>
    <w:rsid w:val="00E977AD"/>
    <w:rsid w:val="00EA24B1"/>
    <w:rsid w:val="00EA32A9"/>
    <w:rsid w:val="00EA3FB4"/>
    <w:rsid w:val="00EA5481"/>
    <w:rsid w:val="00EA5E14"/>
    <w:rsid w:val="00EA6D03"/>
    <w:rsid w:val="00EA75B5"/>
    <w:rsid w:val="00EA787D"/>
    <w:rsid w:val="00EA788E"/>
    <w:rsid w:val="00EA7C89"/>
    <w:rsid w:val="00EB0B2D"/>
    <w:rsid w:val="00EB0E1C"/>
    <w:rsid w:val="00EB1F52"/>
    <w:rsid w:val="00EB48FE"/>
    <w:rsid w:val="00EB55CF"/>
    <w:rsid w:val="00EB58FE"/>
    <w:rsid w:val="00EB5AA8"/>
    <w:rsid w:val="00EB65CE"/>
    <w:rsid w:val="00EB6773"/>
    <w:rsid w:val="00EB6CF5"/>
    <w:rsid w:val="00EC2008"/>
    <w:rsid w:val="00EC26D7"/>
    <w:rsid w:val="00EC2737"/>
    <w:rsid w:val="00EC3661"/>
    <w:rsid w:val="00EC4031"/>
    <w:rsid w:val="00EC48FD"/>
    <w:rsid w:val="00EC4B86"/>
    <w:rsid w:val="00EC682D"/>
    <w:rsid w:val="00EC6EDD"/>
    <w:rsid w:val="00EC75AF"/>
    <w:rsid w:val="00EC78FD"/>
    <w:rsid w:val="00ED0B08"/>
    <w:rsid w:val="00ED11C6"/>
    <w:rsid w:val="00ED1922"/>
    <w:rsid w:val="00ED2EAC"/>
    <w:rsid w:val="00ED2F2C"/>
    <w:rsid w:val="00ED3738"/>
    <w:rsid w:val="00ED3B6D"/>
    <w:rsid w:val="00ED3FD7"/>
    <w:rsid w:val="00ED47C4"/>
    <w:rsid w:val="00ED6636"/>
    <w:rsid w:val="00ED6A4F"/>
    <w:rsid w:val="00ED76E9"/>
    <w:rsid w:val="00EE1044"/>
    <w:rsid w:val="00EE1EAE"/>
    <w:rsid w:val="00EE2A1C"/>
    <w:rsid w:val="00EE2F7A"/>
    <w:rsid w:val="00EE3055"/>
    <w:rsid w:val="00EE3B9A"/>
    <w:rsid w:val="00EE422E"/>
    <w:rsid w:val="00EE59EA"/>
    <w:rsid w:val="00EE69B6"/>
    <w:rsid w:val="00EE6F83"/>
    <w:rsid w:val="00EE7479"/>
    <w:rsid w:val="00EE7886"/>
    <w:rsid w:val="00EE7FE7"/>
    <w:rsid w:val="00EF0A18"/>
    <w:rsid w:val="00EF23E8"/>
    <w:rsid w:val="00EF3A6E"/>
    <w:rsid w:val="00EF5AF3"/>
    <w:rsid w:val="00EF5C21"/>
    <w:rsid w:val="00F00D88"/>
    <w:rsid w:val="00F01701"/>
    <w:rsid w:val="00F0282D"/>
    <w:rsid w:val="00F029C8"/>
    <w:rsid w:val="00F0375F"/>
    <w:rsid w:val="00F04AAF"/>
    <w:rsid w:val="00F05623"/>
    <w:rsid w:val="00F07DB9"/>
    <w:rsid w:val="00F1014F"/>
    <w:rsid w:val="00F10306"/>
    <w:rsid w:val="00F10B59"/>
    <w:rsid w:val="00F10C55"/>
    <w:rsid w:val="00F10D84"/>
    <w:rsid w:val="00F11699"/>
    <w:rsid w:val="00F11997"/>
    <w:rsid w:val="00F1269A"/>
    <w:rsid w:val="00F12DF5"/>
    <w:rsid w:val="00F13719"/>
    <w:rsid w:val="00F14AB2"/>
    <w:rsid w:val="00F17C71"/>
    <w:rsid w:val="00F21640"/>
    <w:rsid w:val="00F22E5B"/>
    <w:rsid w:val="00F23269"/>
    <w:rsid w:val="00F24B06"/>
    <w:rsid w:val="00F24C9D"/>
    <w:rsid w:val="00F26259"/>
    <w:rsid w:val="00F26AE8"/>
    <w:rsid w:val="00F30AF2"/>
    <w:rsid w:val="00F3180E"/>
    <w:rsid w:val="00F32829"/>
    <w:rsid w:val="00F339A8"/>
    <w:rsid w:val="00F33C47"/>
    <w:rsid w:val="00F33D20"/>
    <w:rsid w:val="00F341E9"/>
    <w:rsid w:val="00F351B2"/>
    <w:rsid w:val="00F376FA"/>
    <w:rsid w:val="00F37C84"/>
    <w:rsid w:val="00F37E30"/>
    <w:rsid w:val="00F41022"/>
    <w:rsid w:val="00F41C4A"/>
    <w:rsid w:val="00F4210A"/>
    <w:rsid w:val="00F42684"/>
    <w:rsid w:val="00F44950"/>
    <w:rsid w:val="00F459C3"/>
    <w:rsid w:val="00F46005"/>
    <w:rsid w:val="00F46C80"/>
    <w:rsid w:val="00F46EEA"/>
    <w:rsid w:val="00F47331"/>
    <w:rsid w:val="00F474B9"/>
    <w:rsid w:val="00F502D2"/>
    <w:rsid w:val="00F50C12"/>
    <w:rsid w:val="00F53091"/>
    <w:rsid w:val="00F531CA"/>
    <w:rsid w:val="00F53C85"/>
    <w:rsid w:val="00F5478F"/>
    <w:rsid w:val="00F54AA4"/>
    <w:rsid w:val="00F54CE6"/>
    <w:rsid w:val="00F552BA"/>
    <w:rsid w:val="00F570C7"/>
    <w:rsid w:val="00F57C85"/>
    <w:rsid w:val="00F608DE"/>
    <w:rsid w:val="00F621B0"/>
    <w:rsid w:val="00F62913"/>
    <w:rsid w:val="00F63460"/>
    <w:rsid w:val="00F63802"/>
    <w:rsid w:val="00F63EF2"/>
    <w:rsid w:val="00F6482A"/>
    <w:rsid w:val="00F651CE"/>
    <w:rsid w:val="00F66A37"/>
    <w:rsid w:val="00F67112"/>
    <w:rsid w:val="00F672BF"/>
    <w:rsid w:val="00F67D9A"/>
    <w:rsid w:val="00F72DBE"/>
    <w:rsid w:val="00F74047"/>
    <w:rsid w:val="00F7472F"/>
    <w:rsid w:val="00F74AD4"/>
    <w:rsid w:val="00F76DF2"/>
    <w:rsid w:val="00F805FD"/>
    <w:rsid w:val="00F807EB"/>
    <w:rsid w:val="00F82708"/>
    <w:rsid w:val="00F82A3B"/>
    <w:rsid w:val="00F8309B"/>
    <w:rsid w:val="00F83562"/>
    <w:rsid w:val="00F84F5A"/>
    <w:rsid w:val="00F8594C"/>
    <w:rsid w:val="00F85B6B"/>
    <w:rsid w:val="00F85F3D"/>
    <w:rsid w:val="00F860BB"/>
    <w:rsid w:val="00F8610C"/>
    <w:rsid w:val="00F86801"/>
    <w:rsid w:val="00F8779A"/>
    <w:rsid w:val="00F87C60"/>
    <w:rsid w:val="00F87E87"/>
    <w:rsid w:val="00F9137E"/>
    <w:rsid w:val="00F91F1B"/>
    <w:rsid w:val="00F938C7"/>
    <w:rsid w:val="00F93B3D"/>
    <w:rsid w:val="00F94EBF"/>
    <w:rsid w:val="00F9515B"/>
    <w:rsid w:val="00F9624C"/>
    <w:rsid w:val="00F9656B"/>
    <w:rsid w:val="00F97C7D"/>
    <w:rsid w:val="00F97D7A"/>
    <w:rsid w:val="00FA0814"/>
    <w:rsid w:val="00FA1067"/>
    <w:rsid w:val="00FA1130"/>
    <w:rsid w:val="00FA4033"/>
    <w:rsid w:val="00FA40E4"/>
    <w:rsid w:val="00FA5383"/>
    <w:rsid w:val="00FA581F"/>
    <w:rsid w:val="00FA6215"/>
    <w:rsid w:val="00FA6268"/>
    <w:rsid w:val="00FA62AE"/>
    <w:rsid w:val="00FA66FE"/>
    <w:rsid w:val="00FA670C"/>
    <w:rsid w:val="00FA6BBA"/>
    <w:rsid w:val="00FA6DA6"/>
    <w:rsid w:val="00FB0510"/>
    <w:rsid w:val="00FB05A8"/>
    <w:rsid w:val="00FB104C"/>
    <w:rsid w:val="00FB150B"/>
    <w:rsid w:val="00FB1BC7"/>
    <w:rsid w:val="00FB3DA5"/>
    <w:rsid w:val="00FB5431"/>
    <w:rsid w:val="00FB57B5"/>
    <w:rsid w:val="00FB5BA2"/>
    <w:rsid w:val="00FB7CAC"/>
    <w:rsid w:val="00FC0406"/>
    <w:rsid w:val="00FC0855"/>
    <w:rsid w:val="00FC10E7"/>
    <w:rsid w:val="00FC114F"/>
    <w:rsid w:val="00FC1A17"/>
    <w:rsid w:val="00FC20E4"/>
    <w:rsid w:val="00FC2FE2"/>
    <w:rsid w:val="00FC366D"/>
    <w:rsid w:val="00FC368C"/>
    <w:rsid w:val="00FC3B82"/>
    <w:rsid w:val="00FC41F6"/>
    <w:rsid w:val="00FC45DA"/>
    <w:rsid w:val="00FC5239"/>
    <w:rsid w:val="00FC6030"/>
    <w:rsid w:val="00FC6D98"/>
    <w:rsid w:val="00FC7136"/>
    <w:rsid w:val="00FD0C4D"/>
    <w:rsid w:val="00FD0F0A"/>
    <w:rsid w:val="00FD16FC"/>
    <w:rsid w:val="00FD193E"/>
    <w:rsid w:val="00FD313F"/>
    <w:rsid w:val="00FD3241"/>
    <w:rsid w:val="00FD3D1A"/>
    <w:rsid w:val="00FD424A"/>
    <w:rsid w:val="00FD4705"/>
    <w:rsid w:val="00FD5D8F"/>
    <w:rsid w:val="00FD5E09"/>
    <w:rsid w:val="00FD6766"/>
    <w:rsid w:val="00FD684A"/>
    <w:rsid w:val="00FD6DC9"/>
    <w:rsid w:val="00FD6E5C"/>
    <w:rsid w:val="00FE003B"/>
    <w:rsid w:val="00FE129A"/>
    <w:rsid w:val="00FE1479"/>
    <w:rsid w:val="00FE3249"/>
    <w:rsid w:val="00FE344E"/>
    <w:rsid w:val="00FE45BC"/>
    <w:rsid w:val="00FE4A09"/>
    <w:rsid w:val="00FF2181"/>
    <w:rsid w:val="00FF2889"/>
    <w:rsid w:val="00FF30C1"/>
    <w:rsid w:val="00FF4109"/>
    <w:rsid w:val="00FF43D9"/>
    <w:rsid w:val="00FF4E30"/>
    <w:rsid w:val="00FF639B"/>
    <w:rsid w:val="00FF6636"/>
    <w:rsid w:val="00FF6EAF"/>
    <w:rsid w:val="00FF6EC2"/>
    <w:rsid w:val="00FF70EF"/>
    <w:rsid w:val="00FF7117"/>
    <w:rsid w:val="00FF7926"/>
    <w:rsid w:val="01227D26"/>
    <w:rsid w:val="0133354C"/>
    <w:rsid w:val="013E4434"/>
    <w:rsid w:val="014C20EE"/>
    <w:rsid w:val="016A7465"/>
    <w:rsid w:val="017E0CD4"/>
    <w:rsid w:val="01840BB5"/>
    <w:rsid w:val="019860E9"/>
    <w:rsid w:val="01BF5575"/>
    <w:rsid w:val="01C707BF"/>
    <w:rsid w:val="01FF7ADB"/>
    <w:rsid w:val="022A0BEA"/>
    <w:rsid w:val="023D0B8F"/>
    <w:rsid w:val="025B0D98"/>
    <w:rsid w:val="02637E64"/>
    <w:rsid w:val="026B1259"/>
    <w:rsid w:val="02704AC1"/>
    <w:rsid w:val="02990D93"/>
    <w:rsid w:val="02B0310F"/>
    <w:rsid w:val="02EB448F"/>
    <w:rsid w:val="02F470E3"/>
    <w:rsid w:val="02FC6355"/>
    <w:rsid w:val="030F1D26"/>
    <w:rsid w:val="031A4A2D"/>
    <w:rsid w:val="03323B24"/>
    <w:rsid w:val="0337738D"/>
    <w:rsid w:val="03801F37"/>
    <w:rsid w:val="03824AAC"/>
    <w:rsid w:val="03A8028B"/>
    <w:rsid w:val="03E2379C"/>
    <w:rsid w:val="03E80687"/>
    <w:rsid w:val="040A2CF3"/>
    <w:rsid w:val="04296B14"/>
    <w:rsid w:val="042D7183"/>
    <w:rsid w:val="04575F38"/>
    <w:rsid w:val="04781A0B"/>
    <w:rsid w:val="048E6486"/>
    <w:rsid w:val="049B7967"/>
    <w:rsid w:val="04CB4231"/>
    <w:rsid w:val="04E452F2"/>
    <w:rsid w:val="050D4849"/>
    <w:rsid w:val="05104339"/>
    <w:rsid w:val="053F5126"/>
    <w:rsid w:val="054B711F"/>
    <w:rsid w:val="057B6BAA"/>
    <w:rsid w:val="05C313AC"/>
    <w:rsid w:val="061D6D0E"/>
    <w:rsid w:val="06316315"/>
    <w:rsid w:val="063C7CB2"/>
    <w:rsid w:val="064A73D7"/>
    <w:rsid w:val="067D59FE"/>
    <w:rsid w:val="069074E0"/>
    <w:rsid w:val="06C729EE"/>
    <w:rsid w:val="06D27AF8"/>
    <w:rsid w:val="06DB44D3"/>
    <w:rsid w:val="071A324D"/>
    <w:rsid w:val="0721282E"/>
    <w:rsid w:val="07245E7A"/>
    <w:rsid w:val="07990616"/>
    <w:rsid w:val="07994889"/>
    <w:rsid w:val="07D23B28"/>
    <w:rsid w:val="07E13EC2"/>
    <w:rsid w:val="07E71D6A"/>
    <w:rsid w:val="08034F89"/>
    <w:rsid w:val="08123F24"/>
    <w:rsid w:val="081859DF"/>
    <w:rsid w:val="083B16CD"/>
    <w:rsid w:val="085E53BC"/>
    <w:rsid w:val="086B3C0F"/>
    <w:rsid w:val="08716E9D"/>
    <w:rsid w:val="08902F20"/>
    <w:rsid w:val="089963F4"/>
    <w:rsid w:val="08BC746A"/>
    <w:rsid w:val="08C01BD2"/>
    <w:rsid w:val="08CA1663"/>
    <w:rsid w:val="09047592"/>
    <w:rsid w:val="09067F2D"/>
    <w:rsid w:val="090C2D7E"/>
    <w:rsid w:val="090E293E"/>
    <w:rsid w:val="09130588"/>
    <w:rsid w:val="092B34F0"/>
    <w:rsid w:val="09697CE0"/>
    <w:rsid w:val="097035F9"/>
    <w:rsid w:val="097F55EA"/>
    <w:rsid w:val="098B0432"/>
    <w:rsid w:val="099C43EE"/>
    <w:rsid w:val="09B95A2F"/>
    <w:rsid w:val="09E638BB"/>
    <w:rsid w:val="0A171CC6"/>
    <w:rsid w:val="0A173A74"/>
    <w:rsid w:val="0A182A4F"/>
    <w:rsid w:val="0A1E12A6"/>
    <w:rsid w:val="0A1E3055"/>
    <w:rsid w:val="0A284C1B"/>
    <w:rsid w:val="0A2E33DD"/>
    <w:rsid w:val="0A3D797F"/>
    <w:rsid w:val="0A453336"/>
    <w:rsid w:val="0A4C1970"/>
    <w:rsid w:val="0A79028B"/>
    <w:rsid w:val="0A9357F1"/>
    <w:rsid w:val="0AB35643"/>
    <w:rsid w:val="0AD33E3F"/>
    <w:rsid w:val="0AF85654"/>
    <w:rsid w:val="0B09160F"/>
    <w:rsid w:val="0B246449"/>
    <w:rsid w:val="0B350656"/>
    <w:rsid w:val="0B381EF4"/>
    <w:rsid w:val="0B3D575C"/>
    <w:rsid w:val="0B7B140D"/>
    <w:rsid w:val="0B7E3423"/>
    <w:rsid w:val="0C2F19F0"/>
    <w:rsid w:val="0C5C6063"/>
    <w:rsid w:val="0C6C00A7"/>
    <w:rsid w:val="0C6D2071"/>
    <w:rsid w:val="0C915D60"/>
    <w:rsid w:val="0CA37841"/>
    <w:rsid w:val="0CD914B5"/>
    <w:rsid w:val="0CE045F1"/>
    <w:rsid w:val="0CF3747D"/>
    <w:rsid w:val="0D2512B6"/>
    <w:rsid w:val="0D431BA4"/>
    <w:rsid w:val="0D696CDD"/>
    <w:rsid w:val="0D7731A8"/>
    <w:rsid w:val="0D870F11"/>
    <w:rsid w:val="0D9378B6"/>
    <w:rsid w:val="0D9B325A"/>
    <w:rsid w:val="0DA7666B"/>
    <w:rsid w:val="0DE0358D"/>
    <w:rsid w:val="0E440BB0"/>
    <w:rsid w:val="0E540297"/>
    <w:rsid w:val="0E58794B"/>
    <w:rsid w:val="0E5B4877"/>
    <w:rsid w:val="0E6571D4"/>
    <w:rsid w:val="0E862EB6"/>
    <w:rsid w:val="0E87566C"/>
    <w:rsid w:val="0E925DBF"/>
    <w:rsid w:val="0E9D4E90"/>
    <w:rsid w:val="0EA7064C"/>
    <w:rsid w:val="0EBF5579"/>
    <w:rsid w:val="0EC20249"/>
    <w:rsid w:val="0EE4486D"/>
    <w:rsid w:val="0F1D44D7"/>
    <w:rsid w:val="0F265F21"/>
    <w:rsid w:val="0F2C7FC2"/>
    <w:rsid w:val="0F4705DB"/>
    <w:rsid w:val="0F48070B"/>
    <w:rsid w:val="0F4E1CE6"/>
    <w:rsid w:val="0F543200"/>
    <w:rsid w:val="0F5F5CA1"/>
    <w:rsid w:val="0F6365C0"/>
    <w:rsid w:val="0F784FB5"/>
    <w:rsid w:val="0F803E6A"/>
    <w:rsid w:val="0F930041"/>
    <w:rsid w:val="0FA1275E"/>
    <w:rsid w:val="0FB3423F"/>
    <w:rsid w:val="0FB81855"/>
    <w:rsid w:val="0FBB37E2"/>
    <w:rsid w:val="0FDA5D51"/>
    <w:rsid w:val="10141507"/>
    <w:rsid w:val="101F3682"/>
    <w:rsid w:val="106043C7"/>
    <w:rsid w:val="10A53C29"/>
    <w:rsid w:val="10B13BD2"/>
    <w:rsid w:val="10C1473A"/>
    <w:rsid w:val="10C92017"/>
    <w:rsid w:val="10CA1840"/>
    <w:rsid w:val="10E87F18"/>
    <w:rsid w:val="10F46A4F"/>
    <w:rsid w:val="10F701AD"/>
    <w:rsid w:val="11140D0D"/>
    <w:rsid w:val="11390774"/>
    <w:rsid w:val="113B0990"/>
    <w:rsid w:val="11467595"/>
    <w:rsid w:val="114C494B"/>
    <w:rsid w:val="11511F61"/>
    <w:rsid w:val="115D35F1"/>
    <w:rsid w:val="11643A43"/>
    <w:rsid w:val="11651A16"/>
    <w:rsid w:val="11845E93"/>
    <w:rsid w:val="11AE6C97"/>
    <w:rsid w:val="11D81D3B"/>
    <w:rsid w:val="11EC3A38"/>
    <w:rsid w:val="12241424"/>
    <w:rsid w:val="12327829"/>
    <w:rsid w:val="123C01D0"/>
    <w:rsid w:val="125F0B35"/>
    <w:rsid w:val="127653AE"/>
    <w:rsid w:val="12771554"/>
    <w:rsid w:val="127777A6"/>
    <w:rsid w:val="12782CE7"/>
    <w:rsid w:val="129640D0"/>
    <w:rsid w:val="12DB7D35"/>
    <w:rsid w:val="12FD248B"/>
    <w:rsid w:val="130D3AFF"/>
    <w:rsid w:val="1323348A"/>
    <w:rsid w:val="134753CA"/>
    <w:rsid w:val="1382549E"/>
    <w:rsid w:val="139E3F71"/>
    <w:rsid w:val="13F37300"/>
    <w:rsid w:val="13FB58C0"/>
    <w:rsid w:val="140D6D35"/>
    <w:rsid w:val="142D6598"/>
    <w:rsid w:val="143C2A55"/>
    <w:rsid w:val="145746DC"/>
    <w:rsid w:val="148F527B"/>
    <w:rsid w:val="14A34882"/>
    <w:rsid w:val="14EE3158"/>
    <w:rsid w:val="15082937"/>
    <w:rsid w:val="15135CC6"/>
    <w:rsid w:val="1517701E"/>
    <w:rsid w:val="152C2AC9"/>
    <w:rsid w:val="153320AA"/>
    <w:rsid w:val="15417B04"/>
    <w:rsid w:val="1546345F"/>
    <w:rsid w:val="156009C5"/>
    <w:rsid w:val="15760409"/>
    <w:rsid w:val="158F4E06"/>
    <w:rsid w:val="15A81548"/>
    <w:rsid w:val="15BD1974"/>
    <w:rsid w:val="15C251DC"/>
    <w:rsid w:val="15C34AB0"/>
    <w:rsid w:val="15DD3DC4"/>
    <w:rsid w:val="16232935"/>
    <w:rsid w:val="16337E88"/>
    <w:rsid w:val="164731FC"/>
    <w:rsid w:val="164E081E"/>
    <w:rsid w:val="1672316C"/>
    <w:rsid w:val="16861CED"/>
    <w:rsid w:val="16A9014A"/>
    <w:rsid w:val="16B321B0"/>
    <w:rsid w:val="16B34B25"/>
    <w:rsid w:val="16B70AB9"/>
    <w:rsid w:val="16F5338F"/>
    <w:rsid w:val="170B670F"/>
    <w:rsid w:val="173E0A0F"/>
    <w:rsid w:val="1773252D"/>
    <w:rsid w:val="177E3384"/>
    <w:rsid w:val="17824C23"/>
    <w:rsid w:val="178F10EE"/>
    <w:rsid w:val="17A0154D"/>
    <w:rsid w:val="17C20FBF"/>
    <w:rsid w:val="17CA481C"/>
    <w:rsid w:val="17D15BAA"/>
    <w:rsid w:val="17E551B2"/>
    <w:rsid w:val="1807337A"/>
    <w:rsid w:val="182F467F"/>
    <w:rsid w:val="18365A0D"/>
    <w:rsid w:val="183E32DD"/>
    <w:rsid w:val="188449CB"/>
    <w:rsid w:val="18A137CE"/>
    <w:rsid w:val="18A8170F"/>
    <w:rsid w:val="18B1288F"/>
    <w:rsid w:val="18C80D5B"/>
    <w:rsid w:val="18E216F1"/>
    <w:rsid w:val="18FE29CF"/>
    <w:rsid w:val="19045B0B"/>
    <w:rsid w:val="19135A18"/>
    <w:rsid w:val="19267830"/>
    <w:rsid w:val="192F3809"/>
    <w:rsid w:val="193753BA"/>
    <w:rsid w:val="19393A07"/>
    <w:rsid w:val="194F6D87"/>
    <w:rsid w:val="1985592C"/>
    <w:rsid w:val="19964474"/>
    <w:rsid w:val="19CA465F"/>
    <w:rsid w:val="19DB4ABE"/>
    <w:rsid w:val="19F636A6"/>
    <w:rsid w:val="1A2521DD"/>
    <w:rsid w:val="1A295829"/>
    <w:rsid w:val="1A3D12D5"/>
    <w:rsid w:val="1AA2738A"/>
    <w:rsid w:val="1AA749A0"/>
    <w:rsid w:val="1AB83E88"/>
    <w:rsid w:val="1ACF17BB"/>
    <w:rsid w:val="1AF1477C"/>
    <w:rsid w:val="1AF56B46"/>
    <w:rsid w:val="1B01027C"/>
    <w:rsid w:val="1B2E30C6"/>
    <w:rsid w:val="1B45614F"/>
    <w:rsid w:val="1B5C578B"/>
    <w:rsid w:val="1B682381"/>
    <w:rsid w:val="1B724FAE"/>
    <w:rsid w:val="1B882A24"/>
    <w:rsid w:val="1B893879"/>
    <w:rsid w:val="1B9466EC"/>
    <w:rsid w:val="1BCD2C16"/>
    <w:rsid w:val="1BD23C9F"/>
    <w:rsid w:val="1BF06D13"/>
    <w:rsid w:val="1C1442B7"/>
    <w:rsid w:val="1C273FEB"/>
    <w:rsid w:val="1C6F4C73"/>
    <w:rsid w:val="1C8964A6"/>
    <w:rsid w:val="1CA0088A"/>
    <w:rsid w:val="1CA91A88"/>
    <w:rsid w:val="1CAA18F6"/>
    <w:rsid w:val="1CB442B4"/>
    <w:rsid w:val="1CB57848"/>
    <w:rsid w:val="1CCA6605"/>
    <w:rsid w:val="1D047E88"/>
    <w:rsid w:val="1D1D6495"/>
    <w:rsid w:val="1D646B79"/>
    <w:rsid w:val="1D7E7C3A"/>
    <w:rsid w:val="1D7F39B2"/>
    <w:rsid w:val="1DA11B7B"/>
    <w:rsid w:val="1DBB6AE0"/>
    <w:rsid w:val="1DCD471E"/>
    <w:rsid w:val="1DD957B9"/>
    <w:rsid w:val="1DE673A8"/>
    <w:rsid w:val="1E1C02AC"/>
    <w:rsid w:val="1E446811"/>
    <w:rsid w:val="1E4B7F4D"/>
    <w:rsid w:val="1E5E4B00"/>
    <w:rsid w:val="1E885CE5"/>
    <w:rsid w:val="1EBA1146"/>
    <w:rsid w:val="1ED85A70"/>
    <w:rsid w:val="1EDD4E34"/>
    <w:rsid w:val="1EE2660B"/>
    <w:rsid w:val="1EED74AF"/>
    <w:rsid w:val="1EFA7794"/>
    <w:rsid w:val="1F2E5690"/>
    <w:rsid w:val="1F503858"/>
    <w:rsid w:val="1F6F618F"/>
    <w:rsid w:val="1F8238FE"/>
    <w:rsid w:val="1FA13150"/>
    <w:rsid w:val="1FA45952"/>
    <w:rsid w:val="1FAB4F33"/>
    <w:rsid w:val="1FCF50A5"/>
    <w:rsid w:val="20036B1D"/>
    <w:rsid w:val="200C3C23"/>
    <w:rsid w:val="20194A85"/>
    <w:rsid w:val="202D3B9A"/>
    <w:rsid w:val="20407429"/>
    <w:rsid w:val="2043516B"/>
    <w:rsid w:val="204518C8"/>
    <w:rsid w:val="20672D9F"/>
    <w:rsid w:val="20673947"/>
    <w:rsid w:val="20AC2D10"/>
    <w:rsid w:val="20C04A0E"/>
    <w:rsid w:val="20C462AC"/>
    <w:rsid w:val="20F36B91"/>
    <w:rsid w:val="210A7F71"/>
    <w:rsid w:val="21112432"/>
    <w:rsid w:val="211612EB"/>
    <w:rsid w:val="211D59BC"/>
    <w:rsid w:val="21336F8E"/>
    <w:rsid w:val="213B1D14"/>
    <w:rsid w:val="214271D1"/>
    <w:rsid w:val="214B1AB8"/>
    <w:rsid w:val="215D04AF"/>
    <w:rsid w:val="21713C63"/>
    <w:rsid w:val="218C499A"/>
    <w:rsid w:val="21E87D78"/>
    <w:rsid w:val="21F229A5"/>
    <w:rsid w:val="21F901D7"/>
    <w:rsid w:val="2205092A"/>
    <w:rsid w:val="22073CC5"/>
    <w:rsid w:val="221E7C3E"/>
    <w:rsid w:val="222B5EB7"/>
    <w:rsid w:val="22364F87"/>
    <w:rsid w:val="22433200"/>
    <w:rsid w:val="2287625E"/>
    <w:rsid w:val="22A30143"/>
    <w:rsid w:val="22AF0896"/>
    <w:rsid w:val="22B119E4"/>
    <w:rsid w:val="22BB36DF"/>
    <w:rsid w:val="22DD2975"/>
    <w:rsid w:val="22E06CA1"/>
    <w:rsid w:val="22E22A19"/>
    <w:rsid w:val="22E3018D"/>
    <w:rsid w:val="22E85737"/>
    <w:rsid w:val="22EE635B"/>
    <w:rsid w:val="22FD5AA5"/>
    <w:rsid w:val="230F7587"/>
    <w:rsid w:val="232272BA"/>
    <w:rsid w:val="233921C6"/>
    <w:rsid w:val="234006BA"/>
    <w:rsid w:val="23405992"/>
    <w:rsid w:val="238800FE"/>
    <w:rsid w:val="23891425"/>
    <w:rsid w:val="239A32F4"/>
    <w:rsid w:val="23A10B26"/>
    <w:rsid w:val="23A463C8"/>
    <w:rsid w:val="23B2156E"/>
    <w:rsid w:val="23B343B6"/>
    <w:rsid w:val="23DC4C9A"/>
    <w:rsid w:val="23EB3B50"/>
    <w:rsid w:val="240370EB"/>
    <w:rsid w:val="241F69D2"/>
    <w:rsid w:val="24267EF7"/>
    <w:rsid w:val="24280900"/>
    <w:rsid w:val="24374FE7"/>
    <w:rsid w:val="24763D61"/>
    <w:rsid w:val="2483647E"/>
    <w:rsid w:val="24973CD7"/>
    <w:rsid w:val="24A26904"/>
    <w:rsid w:val="24CD76F9"/>
    <w:rsid w:val="24D106C2"/>
    <w:rsid w:val="24FA1037"/>
    <w:rsid w:val="25071060"/>
    <w:rsid w:val="250F3FB0"/>
    <w:rsid w:val="254C6870"/>
    <w:rsid w:val="256633AB"/>
    <w:rsid w:val="25A55F80"/>
    <w:rsid w:val="25B222C3"/>
    <w:rsid w:val="25B368EF"/>
    <w:rsid w:val="25C603D0"/>
    <w:rsid w:val="25E1345C"/>
    <w:rsid w:val="25E76599"/>
    <w:rsid w:val="25FF1B34"/>
    <w:rsid w:val="26045FC8"/>
    <w:rsid w:val="26123616"/>
    <w:rsid w:val="263F27F1"/>
    <w:rsid w:val="264D464E"/>
    <w:rsid w:val="266F6CBA"/>
    <w:rsid w:val="26887D7C"/>
    <w:rsid w:val="26C32B62"/>
    <w:rsid w:val="2702368A"/>
    <w:rsid w:val="2705317A"/>
    <w:rsid w:val="273F59EC"/>
    <w:rsid w:val="274F43F6"/>
    <w:rsid w:val="27630C0D"/>
    <w:rsid w:val="27675BE3"/>
    <w:rsid w:val="276C07EF"/>
    <w:rsid w:val="27A24E6D"/>
    <w:rsid w:val="27CC3C98"/>
    <w:rsid w:val="27F63406"/>
    <w:rsid w:val="28074845"/>
    <w:rsid w:val="284877C3"/>
    <w:rsid w:val="2852419D"/>
    <w:rsid w:val="286E6AFD"/>
    <w:rsid w:val="287607EB"/>
    <w:rsid w:val="288051AE"/>
    <w:rsid w:val="28940C5A"/>
    <w:rsid w:val="289447B6"/>
    <w:rsid w:val="28BA4D26"/>
    <w:rsid w:val="28BC1F5F"/>
    <w:rsid w:val="28CD1A76"/>
    <w:rsid w:val="291C4AAD"/>
    <w:rsid w:val="29211DC2"/>
    <w:rsid w:val="293C43BC"/>
    <w:rsid w:val="295C1002"/>
    <w:rsid w:val="2967011C"/>
    <w:rsid w:val="29762258"/>
    <w:rsid w:val="299A22A0"/>
    <w:rsid w:val="299A6286"/>
    <w:rsid w:val="29F23E8A"/>
    <w:rsid w:val="2A1262DA"/>
    <w:rsid w:val="2A224043"/>
    <w:rsid w:val="2A2E0C3A"/>
    <w:rsid w:val="2A306D0F"/>
    <w:rsid w:val="2A375865"/>
    <w:rsid w:val="2A524929"/>
    <w:rsid w:val="2A5A37DD"/>
    <w:rsid w:val="2A69656F"/>
    <w:rsid w:val="2A75037D"/>
    <w:rsid w:val="2A783A4B"/>
    <w:rsid w:val="2A81520E"/>
    <w:rsid w:val="2A8E3487"/>
    <w:rsid w:val="2A905545"/>
    <w:rsid w:val="2AA66A22"/>
    <w:rsid w:val="2AE87180"/>
    <w:rsid w:val="2B1240B8"/>
    <w:rsid w:val="2B176CF0"/>
    <w:rsid w:val="2B1D509F"/>
    <w:rsid w:val="2B380B20"/>
    <w:rsid w:val="2B626DED"/>
    <w:rsid w:val="2B6A3EF4"/>
    <w:rsid w:val="2B6D12EE"/>
    <w:rsid w:val="2B6F150A"/>
    <w:rsid w:val="2B780B8D"/>
    <w:rsid w:val="2B797019"/>
    <w:rsid w:val="2B824D9A"/>
    <w:rsid w:val="2B991287"/>
    <w:rsid w:val="2BDA4BD6"/>
    <w:rsid w:val="2BEC2B5B"/>
    <w:rsid w:val="2C1300E8"/>
    <w:rsid w:val="2C153E60"/>
    <w:rsid w:val="2C2E4F21"/>
    <w:rsid w:val="2C4206CF"/>
    <w:rsid w:val="2C430292"/>
    <w:rsid w:val="2C5324CF"/>
    <w:rsid w:val="2C5C1A8E"/>
    <w:rsid w:val="2CB82A3D"/>
    <w:rsid w:val="2CBA2998"/>
    <w:rsid w:val="2CE95BC3"/>
    <w:rsid w:val="2D2A598E"/>
    <w:rsid w:val="2D314CC9"/>
    <w:rsid w:val="2D3B4D40"/>
    <w:rsid w:val="2D412A32"/>
    <w:rsid w:val="2D564730"/>
    <w:rsid w:val="2D8305AC"/>
    <w:rsid w:val="2D984D48"/>
    <w:rsid w:val="2DB66F7C"/>
    <w:rsid w:val="2E07339C"/>
    <w:rsid w:val="2E091CF1"/>
    <w:rsid w:val="2E1A197C"/>
    <w:rsid w:val="2E28053D"/>
    <w:rsid w:val="2E494294"/>
    <w:rsid w:val="2E6A7D67"/>
    <w:rsid w:val="2E982B26"/>
    <w:rsid w:val="2EA471C7"/>
    <w:rsid w:val="2EAD4823"/>
    <w:rsid w:val="2F0B154A"/>
    <w:rsid w:val="2F1B42F5"/>
    <w:rsid w:val="2F2820FC"/>
    <w:rsid w:val="2F326AD7"/>
    <w:rsid w:val="2F5C7FF7"/>
    <w:rsid w:val="2F61116A"/>
    <w:rsid w:val="2F6A6270"/>
    <w:rsid w:val="2F7B66D0"/>
    <w:rsid w:val="2FA06136"/>
    <w:rsid w:val="2FB614B6"/>
    <w:rsid w:val="2FB76FDC"/>
    <w:rsid w:val="2FD05BC7"/>
    <w:rsid w:val="2FEB267F"/>
    <w:rsid w:val="2FEB8518"/>
    <w:rsid w:val="2FF7387C"/>
    <w:rsid w:val="3011493E"/>
    <w:rsid w:val="30156AF1"/>
    <w:rsid w:val="302F5C26"/>
    <w:rsid w:val="30466CDD"/>
    <w:rsid w:val="3052050E"/>
    <w:rsid w:val="305471BD"/>
    <w:rsid w:val="30590D8F"/>
    <w:rsid w:val="305C2FB9"/>
    <w:rsid w:val="30670A02"/>
    <w:rsid w:val="30676C54"/>
    <w:rsid w:val="30986E0D"/>
    <w:rsid w:val="30A32C18"/>
    <w:rsid w:val="30A9101A"/>
    <w:rsid w:val="30C714A1"/>
    <w:rsid w:val="30C96FC7"/>
    <w:rsid w:val="30D81900"/>
    <w:rsid w:val="30D836AE"/>
    <w:rsid w:val="30E87D95"/>
    <w:rsid w:val="310B75DF"/>
    <w:rsid w:val="31181CFC"/>
    <w:rsid w:val="312F5DB4"/>
    <w:rsid w:val="313372A0"/>
    <w:rsid w:val="31391DEA"/>
    <w:rsid w:val="31480833"/>
    <w:rsid w:val="316B62D0"/>
    <w:rsid w:val="31771119"/>
    <w:rsid w:val="319D6984"/>
    <w:rsid w:val="31A4786F"/>
    <w:rsid w:val="31C277EF"/>
    <w:rsid w:val="31CE69F8"/>
    <w:rsid w:val="31CF0AB2"/>
    <w:rsid w:val="31F14A27"/>
    <w:rsid w:val="31F2254D"/>
    <w:rsid w:val="320D7387"/>
    <w:rsid w:val="32282096"/>
    <w:rsid w:val="3253123E"/>
    <w:rsid w:val="3281224F"/>
    <w:rsid w:val="32AC4DF2"/>
    <w:rsid w:val="32B53CA7"/>
    <w:rsid w:val="32DF0D23"/>
    <w:rsid w:val="32EB6BF2"/>
    <w:rsid w:val="32EB76C8"/>
    <w:rsid w:val="32F522F5"/>
    <w:rsid w:val="3310712F"/>
    <w:rsid w:val="331E0A5A"/>
    <w:rsid w:val="333A0B2D"/>
    <w:rsid w:val="334D79EE"/>
    <w:rsid w:val="33541711"/>
    <w:rsid w:val="335419DE"/>
    <w:rsid w:val="338673F1"/>
    <w:rsid w:val="339C4E66"/>
    <w:rsid w:val="33C06DA7"/>
    <w:rsid w:val="33D0607D"/>
    <w:rsid w:val="33D75E9F"/>
    <w:rsid w:val="340071A3"/>
    <w:rsid w:val="343432F1"/>
    <w:rsid w:val="344A2B14"/>
    <w:rsid w:val="344E43B3"/>
    <w:rsid w:val="34607C42"/>
    <w:rsid w:val="347A51A8"/>
    <w:rsid w:val="34831B82"/>
    <w:rsid w:val="34853B4C"/>
    <w:rsid w:val="349F4C0E"/>
    <w:rsid w:val="34C71A6F"/>
    <w:rsid w:val="352168DB"/>
    <w:rsid w:val="353A66E5"/>
    <w:rsid w:val="354B08F2"/>
    <w:rsid w:val="354B11FE"/>
    <w:rsid w:val="358D4A0B"/>
    <w:rsid w:val="359F479A"/>
    <w:rsid w:val="35AC725F"/>
    <w:rsid w:val="35C75343"/>
    <w:rsid w:val="35EA68F1"/>
    <w:rsid w:val="35FB40C6"/>
    <w:rsid w:val="360A4309"/>
    <w:rsid w:val="36121410"/>
    <w:rsid w:val="361231BE"/>
    <w:rsid w:val="362D7750"/>
    <w:rsid w:val="364D2448"/>
    <w:rsid w:val="365D08DD"/>
    <w:rsid w:val="366559E4"/>
    <w:rsid w:val="36D277A2"/>
    <w:rsid w:val="36DD37CC"/>
    <w:rsid w:val="36EC1C61"/>
    <w:rsid w:val="36FA25D0"/>
    <w:rsid w:val="371511B8"/>
    <w:rsid w:val="37172D68"/>
    <w:rsid w:val="372F1B4E"/>
    <w:rsid w:val="373158C6"/>
    <w:rsid w:val="37386C54"/>
    <w:rsid w:val="375269BA"/>
    <w:rsid w:val="376161AB"/>
    <w:rsid w:val="377D2FD4"/>
    <w:rsid w:val="379E30BF"/>
    <w:rsid w:val="37A708AA"/>
    <w:rsid w:val="37B26A07"/>
    <w:rsid w:val="37C23524"/>
    <w:rsid w:val="37E312B6"/>
    <w:rsid w:val="387E2D8D"/>
    <w:rsid w:val="3885739A"/>
    <w:rsid w:val="388F4F9A"/>
    <w:rsid w:val="38A02D03"/>
    <w:rsid w:val="38A565E1"/>
    <w:rsid w:val="38A92E45"/>
    <w:rsid w:val="38AE3672"/>
    <w:rsid w:val="38C369F1"/>
    <w:rsid w:val="38C42E95"/>
    <w:rsid w:val="38CD7870"/>
    <w:rsid w:val="38E95F35"/>
    <w:rsid w:val="38F35529"/>
    <w:rsid w:val="39227BBC"/>
    <w:rsid w:val="39235CD0"/>
    <w:rsid w:val="395756C6"/>
    <w:rsid w:val="39662ED0"/>
    <w:rsid w:val="39677CC5"/>
    <w:rsid w:val="397321C6"/>
    <w:rsid w:val="39780712"/>
    <w:rsid w:val="397A17A6"/>
    <w:rsid w:val="39882115"/>
    <w:rsid w:val="39A86F0F"/>
    <w:rsid w:val="39AC16A8"/>
    <w:rsid w:val="3A03179B"/>
    <w:rsid w:val="3A054D7B"/>
    <w:rsid w:val="3A2B6F44"/>
    <w:rsid w:val="3A52627F"/>
    <w:rsid w:val="3A686A7E"/>
    <w:rsid w:val="3A8D5509"/>
    <w:rsid w:val="3A9442DF"/>
    <w:rsid w:val="3A944AE9"/>
    <w:rsid w:val="3AA82343"/>
    <w:rsid w:val="3AFC7CF6"/>
    <w:rsid w:val="3B1479D8"/>
    <w:rsid w:val="3B5775CB"/>
    <w:rsid w:val="3B954675"/>
    <w:rsid w:val="3BC92571"/>
    <w:rsid w:val="3BF64B48"/>
    <w:rsid w:val="3C017F5D"/>
    <w:rsid w:val="3C37397E"/>
    <w:rsid w:val="3C3E2E1B"/>
    <w:rsid w:val="3C3E5E55"/>
    <w:rsid w:val="3C461E13"/>
    <w:rsid w:val="3C74072E"/>
    <w:rsid w:val="3C783A46"/>
    <w:rsid w:val="3CB15833"/>
    <w:rsid w:val="3CC176EC"/>
    <w:rsid w:val="3CD25455"/>
    <w:rsid w:val="3CD967E3"/>
    <w:rsid w:val="3CE358B4"/>
    <w:rsid w:val="3CE37662"/>
    <w:rsid w:val="3CE55188"/>
    <w:rsid w:val="3CEB0831"/>
    <w:rsid w:val="3CFB7D9B"/>
    <w:rsid w:val="3D361E88"/>
    <w:rsid w:val="3D7B3D3F"/>
    <w:rsid w:val="3D9F17DB"/>
    <w:rsid w:val="3DAB759E"/>
    <w:rsid w:val="3DB80AEF"/>
    <w:rsid w:val="3DD61C48"/>
    <w:rsid w:val="3DEE4511"/>
    <w:rsid w:val="3DFF671E"/>
    <w:rsid w:val="3E0D6740"/>
    <w:rsid w:val="3E134B83"/>
    <w:rsid w:val="3E261EFC"/>
    <w:rsid w:val="3E285C74"/>
    <w:rsid w:val="3E363920"/>
    <w:rsid w:val="3E4B54BF"/>
    <w:rsid w:val="3E5F0F6A"/>
    <w:rsid w:val="3E703177"/>
    <w:rsid w:val="3E7E5894"/>
    <w:rsid w:val="3E930283"/>
    <w:rsid w:val="3EA7589C"/>
    <w:rsid w:val="3EB94B1E"/>
    <w:rsid w:val="3ECA2888"/>
    <w:rsid w:val="3ECA6436"/>
    <w:rsid w:val="3F165ACD"/>
    <w:rsid w:val="3F2006FA"/>
    <w:rsid w:val="3F23691D"/>
    <w:rsid w:val="3F254B77"/>
    <w:rsid w:val="3F255D10"/>
    <w:rsid w:val="3F4D34B9"/>
    <w:rsid w:val="3F4E2026"/>
    <w:rsid w:val="3F64444C"/>
    <w:rsid w:val="3F6C7DE3"/>
    <w:rsid w:val="3F730A28"/>
    <w:rsid w:val="3F8A0269"/>
    <w:rsid w:val="3F9A4950"/>
    <w:rsid w:val="3FA05CDE"/>
    <w:rsid w:val="3FD46CAA"/>
    <w:rsid w:val="3FF1653A"/>
    <w:rsid w:val="3FF23FB2"/>
    <w:rsid w:val="40073E39"/>
    <w:rsid w:val="4044666A"/>
    <w:rsid w:val="405745EF"/>
    <w:rsid w:val="406B3BF6"/>
    <w:rsid w:val="407D1B7C"/>
    <w:rsid w:val="40912C1B"/>
    <w:rsid w:val="40BC6B48"/>
    <w:rsid w:val="40BF2194"/>
    <w:rsid w:val="40D914A8"/>
    <w:rsid w:val="40FB5363"/>
    <w:rsid w:val="40FF07E3"/>
    <w:rsid w:val="411029F0"/>
    <w:rsid w:val="41322966"/>
    <w:rsid w:val="4148218A"/>
    <w:rsid w:val="41662610"/>
    <w:rsid w:val="41792343"/>
    <w:rsid w:val="419E6C87"/>
    <w:rsid w:val="41AE2885"/>
    <w:rsid w:val="41C72FE7"/>
    <w:rsid w:val="41DE664A"/>
    <w:rsid w:val="420460B1"/>
    <w:rsid w:val="42091919"/>
    <w:rsid w:val="420936C7"/>
    <w:rsid w:val="42641245"/>
    <w:rsid w:val="427D76C5"/>
    <w:rsid w:val="427F570E"/>
    <w:rsid w:val="428E19BE"/>
    <w:rsid w:val="42A81132"/>
    <w:rsid w:val="42B57912"/>
    <w:rsid w:val="42BF73E1"/>
    <w:rsid w:val="42C6780A"/>
    <w:rsid w:val="42D17381"/>
    <w:rsid w:val="43010592"/>
    <w:rsid w:val="43016A94"/>
    <w:rsid w:val="431631B6"/>
    <w:rsid w:val="432A7D99"/>
    <w:rsid w:val="433F1693"/>
    <w:rsid w:val="4348021F"/>
    <w:rsid w:val="43574906"/>
    <w:rsid w:val="435C3CCA"/>
    <w:rsid w:val="436808C1"/>
    <w:rsid w:val="43797959"/>
    <w:rsid w:val="43A538C3"/>
    <w:rsid w:val="43F10E47"/>
    <w:rsid w:val="443469F5"/>
    <w:rsid w:val="443F0D4E"/>
    <w:rsid w:val="444F08FA"/>
    <w:rsid w:val="44A92F3F"/>
    <w:rsid w:val="44AA682F"/>
    <w:rsid w:val="44B04757"/>
    <w:rsid w:val="44B33DBE"/>
    <w:rsid w:val="44CC6C2E"/>
    <w:rsid w:val="44D82230"/>
    <w:rsid w:val="44E623E5"/>
    <w:rsid w:val="44F52628"/>
    <w:rsid w:val="4521341D"/>
    <w:rsid w:val="4577128F"/>
    <w:rsid w:val="45796DB6"/>
    <w:rsid w:val="458F1374"/>
    <w:rsid w:val="459650CE"/>
    <w:rsid w:val="45A02594"/>
    <w:rsid w:val="45A100BA"/>
    <w:rsid w:val="45A81449"/>
    <w:rsid w:val="45BA7307"/>
    <w:rsid w:val="45BF224B"/>
    <w:rsid w:val="45D70BB4"/>
    <w:rsid w:val="45E702E2"/>
    <w:rsid w:val="461D3BE5"/>
    <w:rsid w:val="46252A99"/>
    <w:rsid w:val="46464E61"/>
    <w:rsid w:val="464C6278"/>
    <w:rsid w:val="46527D96"/>
    <w:rsid w:val="465A6BE7"/>
    <w:rsid w:val="465F6C1E"/>
    <w:rsid w:val="466D4392"/>
    <w:rsid w:val="46AE6F33"/>
    <w:rsid w:val="46D251C1"/>
    <w:rsid w:val="46D87B0C"/>
    <w:rsid w:val="46F72688"/>
    <w:rsid w:val="47307948"/>
    <w:rsid w:val="473F7B8B"/>
    <w:rsid w:val="474748AD"/>
    <w:rsid w:val="476E221E"/>
    <w:rsid w:val="47880C90"/>
    <w:rsid w:val="478A52AA"/>
    <w:rsid w:val="478B2DD0"/>
    <w:rsid w:val="478D08F6"/>
    <w:rsid w:val="47AA14A8"/>
    <w:rsid w:val="47D5040F"/>
    <w:rsid w:val="47DB5B06"/>
    <w:rsid w:val="480A63EB"/>
    <w:rsid w:val="480F1D14"/>
    <w:rsid w:val="48254FD3"/>
    <w:rsid w:val="483A5C59"/>
    <w:rsid w:val="484418FD"/>
    <w:rsid w:val="485E4AD4"/>
    <w:rsid w:val="48A97402"/>
    <w:rsid w:val="48C7608A"/>
    <w:rsid w:val="48D16F09"/>
    <w:rsid w:val="48DF7304"/>
    <w:rsid w:val="48E72288"/>
    <w:rsid w:val="48F03833"/>
    <w:rsid w:val="48F84495"/>
    <w:rsid w:val="492928A1"/>
    <w:rsid w:val="49441489"/>
    <w:rsid w:val="49634005"/>
    <w:rsid w:val="49836455"/>
    <w:rsid w:val="49A36FB3"/>
    <w:rsid w:val="49AF724A"/>
    <w:rsid w:val="49BF6D61"/>
    <w:rsid w:val="49EA6E56"/>
    <w:rsid w:val="4A2D63C1"/>
    <w:rsid w:val="4A301A0D"/>
    <w:rsid w:val="4A3B55B5"/>
    <w:rsid w:val="4A3D12CF"/>
    <w:rsid w:val="4A527BD5"/>
    <w:rsid w:val="4A58168F"/>
    <w:rsid w:val="4A987CDE"/>
    <w:rsid w:val="4A9F106C"/>
    <w:rsid w:val="4AAA68CA"/>
    <w:rsid w:val="4AD64D94"/>
    <w:rsid w:val="4AE233ED"/>
    <w:rsid w:val="4AE37B55"/>
    <w:rsid w:val="4AF40C8C"/>
    <w:rsid w:val="4AF876DD"/>
    <w:rsid w:val="4B1732F9"/>
    <w:rsid w:val="4B515331"/>
    <w:rsid w:val="4B59733D"/>
    <w:rsid w:val="4B7A5635"/>
    <w:rsid w:val="4B7B4D7B"/>
    <w:rsid w:val="4B8263B6"/>
    <w:rsid w:val="4BA6642B"/>
    <w:rsid w:val="4C0D64AA"/>
    <w:rsid w:val="4C0E1A2A"/>
    <w:rsid w:val="4C0E36FF"/>
    <w:rsid w:val="4C87000A"/>
    <w:rsid w:val="4C8F2B51"/>
    <w:rsid w:val="4C9B49B3"/>
    <w:rsid w:val="4CC4300C"/>
    <w:rsid w:val="4CC44A4F"/>
    <w:rsid w:val="4D44414D"/>
    <w:rsid w:val="4D826A23"/>
    <w:rsid w:val="4D965D05"/>
    <w:rsid w:val="4DA61B08"/>
    <w:rsid w:val="4E4D0DDF"/>
    <w:rsid w:val="4E5E527F"/>
    <w:rsid w:val="4E7C16C5"/>
    <w:rsid w:val="4EA05786"/>
    <w:rsid w:val="4EA2737D"/>
    <w:rsid w:val="4ED25CA6"/>
    <w:rsid w:val="4EE722DC"/>
    <w:rsid w:val="4F0516BA"/>
    <w:rsid w:val="4F155DA1"/>
    <w:rsid w:val="4F1929FE"/>
    <w:rsid w:val="4F1F277C"/>
    <w:rsid w:val="4F3C2AD4"/>
    <w:rsid w:val="4F585C8E"/>
    <w:rsid w:val="4F6E342D"/>
    <w:rsid w:val="4FC26F6B"/>
    <w:rsid w:val="50143339"/>
    <w:rsid w:val="50153B7F"/>
    <w:rsid w:val="5038161B"/>
    <w:rsid w:val="504306EC"/>
    <w:rsid w:val="50A2296E"/>
    <w:rsid w:val="50AF18DD"/>
    <w:rsid w:val="50EA7B76"/>
    <w:rsid w:val="510732CD"/>
    <w:rsid w:val="511F36E3"/>
    <w:rsid w:val="51260B78"/>
    <w:rsid w:val="51273B6A"/>
    <w:rsid w:val="51341295"/>
    <w:rsid w:val="513F6B23"/>
    <w:rsid w:val="514C35D0"/>
    <w:rsid w:val="514E311F"/>
    <w:rsid w:val="51694182"/>
    <w:rsid w:val="51711289"/>
    <w:rsid w:val="51A451BA"/>
    <w:rsid w:val="51BF1EA6"/>
    <w:rsid w:val="51D325C4"/>
    <w:rsid w:val="51D35A9F"/>
    <w:rsid w:val="51E43C02"/>
    <w:rsid w:val="52043EAB"/>
    <w:rsid w:val="52171E30"/>
    <w:rsid w:val="521A722A"/>
    <w:rsid w:val="522E1658"/>
    <w:rsid w:val="523B2375"/>
    <w:rsid w:val="5244074B"/>
    <w:rsid w:val="52450697"/>
    <w:rsid w:val="525D0973"/>
    <w:rsid w:val="528A553D"/>
    <w:rsid w:val="528B0128"/>
    <w:rsid w:val="528B1ED6"/>
    <w:rsid w:val="52911ABB"/>
    <w:rsid w:val="52911BE2"/>
    <w:rsid w:val="530140D1"/>
    <w:rsid w:val="530C1269"/>
    <w:rsid w:val="533B38FC"/>
    <w:rsid w:val="53430A03"/>
    <w:rsid w:val="534E1882"/>
    <w:rsid w:val="537D5CC3"/>
    <w:rsid w:val="539B25ED"/>
    <w:rsid w:val="53A261E5"/>
    <w:rsid w:val="53B50756"/>
    <w:rsid w:val="53CE44F7"/>
    <w:rsid w:val="53D116F8"/>
    <w:rsid w:val="540C4EA5"/>
    <w:rsid w:val="540E49D9"/>
    <w:rsid w:val="5419001D"/>
    <w:rsid w:val="543C16DA"/>
    <w:rsid w:val="543D36A4"/>
    <w:rsid w:val="547A48F8"/>
    <w:rsid w:val="548D46D7"/>
    <w:rsid w:val="549332C4"/>
    <w:rsid w:val="5496599E"/>
    <w:rsid w:val="54A454D1"/>
    <w:rsid w:val="54A9321D"/>
    <w:rsid w:val="54C142D5"/>
    <w:rsid w:val="54E14BCA"/>
    <w:rsid w:val="54E21978"/>
    <w:rsid w:val="54E85C1C"/>
    <w:rsid w:val="55161382"/>
    <w:rsid w:val="55385EA0"/>
    <w:rsid w:val="556E7FB9"/>
    <w:rsid w:val="559F602D"/>
    <w:rsid w:val="55F17DA0"/>
    <w:rsid w:val="55F64315"/>
    <w:rsid w:val="56262642"/>
    <w:rsid w:val="564735D2"/>
    <w:rsid w:val="566B387C"/>
    <w:rsid w:val="56813D1C"/>
    <w:rsid w:val="56C1236A"/>
    <w:rsid w:val="56CC3C8A"/>
    <w:rsid w:val="572440FC"/>
    <w:rsid w:val="57340D8E"/>
    <w:rsid w:val="573C15F1"/>
    <w:rsid w:val="576A2A02"/>
    <w:rsid w:val="576D3035"/>
    <w:rsid w:val="57831D16"/>
    <w:rsid w:val="57A8352A"/>
    <w:rsid w:val="57E37458"/>
    <w:rsid w:val="57E427B4"/>
    <w:rsid w:val="57E83927"/>
    <w:rsid w:val="580551D2"/>
    <w:rsid w:val="583059FA"/>
    <w:rsid w:val="58466FCB"/>
    <w:rsid w:val="58674B48"/>
    <w:rsid w:val="586B0EFA"/>
    <w:rsid w:val="587358E6"/>
    <w:rsid w:val="58A6570D"/>
    <w:rsid w:val="58DF4D2A"/>
    <w:rsid w:val="58E30CBE"/>
    <w:rsid w:val="58E3481A"/>
    <w:rsid w:val="58E36154"/>
    <w:rsid w:val="58E6255C"/>
    <w:rsid w:val="58F971BD"/>
    <w:rsid w:val="591075D9"/>
    <w:rsid w:val="59205BB5"/>
    <w:rsid w:val="594828CF"/>
    <w:rsid w:val="595219A0"/>
    <w:rsid w:val="59680249"/>
    <w:rsid w:val="596E328E"/>
    <w:rsid w:val="59B12B6A"/>
    <w:rsid w:val="59D2488F"/>
    <w:rsid w:val="59D81763"/>
    <w:rsid w:val="59DE3233"/>
    <w:rsid w:val="59EA607C"/>
    <w:rsid w:val="59EE16C8"/>
    <w:rsid w:val="59F72B17"/>
    <w:rsid w:val="59FE5684"/>
    <w:rsid w:val="5A144EA7"/>
    <w:rsid w:val="5A3B0686"/>
    <w:rsid w:val="5A557999"/>
    <w:rsid w:val="5A57203E"/>
    <w:rsid w:val="5A5A4FB0"/>
    <w:rsid w:val="5A821E11"/>
    <w:rsid w:val="5A865DA5"/>
    <w:rsid w:val="5A9875DF"/>
    <w:rsid w:val="5ABC29E4"/>
    <w:rsid w:val="5ABD4653"/>
    <w:rsid w:val="5AC468CD"/>
    <w:rsid w:val="5AE12FDB"/>
    <w:rsid w:val="5AE825BC"/>
    <w:rsid w:val="5B046CCA"/>
    <w:rsid w:val="5B10566E"/>
    <w:rsid w:val="5B24736C"/>
    <w:rsid w:val="5B373EB2"/>
    <w:rsid w:val="5B44356A"/>
    <w:rsid w:val="5B57504B"/>
    <w:rsid w:val="5B5B538C"/>
    <w:rsid w:val="5B7C71A8"/>
    <w:rsid w:val="5B9242D5"/>
    <w:rsid w:val="5BB26726"/>
    <w:rsid w:val="5BBA55DA"/>
    <w:rsid w:val="5BEE37BF"/>
    <w:rsid w:val="5BF64864"/>
    <w:rsid w:val="5C180C7F"/>
    <w:rsid w:val="5C1D0043"/>
    <w:rsid w:val="5C321615"/>
    <w:rsid w:val="5C3A0EAF"/>
    <w:rsid w:val="5C9D2F32"/>
    <w:rsid w:val="5D577585"/>
    <w:rsid w:val="5D85087D"/>
    <w:rsid w:val="5D9407D9"/>
    <w:rsid w:val="5DD76917"/>
    <w:rsid w:val="5DE80B25"/>
    <w:rsid w:val="5DF31D5B"/>
    <w:rsid w:val="5DF94AE0"/>
    <w:rsid w:val="5E167440"/>
    <w:rsid w:val="5E2E29DB"/>
    <w:rsid w:val="5E541D16"/>
    <w:rsid w:val="5E557885"/>
    <w:rsid w:val="5E680D0B"/>
    <w:rsid w:val="5E6F274C"/>
    <w:rsid w:val="5E761C8C"/>
    <w:rsid w:val="5E780AD9"/>
    <w:rsid w:val="5E8C14B0"/>
    <w:rsid w:val="5EB6652D"/>
    <w:rsid w:val="5ECE7D1A"/>
    <w:rsid w:val="5EF05EE3"/>
    <w:rsid w:val="5F1848D0"/>
    <w:rsid w:val="5F3538F6"/>
    <w:rsid w:val="5F473629"/>
    <w:rsid w:val="5F6D10D8"/>
    <w:rsid w:val="5F7A39FE"/>
    <w:rsid w:val="5F8D4A8E"/>
    <w:rsid w:val="5F914E0B"/>
    <w:rsid w:val="5FCD3B2E"/>
    <w:rsid w:val="5FF13CC0"/>
    <w:rsid w:val="60076D0D"/>
    <w:rsid w:val="60234096"/>
    <w:rsid w:val="60255BF2"/>
    <w:rsid w:val="602D1E31"/>
    <w:rsid w:val="603E2C7E"/>
    <w:rsid w:val="605769AD"/>
    <w:rsid w:val="605D1356"/>
    <w:rsid w:val="60B33EDC"/>
    <w:rsid w:val="60C50CA9"/>
    <w:rsid w:val="60D4713E"/>
    <w:rsid w:val="60E36A60"/>
    <w:rsid w:val="60F35CC0"/>
    <w:rsid w:val="611F03B9"/>
    <w:rsid w:val="61367255"/>
    <w:rsid w:val="613D1187"/>
    <w:rsid w:val="6162171B"/>
    <w:rsid w:val="61624018"/>
    <w:rsid w:val="61783F6D"/>
    <w:rsid w:val="61A44D62"/>
    <w:rsid w:val="61B74A96"/>
    <w:rsid w:val="61BE5E24"/>
    <w:rsid w:val="61BF1B9C"/>
    <w:rsid w:val="61DC1A85"/>
    <w:rsid w:val="61FB14B7"/>
    <w:rsid w:val="61FE4473"/>
    <w:rsid w:val="62233ED9"/>
    <w:rsid w:val="62287D42"/>
    <w:rsid w:val="6233122C"/>
    <w:rsid w:val="624C1682"/>
    <w:rsid w:val="62532CB7"/>
    <w:rsid w:val="625E7607"/>
    <w:rsid w:val="62652744"/>
    <w:rsid w:val="62716E05"/>
    <w:rsid w:val="62805EF2"/>
    <w:rsid w:val="629D04D5"/>
    <w:rsid w:val="62F871FA"/>
    <w:rsid w:val="6300246C"/>
    <w:rsid w:val="63495BC1"/>
    <w:rsid w:val="635D341B"/>
    <w:rsid w:val="637D5875"/>
    <w:rsid w:val="63831DC0"/>
    <w:rsid w:val="63932A29"/>
    <w:rsid w:val="63984453"/>
    <w:rsid w:val="63C11BFC"/>
    <w:rsid w:val="63D277F1"/>
    <w:rsid w:val="63DD630A"/>
    <w:rsid w:val="63E1229E"/>
    <w:rsid w:val="63EB6C79"/>
    <w:rsid w:val="641C2C8D"/>
    <w:rsid w:val="642F4DB7"/>
    <w:rsid w:val="644B1E0A"/>
    <w:rsid w:val="64A37553"/>
    <w:rsid w:val="64F34037"/>
    <w:rsid w:val="65271F32"/>
    <w:rsid w:val="6531690D"/>
    <w:rsid w:val="6535464F"/>
    <w:rsid w:val="653E102A"/>
    <w:rsid w:val="656D3290"/>
    <w:rsid w:val="6598309D"/>
    <w:rsid w:val="65AC2438"/>
    <w:rsid w:val="65B06CA7"/>
    <w:rsid w:val="65B65064"/>
    <w:rsid w:val="65B87ABC"/>
    <w:rsid w:val="65DA51F7"/>
    <w:rsid w:val="65E9368C"/>
    <w:rsid w:val="6605645B"/>
    <w:rsid w:val="662F5543"/>
    <w:rsid w:val="6632293D"/>
    <w:rsid w:val="6655487D"/>
    <w:rsid w:val="665808D4"/>
    <w:rsid w:val="667354DB"/>
    <w:rsid w:val="66AA3E9D"/>
    <w:rsid w:val="66D24120"/>
    <w:rsid w:val="670412F1"/>
    <w:rsid w:val="671169F6"/>
    <w:rsid w:val="671E495C"/>
    <w:rsid w:val="67351F0A"/>
    <w:rsid w:val="67371656"/>
    <w:rsid w:val="6760172C"/>
    <w:rsid w:val="67840CA7"/>
    <w:rsid w:val="67A1421E"/>
    <w:rsid w:val="67A930D3"/>
    <w:rsid w:val="67B479A6"/>
    <w:rsid w:val="67CA6BA8"/>
    <w:rsid w:val="67CB3DB2"/>
    <w:rsid w:val="67DA328C"/>
    <w:rsid w:val="68282249"/>
    <w:rsid w:val="6832115E"/>
    <w:rsid w:val="68376930"/>
    <w:rsid w:val="683D54AC"/>
    <w:rsid w:val="68442DFB"/>
    <w:rsid w:val="685A43CD"/>
    <w:rsid w:val="68751207"/>
    <w:rsid w:val="68CA50AF"/>
    <w:rsid w:val="68DC4DE2"/>
    <w:rsid w:val="69036813"/>
    <w:rsid w:val="69074555"/>
    <w:rsid w:val="690C3919"/>
    <w:rsid w:val="691D5B26"/>
    <w:rsid w:val="692A1FF1"/>
    <w:rsid w:val="693410C2"/>
    <w:rsid w:val="69407A67"/>
    <w:rsid w:val="69531548"/>
    <w:rsid w:val="696D1EDE"/>
    <w:rsid w:val="698B0F3C"/>
    <w:rsid w:val="6A4F5D40"/>
    <w:rsid w:val="6A505A87"/>
    <w:rsid w:val="6A554E4C"/>
    <w:rsid w:val="6A751B1E"/>
    <w:rsid w:val="6A884FB9"/>
    <w:rsid w:val="6A89513B"/>
    <w:rsid w:val="6A8F1BA0"/>
    <w:rsid w:val="6AA45DD3"/>
    <w:rsid w:val="6AC36259"/>
    <w:rsid w:val="6ADF0BB9"/>
    <w:rsid w:val="6AEC2747"/>
    <w:rsid w:val="6B064398"/>
    <w:rsid w:val="6B093CD1"/>
    <w:rsid w:val="6B120F8F"/>
    <w:rsid w:val="6B16485A"/>
    <w:rsid w:val="6B2320D7"/>
    <w:rsid w:val="6B4E4254"/>
    <w:rsid w:val="6B735ED1"/>
    <w:rsid w:val="6B901BBF"/>
    <w:rsid w:val="6B910106"/>
    <w:rsid w:val="6B9145AA"/>
    <w:rsid w:val="6B9758F6"/>
    <w:rsid w:val="6BAF4A30"/>
    <w:rsid w:val="6BB87D88"/>
    <w:rsid w:val="6BB96BFA"/>
    <w:rsid w:val="6BBB6967"/>
    <w:rsid w:val="6BBC7B26"/>
    <w:rsid w:val="6BC826F6"/>
    <w:rsid w:val="6BCC25F8"/>
    <w:rsid w:val="6BEB1F0C"/>
    <w:rsid w:val="6BF54B38"/>
    <w:rsid w:val="6C1F3963"/>
    <w:rsid w:val="6C86289F"/>
    <w:rsid w:val="6C9C6D62"/>
    <w:rsid w:val="6CB239D6"/>
    <w:rsid w:val="6CCF5389"/>
    <w:rsid w:val="6CFE7A1D"/>
    <w:rsid w:val="6D014440"/>
    <w:rsid w:val="6D3A2E91"/>
    <w:rsid w:val="6D3B2A1F"/>
    <w:rsid w:val="6D4D0803"/>
    <w:rsid w:val="6D4D3F30"/>
    <w:rsid w:val="6D7D1F79"/>
    <w:rsid w:val="6DA93E2C"/>
    <w:rsid w:val="6DDD5884"/>
    <w:rsid w:val="6DEA7FA1"/>
    <w:rsid w:val="6DF80627"/>
    <w:rsid w:val="6E0077C5"/>
    <w:rsid w:val="6E023909"/>
    <w:rsid w:val="6E4476B1"/>
    <w:rsid w:val="6E4C1C89"/>
    <w:rsid w:val="6E57182F"/>
    <w:rsid w:val="6E647AFF"/>
    <w:rsid w:val="6E8361F8"/>
    <w:rsid w:val="6EAD34A8"/>
    <w:rsid w:val="6EBB3B41"/>
    <w:rsid w:val="6ECB7DD2"/>
    <w:rsid w:val="6EE64C0C"/>
    <w:rsid w:val="6F06705D"/>
    <w:rsid w:val="6F212EC1"/>
    <w:rsid w:val="6F235519"/>
    <w:rsid w:val="6F327E52"/>
    <w:rsid w:val="6F3F60CB"/>
    <w:rsid w:val="6F8C7562"/>
    <w:rsid w:val="6F9C1A74"/>
    <w:rsid w:val="6FBD596D"/>
    <w:rsid w:val="6FF98767"/>
    <w:rsid w:val="70384FF4"/>
    <w:rsid w:val="70450A8F"/>
    <w:rsid w:val="705362D1"/>
    <w:rsid w:val="70651B61"/>
    <w:rsid w:val="70AD4F37"/>
    <w:rsid w:val="70B054D2"/>
    <w:rsid w:val="70B52AE8"/>
    <w:rsid w:val="70BC5C25"/>
    <w:rsid w:val="70FA674D"/>
    <w:rsid w:val="7121676F"/>
    <w:rsid w:val="71285068"/>
    <w:rsid w:val="71397275"/>
    <w:rsid w:val="71431EA2"/>
    <w:rsid w:val="71704C61"/>
    <w:rsid w:val="717F16B5"/>
    <w:rsid w:val="71864485"/>
    <w:rsid w:val="71A843FB"/>
    <w:rsid w:val="71B66B18"/>
    <w:rsid w:val="71D94C97"/>
    <w:rsid w:val="720F447A"/>
    <w:rsid w:val="722F294A"/>
    <w:rsid w:val="72323CC5"/>
    <w:rsid w:val="724619EF"/>
    <w:rsid w:val="724A7813"/>
    <w:rsid w:val="72556331"/>
    <w:rsid w:val="725B4445"/>
    <w:rsid w:val="727367B7"/>
    <w:rsid w:val="728131E8"/>
    <w:rsid w:val="7298446F"/>
    <w:rsid w:val="72BD3ED6"/>
    <w:rsid w:val="72D000A5"/>
    <w:rsid w:val="72D60AF4"/>
    <w:rsid w:val="72D668EA"/>
    <w:rsid w:val="72F35B4A"/>
    <w:rsid w:val="7329156C"/>
    <w:rsid w:val="73315CB3"/>
    <w:rsid w:val="734038C7"/>
    <w:rsid w:val="73614861"/>
    <w:rsid w:val="737605AD"/>
    <w:rsid w:val="7386251A"/>
    <w:rsid w:val="73B452D9"/>
    <w:rsid w:val="73CA2D31"/>
    <w:rsid w:val="73D6524F"/>
    <w:rsid w:val="74177616"/>
    <w:rsid w:val="741E2752"/>
    <w:rsid w:val="74273CFD"/>
    <w:rsid w:val="745B7963"/>
    <w:rsid w:val="747F58E7"/>
    <w:rsid w:val="74A14487"/>
    <w:rsid w:val="74B241C2"/>
    <w:rsid w:val="74BA685B"/>
    <w:rsid w:val="74C50E20"/>
    <w:rsid w:val="74CD1BF2"/>
    <w:rsid w:val="74E4574A"/>
    <w:rsid w:val="74E514C2"/>
    <w:rsid w:val="75521015"/>
    <w:rsid w:val="75524DAA"/>
    <w:rsid w:val="75662603"/>
    <w:rsid w:val="757B7C44"/>
    <w:rsid w:val="758D5DE2"/>
    <w:rsid w:val="75907680"/>
    <w:rsid w:val="759B62C5"/>
    <w:rsid w:val="75AB270C"/>
    <w:rsid w:val="75CC3053"/>
    <w:rsid w:val="760836BA"/>
    <w:rsid w:val="7610431D"/>
    <w:rsid w:val="762056A5"/>
    <w:rsid w:val="76222141"/>
    <w:rsid w:val="763D7808"/>
    <w:rsid w:val="76816FC9"/>
    <w:rsid w:val="768A0573"/>
    <w:rsid w:val="769B452E"/>
    <w:rsid w:val="76AC673B"/>
    <w:rsid w:val="76BD0D0D"/>
    <w:rsid w:val="76D24B93"/>
    <w:rsid w:val="76E23F0B"/>
    <w:rsid w:val="77277B70"/>
    <w:rsid w:val="77324E93"/>
    <w:rsid w:val="773A78A3"/>
    <w:rsid w:val="773D7394"/>
    <w:rsid w:val="774150D6"/>
    <w:rsid w:val="774249AA"/>
    <w:rsid w:val="775F555C"/>
    <w:rsid w:val="77660698"/>
    <w:rsid w:val="776E1C43"/>
    <w:rsid w:val="778C3E77"/>
    <w:rsid w:val="779416A9"/>
    <w:rsid w:val="77950F7E"/>
    <w:rsid w:val="77AF7A76"/>
    <w:rsid w:val="77BC650A"/>
    <w:rsid w:val="77BF2045"/>
    <w:rsid w:val="77C96F28"/>
    <w:rsid w:val="77CD0717"/>
    <w:rsid w:val="77D851EC"/>
    <w:rsid w:val="781B5927"/>
    <w:rsid w:val="782A0E50"/>
    <w:rsid w:val="78654DF4"/>
    <w:rsid w:val="789946E3"/>
    <w:rsid w:val="789C1F6F"/>
    <w:rsid w:val="78F341AE"/>
    <w:rsid w:val="79274516"/>
    <w:rsid w:val="797A042B"/>
    <w:rsid w:val="799C3DDA"/>
    <w:rsid w:val="79A100AE"/>
    <w:rsid w:val="79A90D10"/>
    <w:rsid w:val="79AE4579"/>
    <w:rsid w:val="79B37DE1"/>
    <w:rsid w:val="79BD2A0E"/>
    <w:rsid w:val="79D20267"/>
    <w:rsid w:val="7A0B19CB"/>
    <w:rsid w:val="7A1C14E2"/>
    <w:rsid w:val="7A4A3C20"/>
    <w:rsid w:val="7ABE07EB"/>
    <w:rsid w:val="7AD76B48"/>
    <w:rsid w:val="7AF16E13"/>
    <w:rsid w:val="7AF81F4F"/>
    <w:rsid w:val="7B0501C8"/>
    <w:rsid w:val="7B240B8B"/>
    <w:rsid w:val="7B2E0071"/>
    <w:rsid w:val="7BBC3A00"/>
    <w:rsid w:val="7BD92BA2"/>
    <w:rsid w:val="7BDB632F"/>
    <w:rsid w:val="7BE00F67"/>
    <w:rsid w:val="7BE91898"/>
    <w:rsid w:val="7C224C8E"/>
    <w:rsid w:val="7C2D5D07"/>
    <w:rsid w:val="7C30730E"/>
    <w:rsid w:val="7C523FC8"/>
    <w:rsid w:val="7C594055"/>
    <w:rsid w:val="7C7638E9"/>
    <w:rsid w:val="7CB37369"/>
    <w:rsid w:val="7CB400F8"/>
    <w:rsid w:val="7CBE0F77"/>
    <w:rsid w:val="7CC65488"/>
    <w:rsid w:val="7CCB2C8D"/>
    <w:rsid w:val="7CDE6F23"/>
    <w:rsid w:val="7D012C11"/>
    <w:rsid w:val="7D3657C0"/>
    <w:rsid w:val="7D370572"/>
    <w:rsid w:val="7D376633"/>
    <w:rsid w:val="7D3E79C1"/>
    <w:rsid w:val="7D444753"/>
    <w:rsid w:val="7D4C0330"/>
    <w:rsid w:val="7D75319E"/>
    <w:rsid w:val="7D972082"/>
    <w:rsid w:val="7D986B72"/>
    <w:rsid w:val="7DF84014"/>
    <w:rsid w:val="7DFA7D8C"/>
    <w:rsid w:val="7E040C0B"/>
    <w:rsid w:val="7E0D3F64"/>
    <w:rsid w:val="7E0E3466"/>
    <w:rsid w:val="7E154BC6"/>
    <w:rsid w:val="7E213797"/>
    <w:rsid w:val="7E282B4B"/>
    <w:rsid w:val="7E392BD6"/>
    <w:rsid w:val="7E657AA9"/>
    <w:rsid w:val="7E6E2528"/>
    <w:rsid w:val="7E891110"/>
    <w:rsid w:val="7E927FC5"/>
    <w:rsid w:val="7EB42631"/>
    <w:rsid w:val="7EB66009"/>
    <w:rsid w:val="7EC86F76"/>
    <w:rsid w:val="7ECD724F"/>
    <w:rsid w:val="7F016EF9"/>
    <w:rsid w:val="7F054C3B"/>
    <w:rsid w:val="7F0B3ECA"/>
    <w:rsid w:val="7F1D01D6"/>
    <w:rsid w:val="7F1F4AB0"/>
    <w:rsid w:val="7F4A4D43"/>
    <w:rsid w:val="7F4B2516"/>
    <w:rsid w:val="7F5259A6"/>
    <w:rsid w:val="7F5D6825"/>
    <w:rsid w:val="7F5F0CB9"/>
    <w:rsid w:val="7F7818B1"/>
    <w:rsid w:val="7F840255"/>
    <w:rsid w:val="7F98785D"/>
    <w:rsid w:val="7FD12D6F"/>
    <w:rsid w:val="7FE40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50" w:lineRule="exact"/>
      <w:ind w:firstLine="200" w:firstLineChars="200"/>
      <w:jc w:val="both"/>
    </w:pPr>
    <w:rPr>
      <w:rFonts w:ascii="Times New Roman" w:hAnsi="Times New Roman" w:eastAsia="仿宋" w:cstheme="minorBidi"/>
      <w:kern w:val="2"/>
      <w:sz w:val="32"/>
      <w:szCs w:val="22"/>
      <w:lang w:val="en-US" w:eastAsia="zh-CN" w:bidi="ar-SA"/>
    </w:rPr>
  </w:style>
  <w:style w:type="paragraph" w:styleId="3">
    <w:name w:val="heading 1"/>
    <w:next w:val="1"/>
    <w:link w:val="32"/>
    <w:qFormat/>
    <w:uiPriority w:val="9"/>
    <w:pPr>
      <w:keepNext/>
      <w:keepLines/>
      <w:spacing w:line="550" w:lineRule="exact"/>
      <w:jc w:val="center"/>
      <w:outlineLvl w:val="0"/>
    </w:pPr>
    <w:rPr>
      <w:rFonts w:ascii="Times New Roman" w:hAnsi="Times New Roman" w:eastAsia="黑体" w:cstheme="minorBidi"/>
      <w:bCs/>
      <w:kern w:val="44"/>
      <w:sz w:val="32"/>
      <w:szCs w:val="44"/>
      <w:lang w:val="en-US" w:eastAsia="zh-CN" w:bidi="ar-SA"/>
    </w:rPr>
  </w:style>
  <w:style w:type="paragraph" w:styleId="4">
    <w:name w:val="heading 2"/>
    <w:next w:val="1"/>
    <w:link w:val="33"/>
    <w:unhideWhenUsed/>
    <w:qFormat/>
    <w:uiPriority w:val="9"/>
    <w:pPr>
      <w:keepNext/>
      <w:keepLines/>
      <w:spacing w:line="550" w:lineRule="exact"/>
      <w:jc w:val="center"/>
      <w:outlineLvl w:val="1"/>
    </w:pPr>
    <w:rPr>
      <w:rFonts w:ascii="Times New Roman" w:hAnsi="Times New Roman" w:eastAsia="楷体" w:cstheme="majorBidi"/>
      <w:bCs/>
      <w:kern w:val="2"/>
      <w:sz w:val="32"/>
      <w:szCs w:val="32"/>
      <w:lang w:val="en-US" w:eastAsia="zh-CN" w:bidi="ar-SA"/>
    </w:rPr>
  </w:style>
  <w:style w:type="paragraph" w:styleId="5">
    <w:name w:val="heading 3"/>
    <w:basedOn w:val="1"/>
    <w:next w:val="1"/>
    <w:link w:val="28"/>
    <w:unhideWhenUsed/>
    <w:qFormat/>
    <w:uiPriority w:val="9"/>
    <w:pPr>
      <w:keepNext/>
      <w:keepLines/>
      <w:spacing w:before="120" w:after="120" w:line="400" w:lineRule="exact"/>
      <w:outlineLvl w:val="2"/>
    </w:pPr>
    <w:rPr>
      <w:b/>
      <w:bCs/>
      <w:szCs w:val="32"/>
    </w:rPr>
  </w:style>
  <w:style w:type="paragraph" w:styleId="6">
    <w:name w:val="heading 4"/>
    <w:basedOn w:val="1"/>
    <w:next w:val="1"/>
    <w:link w:val="39"/>
    <w:unhideWhenUsed/>
    <w:qFormat/>
    <w:uiPriority w:val="9"/>
    <w:pPr>
      <w:keepNext/>
      <w:keepLines/>
      <w:spacing w:before="120" w:after="120"/>
      <w:ind w:firstLine="0" w:firstLineChars="0"/>
      <w:outlineLvl w:val="3"/>
    </w:pPr>
    <w:rPr>
      <w:rFonts w:cstheme="majorBidi"/>
      <w:b/>
      <w:bCs/>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65"/>
    <w:qFormat/>
    <w:uiPriority w:val="0"/>
    <w:rPr>
      <w:rFonts w:ascii="宋体" w:hAnsi="Courier New" w:eastAsia="宋体" w:cs="宋体"/>
      <w:sz w:val="21"/>
      <w:szCs w:val="21"/>
    </w:rPr>
  </w:style>
  <w:style w:type="paragraph" w:styleId="7">
    <w:name w:val="table of authorities"/>
    <w:basedOn w:val="1"/>
    <w:next w:val="1"/>
    <w:qFormat/>
    <w:uiPriority w:val="99"/>
    <w:pPr>
      <w:spacing w:before="100" w:beforeAutospacing="1" w:after="100" w:afterAutospacing="1" w:line="580" w:lineRule="exact"/>
      <w:ind w:left="200" w:leftChars="200"/>
    </w:pPr>
    <w:rPr>
      <w:rFonts w:eastAsia="仿宋_GB2312" w:asciiTheme="minorHAnsi" w:hAnsiTheme="minorHAnsi"/>
    </w:rPr>
  </w:style>
  <w:style w:type="paragraph" w:styleId="8">
    <w:name w:val="annotation text"/>
    <w:basedOn w:val="1"/>
    <w:link w:val="41"/>
    <w:unhideWhenUsed/>
    <w:qFormat/>
    <w:uiPriority w:val="99"/>
    <w:pPr>
      <w:jc w:val="left"/>
    </w:pPr>
  </w:style>
  <w:style w:type="paragraph" w:styleId="9">
    <w:name w:val="Salutation"/>
    <w:basedOn w:val="1"/>
    <w:next w:val="1"/>
    <w:link w:val="45"/>
    <w:qFormat/>
    <w:uiPriority w:val="0"/>
    <w:pPr>
      <w:spacing w:line="540" w:lineRule="exact"/>
    </w:pPr>
    <w:rPr>
      <w:rFonts w:eastAsia="仿宋_GB2312" w:asciiTheme="minorHAnsi" w:hAnsiTheme="minorHAnsi"/>
      <w:spacing w:val="-2"/>
      <w:szCs w:val="20"/>
    </w:rPr>
  </w:style>
  <w:style w:type="paragraph" w:styleId="10">
    <w:name w:val="Body Text"/>
    <w:basedOn w:val="1"/>
    <w:link w:val="43"/>
    <w:qFormat/>
    <w:uiPriority w:val="0"/>
    <w:pPr>
      <w:spacing w:after="120" w:line="240" w:lineRule="auto"/>
      <w:ind w:firstLine="0" w:firstLineChars="0"/>
      <w:jc w:val="center"/>
    </w:pPr>
    <w:rPr>
      <w:rFonts w:cs="Times New Roman"/>
      <w:sz w:val="24"/>
      <w:szCs w:val="21"/>
    </w:rPr>
  </w:style>
  <w:style w:type="paragraph" w:styleId="11">
    <w:name w:val="toc 3"/>
    <w:basedOn w:val="1"/>
    <w:next w:val="1"/>
    <w:unhideWhenUsed/>
    <w:qFormat/>
    <w:uiPriority w:val="39"/>
    <w:pPr>
      <w:ind w:left="840" w:leftChars="400"/>
    </w:pPr>
  </w:style>
  <w:style w:type="paragraph" w:styleId="12">
    <w:name w:val="Date"/>
    <w:basedOn w:val="1"/>
    <w:next w:val="1"/>
    <w:link w:val="47"/>
    <w:semiHidden/>
    <w:unhideWhenUsed/>
    <w:qFormat/>
    <w:uiPriority w:val="99"/>
    <w:pPr>
      <w:ind w:left="100" w:leftChars="2500"/>
    </w:pPr>
  </w:style>
  <w:style w:type="paragraph" w:styleId="13">
    <w:name w:val="Balloon Text"/>
    <w:basedOn w:val="1"/>
    <w:link w:val="48"/>
    <w:semiHidden/>
    <w:unhideWhenUsed/>
    <w:qFormat/>
    <w:uiPriority w:val="99"/>
    <w:pPr>
      <w:spacing w:line="240" w:lineRule="auto"/>
    </w:pPr>
    <w:rPr>
      <w:sz w:val="18"/>
      <w:szCs w:val="18"/>
    </w:rPr>
  </w:style>
  <w:style w:type="paragraph" w:styleId="14">
    <w:name w:val="footer"/>
    <w:basedOn w:val="1"/>
    <w:link w:val="31"/>
    <w:unhideWhenUsed/>
    <w:qFormat/>
    <w:uiPriority w:val="99"/>
    <w:pPr>
      <w:tabs>
        <w:tab w:val="center" w:pos="4153"/>
        <w:tab w:val="right" w:pos="8306"/>
      </w:tabs>
      <w:snapToGrid w:val="0"/>
      <w:jc w:val="left"/>
    </w:pPr>
    <w:rPr>
      <w:sz w:val="18"/>
      <w:szCs w:val="18"/>
    </w:rPr>
  </w:style>
  <w:style w:type="paragraph" w:styleId="15">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spacing w:line="500" w:lineRule="exact"/>
      <w:ind w:firstLine="0" w:firstLineChars="0"/>
      <w:jc w:val="left"/>
    </w:pPr>
    <w:rPr>
      <w:rFonts w:eastAsia="黑体"/>
      <w:bCs/>
    </w:rPr>
  </w:style>
  <w:style w:type="paragraph" w:styleId="17">
    <w:name w:val="table of figures"/>
    <w:basedOn w:val="1"/>
    <w:next w:val="1"/>
    <w:unhideWhenUsed/>
    <w:qFormat/>
    <w:uiPriority w:val="0"/>
    <w:pPr>
      <w:ind w:left="720" w:hanging="720"/>
    </w:pPr>
    <w:rPr>
      <w:rFonts w:ascii="宋体" w:hAnsi="宋体" w:eastAsia="黑体"/>
      <w:smallCaps/>
      <w:sz w:val="20"/>
      <w:szCs w:val="20"/>
    </w:rPr>
  </w:style>
  <w:style w:type="paragraph" w:styleId="18">
    <w:name w:val="toc 2"/>
    <w:basedOn w:val="1"/>
    <w:next w:val="1"/>
    <w:unhideWhenUsed/>
    <w:qFormat/>
    <w:uiPriority w:val="39"/>
    <w:pPr>
      <w:spacing w:line="500" w:lineRule="exact"/>
      <w:jc w:val="left"/>
    </w:pPr>
    <w:rPr>
      <w:rFonts w:eastAsia="楷体"/>
    </w:rPr>
  </w:style>
  <w:style w:type="paragraph" w:styleId="19">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styleId="20">
    <w:name w:val="Title"/>
    <w:basedOn w:val="1"/>
    <w:next w:val="1"/>
    <w:link w:val="34"/>
    <w:qFormat/>
    <w:uiPriority w:val="10"/>
    <w:pPr>
      <w:spacing w:before="240" w:after="240"/>
      <w:jc w:val="center"/>
      <w:outlineLvl w:val="0"/>
    </w:pPr>
    <w:rPr>
      <w:rFonts w:eastAsia="楷体" w:asciiTheme="majorHAnsi" w:hAnsiTheme="majorHAnsi" w:cstheme="majorBidi"/>
      <w:b/>
      <w:bCs/>
      <w:szCs w:val="32"/>
    </w:rPr>
  </w:style>
  <w:style w:type="paragraph" w:styleId="21">
    <w:name w:val="annotation subject"/>
    <w:basedOn w:val="8"/>
    <w:next w:val="8"/>
    <w:link w:val="42"/>
    <w:semiHidden/>
    <w:unhideWhenUsed/>
    <w:qFormat/>
    <w:uiPriority w:val="99"/>
    <w:rPr>
      <w:b/>
      <w:bCs/>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basedOn w:val="24"/>
    <w:semiHidden/>
    <w:unhideWhenUsed/>
    <w:qFormat/>
    <w:uiPriority w:val="99"/>
    <w:rPr>
      <w:color w:val="800080"/>
      <w:u w:val="single"/>
    </w:rPr>
  </w:style>
  <w:style w:type="character" w:styleId="26">
    <w:name w:val="Hyperlink"/>
    <w:basedOn w:val="24"/>
    <w:unhideWhenUsed/>
    <w:qFormat/>
    <w:uiPriority w:val="99"/>
    <w:rPr>
      <w:color w:val="0563C1" w:themeColor="hyperlink"/>
      <w:u w:val="single"/>
      <w14:textFill>
        <w14:solidFill>
          <w14:schemeClr w14:val="hlink"/>
        </w14:solidFill>
      </w14:textFill>
    </w:rPr>
  </w:style>
  <w:style w:type="character" w:styleId="27">
    <w:name w:val="annotation reference"/>
    <w:basedOn w:val="24"/>
    <w:semiHidden/>
    <w:unhideWhenUsed/>
    <w:qFormat/>
    <w:uiPriority w:val="99"/>
    <w:rPr>
      <w:sz w:val="21"/>
      <w:szCs w:val="21"/>
    </w:rPr>
  </w:style>
  <w:style w:type="character" w:customStyle="1" w:styleId="28">
    <w:name w:val="标题 3 字符"/>
    <w:basedOn w:val="24"/>
    <w:link w:val="5"/>
    <w:qFormat/>
    <w:uiPriority w:val="9"/>
    <w:rPr>
      <w:rFonts w:eastAsia="仿宋" w:cstheme="minorBidi"/>
      <w:b/>
      <w:bCs/>
      <w:kern w:val="2"/>
      <w:sz w:val="32"/>
      <w:szCs w:val="32"/>
    </w:rPr>
  </w:style>
  <w:style w:type="paragraph" w:customStyle="1" w:styleId="29">
    <w:name w:val="Heading2"/>
    <w:basedOn w:val="1"/>
    <w:next w:val="1"/>
    <w:qFormat/>
    <w:uiPriority w:val="0"/>
    <w:pPr>
      <w:keepNext/>
      <w:keepLines/>
      <w:spacing w:before="260" w:after="260" w:line="415" w:lineRule="auto"/>
    </w:pPr>
    <w:rPr>
      <w:rFonts w:ascii="Arial" w:hAnsi="Arial" w:eastAsia="黑体"/>
      <w:b/>
    </w:rPr>
  </w:style>
  <w:style w:type="character" w:customStyle="1" w:styleId="30">
    <w:name w:val="页眉 字符"/>
    <w:basedOn w:val="24"/>
    <w:link w:val="15"/>
    <w:qFormat/>
    <w:uiPriority w:val="99"/>
    <w:rPr>
      <w:sz w:val="18"/>
      <w:szCs w:val="18"/>
    </w:rPr>
  </w:style>
  <w:style w:type="character" w:customStyle="1" w:styleId="31">
    <w:name w:val="页脚 字符"/>
    <w:basedOn w:val="24"/>
    <w:link w:val="14"/>
    <w:qFormat/>
    <w:uiPriority w:val="99"/>
    <w:rPr>
      <w:sz w:val="18"/>
      <w:szCs w:val="18"/>
    </w:rPr>
  </w:style>
  <w:style w:type="character" w:customStyle="1" w:styleId="32">
    <w:name w:val="标题 1 字符"/>
    <w:basedOn w:val="24"/>
    <w:link w:val="3"/>
    <w:qFormat/>
    <w:uiPriority w:val="9"/>
    <w:rPr>
      <w:rFonts w:eastAsia="黑体" w:cstheme="minorBidi"/>
      <w:bCs/>
      <w:kern w:val="44"/>
      <w:sz w:val="32"/>
      <w:szCs w:val="44"/>
    </w:rPr>
  </w:style>
  <w:style w:type="character" w:customStyle="1" w:styleId="33">
    <w:name w:val="标题 2 字符"/>
    <w:basedOn w:val="24"/>
    <w:link w:val="4"/>
    <w:qFormat/>
    <w:uiPriority w:val="9"/>
    <w:rPr>
      <w:rFonts w:eastAsia="楷体" w:cstheme="majorBidi"/>
      <w:bCs/>
      <w:kern w:val="2"/>
      <w:sz w:val="32"/>
      <w:szCs w:val="32"/>
    </w:rPr>
  </w:style>
  <w:style w:type="character" w:customStyle="1" w:styleId="34">
    <w:name w:val="标题 字符"/>
    <w:basedOn w:val="24"/>
    <w:link w:val="20"/>
    <w:qFormat/>
    <w:uiPriority w:val="10"/>
    <w:rPr>
      <w:rFonts w:eastAsia="楷体" w:asciiTheme="majorHAnsi" w:hAnsiTheme="majorHAnsi" w:cstheme="majorBidi"/>
      <w:b/>
      <w:bCs/>
      <w:sz w:val="32"/>
      <w:szCs w:val="32"/>
    </w:rPr>
  </w:style>
  <w:style w:type="character" w:customStyle="1" w:styleId="35">
    <w:name w:val="不明显强调1"/>
    <w:basedOn w:val="24"/>
    <w:qFormat/>
    <w:uiPriority w:val="19"/>
    <w:rPr>
      <w:i/>
      <w:iCs/>
      <w:color w:val="404040" w:themeColor="text1" w:themeTint="BF"/>
      <w14:textFill>
        <w14:solidFill>
          <w14:schemeClr w14:val="tx1">
            <w14:lumMod w14:val="75000"/>
            <w14:lumOff w14:val="25000"/>
          </w14:schemeClr>
        </w14:solidFill>
      </w14:textFill>
    </w:rPr>
  </w:style>
  <w:style w:type="paragraph" w:customStyle="1" w:styleId="36">
    <w:name w:val="Default"/>
    <w:qFormat/>
    <w:uiPriority w:val="0"/>
    <w:pPr>
      <w:widowControl w:val="0"/>
      <w:autoSpaceDE w:val="0"/>
      <w:autoSpaceDN w:val="0"/>
      <w:adjustRightInd w:val="0"/>
      <w:spacing w:line="360" w:lineRule="auto"/>
      <w:jc w:val="both"/>
    </w:pPr>
    <w:rPr>
      <w:rFonts w:ascii="黑体" w:hAnsi="Times New Roman" w:eastAsia="黑体" w:cs="黑体"/>
      <w:color w:val="000000"/>
      <w:sz w:val="24"/>
      <w:szCs w:val="24"/>
      <w:lang w:val="en-US" w:eastAsia="zh-CN" w:bidi="ar-SA"/>
    </w:rPr>
  </w:style>
  <w:style w:type="paragraph" w:customStyle="1" w:styleId="37">
    <w:name w:val="公文主体"/>
    <w:basedOn w:val="1"/>
    <w:link w:val="38"/>
    <w:qFormat/>
    <w:uiPriority w:val="0"/>
    <w:pPr>
      <w:spacing w:line="580" w:lineRule="exact"/>
    </w:pPr>
    <w:rPr>
      <w:rFonts w:eastAsia="仿宋_GB2312" w:cs="Times New Roman"/>
      <w:szCs w:val="24"/>
    </w:rPr>
  </w:style>
  <w:style w:type="character" w:customStyle="1" w:styleId="38">
    <w:name w:val="公文主体 Char"/>
    <w:link w:val="37"/>
    <w:qFormat/>
    <w:uiPriority w:val="0"/>
    <w:rPr>
      <w:rFonts w:ascii="Times New Roman" w:hAnsi="Times New Roman" w:eastAsia="仿宋_GB2312" w:cs="Times New Roman"/>
      <w:sz w:val="32"/>
      <w:szCs w:val="24"/>
    </w:rPr>
  </w:style>
  <w:style w:type="character" w:customStyle="1" w:styleId="39">
    <w:name w:val="标题 4 字符"/>
    <w:basedOn w:val="24"/>
    <w:link w:val="6"/>
    <w:qFormat/>
    <w:uiPriority w:val="9"/>
    <w:rPr>
      <w:rFonts w:ascii="Times New Roman" w:hAnsi="Times New Roman" w:eastAsia="仿宋" w:cstheme="majorBidi"/>
      <w:b/>
      <w:bCs/>
      <w:sz w:val="32"/>
      <w:szCs w:val="28"/>
    </w:rPr>
  </w:style>
  <w:style w:type="paragraph" w:customStyle="1" w:styleId="40">
    <w:name w:val="TOC 标题1"/>
    <w:basedOn w:val="3"/>
    <w:next w:val="1"/>
    <w:unhideWhenUsed/>
    <w:qFormat/>
    <w:uiPriority w:val="39"/>
    <w:pPr>
      <w:spacing w:before="240" w:line="259" w:lineRule="auto"/>
      <w:outlineLvl w:val="9"/>
    </w:pPr>
    <w:rPr>
      <w:rFonts w:asciiTheme="majorHAnsi" w:hAnsiTheme="majorHAnsi" w:eastAsiaTheme="majorEastAsia" w:cstheme="majorBidi"/>
      <w:b/>
      <w:bCs w:val="0"/>
      <w:color w:val="2F5597" w:themeColor="accent1" w:themeShade="BF"/>
      <w:kern w:val="0"/>
      <w:szCs w:val="32"/>
    </w:rPr>
  </w:style>
  <w:style w:type="character" w:customStyle="1" w:styleId="41">
    <w:name w:val="批注文字 字符"/>
    <w:basedOn w:val="24"/>
    <w:link w:val="8"/>
    <w:qFormat/>
    <w:uiPriority w:val="99"/>
    <w:rPr>
      <w:rFonts w:ascii="Times New Roman" w:hAnsi="Times New Roman" w:eastAsia="仿宋"/>
      <w:sz w:val="32"/>
    </w:rPr>
  </w:style>
  <w:style w:type="character" w:customStyle="1" w:styleId="42">
    <w:name w:val="批注主题 字符"/>
    <w:basedOn w:val="41"/>
    <w:link w:val="21"/>
    <w:semiHidden/>
    <w:qFormat/>
    <w:uiPriority w:val="99"/>
    <w:rPr>
      <w:rFonts w:ascii="Times New Roman" w:hAnsi="Times New Roman" w:eastAsia="仿宋"/>
      <w:b/>
      <w:bCs/>
      <w:sz w:val="32"/>
    </w:rPr>
  </w:style>
  <w:style w:type="character" w:customStyle="1" w:styleId="43">
    <w:name w:val="正文文本 字符"/>
    <w:basedOn w:val="24"/>
    <w:link w:val="10"/>
    <w:qFormat/>
    <w:uiPriority w:val="0"/>
    <w:rPr>
      <w:rFonts w:eastAsia="仿宋"/>
      <w:kern w:val="2"/>
      <w:sz w:val="24"/>
      <w:szCs w:val="21"/>
    </w:rPr>
  </w:style>
  <w:style w:type="paragraph" w:customStyle="1" w:styleId="44">
    <w:name w:val="常用样式（方正仿宋简）"/>
    <w:basedOn w:val="1"/>
    <w:qFormat/>
    <w:uiPriority w:val="0"/>
    <w:pPr>
      <w:spacing w:line="560" w:lineRule="exact"/>
      <w:ind w:firstLine="640"/>
    </w:pPr>
    <w:rPr>
      <w:rFonts w:ascii="Calibri" w:hAnsi="Calibri" w:eastAsia="方正仿宋简体" w:cs="Times New Roman"/>
      <w:szCs w:val="21"/>
    </w:rPr>
  </w:style>
  <w:style w:type="character" w:customStyle="1" w:styleId="45">
    <w:name w:val="称呼 字符"/>
    <w:basedOn w:val="24"/>
    <w:link w:val="9"/>
    <w:qFormat/>
    <w:uiPriority w:val="0"/>
    <w:rPr>
      <w:rFonts w:eastAsia="仿宋_GB2312"/>
      <w:spacing w:val="-2"/>
      <w:sz w:val="32"/>
      <w:szCs w:val="20"/>
    </w:rPr>
  </w:style>
  <w:style w:type="table" w:customStyle="1" w:styleId="46">
    <w:name w:val="网格型1"/>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日期 字符"/>
    <w:basedOn w:val="24"/>
    <w:link w:val="12"/>
    <w:semiHidden/>
    <w:qFormat/>
    <w:uiPriority w:val="99"/>
    <w:rPr>
      <w:rFonts w:ascii="Times New Roman" w:hAnsi="Times New Roman" w:eastAsia="仿宋"/>
      <w:sz w:val="32"/>
    </w:rPr>
  </w:style>
  <w:style w:type="character" w:customStyle="1" w:styleId="48">
    <w:name w:val="批注框文本 字符"/>
    <w:basedOn w:val="24"/>
    <w:link w:val="13"/>
    <w:semiHidden/>
    <w:qFormat/>
    <w:uiPriority w:val="99"/>
    <w:rPr>
      <w:rFonts w:ascii="Times New Roman" w:hAnsi="Times New Roman" w:eastAsia="仿宋"/>
      <w:sz w:val="18"/>
      <w:szCs w:val="18"/>
    </w:rPr>
  </w:style>
  <w:style w:type="paragraph" w:styleId="49">
    <w:name w:val="List Paragraph"/>
    <w:basedOn w:val="1"/>
    <w:qFormat/>
    <w:uiPriority w:val="99"/>
    <w:pPr>
      <w:ind w:firstLine="420"/>
    </w:pPr>
  </w:style>
  <w:style w:type="paragraph" w:customStyle="1" w:styleId="50">
    <w:name w:val="带缩进正文"/>
    <w:basedOn w:val="1"/>
    <w:qFormat/>
    <w:uiPriority w:val="0"/>
    <w:pPr>
      <w:spacing w:line="560" w:lineRule="exact"/>
      <w:ind w:firstLine="640"/>
    </w:pPr>
    <w:rPr>
      <w:rFonts w:ascii="仿宋" w:cs="Times New Roman"/>
      <w:szCs w:val="28"/>
    </w:rPr>
  </w:style>
  <w:style w:type="table" w:customStyle="1" w:styleId="51">
    <w:name w:val="网格型11"/>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2">
    <w:name w:val="表格标题"/>
    <w:basedOn w:val="1"/>
    <w:qFormat/>
    <w:uiPriority w:val="0"/>
    <w:pPr>
      <w:spacing w:line="240" w:lineRule="auto"/>
      <w:ind w:firstLine="0" w:firstLineChars="0"/>
      <w:jc w:val="center"/>
    </w:pPr>
    <w:rPr>
      <w:rFonts w:eastAsia="黑体" w:cs="Times New Roman"/>
      <w:b/>
      <w:sz w:val="28"/>
      <w:szCs w:val="28"/>
    </w:rPr>
  </w:style>
  <w:style w:type="paragraph" w:customStyle="1" w:styleId="53">
    <w:name w:val="表格内容"/>
    <w:basedOn w:val="1"/>
    <w:qFormat/>
    <w:uiPriority w:val="0"/>
    <w:pPr>
      <w:spacing w:line="240" w:lineRule="auto"/>
      <w:ind w:firstLine="0" w:firstLineChars="0"/>
      <w:jc w:val="center"/>
    </w:pPr>
    <w:rPr>
      <w:rFonts w:eastAsia="仿宋_GB2312" w:cs="Times New Roman"/>
      <w:sz w:val="18"/>
      <w:szCs w:val="18"/>
    </w:rPr>
  </w:style>
  <w:style w:type="paragraph" w:customStyle="1" w:styleId="54">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5">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56">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7">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58">
    <w:name w:val="xl74"/>
    <w:basedOn w:val="1"/>
    <w:qFormat/>
    <w:uiPriority w:val="0"/>
    <w:pPr>
      <w:widowControl/>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9">
    <w:name w:val="xl75"/>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60">
    <w:name w:val="xl76"/>
    <w:basedOn w:val="1"/>
    <w:qFormat/>
    <w:uiPriority w:val="0"/>
    <w:pPr>
      <w:widowControl/>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61">
    <w:name w:val="xl7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4"/>
      <w:szCs w:val="24"/>
    </w:rPr>
  </w:style>
  <w:style w:type="paragraph" w:customStyle="1" w:styleId="62">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b/>
      <w:bCs/>
      <w:kern w:val="0"/>
      <w:sz w:val="24"/>
      <w:szCs w:val="24"/>
    </w:rPr>
  </w:style>
  <w:style w:type="paragraph" w:customStyle="1" w:styleId="63">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 w:hAnsi="仿宋" w:cs="宋体"/>
      <w:b/>
      <w:bCs/>
      <w:kern w:val="0"/>
      <w:sz w:val="24"/>
      <w:szCs w:val="24"/>
    </w:rPr>
  </w:style>
  <w:style w:type="paragraph" w:customStyle="1" w:styleId="64">
    <w:name w:val="xl80"/>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65">
    <w:name w:val="纯文本 字符"/>
    <w:basedOn w:val="24"/>
    <w:link w:val="2"/>
    <w:qFormat/>
    <w:uiPriority w:val="0"/>
    <w:rPr>
      <w:rFonts w:ascii="宋体" w:hAnsi="Courier New" w:cs="宋体"/>
      <w:kern w:val="2"/>
      <w:sz w:val="21"/>
      <w:szCs w:val="21"/>
    </w:rPr>
  </w:style>
  <w:style w:type="character" w:customStyle="1" w:styleId="66">
    <w:name w:val="font51"/>
    <w:basedOn w:val="24"/>
    <w:qFormat/>
    <w:uiPriority w:val="0"/>
    <w:rPr>
      <w:rFonts w:hint="eastAsia" w:ascii="方正仿宋简体" w:hAnsi="方正仿宋简体" w:eastAsia="方正仿宋简体" w:cs="方正仿宋简体"/>
      <w:color w:val="000000"/>
      <w:sz w:val="22"/>
      <w:szCs w:val="22"/>
      <w:u w:val="none"/>
    </w:rPr>
  </w:style>
  <w:style w:type="character" w:customStyle="1" w:styleId="67">
    <w:name w:val="font21"/>
    <w:basedOn w:val="24"/>
    <w:qFormat/>
    <w:uiPriority w:val="0"/>
    <w:rPr>
      <w:rFonts w:hint="eastAsia" w:ascii="宋体" w:hAnsi="宋体" w:eastAsia="宋体" w:cs="宋体"/>
      <w:color w:val="FF0000"/>
      <w:sz w:val="20"/>
      <w:szCs w:val="20"/>
      <w:u w:val="none"/>
    </w:rPr>
  </w:style>
  <w:style w:type="character" w:customStyle="1" w:styleId="68">
    <w:name w:val="font11"/>
    <w:basedOn w:val="24"/>
    <w:qFormat/>
    <w:uiPriority w:val="0"/>
    <w:rPr>
      <w:rFonts w:hint="default" w:ascii="Times New Roman" w:hAnsi="Times New Roman" w:cs="Times New Roman"/>
      <w:color w:val="FF0000"/>
      <w:sz w:val="20"/>
      <w:szCs w:val="20"/>
      <w:u w:val="none"/>
    </w:rPr>
  </w:style>
  <w:style w:type="table" w:customStyle="1" w:styleId="69">
    <w:name w:val="网格型2"/>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8A90A3-822A-4790-80CD-9DC4024D23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67</Pages>
  <Words>4048</Words>
  <Characters>23078</Characters>
  <Lines>192</Lines>
  <Paragraphs>54</Paragraphs>
  <TotalTime>9</TotalTime>
  <ScaleCrop>false</ScaleCrop>
  <LinksUpToDate>false</LinksUpToDate>
  <CharactersWithSpaces>27072</CharactersWithSpaces>
  <Application>WPS Office_11.8.2.1131_F1E327BC-269C-435d-A152-05C5408002CA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2022-06-27T00:40:00Z</dcterms:created>
  <dc:creator>h lp</dc:creator>
  <cp:lastModifiedBy>csak</cp:lastModifiedBy>
  <cp:lastPrinted>2022-06-29T18:57:00Z</cp:lastPrinted>
  <dcterms:modified xsi:type="dcterms:W3CDTF">2025-06-23T14:25:53Z</dcterms:modified>
  <cp:revision>350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2052-11.8.2.1131</vt:lpwstr>
  </property>
  <property fmtid="{D5CDD505-2E9C-101B-9397-08002B2CF9AE}" pid="3" name="ICV">
    <vt:lpwstr>3BD0E4382523A4C65BF35868C2AC36E4</vt:lpwstr>
  </property>
</Properties>
</file>