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s="Times New Roman"/>
          <w:szCs w:val="32"/>
        </w:rPr>
      </w:pPr>
      <w:bookmarkStart w:id="0" w:name="_Hlk99573979"/>
      <w:bookmarkEnd w:id="0"/>
      <w:r>
        <w:rPr>
          <w:rFonts w:hint="eastAsia" w:ascii="黑体" w:hAnsi="黑体" w:eastAsia="黑体" w:cs="方正小标宋简体"/>
          <w:szCs w:val="32"/>
        </w:rPr>
        <w:t>两项改革“后半篇”文章乡镇级片区应急体系专项规划</w:t>
      </w:r>
    </w:p>
    <w:p>
      <w:pPr>
        <w:ind w:firstLine="0" w:firstLineChars="0"/>
        <w:rPr>
          <w:rFonts w:cs="Times New Roman"/>
          <w:szCs w:val="32"/>
        </w:rPr>
      </w:pPr>
    </w:p>
    <w:p>
      <w:pPr>
        <w:spacing w:line="240" w:lineRule="auto"/>
        <w:ind w:firstLine="0" w:firstLineChars="0"/>
        <w:jc w:val="center"/>
        <w:rPr>
          <w:rFonts w:eastAsia="方正小标宋简体" w:cs="Times New Roman"/>
          <w:b/>
          <w:bCs/>
          <w:szCs w:val="32"/>
        </w:rPr>
      </w:pPr>
    </w:p>
    <w:p>
      <w:pPr>
        <w:pStyle w:val="2"/>
        <w:ind w:firstLine="640"/>
        <w:rPr>
          <w:rFonts w:ascii="Times New Roman" w:hAnsi="Times New Roman" w:cs="Times New Roman"/>
          <w:sz w:val="32"/>
          <w:szCs w:val="32"/>
        </w:rPr>
      </w:pPr>
    </w:p>
    <w:p>
      <w:pPr>
        <w:pStyle w:val="2"/>
        <w:ind w:firstLine="640"/>
        <w:rPr>
          <w:rFonts w:ascii="Times New Roman" w:hAnsi="Times New Roman" w:cs="Times New Roman"/>
          <w:sz w:val="32"/>
          <w:szCs w:val="32"/>
        </w:rPr>
      </w:pPr>
    </w:p>
    <w:p>
      <w:pPr>
        <w:adjustRightInd w:val="0"/>
        <w:snapToGrid w:val="0"/>
        <w:spacing w:line="560" w:lineRule="exact"/>
        <w:ind w:firstLine="0" w:firstLineChars="0"/>
        <w:jc w:val="center"/>
        <w:rPr>
          <w:rFonts w:ascii="方正舒体" w:hAnsi="宋体" w:eastAsia="方正舒体" w:cs="仿宋"/>
          <w:b/>
          <w:bCs/>
          <w:sz w:val="44"/>
          <w:szCs w:val="44"/>
        </w:rPr>
      </w:pPr>
      <w:r>
        <w:rPr>
          <w:rFonts w:hint="eastAsia" w:ascii="方正舒体" w:hAnsi="宋体" w:eastAsia="方正舒体" w:cs="仿宋"/>
          <w:b/>
          <w:bCs/>
          <w:sz w:val="44"/>
          <w:szCs w:val="44"/>
        </w:rPr>
        <w:t>船山区永河片区应急体系专项规划</w:t>
      </w:r>
    </w:p>
    <w:p>
      <w:pPr>
        <w:adjustRightInd w:val="0"/>
        <w:snapToGrid w:val="0"/>
        <w:spacing w:line="560" w:lineRule="exact"/>
        <w:ind w:firstLine="0" w:firstLineChars="0"/>
        <w:jc w:val="center"/>
        <w:rPr>
          <w:rFonts w:ascii="方正舒体" w:eastAsia="方正舒体" w:cs="Times New Roman"/>
          <w:b/>
          <w:bCs/>
          <w:sz w:val="44"/>
          <w:szCs w:val="44"/>
        </w:rPr>
      </w:pPr>
      <w:r>
        <w:rPr>
          <w:rFonts w:hint="eastAsia" w:ascii="方正舒体" w:hAnsi="宋体" w:eastAsia="方正舒体" w:cs="仿宋"/>
          <w:b/>
          <w:bCs/>
          <w:sz w:val="44"/>
          <w:szCs w:val="44"/>
        </w:rPr>
        <w:t>（2021-2035）</w:t>
      </w: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ind w:firstLine="0" w:firstLineChars="0"/>
        <w:rPr>
          <w:rFonts w:cs="Times New Roman"/>
          <w:szCs w:val="32"/>
        </w:rPr>
      </w:pPr>
    </w:p>
    <w:p>
      <w:pPr>
        <w:pStyle w:val="2"/>
        <w:ind w:firstLine="420"/>
      </w:pPr>
    </w:p>
    <w:p>
      <w:pPr>
        <w:ind w:firstLine="0" w:firstLineChars="0"/>
        <w:jc w:val="center"/>
        <w:rPr>
          <w:rFonts w:eastAsia="黑体" w:cs="Times New Roman"/>
          <w:szCs w:val="32"/>
        </w:rPr>
      </w:pPr>
    </w:p>
    <w:p>
      <w:pPr>
        <w:ind w:firstLine="0" w:firstLineChars="0"/>
        <w:jc w:val="center"/>
        <w:rPr>
          <w:rFonts w:eastAsia="黑体" w:cs="Times New Roman"/>
          <w:szCs w:val="32"/>
        </w:rPr>
      </w:pPr>
    </w:p>
    <w:p>
      <w:pPr>
        <w:spacing w:line="580" w:lineRule="exact"/>
        <w:ind w:firstLine="199" w:firstLineChars="62"/>
        <w:jc w:val="center"/>
        <w:rPr>
          <w:rFonts w:ascii="黑体" w:hAnsi="黑体" w:eastAsia="黑体" w:cs="仿宋"/>
          <w:b/>
          <w:bCs/>
          <w:szCs w:val="32"/>
        </w:rPr>
      </w:pPr>
      <w:r>
        <w:rPr>
          <w:rFonts w:hint="eastAsia" w:ascii="黑体" w:hAnsi="黑体" w:eastAsia="黑体" w:cs="仿宋"/>
          <w:b/>
          <w:bCs/>
          <w:szCs w:val="32"/>
        </w:rPr>
        <w:t>船山区应急管理局</w:t>
      </w:r>
    </w:p>
    <w:p>
      <w:pPr>
        <w:spacing w:line="580" w:lineRule="exact"/>
        <w:ind w:firstLine="199" w:firstLineChars="62"/>
        <w:jc w:val="center"/>
        <w:rPr>
          <w:rFonts w:eastAsia="黑体" w:cs="Times New Roman"/>
          <w:szCs w:val="32"/>
        </w:rPr>
      </w:pPr>
      <w:r>
        <w:rPr>
          <w:rFonts w:hint="eastAsia" w:ascii="黑体" w:hAnsi="黑体" w:eastAsia="黑体" w:cs="仿宋"/>
          <w:b/>
          <w:bCs/>
          <w:szCs w:val="32"/>
        </w:rPr>
        <w:t>二〇二二年六月</w:t>
      </w:r>
    </w:p>
    <w:p>
      <w:pPr>
        <w:pStyle w:val="2"/>
        <w:ind w:firstLine="420"/>
      </w:pPr>
    </w:p>
    <w:p>
      <w:pPr>
        <w:ind w:firstLine="880"/>
        <w:jc w:val="center"/>
        <w:rPr>
          <w:rFonts w:cs="Times New Roman"/>
          <w:sz w:val="44"/>
          <w:szCs w:val="44"/>
        </w:rPr>
      </w:pPr>
      <w:r>
        <w:rPr>
          <w:rFonts w:cs="Times New Roman"/>
          <w:sz w:val="44"/>
          <w:szCs w:val="44"/>
        </w:rPr>
        <w:br w:type="page"/>
      </w:r>
    </w:p>
    <w:p>
      <w:pPr>
        <w:pStyle w:val="2"/>
        <w:ind w:firstLine="420"/>
      </w:pPr>
      <w:r>
        <w:br w:type="page"/>
      </w:r>
    </w:p>
    <w:p>
      <w:pPr>
        <w:pStyle w:val="18"/>
        <w:ind w:firstLine="640"/>
        <w:jc w:val="center"/>
        <w:rPr>
          <w:rFonts w:cs="Times New Roman"/>
          <w:sz w:val="44"/>
          <w:szCs w:val="44"/>
        </w:rPr>
      </w:pPr>
      <w:r>
        <w:rPr>
          <w:rFonts w:cs="Times New Roman"/>
          <w:sz w:val="44"/>
          <w:szCs w:val="44"/>
        </w:rPr>
        <w:t>目 录</w:t>
      </w:r>
    </w:p>
    <w:p>
      <w:pPr>
        <w:pStyle w:val="18"/>
        <w:tabs>
          <w:tab w:val="right" w:leader="dot" w:pos="8844"/>
        </w:tabs>
      </w:pPr>
      <w:r>
        <w:rPr>
          <w:rFonts w:eastAsia="楷体" w:cs="Times New Roman"/>
          <w:szCs w:val="32"/>
        </w:rPr>
        <w:fldChar w:fldCharType="begin"/>
      </w:r>
      <w:r>
        <w:rPr>
          <w:rFonts w:eastAsia="楷体" w:cs="Times New Roman"/>
          <w:szCs w:val="32"/>
        </w:rPr>
        <w:instrText xml:space="preserve"> TOC \o "1-2" \h \z \u </w:instrText>
      </w:r>
      <w:r>
        <w:rPr>
          <w:rFonts w:eastAsia="楷体" w:cs="Times New Roman"/>
          <w:szCs w:val="32"/>
        </w:rPr>
        <w:fldChar w:fldCharType="separate"/>
      </w:r>
      <w:r>
        <w:fldChar w:fldCharType="begin"/>
      </w:r>
      <w:r>
        <w:instrText xml:space="preserve"> HYPERLINK \l "_Toc23552" </w:instrText>
      </w:r>
      <w:r>
        <w:fldChar w:fldCharType="separate"/>
      </w:r>
      <w:r>
        <w:rPr>
          <w:rFonts w:hint="eastAsia" w:ascii="Calibri" w:hAnsi="Calibri" w:cs="Times New Roman"/>
        </w:rPr>
        <w:t>一、总则</w:t>
      </w:r>
      <w:r>
        <w:tab/>
      </w:r>
      <w:r>
        <w:fldChar w:fldCharType="begin"/>
      </w:r>
      <w:r>
        <w:instrText xml:space="preserve"> PAGEREF _Toc23552 \h </w:instrText>
      </w:r>
      <w:r>
        <w:fldChar w:fldCharType="separate"/>
      </w:r>
      <w:r>
        <w:t>1</w:t>
      </w:r>
      <w:r>
        <w:fldChar w:fldCharType="end"/>
      </w:r>
      <w:r>
        <w:fldChar w:fldCharType="end"/>
      </w:r>
    </w:p>
    <w:p>
      <w:pPr>
        <w:pStyle w:val="20"/>
        <w:tabs>
          <w:tab w:val="right" w:leader="dot" w:pos="8844"/>
        </w:tabs>
        <w:ind w:firstLine="640"/>
      </w:pPr>
      <w:r>
        <w:fldChar w:fldCharType="begin"/>
      </w:r>
      <w:r>
        <w:instrText xml:space="preserve"> HYPERLINK \l "_Toc15672" </w:instrText>
      </w:r>
      <w:r>
        <w:fldChar w:fldCharType="separate"/>
      </w:r>
      <w:r>
        <w:rPr>
          <w:rFonts w:hint="eastAsia" w:ascii="楷体" w:hAnsi="楷体" w:cs="楷体"/>
        </w:rPr>
        <w:t>（一）地位作用</w:t>
      </w:r>
      <w:r>
        <w:tab/>
      </w:r>
      <w:r>
        <w:fldChar w:fldCharType="begin"/>
      </w:r>
      <w:r>
        <w:instrText xml:space="preserve"> PAGEREF _Toc15672 \h </w:instrText>
      </w:r>
      <w:r>
        <w:fldChar w:fldCharType="separate"/>
      </w:r>
      <w:r>
        <w:t>1</w:t>
      </w:r>
      <w:r>
        <w:fldChar w:fldCharType="end"/>
      </w:r>
      <w:r>
        <w:fldChar w:fldCharType="end"/>
      </w:r>
    </w:p>
    <w:p>
      <w:pPr>
        <w:pStyle w:val="20"/>
        <w:tabs>
          <w:tab w:val="right" w:leader="dot" w:pos="8844"/>
        </w:tabs>
        <w:ind w:firstLine="640"/>
      </w:pPr>
      <w:r>
        <w:fldChar w:fldCharType="begin"/>
      </w:r>
      <w:r>
        <w:instrText xml:space="preserve"> HYPERLINK \l "_Toc5945" </w:instrText>
      </w:r>
      <w:r>
        <w:fldChar w:fldCharType="separate"/>
      </w:r>
      <w:r>
        <w:rPr>
          <w:rFonts w:hint="eastAsia" w:ascii="楷体" w:hAnsi="楷体" w:cs="楷体"/>
        </w:rPr>
        <w:t>（二）规划依据</w:t>
      </w:r>
      <w:r>
        <w:tab/>
      </w:r>
      <w:r>
        <w:fldChar w:fldCharType="begin"/>
      </w:r>
      <w:r>
        <w:instrText xml:space="preserve"> PAGEREF _Toc5945 \h </w:instrText>
      </w:r>
      <w:r>
        <w:fldChar w:fldCharType="separate"/>
      </w:r>
      <w:r>
        <w:t>1</w:t>
      </w:r>
      <w:r>
        <w:fldChar w:fldCharType="end"/>
      </w:r>
      <w:r>
        <w:fldChar w:fldCharType="end"/>
      </w:r>
    </w:p>
    <w:p>
      <w:pPr>
        <w:pStyle w:val="20"/>
        <w:tabs>
          <w:tab w:val="right" w:leader="dot" w:pos="8844"/>
        </w:tabs>
        <w:ind w:firstLine="640"/>
      </w:pPr>
      <w:r>
        <w:fldChar w:fldCharType="begin"/>
      </w:r>
      <w:r>
        <w:instrText xml:space="preserve"> HYPERLINK \l "_Toc27753" </w:instrText>
      </w:r>
      <w:r>
        <w:fldChar w:fldCharType="separate"/>
      </w:r>
      <w:r>
        <w:rPr>
          <w:rFonts w:hint="eastAsia" w:ascii="楷体" w:hAnsi="楷体" w:cs="楷体"/>
        </w:rPr>
        <w:t>（三）规划原则</w:t>
      </w:r>
      <w:r>
        <w:tab/>
      </w:r>
      <w:r>
        <w:fldChar w:fldCharType="begin"/>
      </w:r>
      <w:r>
        <w:instrText xml:space="preserve"> PAGEREF _Toc27753 \h </w:instrText>
      </w:r>
      <w:r>
        <w:fldChar w:fldCharType="separate"/>
      </w:r>
      <w:r>
        <w:t>2</w:t>
      </w:r>
      <w:r>
        <w:fldChar w:fldCharType="end"/>
      </w:r>
      <w:r>
        <w:fldChar w:fldCharType="end"/>
      </w:r>
    </w:p>
    <w:p>
      <w:pPr>
        <w:pStyle w:val="20"/>
        <w:tabs>
          <w:tab w:val="right" w:leader="dot" w:pos="8844"/>
        </w:tabs>
        <w:ind w:firstLine="640"/>
      </w:pPr>
      <w:r>
        <w:fldChar w:fldCharType="begin"/>
      </w:r>
      <w:r>
        <w:instrText xml:space="preserve"> HYPERLINK \l "_Toc28335" </w:instrText>
      </w:r>
      <w:r>
        <w:fldChar w:fldCharType="separate"/>
      </w:r>
      <w:r>
        <w:rPr>
          <w:rFonts w:hint="eastAsia" w:ascii="楷体" w:hAnsi="楷体" w:cs="楷体"/>
        </w:rPr>
        <w:t>（四）规划期限</w:t>
      </w:r>
      <w:r>
        <w:tab/>
      </w:r>
      <w:r>
        <w:fldChar w:fldCharType="begin"/>
      </w:r>
      <w:r>
        <w:instrText xml:space="preserve"> PAGEREF _Toc28335 \h </w:instrText>
      </w:r>
      <w:r>
        <w:fldChar w:fldCharType="separate"/>
      </w:r>
      <w:r>
        <w:t>3</w:t>
      </w:r>
      <w:r>
        <w:fldChar w:fldCharType="end"/>
      </w:r>
      <w:r>
        <w:fldChar w:fldCharType="end"/>
      </w:r>
    </w:p>
    <w:p>
      <w:pPr>
        <w:pStyle w:val="18"/>
        <w:tabs>
          <w:tab w:val="right" w:leader="dot" w:pos="8844"/>
        </w:tabs>
      </w:pPr>
      <w:r>
        <w:fldChar w:fldCharType="begin"/>
      </w:r>
      <w:r>
        <w:instrText xml:space="preserve"> HYPERLINK \l "_Toc8209" </w:instrText>
      </w:r>
      <w:r>
        <w:fldChar w:fldCharType="separate"/>
      </w:r>
      <w:r>
        <w:rPr>
          <w:rFonts w:hint="eastAsia" w:cs="Times New Roman"/>
          <w:bCs w:val="0"/>
          <w:szCs w:val="24"/>
        </w:rPr>
        <w:t>二、规划背景</w:t>
      </w:r>
      <w:r>
        <w:tab/>
      </w:r>
      <w:r>
        <w:fldChar w:fldCharType="begin"/>
      </w:r>
      <w:r>
        <w:instrText xml:space="preserve"> PAGEREF _Toc8209 \h </w:instrText>
      </w:r>
      <w:r>
        <w:fldChar w:fldCharType="separate"/>
      </w:r>
      <w:r>
        <w:t>4</w:t>
      </w:r>
      <w:r>
        <w:fldChar w:fldCharType="end"/>
      </w:r>
      <w:r>
        <w:fldChar w:fldCharType="end"/>
      </w:r>
    </w:p>
    <w:p>
      <w:pPr>
        <w:pStyle w:val="20"/>
        <w:tabs>
          <w:tab w:val="right" w:leader="dot" w:pos="8844"/>
        </w:tabs>
        <w:ind w:firstLine="640"/>
      </w:pPr>
      <w:r>
        <w:fldChar w:fldCharType="begin"/>
      </w:r>
      <w:r>
        <w:instrText xml:space="preserve"> HYPERLINK \l "_Toc27195" </w:instrText>
      </w:r>
      <w:r>
        <w:fldChar w:fldCharType="separate"/>
      </w:r>
      <w:r>
        <w:rPr>
          <w:rFonts w:hint="eastAsia" w:ascii="楷体" w:hAnsi="楷体" w:cs="楷体"/>
        </w:rPr>
        <w:t>（一）片区现状</w:t>
      </w:r>
      <w:r>
        <w:tab/>
      </w:r>
      <w:r>
        <w:fldChar w:fldCharType="begin"/>
      </w:r>
      <w:r>
        <w:instrText xml:space="preserve"> PAGEREF _Toc27195 \h </w:instrText>
      </w:r>
      <w:r>
        <w:fldChar w:fldCharType="separate"/>
      </w:r>
      <w:r>
        <w:t>4</w:t>
      </w:r>
      <w:r>
        <w:fldChar w:fldCharType="end"/>
      </w:r>
      <w:r>
        <w:fldChar w:fldCharType="end"/>
      </w:r>
    </w:p>
    <w:p>
      <w:pPr>
        <w:pStyle w:val="20"/>
        <w:tabs>
          <w:tab w:val="right" w:leader="dot" w:pos="8844"/>
        </w:tabs>
        <w:ind w:firstLine="640"/>
      </w:pPr>
      <w:r>
        <w:fldChar w:fldCharType="begin"/>
      </w:r>
      <w:r>
        <w:instrText xml:space="preserve"> HYPERLINK \l "_Toc7162" </w:instrText>
      </w:r>
      <w:r>
        <w:fldChar w:fldCharType="separate"/>
      </w:r>
      <w:r>
        <w:rPr>
          <w:rFonts w:hint="eastAsia" w:ascii="楷体" w:hAnsi="楷体" w:cs="楷体"/>
        </w:rPr>
        <w:t>（二）面临形势</w:t>
      </w:r>
      <w:r>
        <w:tab/>
      </w:r>
      <w:r>
        <w:fldChar w:fldCharType="begin"/>
      </w:r>
      <w:r>
        <w:instrText xml:space="preserve"> PAGEREF _Toc7162 \h </w:instrText>
      </w:r>
      <w:r>
        <w:fldChar w:fldCharType="separate"/>
      </w:r>
      <w:r>
        <w:t>8</w:t>
      </w:r>
      <w:r>
        <w:fldChar w:fldCharType="end"/>
      </w:r>
      <w:r>
        <w:fldChar w:fldCharType="end"/>
      </w:r>
    </w:p>
    <w:p>
      <w:pPr>
        <w:pStyle w:val="18"/>
        <w:tabs>
          <w:tab w:val="right" w:leader="dot" w:pos="8844"/>
        </w:tabs>
      </w:pPr>
      <w:r>
        <w:fldChar w:fldCharType="begin"/>
      </w:r>
      <w:r>
        <w:instrText xml:space="preserve"> HYPERLINK \l "_Toc5238" </w:instrText>
      </w:r>
      <w:r>
        <w:fldChar w:fldCharType="separate"/>
      </w:r>
      <w:r>
        <w:rPr>
          <w:rFonts w:hint="eastAsia" w:cs="Times New Roman"/>
          <w:bCs w:val="0"/>
          <w:szCs w:val="24"/>
        </w:rPr>
        <w:t>三、规划目标</w:t>
      </w:r>
      <w:r>
        <w:tab/>
      </w:r>
      <w:r>
        <w:fldChar w:fldCharType="begin"/>
      </w:r>
      <w:r>
        <w:instrText xml:space="preserve"> PAGEREF _Toc5238 \h </w:instrText>
      </w:r>
      <w:r>
        <w:fldChar w:fldCharType="separate"/>
      </w:r>
      <w:r>
        <w:t>12</w:t>
      </w:r>
      <w:r>
        <w:fldChar w:fldCharType="end"/>
      </w:r>
      <w:r>
        <w:fldChar w:fldCharType="end"/>
      </w:r>
    </w:p>
    <w:p>
      <w:pPr>
        <w:pStyle w:val="20"/>
        <w:tabs>
          <w:tab w:val="right" w:leader="dot" w:pos="8844"/>
        </w:tabs>
        <w:ind w:firstLine="640"/>
      </w:pPr>
      <w:r>
        <w:fldChar w:fldCharType="begin"/>
      </w:r>
      <w:r>
        <w:instrText xml:space="preserve"> HYPERLINK \l "_Toc1672" </w:instrText>
      </w:r>
      <w:r>
        <w:fldChar w:fldCharType="separate"/>
      </w:r>
      <w:r>
        <w:rPr>
          <w:rFonts w:hint="eastAsia" w:cs="Times New Roman"/>
        </w:rPr>
        <w:t>（一）</w:t>
      </w:r>
      <w:r>
        <w:rPr>
          <w:rFonts w:cs="Times New Roman"/>
        </w:rPr>
        <w:t>近期目标</w:t>
      </w:r>
      <w:r>
        <w:tab/>
      </w:r>
      <w:r>
        <w:fldChar w:fldCharType="begin"/>
      </w:r>
      <w:r>
        <w:instrText xml:space="preserve"> PAGEREF _Toc1672 \h </w:instrText>
      </w:r>
      <w:r>
        <w:fldChar w:fldCharType="separate"/>
      </w:r>
      <w:r>
        <w:t>12</w:t>
      </w:r>
      <w:r>
        <w:fldChar w:fldCharType="end"/>
      </w:r>
      <w:r>
        <w:fldChar w:fldCharType="end"/>
      </w:r>
    </w:p>
    <w:p>
      <w:pPr>
        <w:pStyle w:val="20"/>
        <w:tabs>
          <w:tab w:val="right" w:leader="dot" w:pos="8844"/>
        </w:tabs>
        <w:ind w:firstLine="640"/>
      </w:pPr>
      <w:r>
        <w:fldChar w:fldCharType="begin"/>
      </w:r>
      <w:r>
        <w:instrText xml:space="preserve"> HYPERLINK \l "_Toc20406" </w:instrText>
      </w:r>
      <w:r>
        <w:fldChar w:fldCharType="separate"/>
      </w:r>
      <w:r>
        <w:rPr>
          <w:rFonts w:hint="eastAsia" w:cs="Times New Roman"/>
        </w:rPr>
        <w:t>（二）</w:t>
      </w:r>
      <w:r>
        <w:rPr>
          <w:rFonts w:cs="Times New Roman"/>
        </w:rPr>
        <w:t>远景目标</w:t>
      </w:r>
      <w:r>
        <w:tab/>
      </w:r>
      <w:r>
        <w:fldChar w:fldCharType="begin"/>
      </w:r>
      <w:r>
        <w:instrText xml:space="preserve"> PAGEREF _Toc20406 \h </w:instrText>
      </w:r>
      <w:r>
        <w:fldChar w:fldCharType="separate"/>
      </w:r>
      <w:r>
        <w:t>15</w:t>
      </w:r>
      <w:r>
        <w:fldChar w:fldCharType="end"/>
      </w:r>
      <w:r>
        <w:fldChar w:fldCharType="end"/>
      </w:r>
    </w:p>
    <w:p>
      <w:pPr>
        <w:pStyle w:val="18"/>
        <w:tabs>
          <w:tab w:val="right" w:leader="dot" w:pos="8844"/>
        </w:tabs>
      </w:pPr>
      <w:r>
        <w:fldChar w:fldCharType="begin"/>
      </w:r>
      <w:r>
        <w:instrText xml:space="preserve"> HYPERLINK \l "_Toc16428" </w:instrText>
      </w:r>
      <w:r>
        <w:fldChar w:fldCharType="separate"/>
      </w:r>
      <w:r>
        <w:rPr>
          <w:rFonts w:hint="eastAsia" w:cs="Times New Roman"/>
          <w:szCs w:val="32"/>
        </w:rPr>
        <w:t>四、</w:t>
      </w:r>
      <w:r>
        <w:rPr>
          <w:rFonts w:cs="Times New Roman"/>
          <w:szCs w:val="32"/>
        </w:rPr>
        <w:t>主要任务和重点工程</w:t>
      </w:r>
      <w:r>
        <w:tab/>
      </w:r>
      <w:r>
        <w:fldChar w:fldCharType="begin"/>
      </w:r>
      <w:r>
        <w:instrText xml:space="preserve"> PAGEREF _Toc16428 \h </w:instrText>
      </w:r>
      <w:r>
        <w:fldChar w:fldCharType="separate"/>
      </w:r>
      <w:r>
        <w:t>16</w:t>
      </w:r>
      <w:r>
        <w:fldChar w:fldCharType="end"/>
      </w:r>
      <w:r>
        <w:fldChar w:fldCharType="end"/>
      </w:r>
    </w:p>
    <w:p>
      <w:pPr>
        <w:pStyle w:val="20"/>
        <w:tabs>
          <w:tab w:val="right" w:leader="dot" w:pos="8844"/>
        </w:tabs>
        <w:ind w:firstLine="640"/>
      </w:pPr>
      <w:r>
        <w:fldChar w:fldCharType="begin"/>
      </w:r>
      <w:r>
        <w:instrText xml:space="preserve"> HYPERLINK \l "_Toc19509" </w:instrText>
      </w:r>
      <w:r>
        <w:fldChar w:fldCharType="separate"/>
      </w:r>
      <w:r>
        <w:rPr>
          <w:rFonts w:hint="eastAsia" w:cs="Times New Roman"/>
          <w:bCs/>
          <w:szCs w:val="32"/>
        </w:rPr>
        <w:t>（一）</w:t>
      </w:r>
      <w:r>
        <w:rPr>
          <w:rFonts w:cs="Times New Roman"/>
          <w:bCs/>
          <w:szCs w:val="32"/>
        </w:rPr>
        <w:t>应急管理机制</w:t>
      </w:r>
      <w:r>
        <w:rPr>
          <w:rFonts w:hint="eastAsia" w:cs="Times New Roman"/>
          <w:bCs/>
          <w:szCs w:val="32"/>
        </w:rPr>
        <w:t>方面</w:t>
      </w:r>
      <w:r>
        <w:tab/>
      </w:r>
      <w:r>
        <w:fldChar w:fldCharType="begin"/>
      </w:r>
      <w:r>
        <w:instrText xml:space="preserve"> PAGEREF _Toc19509 \h </w:instrText>
      </w:r>
      <w:r>
        <w:fldChar w:fldCharType="separate"/>
      </w:r>
      <w:r>
        <w:t>16</w:t>
      </w:r>
      <w:r>
        <w:fldChar w:fldCharType="end"/>
      </w:r>
      <w:r>
        <w:fldChar w:fldCharType="end"/>
      </w:r>
    </w:p>
    <w:p>
      <w:pPr>
        <w:pStyle w:val="20"/>
        <w:tabs>
          <w:tab w:val="right" w:leader="dot" w:pos="8844"/>
        </w:tabs>
        <w:ind w:firstLine="640"/>
      </w:pPr>
      <w:r>
        <w:fldChar w:fldCharType="begin"/>
      </w:r>
      <w:r>
        <w:instrText xml:space="preserve"> HYPERLINK \l "_Toc2953" </w:instrText>
      </w:r>
      <w:r>
        <w:fldChar w:fldCharType="separate"/>
      </w:r>
      <w:r>
        <w:rPr>
          <w:rFonts w:hint="eastAsia" w:cs="Times New Roman"/>
          <w:bCs/>
          <w:szCs w:val="32"/>
        </w:rPr>
        <w:t>（二）安全生产风险防控方面</w:t>
      </w:r>
      <w:r>
        <w:tab/>
      </w:r>
      <w:r>
        <w:fldChar w:fldCharType="begin"/>
      </w:r>
      <w:r>
        <w:instrText xml:space="preserve"> PAGEREF _Toc2953 \h </w:instrText>
      </w:r>
      <w:r>
        <w:fldChar w:fldCharType="separate"/>
      </w:r>
      <w:r>
        <w:t>18</w:t>
      </w:r>
      <w:r>
        <w:fldChar w:fldCharType="end"/>
      </w:r>
      <w:r>
        <w:fldChar w:fldCharType="end"/>
      </w:r>
    </w:p>
    <w:p>
      <w:pPr>
        <w:pStyle w:val="20"/>
        <w:tabs>
          <w:tab w:val="right" w:leader="dot" w:pos="8844"/>
        </w:tabs>
        <w:ind w:firstLine="640"/>
      </w:pPr>
      <w:r>
        <w:fldChar w:fldCharType="begin"/>
      </w:r>
      <w:r>
        <w:instrText xml:space="preserve"> HYPERLINK \l "_Toc28721" </w:instrText>
      </w:r>
      <w:r>
        <w:fldChar w:fldCharType="separate"/>
      </w:r>
      <w:r>
        <w:rPr>
          <w:rFonts w:hint="eastAsia"/>
        </w:rPr>
        <w:t>（三）</w:t>
      </w:r>
      <w:r>
        <w:rPr>
          <w:rFonts w:cs="Times New Roman"/>
        </w:rPr>
        <w:t>自然灾害</w:t>
      </w:r>
      <w:r>
        <w:rPr>
          <w:rFonts w:hint="eastAsia" w:cs="Times New Roman"/>
        </w:rPr>
        <w:t>防治方面</w:t>
      </w:r>
      <w:r>
        <w:tab/>
      </w:r>
      <w:r>
        <w:fldChar w:fldCharType="begin"/>
      </w:r>
      <w:r>
        <w:instrText xml:space="preserve"> PAGEREF _Toc28721 \h </w:instrText>
      </w:r>
      <w:r>
        <w:fldChar w:fldCharType="separate"/>
      </w:r>
      <w:r>
        <w:t>20</w:t>
      </w:r>
      <w:r>
        <w:fldChar w:fldCharType="end"/>
      </w:r>
      <w:r>
        <w:fldChar w:fldCharType="end"/>
      </w:r>
    </w:p>
    <w:p>
      <w:pPr>
        <w:pStyle w:val="20"/>
        <w:tabs>
          <w:tab w:val="right" w:leader="dot" w:pos="8844"/>
        </w:tabs>
        <w:ind w:firstLine="640"/>
      </w:pPr>
      <w:r>
        <w:fldChar w:fldCharType="begin"/>
      </w:r>
      <w:r>
        <w:instrText xml:space="preserve"> HYPERLINK \l "_Toc13181" </w:instrText>
      </w:r>
      <w:r>
        <w:fldChar w:fldCharType="separate"/>
      </w:r>
      <w:r>
        <w:rPr>
          <w:rFonts w:hint="eastAsia"/>
        </w:rPr>
        <w:t>（四）</w:t>
      </w:r>
      <w:r>
        <w:rPr>
          <w:rFonts w:hint="eastAsia" w:cs="Times New Roman"/>
        </w:rPr>
        <w:t>应急</w:t>
      </w:r>
      <w:r>
        <w:rPr>
          <w:rFonts w:cs="Times New Roman"/>
        </w:rPr>
        <w:t>能力建设</w:t>
      </w:r>
      <w:r>
        <w:rPr>
          <w:rFonts w:hint="eastAsia" w:cs="Times New Roman"/>
        </w:rPr>
        <w:t>方面</w:t>
      </w:r>
      <w:r>
        <w:tab/>
      </w:r>
      <w:r>
        <w:fldChar w:fldCharType="begin"/>
      </w:r>
      <w:r>
        <w:instrText xml:space="preserve"> PAGEREF _Toc13181 \h </w:instrText>
      </w:r>
      <w:r>
        <w:fldChar w:fldCharType="separate"/>
      </w:r>
      <w:r>
        <w:t>24</w:t>
      </w:r>
      <w:r>
        <w:fldChar w:fldCharType="end"/>
      </w:r>
      <w:r>
        <w:fldChar w:fldCharType="end"/>
      </w:r>
    </w:p>
    <w:p>
      <w:pPr>
        <w:pStyle w:val="20"/>
        <w:tabs>
          <w:tab w:val="right" w:leader="dot" w:pos="8844"/>
        </w:tabs>
        <w:ind w:firstLine="640"/>
      </w:pPr>
      <w:r>
        <w:fldChar w:fldCharType="begin"/>
      </w:r>
      <w:r>
        <w:instrText xml:space="preserve"> HYPERLINK \l "_Toc19009" </w:instrText>
      </w:r>
      <w:r>
        <w:fldChar w:fldCharType="separate"/>
      </w:r>
      <w:r>
        <w:rPr>
          <w:rFonts w:hint="eastAsia" w:cs="Times New Roman"/>
        </w:rPr>
        <w:t>（五）</w:t>
      </w:r>
      <w:r>
        <w:rPr>
          <w:rFonts w:cs="Times New Roman"/>
        </w:rPr>
        <w:t>先进技术应用</w:t>
      </w:r>
      <w:r>
        <w:rPr>
          <w:rFonts w:hint="eastAsia" w:cs="Times New Roman"/>
        </w:rPr>
        <w:t>方面</w:t>
      </w:r>
      <w:r>
        <w:tab/>
      </w:r>
      <w:r>
        <w:fldChar w:fldCharType="begin"/>
      </w:r>
      <w:r>
        <w:instrText xml:space="preserve"> PAGEREF _Toc19009 \h </w:instrText>
      </w:r>
      <w:r>
        <w:fldChar w:fldCharType="separate"/>
      </w:r>
      <w:r>
        <w:t>29</w:t>
      </w:r>
      <w:r>
        <w:fldChar w:fldCharType="end"/>
      </w:r>
      <w:r>
        <w:fldChar w:fldCharType="end"/>
      </w:r>
    </w:p>
    <w:p>
      <w:pPr>
        <w:pStyle w:val="20"/>
        <w:tabs>
          <w:tab w:val="right" w:leader="dot" w:pos="8844"/>
        </w:tabs>
        <w:ind w:firstLine="640"/>
      </w:pPr>
      <w:r>
        <w:fldChar w:fldCharType="begin"/>
      </w:r>
      <w:r>
        <w:instrText xml:space="preserve"> HYPERLINK \l "_Toc1707" </w:instrText>
      </w:r>
      <w:r>
        <w:fldChar w:fldCharType="separate"/>
      </w:r>
      <w:r>
        <w:rPr>
          <w:rFonts w:hint="eastAsia" w:cs="Times New Roman"/>
        </w:rPr>
        <w:t>（六）应急管理</w:t>
      </w:r>
      <w:r>
        <w:rPr>
          <w:rFonts w:cs="Times New Roman"/>
        </w:rPr>
        <w:t>共建共治共享</w:t>
      </w:r>
      <w:r>
        <w:rPr>
          <w:rFonts w:hint="eastAsia" w:cs="Times New Roman"/>
        </w:rPr>
        <w:t>方面</w:t>
      </w:r>
      <w:r>
        <w:tab/>
      </w:r>
      <w:r>
        <w:fldChar w:fldCharType="begin"/>
      </w:r>
      <w:r>
        <w:instrText xml:space="preserve"> PAGEREF _Toc1707 \h </w:instrText>
      </w:r>
      <w:r>
        <w:fldChar w:fldCharType="separate"/>
      </w:r>
      <w:r>
        <w:t>31</w:t>
      </w:r>
      <w:r>
        <w:fldChar w:fldCharType="end"/>
      </w:r>
      <w:r>
        <w:fldChar w:fldCharType="end"/>
      </w:r>
    </w:p>
    <w:p>
      <w:pPr>
        <w:pStyle w:val="18"/>
        <w:tabs>
          <w:tab w:val="right" w:leader="dot" w:pos="8844"/>
        </w:tabs>
      </w:pPr>
      <w:r>
        <w:fldChar w:fldCharType="begin"/>
      </w:r>
      <w:r>
        <w:instrText xml:space="preserve"> HYPERLINK \l "_Toc10046" </w:instrText>
      </w:r>
      <w:r>
        <w:fldChar w:fldCharType="separate"/>
      </w:r>
      <w:r>
        <w:rPr>
          <w:rFonts w:hint="eastAsia" w:cs="Times New Roman"/>
          <w:szCs w:val="32"/>
        </w:rPr>
        <w:t>五、</w:t>
      </w:r>
      <w:r>
        <w:rPr>
          <w:rFonts w:cs="Times New Roman"/>
          <w:szCs w:val="32"/>
        </w:rPr>
        <w:t>保障措施</w:t>
      </w:r>
      <w:r>
        <w:tab/>
      </w:r>
      <w:r>
        <w:fldChar w:fldCharType="begin"/>
      </w:r>
      <w:r>
        <w:instrText xml:space="preserve"> PAGEREF _Toc10046 \h </w:instrText>
      </w:r>
      <w:r>
        <w:fldChar w:fldCharType="separate"/>
      </w:r>
      <w:r>
        <w:t>33</w:t>
      </w:r>
      <w:r>
        <w:fldChar w:fldCharType="end"/>
      </w:r>
      <w:r>
        <w:fldChar w:fldCharType="end"/>
      </w:r>
    </w:p>
    <w:p>
      <w:pPr>
        <w:pStyle w:val="20"/>
        <w:tabs>
          <w:tab w:val="right" w:leader="dot" w:pos="8844"/>
        </w:tabs>
        <w:ind w:firstLine="640"/>
      </w:pPr>
      <w:r>
        <w:fldChar w:fldCharType="begin"/>
      </w:r>
      <w:r>
        <w:instrText xml:space="preserve"> HYPERLINK \l "_Toc31812" </w:instrText>
      </w:r>
      <w:r>
        <w:fldChar w:fldCharType="separate"/>
      </w:r>
      <w:r>
        <w:rPr>
          <w:rFonts w:hint="eastAsia" w:cs="Times New Roman"/>
        </w:rPr>
        <w:t>（一）</w:t>
      </w:r>
      <w:r>
        <w:rPr>
          <w:rFonts w:cs="Times New Roman"/>
        </w:rPr>
        <w:t>加强组织保障</w:t>
      </w:r>
      <w:r>
        <w:tab/>
      </w:r>
      <w:r>
        <w:fldChar w:fldCharType="begin"/>
      </w:r>
      <w:r>
        <w:instrText xml:space="preserve"> PAGEREF _Toc31812 \h </w:instrText>
      </w:r>
      <w:r>
        <w:fldChar w:fldCharType="separate"/>
      </w:r>
      <w:r>
        <w:t>33</w:t>
      </w:r>
      <w:r>
        <w:fldChar w:fldCharType="end"/>
      </w:r>
      <w:r>
        <w:fldChar w:fldCharType="end"/>
      </w:r>
    </w:p>
    <w:p>
      <w:pPr>
        <w:pStyle w:val="20"/>
        <w:tabs>
          <w:tab w:val="right" w:leader="dot" w:pos="8844"/>
        </w:tabs>
        <w:ind w:firstLine="640"/>
      </w:pPr>
      <w:r>
        <w:fldChar w:fldCharType="begin"/>
      </w:r>
      <w:r>
        <w:instrText xml:space="preserve"> HYPERLINK \l "_Toc28773" </w:instrText>
      </w:r>
      <w:r>
        <w:fldChar w:fldCharType="separate"/>
      </w:r>
      <w:r>
        <w:rPr>
          <w:rFonts w:hint="eastAsia" w:cs="Times New Roman"/>
        </w:rPr>
        <w:t>（二）</w:t>
      </w:r>
      <w:r>
        <w:rPr>
          <w:rFonts w:cs="Times New Roman"/>
        </w:rPr>
        <w:t>增强投入保障</w:t>
      </w:r>
      <w:r>
        <w:tab/>
      </w:r>
      <w:r>
        <w:fldChar w:fldCharType="begin"/>
      </w:r>
      <w:r>
        <w:instrText xml:space="preserve"> PAGEREF _Toc28773 \h </w:instrText>
      </w:r>
      <w:r>
        <w:fldChar w:fldCharType="separate"/>
      </w:r>
      <w:r>
        <w:t>33</w:t>
      </w:r>
      <w:r>
        <w:fldChar w:fldCharType="end"/>
      </w:r>
      <w:r>
        <w:fldChar w:fldCharType="end"/>
      </w:r>
    </w:p>
    <w:p>
      <w:pPr>
        <w:pStyle w:val="20"/>
        <w:tabs>
          <w:tab w:val="right" w:leader="dot" w:pos="8844"/>
        </w:tabs>
        <w:ind w:firstLine="640"/>
      </w:pPr>
      <w:r>
        <w:fldChar w:fldCharType="begin"/>
      </w:r>
      <w:r>
        <w:instrText xml:space="preserve"> HYPERLINK \l "_Toc13338" </w:instrText>
      </w:r>
      <w:r>
        <w:fldChar w:fldCharType="separate"/>
      </w:r>
      <w:r>
        <w:rPr>
          <w:rFonts w:hint="eastAsia" w:cs="Times New Roman"/>
        </w:rPr>
        <w:t>（三）</w:t>
      </w:r>
      <w:r>
        <w:rPr>
          <w:rFonts w:cs="Times New Roman"/>
        </w:rPr>
        <w:t>加大政策支持</w:t>
      </w:r>
      <w:r>
        <w:tab/>
      </w:r>
      <w:r>
        <w:fldChar w:fldCharType="begin"/>
      </w:r>
      <w:r>
        <w:instrText xml:space="preserve"> PAGEREF _Toc13338 \h </w:instrText>
      </w:r>
      <w:r>
        <w:fldChar w:fldCharType="separate"/>
      </w:r>
      <w:r>
        <w:t>34</w:t>
      </w:r>
      <w:r>
        <w:fldChar w:fldCharType="end"/>
      </w:r>
      <w:r>
        <w:fldChar w:fldCharType="end"/>
      </w:r>
    </w:p>
    <w:p>
      <w:pPr>
        <w:pStyle w:val="20"/>
        <w:tabs>
          <w:tab w:val="right" w:leader="dot" w:pos="8844"/>
        </w:tabs>
        <w:ind w:firstLine="640"/>
      </w:pPr>
      <w:r>
        <w:fldChar w:fldCharType="begin"/>
      </w:r>
      <w:r>
        <w:instrText xml:space="preserve"> HYPERLINK \l "_Toc23457" </w:instrText>
      </w:r>
      <w:r>
        <w:fldChar w:fldCharType="separate"/>
      </w:r>
      <w:r>
        <w:rPr>
          <w:rFonts w:hint="eastAsia" w:cs="Times New Roman"/>
        </w:rPr>
        <w:t>（四）加强督查问效</w:t>
      </w:r>
      <w:r>
        <w:tab/>
      </w:r>
      <w:r>
        <w:fldChar w:fldCharType="begin"/>
      </w:r>
      <w:r>
        <w:instrText xml:space="preserve"> PAGEREF _Toc23457 \h </w:instrText>
      </w:r>
      <w:r>
        <w:fldChar w:fldCharType="separate"/>
      </w:r>
      <w:r>
        <w:t>34</w:t>
      </w:r>
      <w:r>
        <w:fldChar w:fldCharType="end"/>
      </w:r>
      <w:r>
        <w:fldChar w:fldCharType="end"/>
      </w:r>
    </w:p>
    <w:p>
      <w:pPr>
        <w:pStyle w:val="18"/>
        <w:tabs>
          <w:tab w:val="right" w:leader="dot" w:pos="8844"/>
        </w:tabs>
      </w:pPr>
      <w:r>
        <w:fldChar w:fldCharType="begin"/>
      </w:r>
      <w:r>
        <w:instrText xml:space="preserve"> HYPERLINK \l "_Toc21571" </w:instrText>
      </w:r>
      <w:r>
        <w:fldChar w:fldCharType="separate"/>
      </w:r>
      <w:r>
        <w:rPr>
          <w:rFonts w:hint="eastAsia" w:ascii="Calibri" w:hAnsi="Calibri" w:cs="Times New Roman"/>
        </w:rPr>
        <w:t>附表</w:t>
      </w:r>
      <w:r>
        <w:tab/>
      </w:r>
      <w:r>
        <w:fldChar w:fldCharType="begin"/>
      </w:r>
      <w:r>
        <w:instrText xml:space="preserve"> PAGEREF _Toc21571 \h </w:instrText>
      </w:r>
      <w:r>
        <w:fldChar w:fldCharType="separate"/>
      </w:r>
      <w:r>
        <w:t>35</w:t>
      </w:r>
      <w:r>
        <w:fldChar w:fldCharType="end"/>
      </w:r>
      <w:r>
        <w:fldChar w:fldCharType="end"/>
      </w:r>
    </w:p>
    <w:p>
      <w:pPr>
        <w:pStyle w:val="18"/>
        <w:tabs>
          <w:tab w:val="right" w:leader="dot" w:pos="8844"/>
        </w:tabs>
      </w:pPr>
      <w:r>
        <w:fldChar w:fldCharType="begin"/>
      </w:r>
      <w:r>
        <w:instrText xml:space="preserve"> HYPERLINK \l "_Toc13068" </w:instrText>
      </w:r>
      <w:r>
        <w:fldChar w:fldCharType="separate"/>
      </w:r>
      <w:r>
        <w:rPr>
          <w:rFonts w:hint="eastAsia" w:ascii="Calibri" w:hAnsi="Calibri" w:cs="Times New Roman"/>
        </w:rPr>
        <w:t>附图</w:t>
      </w:r>
      <w:r>
        <w:tab/>
      </w:r>
      <w:r>
        <w:fldChar w:fldCharType="begin"/>
      </w:r>
      <w:r>
        <w:instrText xml:space="preserve"> PAGEREF _Toc13068 \h </w:instrText>
      </w:r>
      <w:r>
        <w:fldChar w:fldCharType="separate"/>
      </w:r>
      <w:r>
        <w:t>50</w:t>
      </w:r>
      <w:r>
        <w:fldChar w:fldCharType="end"/>
      </w:r>
      <w:r>
        <w:fldChar w:fldCharType="end"/>
      </w:r>
    </w:p>
    <w:p>
      <w:pPr>
        <w:pStyle w:val="18"/>
        <w:tabs>
          <w:tab w:val="right" w:leader="dot" w:pos="8834"/>
        </w:tabs>
        <w:rPr>
          <w:rFonts w:eastAsia="楷体" w:cs="Times New Roman"/>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134" w:gutter="0"/>
          <w:pgNumType w:start="1"/>
          <w:cols w:space="425" w:num="1"/>
          <w:titlePg/>
          <w:docGrid w:type="lines" w:linePitch="435" w:charSpace="0"/>
        </w:sectPr>
      </w:pPr>
      <w:r>
        <w:rPr>
          <w:rFonts w:eastAsia="楷体" w:cs="Times New Roman"/>
          <w:szCs w:val="32"/>
        </w:rPr>
        <w:fldChar w:fldCharType="end"/>
      </w:r>
    </w:p>
    <w:p>
      <w:pPr>
        <w:snapToGrid w:val="0"/>
        <w:ind w:firstLine="640"/>
        <w:jc w:val="center"/>
        <w:outlineLvl w:val="0"/>
        <w:rPr>
          <w:rFonts w:ascii="仿宋" w:hAnsi="仿宋"/>
          <w:szCs w:val="32"/>
        </w:rPr>
      </w:pPr>
      <w:bookmarkStart w:id="1" w:name="_Toc8533"/>
      <w:bookmarkStart w:id="2" w:name="_Toc23552"/>
      <w:bookmarkStart w:id="3" w:name="_Toc98773620"/>
      <w:r>
        <w:rPr>
          <w:rFonts w:hint="eastAsia" w:ascii="Calibri" w:hAnsi="Calibri" w:eastAsia="黑体" w:cs="Times New Roman"/>
        </w:rPr>
        <w:t>一、总则</w:t>
      </w:r>
      <w:bookmarkEnd w:id="1"/>
      <w:bookmarkEnd w:id="2"/>
    </w:p>
    <w:p>
      <w:pPr>
        <w:snapToGrid w:val="0"/>
        <w:ind w:firstLine="640"/>
        <w:rPr>
          <w:rFonts w:ascii="仿宋" w:hAnsi="仿宋"/>
          <w:szCs w:val="32"/>
        </w:rPr>
      </w:pPr>
      <w:r>
        <w:rPr>
          <w:rFonts w:hint="eastAsia" w:ascii="仿宋" w:hAnsi="仿宋"/>
          <w:szCs w:val="32"/>
        </w:rPr>
        <w:t>为深入贯彻落实习近平总书记关于应急管理和防灾减灾救灾工作系列重要论述,坚持以人民为中心的发展思想,按照四川省委省政府、遂宁市委市政府、船山区委区政府关于做好两项改革“后半篇”文章总体要求，统筹发展和安全，强化“两个根本”，坚持“三个必须”，积极融入乡村振兴战略，提高基层应急管理能力，推进基层治理体系和治理能力现代化，结合片区现状，特编制《船山区永河片区应急体系专项规划（2021-2035）》（以下简称“本规划”）。</w:t>
      </w:r>
    </w:p>
    <w:bookmarkEnd w:id="3"/>
    <w:p>
      <w:pPr>
        <w:pStyle w:val="41"/>
        <w:snapToGrid w:val="0"/>
        <w:spacing w:before="217" w:beforeLines="50" w:after="217" w:afterLines="50" w:line="550" w:lineRule="exact"/>
        <w:ind w:firstLine="640"/>
        <w:jc w:val="center"/>
        <w:outlineLvl w:val="1"/>
        <w:rPr>
          <w:rFonts w:ascii="楷体" w:hAnsi="楷体" w:eastAsia="楷体" w:cs="楷体"/>
        </w:rPr>
      </w:pPr>
      <w:bookmarkStart w:id="4" w:name="_Toc15672"/>
      <w:r>
        <w:rPr>
          <w:rFonts w:hint="eastAsia" w:ascii="楷体" w:hAnsi="楷体" w:eastAsia="楷体" w:cs="楷体"/>
        </w:rPr>
        <w:t>（一）地位作用</w:t>
      </w:r>
      <w:bookmarkEnd w:id="4"/>
    </w:p>
    <w:p>
      <w:pPr>
        <w:snapToGrid w:val="0"/>
        <w:ind w:firstLine="640"/>
        <w:rPr>
          <w:rFonts w:ascii="仿宋" w:hAnsi="仿宋"/>
          <w:szCs w:val="32"/>
        </w:rPr>
      </w:pPr>
      <w:bookmarkStart w:id="5" w:name="_Toc91790469"/>
      <w:r>
        <w:rPr>
          <w:rFonts w:ascii="仿宋" w:hAnsi="仿宋"/>
          <w:szCs w:val="32"/>
        </w:rPr>
        <w:t>编制乡镇级片区应急体系专项规划，是全面落实四川省、</w:t>
      </w:r>
      <w:r>
        <w:rPr>
          <w:rFonts w:hint="eastAsia" w:ascii="仿宋" w:hAnsi="仿宋"/>
          <w:szCs w:val="32"/>
        </w:rPr>
        <w:t>遂宁</w:t>
      </w:r>
      <w:r>
        <w:rPr>
          <w:rFonts w:ascii="仿宋" w:hAnsi="仿宋"/>
          <w:szCs w:val="32"/>
        </w:rPr>
        <w:t>市和</w:t>
      </w:r>
      <w:r>
        <w:rPr>
          <w:rFonts w:hint="eastAsia" w:ascii="仿宋" w:hAnsi="仿宋"/>
          <w:szCs w:val="32"/>
        </w:rPr>
        <w:t>船山区</w:t>
      </w:r>
      <w:r>
        <w:rPr>
          <w:rFonts w:ascii="仿宋" w:hAnsi="仿宋"/>
          <w:szCs w:val="32"/>
        </w:rPr>
        <w:t>关于做好两项改革“后半篇”文章的重大举措，是融合衔接乡镇级片区国土空间规划的实际需求，是对</w:t>
      </w:r>
      <w:r>
        <w:rPr>
          <w:rFonts w:hint="eastAsia" w:ascii="仿宋" w:hAnsi="仿宋"/>
          <w:szCs w:val="32"/>
        </w:rPr>
        <w:t>船山区</w:t>
      </w:r>
      <w:r>
        <w:rPr>
          <w:rFonts w:ascii="仿宋" w:hAnsi="仿宋"/>
          <w:szCs w:val="32"/>
        </w:rPr>
        <w:t>“十四五”应急体系规划和提升基层应急能力工作方案的细化和深化，是自然灾害综合风险普查成果的具体应用，是健全完善基层应急体系、提升基层应急能力的重要依据。</w:t>
      </w:r>
    </w:p>
    <w:p>
      <w:pPr>
        <w:pStyle w:val="41"/>
        <w:snapToGrid w:val="0"/>
        <w:spacing w:before="217" w:beforeLines="50" w:after="217" w:afterLines="50" w:line="550" w:lineRule="exact"/>
        <w:ind w:firstLine="640"/>
        <w:jc w:val="center"/>
        <w:outlineLvl w:val="1"/>
        <w:rPr>
          <w:rFonts w:ascii="楷体" w:hAnsi="楷体" w:eastAsia="楷体" w:cs="楷体"/>
        </w:rPr>
      </w:pPr>
      <w:bookmarkStart w:id="6" w:name="_Toc5945"/>
      <w:r>
        <w:rPr>
          <w:rFonts w:hint="eastAsia" w:ascii="楷体" w:hAnsi="楷体" w:eastAsia="楷体" w:cs="楷体"/>
        </w:rPr>
        <w:t>（二）规划依据</w:t>
      </w:r>
      <w:bookmarkEnd w:id="6"/>
    </w:p>
    <w:p>
      <w:pPr>
        <w:snapToGrid w:val="0"/>
        <w:ind w:firstLine="640"/>
        <w:rPr>
          <w:rFonts w:ascii="仿宋" w:hAnsi="仿宋" w:cs="Times New Roman"/>
          <w:szCs w:val="32"/>
        </w:rPr>
      </w:pPr>
      <w:bookmarkStart w:id="7" w:name="_Toc98773621"/>
      <w:r>
        <w:rPr>
          <w:rFonts w:hint="eastAsia" w:ascii="仿宋" w:hAnsi="仿宋" w:cs="Times New Roman"/>
          <w:szCs w:val="32"/>
        </w:rPr>
        <w:t>《中华人民共和国突发事件应对法》</w:t>
      </w:r>
    </w:p>
    <w:p>
      <w:pPr>
        <w:snapToGrid w:val="0"/>
        <w:ind w:firstLine="640"/>
        <w:rPr>
          <w:rFonts w:ascii="仿宋" w:hAnsi="仿宋" w:cs="Times New Roman"/>
          <w:szCs w:val="32"/>
        </w:rPr>
      </w:pPr>
      <w:r>
        <w:rPr>
          <w:rFonts w:hint="eastAsia" w:ascii="仿宋" w:hAnsi="仿宋" w:cs="Times New Roman"/>
          <w:szCs w:val="32"/>
        </w:rPr>
        <w:t>《中华人民共和国安全生产法》</w:t>
      </w:r>
    </w:p>
    <w:p>
      <w:pPr>
        <w:snapToGrid w:val="0"/>
        <w:ind w:firstLine="640"/>
        <w:rPr>
          <w:rFonts w:ascii="仿宋" w:hAnsi="仿宋" w:cs="Times New Roman"/>
          <w:szCs w:val="32"/>
        </w:rPr>
      </w:pPr>
      <w:r>
        <w:rPr>
          <w:rFonts w:hint="eastAsia" w:ascii="仿宋" w:hAnsi="仿宋" w:cs="Times New Roman"/>
          <w:szCs w:val="32"/>
        </w:rPr>
        <w:t>《中共四川省委办公厅 四川省人民政府办公厅印发〈关于做好乡镇行政区划和村级建制调整改革“后半篇”文章的实施方案〉的通知》（川委厅〔2021〕6号）</w:t>
      </w:r>
    </w:p>
    <w:p>
      <w:pPr>
        <w:snapToGrid w:val="0"/>
        <w:ind w:firstLine="640"/>
        <w:rPr>
          <w:rFonts w:ascii="仿宋" w:hAnsi="仿宋" w:cs="Times New Roman"/>
          <w:szCs w:val="32"/>
        </w:rPr>
      </w:pPr>
      <w:r>
        <w:rPr>
          <w:rFonts w:hint="eastAsia" w:ascii="仿宋" w:hAnsi="仿宋" w:cs="Times New Roman"/>
          <w:szCs w:val="32"/>
        </w:rPr>
        <w:t>《中共四川省委办公厅 四川省人民政府办公厅印发〈关于全省县域内片区划分的指导意见〉〈关于以片区单为单元编制乡村国土空间规划的指导意见〉的通知》（川委厅〔2021〕53号）</w:t>
      </w:r>
    </w:p>
    <w:p>
      <w:pPr>
        <w:snapToGrid w:val="0"/>
        <w:ind w:firstLine="640"/>
        <w:rPr>
          <w:rFonts w:ascii="仿宋" w:hAnsi="仿宋" w:cs="Times New Roman"/>
          <w:szCs w:val="32"/>
        </w:rPr>
      </w:pPr>
      <w:r>
        <w:rPr>
          <w:rFonts w:hint="eastAsia" w:ascii="仿宋" w:hAnsi="仿宋" w:cs="Times New Roman"/>
          <w:szCs w:val="32"/>
        </w:rPr>
        <w:t>《中共四川省委办公厅 四川省人民政府办公厅印发〈关于以乡村国土空间规划引领县域内片区高质量发展的指导意见〉的通知》（川委办〔2022〕16号）</w:t>
      </w:r>
    </w:p>
    <w:p>
      <w:pPr>
        <w:snapToGrid w:val="0"/>
        <w:ind w:firstLine="640"/>
        <w:rPr>
          <w:rFonts w:ascii="仿宋" w:hAnsi="仿宋" w:cs="Times New Roman"/>
          <w:szCs w:val="32"/>
        </w:rPr>
      </w:pPr>
      <w:r>
        <w:rPr>
          <w:rFonts w:hint="eastAsia" w:ascii="仿宋" w:hAnsi="仿宋" w:cs="Times New Roman"/>
          <w:szCs w:val="32"/>
        </w:rPr>
        <w:t>《四川省自然资源厅关于印发〈乡镇级片区专项规划省级工作方案〉的通知》（川自然资发〔2021〕43号）</w:t>
      </w:r>
    </w:p>
    <w:p>
      <w:pPr>
        <w:snapToGrid w:val="0"/>
        <w:ind w:firstLine="640"/>
        <w:rPr>
          <w:rFonts w:ascii="仿宋" w:hAnsi="仿宋" w:cs="Times New Roman"/>
          <w:szCs w:val="32"/>
        </w:rPr>
      </w:pPr>
      <w:r>
        <w:rPr>
          <w:rFonts w:hint="eastAsia" w:ascii="仿宋" w:hAnsi="仿宋" w:cs="Times New Roman"/>
          <w:szCs w:val="32"/>
        </w:rPr>
        <w:t>《四川省应急管理厅关于印发〈四川省乡镇级片区应急体系专项规划编制要点（试行）〉〈四川省乡镇级片区应急体系专项规划备案程序及审查要点（试行）〉的通知》（川应急〔2022〕3号）</w:t>
      </w:r>
    </w:p>
    <w:p>
      <w:pPr>
        <w:snapToGrid w:val="0"/>
        <w:ind w:firstLine="640"/>
        <w:rPr>
          <w:rFonts w:ascii="仿宋" w:hAnsi="仿宋" w:cs="Times New Roman"/>
          <w:szCs w:val="32"/>
        </w:rPr>
      </w:pPr>
      <w:r>
        <w:rPr>
          <w:rFonts w:hint="eastAsia" w:ascii="仿宋" w:hAnsi="仿宋" w:cs="Times New Roman"/>
          <w:szCs w:val="32"/>
        </w:rPr>
        <w:t>《四川省“十四五”应急体系规划》</w:t>
      </w:r>
    </w:p>
    <w:p>
      <w:pPr>
        <w:snapToGrid w:val="0"/>
        <w:ind w:firstLine="640"/>
        <w:rPr>
          <w:rFonts w:ascii="仿宋" w:hAnsi="仿宋" w:cs="Times New Roman"/>
          <w:szCs w:val="32"/>
        </w:rPr>
      </w:pPr>
      <w:r>
        <w:rPr>
          <w:rFonts w:ascii="仿宋" w:hAnsi="仿宋" w:cs="Times New Roman"/>
          <w:szCs w:val="32"/>
        </w:rPr>
        <w:t>《</w:t>
      </w:r>
      <w:r>
        <w:rPr>
          <w:rFonts w:hint="eastAsia" w:ascii="仿宋" w:hAnsi="仿宋" w:cs="Times New Roman"/>
          <w:szCs w:val="32"/>
        </w:rPr>
        <w:t>遂宁</w:t>
      </w:r>
      <w:r>
        <w:rPr>
          <w:rFonts w:ascii="仿宋" w:hAnsi="仿宋" w:cs="Times New Roman"/>
          <w:szCs w:val="32"/>
        </w:rPr>
        <w:t>市国民经济和社会发展第十四个五年规划和二〇三</w:t>
      </w:r>
      <w:r>
        <w:rPr>
          <w:rFonts w:hint="eastAsia" w:ascii="仿宋" w:hAnsi="仿宋" w:cs="Times New Roman"/>
          <w:szCs w:val="32"/>
        </w:rPr>
        <w:t>五年远景目标纲要》</w:t>
      </w:r>
    </w:p>
    <w:p>
      <w:pPr>
        <w:snapToGrid w:val="0"/>
        <w:ind w:firstLine="640"/>
        <w:rPr>
          <w:rFonts w:ascii="仿宋" w:hAnsi="仿宋"/>
          <w:szCs w:val="32"/>
        </w:rPr>
      </w:pPr>
      <w:r>
        <w:rPr>
          <w:rFonts w:hint="eastAsia" w:ascii="仿宋" w:hAnsi="仿宋" w:cs="Times New Roman"/>
          <w:szCs w:val="32"/>
        </w:rPr>
        <w:t>《遂宁市“十四五”应急体系规划》</w:t>
      </w:r>
    </w:p>
    <w:p>
      <w:pPr>
        <w:snapToGrid w:val="0"/>
        <w:ind w:firstLine="640"/>
        <w:rPr>
          <w:rFonts w:ascii="仿宋" w:hAnsi="仿宋"/>
          <w:szCs w:val="32"/>
        </w:rPr>
      </w:pPr>
      <w:r>
        <w:rPr>
          <w:rFonts w:ascii="仿宋" w:hAnsi="仿宋"/>
          <w:szCs w:val="32"/>
        </w:rPr>
        <w:t>《</w:t>
      </w:r>
      <w:r>
        <w:rPr>
          <w:rFonts w:hint="eastAsia" w:ascii="仿宋" w:hAnsi="仿宋"/>
          <w:szCs w:val="32"/>
        </w:rPr>
        <w:t>船山区</w:t>
      </w:r>
      <w:r>
        <w:rPr>
          <w:rFonts w:ascii="仿宋" w:hAnsi="仿宋"/>
          <w:szCs w:val="32"/>
        </w:rPr>
        <w:t>国民经济和社会发展第十四个五年规划和二〇三</w:t>
      </w:r>
      <w:r>
        <w:rPr>
          <w:rFonts w:hint="eastAsia" w:ascii="仿宋" w:hAnsi="仿宋"/>
          <w:szCs w:val="32"/>
        </w:rPr>
        <w:t>五年远景目标纲要》</w:t>
      </w:r>
    </w:p>
    <w:p>
      <w:pPr>
        <w:pStyle w:val="41"/>
        <w:snapToGrid w:val="0"/>
        <w:spacing w:before="217" w:beforeLines="50" w:after="217" w:afterLines="50" w:line="550" w:lineRule="exact"/>
        <w:ind w:firstLine="640"/>
        <w:jc w:val="center"/>
        <w:outlineLvl w:val="1"/>
        <w:rPr>
          <w:rFonts w:ascii="楷体" w:hAnsi="楷体" w:eastAsia="楷体" w:cs="楷体"/>
        </w:rPr>
      </w:pPr>
      <w:bookmarkStart w:id="8" w:name="_Toc27753"/>
      <w:r>
        <w:rPr>
          <w:rFonts w:hint="eastAsia" w:ascii="楷体" w:hAnsi="楷体" w:eastAsia="楷体" w:cs="楷体"/>
        </w:rPr>
        <w:t>（三）规划</w:t>
      </w:r>
      <w:bookmarkEnd w:id="5"/>
      <w:bookmarkEnd w:id="7"/>
      <w:r>
        <w:rPr>
          <w:rFonts w:hint="eastAsia" w:ascii="楷体" w:hAnsi="楷体" w:eastAsia="楷体" w:cs="楷体"/>
        </w:rPr>
        <w:t>原则</w:t>
      </w:r>
      <w:bookmarkEnd w:id="8"/>
    </w:p>
    <w:p>
      <w:pPr>
        <w:adjustRightInd w:val="0"/>
        <w:snapToGrid w:val="0"/>
        <w:ind w:firstLine="643"/>
        <w:rPr>
          <w:rFonts w:ascii="仿宋" w:hAnsi="仿宋"/>
          <w:szCs w:val="32"/>
        </w:rPr>
      </w:pPr>
      <w:bookmarkStart w:id="9" w:name="_Toc98773623"/>
      <w:r>
        <w:rPr>
          <w:rFonts w:ascii="仿宋" w:hAnsi="仿宋"/>
          <w:b/>
          <w:bCs/>
          <w:szCs w:val="32"/>
        </w:rPr>
        <w:t>坚持</w:t>
      </w:r>
      <w:r>
        <w:rPr>
          <w:rFonts w:hint="eastAsia" w:ascii="仿宋" w:hAnsi="仿宋"/>
          <w:b/>
          <w:bCs/>
          <w:szCs w:val="32"/>
        </w:rPr>
        <w:t>党政主导、社会协同。</w:t>
      </w:r>
      <w:r>
        <w:rPr>
          <w:rFonts w:hint="eastAsia" w:ascii="仿宋" w:hAnsi="仿宋"/>
          <w:szCs w:val="32"/>
        </w:rPr>
        <w:t>坚持党对应急管理工作的绝对领导，强化区委区政府属地责任，发挥应急管理部门的综合优势和各相关部门的专业优势；强化社会参与，完善联动机制，推动形成基层治理和应急管理共建共治共享。</w:t>
      </w:r>
    </w:p>
    <w:p>
      <w:pPr>
        <w:adjustRightInd w:val="0"/>
        <w:snapToGrid w:val="0"/>
        <w:ind w:firstLine="643"/>
        <w:rPr>
          <w:rFonts w:ascii="仿宋" w:hAnsi="仿宋"/>
          <w:szCs w:val="32"/>
        </w:rPr>
      </w:pPr>
      <w:r>
        <w:rPr>
          <w:rFonts w:ascii="仿宋" w:hAnsi="仿宋"/>
          <w:b/>
          <w:bCs/>
          <w:szCs w:val="32"/>
        </w:rPr>
        <w:t>坚持问题导向、补齐短板。</w:t>
      </w:r>
      <w:r>
        <w:rPr>
          <w:rFonts w:ascii="仿宋" w:hAnsi="仿宋"/>
          <w:szCs w:val="32"/>
        </w:rPr>
        <w:t>根据片区人口、产业、安全生产、自然灾害、应急管理机制、应急救援队伍、应急物资储备现状，</w:t>
      </w:r>
      <w:r>
        <w:rPr>
          <w:rFonts w:hint="eastAsia" w:ascii="仿宋" w:hAnsi="仿宋"/>
          <w:szCs w:val="32"/>
        </w:rPr>
        <w:t>着眼全灾种、大应急，</w:t>
      </w:r>
      <w:r>
        <w:rPr>
          <w:rFonts w:ascii="仿宋" w:hAnsi="仿宋"/>
          <w:szCs w:val="32"/>
        </w:rPr>
        <w:t>摸清底数、找准问题，</w:t>
      </w:r>
      <w:r>
        <w:rPr>
          <w:rFonts w:hint="eastAsia" w:ascii="仿宋" w:hAnsi="仿宋"/>
          <w:szCs w:val="32"/>
        </w:rPr>
        <w:t>深入研究片区风险特点，</w:t>
      </w:r>
      <w:r>
        <w:rPr>
          <w:rFonts w:ascii="仿宋" w:hAnsi="仿宋"/>
          <w:szCs w:val="32"/>
        </w:rPr>
        <w:t>补齐片区应急体系短板</w:t>
      </w:r>
      <w:r>
        <w:rPr>
          <w:rFonts w:hint="eastAsia" w:ascii="仿宋" w:hAnsi="仿宋"/>
          <w:szCs w:val="32"/>
        </w:rPr>
        <w:t>，</w:t>
      </w:r>
      <w:r>
        <w:rPr>
          <w:rFonts w:ascii="仿宋" w:hAnsi="仿宋"/>
          <w:szCs w:val="32"/>
        </w:rPr>
        <w:t>厘清片区应急体系建设“轻重缓急”，适度超前规划和实施一批应急能力提升项目。</w:t>
      </w:r>
    </w:p>
    <w:p>
      <w:pPr>
        <w:adjustRightInd w:val="0"/>
        <w:snapToGrid w:val="0"/>
        <w:ind w:firstLine="643"/>
        <w:rPr>
          <w:rFonts w:ascii="仿宋" w:hAnsi="仿宋"/>
          <w:szCs w:val="32"/>
        </w:rPr>
      </w:pPr>
      <w:r>
        <w:rPr>
          <w:rFonts w:ascii="仿宋" w:hAnsi="仿宋"/>
          <w:b/>
          <w:bCs/>
          <w:szCs w:val="32"/>
        </w:rPr>
        <w:t>坚持统筹协调，因地制宜。</w:t>
      </w:r>
      <w:r>
        <w:rPr>
          <w:rFonts w:ascii="仿宋" w:hAnsi="仿宋"/>
          <w:szCs w:val="32"/>
        </w:rPr>
        <w:t>有机衔接各级各类规划，整合片 区应急资源，充分考虑片区属地</w:t>
      </w:r>
      <w:r>
        <w:rPr>
          <w:rFonts w:hint="eastAsia" w:ascii="仿宋" w:hAnsi="仿宋"/>
          <w:szCs w:val="32"/>
        </w:rPr>
        <w:t>乡</w:t>
      </w:r>
      <w:r>
        <w:rPr>
          <w:rFonts w:ascii="仿宋" w:hAnsi="仿宋"/>
          <w:szCs w:val="32"/>
        </w:rPr>
        <w:t>镇实际情况，确定各</w:t>
      </w:r>
      <w:r>
        <w:rPr>
          <w:rFonts w:hint="eastAsia" w:ascii="仿宋" w:hAnsi="仿宋"/>
          <w:szCs w:val="32"/>
        </w:rPr>
        <w:t>乡</w:t>
      </w:r>
      <w:r>
        <w:rPr>
          <w:rFonts w:ascii="仿宋" w:hAnsi="仿宋"/>
          <w:szCs w:val="32"/>
        </w:rPr>
        <w:t>镇防控重点，优化应急资源配置，有效推动基层应急体系和应急能力现代化</w:t>
      </w:r>
      <w:r>
        <w:rPr>
          <w:rFonts w:hint="eastAsia" w:ascii="仿宋" w:hAnsi="仿宋"/>
          <w:szCs w:val="32"/>
        </w:rPr>
        <w:t>，</w:t>
      </w:r>
      <w:r>
        <w:rPr>
          <w:rFonts w:ascii="仿宋" w:hAnsi="仿宋"/>
          <w:szCs w:val="32"/>
        </w:rPr>
        <w:t>按照精准匹配的要求，新增应急设施、物资和人员，提高片区应急资源利用效率。</w:t>
      </w:r>
    </w:p>
    <w:p>
      <w:pPr>
        <w:tabs>
          <w:tab w:val="left" w:pos="2610"/>
        </w:tabs>
        <w:snapToGrid w:val="0"/>
        <w:ind w:firstLine="643"/>
        <w:rPr>
          <w:rFonts w:ascii="仿宋" w:hAnsi="仿宋"/>
          <w:szCs w:val="32"/>
        </w:rPr>
      </w:pPr>
      <w:r>
        <w:rPr>
          <w:rFonts w:ascii="仿宋" w:hAnsi="仿宋"/>
          <w:b/>
          <w:bCs/>
          <w:szCs w:val="32"/>
        </w:rPr>
        <w:t>坚持</w:t>
      </w:r>
      <w:r>
        <w:rPr>
          <w:rFonts w:hint="eastAsia" w:ascii="仿宋" w:hAnsi="仿宋"/>
          <w:b/>
          <w:bCs/>
          <w:szCs w:val="32"/>
        </w:rPr>
        <w:t>技术引领、创新驱动</w:t>
      </w:r>
      <w:r>
        <w:rPr>
          <w:rFonts w:hint="eastAsia" w:ascii="仿宋" w:hAnsi="仿宋"/>
          <w:szCs w:val="32"/>
        </w:rPr>
        <w:t>。充分利用智能化、信息化应急技术成果，在监测预警、响应决策、协同处置、装备升级等各个环节引入新技术、新方法、新设备，创新应急救援处置手段，强化人才支撑、科技支撑，提高应急管理科学化、专业化、智能化、精细化水平。</w:t>
      </w:r>
    </w:p>
    <w:p>
      <w:pPr>
        <w:pStyle w:val="41"/>
        <w:snapToGrid w:val="0"/>
        <w:spacing w:before="217" w:beforeLines="50" w:after="217" w:afterLines="50" w:line="550" w:lineRule="exact"/>
        <w:ind w:firstLine="640"/>
        <w:jc w:val="center"/>
        <w:outlineLvl w:val="1"/>
        <w:rPr>
          <w:rFonts w:ascii="楷体" w:hAnsi="楷体" w:eastAsia="楷体" w:cs="楷体"/>
        </w:rPr>
      </w:pPr>
      <w:bookmarkStart w:id="10" w:name="_Toc28335"/>
      <w:r>
        <w:rPr>
          <w:rFonts w:hint="eastAsia" w:ascii="楷体" w:hAnsi="楷体" w:eastAsia="楷体" w:cs="楷体"/>
        </w:rPr>
        <w:t>（四）规划期限</w:t>
      </w:r>
      <w:bookmarkEnd w:id="9"/>
      <w:bookmarkEnd w:id="10"/>
    </w:p>
    <w:p>
      <w:pPr>
        <w:snapToGrid w:val="0"/>
        <w:ind w:firstLine="640"/>
        <w:rPr>
          <w:rFonts w:cs="Times New Roman"/>
          <w:szCs w:val="32"/>
        </w:rPr>
      </w:pPr>
      <w:r>
        <w:rPr>
          <w:rFonts w:cs="Times New Roman"/>
          <w:szCs w:val="32"/>
        </w:rPr>
        <w:t>本规划与</w:t>
      </w:r>
      <w:r>
        <w:rPr>
          <w:rFonts w:hint="eastAsia" w:ascii="仿宋" w:hAnsi="仿宋"/>
          <w:szCs w:val="32"/>
        </w:rPr>
        <w:t>永河片区</w:t>
      </w:r>
      <w:r>
        <w:rPr>
          <w:rFonts w:cs="Times New Roman"/>
          <w:szCs w:val="32"/>
        </w:rPr>
        <w:t>国土空间规划期限一致，规划期限为2021</w:t>
      </w:r>
      <w:r>
        <w:rPr>
          <w:rFonts w:hint="eastAsia" w:cs="Times New Roman"/>
          <w:szCs w:val="32"/>
        </w:rPr>
        <w:t>~</w:t>
      </w:r>
      <w:r>
        <w:rPr>
          <w:rFonts w:cs="Times New Roman"/>
          <w:szCs w:val="32"/>
        </w:rPr>
        <w:t>2035年，其中近期至2025年，远景展望至2035年。</w:t>
      </w:r>
      <w:r>
        <w:rPr>
          <w:rFonts w:cs="Times New Roman"/>
          <w:szCs w:val="32"/>
        </w:rPr>
        <w:br w:type="page"/>
      </w:r>
    </w:p>
    <w:p>
      <w:pPr>
        <w:pStyle w:val="41"/>
        <w:spacing w:before="217" w:beforeLines="50" w:after="217" w:afterLines="50" w:line="550" w:lineRule="exact"/>
        <w:ind w:firstLine="640"/>
        <w:jc w:val="center"/>
        <w:outlineLvl w:val="0"/>
        <w:rPr>
          <w:rFonts w:eastAsia="黑体"/>
        </w:rPr>
      </w:pPr>
      <w:bookmarkStart w:id="11" w:name="_Toc8209"/>
      <w:bookmarkStart w:id="12" w:name="_Toc98773624"/>
      <w:r>
        <w:rPr>
          <w:rFonts w:hint="eastAsia" w:eastAsia="黑体"/>
        </w:rPr>
        <w:t>二、规划背景</w:t>
      </w:r>
      <w:bookmarkEnd w:id="11"/>
      <w:bookmarkEnd w:id="12"/>
      <w:bookmarkStart w:id="13" w:name="_Toc98773625"/>
    </w:p>
    <w:bookmarkEnd w:id="13"/>
    <w:p>
      <w:pPr>
        <w:pStyle w:val="41"/>
        <w:spacing w:before="217" w:beforeLines="50" w:after="217" w:afterLines="50" w:line="550" w:lineRule="exact"/>
        <w:ind w:firstLine="640"/>
        <w:jc w:val="center"/>
        <w:outlineLvl w:val="1"/>
        <w:rPr>
          <w:rFonts w:ascii="楷体" w:hAnsi="楷体" w:eastAsia="楷体" w:cs="楷体"/>
        </w:rPr>
      </w:pPr>
      <w:bookmarkStart w:id="14" w:name="_Toc27195"/>
      <w:r>
        <w:rPr>
          <w:rFonts w:hint="eastAsia" w:ascii="楷体" w:hAnsi="楷体" w:eastAsia="楷体" w:cs="楷体"/>
        </w:rPr>
        <w:t>（一）</w:t>
      </w:r>
      <w:r>
        <w:rPr>
          <w:rFonts w:hint="eastAsia" w:ascii="楷体" w:hAnsi="楷体" w:eastAsia="楷体" w:cs="楷体"/>
          <w:color w:val="000000" w:themeColor="text1"/>
          <w14:textFill>
            <w14:solidFill>
              <w14:schemeClr w14:val="tx1"/>
            </w14:solidFill>
          </w14:textFill>
        </w:rPr>
        <w:t>片区现状</w:t>
      </w:r>
      <w:bookmarkEnd w:id="14"/>
    </w:p>
    <w:p>
      <w:pPr>
        <w:pStyle w:val="41"/>
        <w:spacing w:before="217" w:beforeLines="50" w:after="217" w:afterLines="50" w:line="550" w:lineRule="exact"/>
        <w:ind w:firstLine="643"/>
        <w:rPr>
          <w:szCs w:val="22"/>
        </w:rPr>
      </w:pPr>
      <w:r>
        <w:rPr>
          <w:rFonts w:hint="eastAsia" w:ascii="仿宋" w:hAnsi="仿宋" w:cstheme="minorBidi"/>
          <w:b/>
          <w:bCs/>
          <w:szCs w:val="22"/>
        </w:rPr>
        <w:t>基本情况。</w:t>
      </w:r>
      <w:r>
        <w:rPr>
          <w:szCs w:val="22"/>
        </w:rPr>
        <w:t>遂宁船山区永</w:t>
      </w:r>
      <w:r>
        <w:rPr>
          <w:rFonts w:hint="eastAsia"/>
          <w:szCs w:val="22"/>
        </w:rPr>
        <w:t>河</w:t>
      </w:r>
      <w:r>
        <w:rPr>
          <w:szCs w:val="22"/>
        </w:rPr>
        <w:t>片区位于遂宁市船山区东部，处于遂宁主城区半小时经济圈，片区规划范围包括永兴、仁里、河沙三个镇，面积157.40平方公里，其中河沙镇58.08平方公里、永兴镇57.72平方公里、仁里镇41.60平方公里，辖东兴、花拱桥、栖凤3个社区和解放新村等31个村。2020年户籍人口7.6万人，“七普”常住人口4.7万人，人口净流出2.9万人，人口外流显著，新村聚居点“空心”现象显著。片区内有1个中心镇，为河沙镇；2个一般镇，即永兴镇与仁里镇；7个中心村，即孟桥村、联盟村、谷村、凤凰村、云灵村、桃李村与东兴村；24个基层村组成的四级镇村体系。片区对外交通便捷，基本形成“一高三干”的对外交通骨架网络。“一高”为绵遂高速，沿规划区西侧通过，共设置2处出入口，有效服务周边，分别为永兴出入口、遂宁东出入口。片区大力发展特色种养、精深加工、旅游观光、养生度假等产业，成功入选国家农村创新创业园区，成功创建省级现代农业示范园区，工业以轻工业为主。“三干”分别为G350、G318（含中环线）、S207，是片区联系周边的主要依托，能有效融入城区，衔接蓬溪等区域，带动沿线镇村发展。片区内部农村公路网络化水平较高，共有县道3条，分别为X001、X028、X021，乡道22条。</w:t>
      </w:r>
    </w:p>
    <w:p>
      <w:pPr>
        <w:ind w:firstLine="640"/>
        <w:rPr>
          <w:rFonts w:cs="Times New Roman"/>
        </w:rPr>
      </w:pPr>
      <w:r>
        <w:rPr>
          <w:rFonts w:hint="eastAsia" w:ascii="仿宋" w:hAnsi="仿宋"/>
        </w:rPr>
        <w:t>片区总体呈现“浅丘山岭环绕、三河两坝多谷”的自然山水格局，浅丘、坡地、平坝相间分布，地势起伏较小，片区水系发达，库塘密布，南北流向呈树枝状分布。</w:t>
      </w:r>
    </w:p>
    <w:p>
      <w:pPr>
        <w:ind w:firstLine="643"/>
        <w:rPr>
          <w:rFonts w:cs="Times New Roman"/>
          <w:szCs w:val="32"/>
        </w:rPr>
      </w:pPr>
      <w:r>
        <w:rPr>
          <w:rFonts w:cs="Times New Roman"/>
          <w:b/>
          <w:bCs/>
        </w:rPr>
        <w:t>安全生产情况。</w:t>
      </w:r>
      <w:r>
        <w:rPr>
          <w:rFonts w:cs="Times New Roman"/>
          <w:szCs w:val="32"/>
        </w:rPr>
        <w:t>片区含建材厂3家（河沙镇</w:t>
      </w:r>
      <w:r>
        <w:rPr>
          <w:rFonts w:hint="eastAsia" w:cs="Times New Roman"/>
          <w:szCs w:val="32"/>
        </w:rPr>
        <w:t>2家，永兴镇1家</w:t>
      </w:r>
      <w:r>
        <w:rPr>
          <w:rFonts w:cs="Times New Roman"/>
          <w:szCs w:val="32"/>
        </w:rPr>
        <w:t>），天然气企业1家（河沙镇），其中加油站2座（河沙镇1家、永兴镇1家），</w:t>
      </w:r>
      <w:r>
        <w:rPr>
          <w:rFonts w:hint="eastAsia" w:cs="Times New Roman"/>
          <w:szCs w:val="32"/>
        </w:rPr>
        <w:t>工贸企业1家（永兴镇），</w:t>
      </w:r>
      <w:r>
        <w:rPr>
          <w:rFonts w:cs="Times New Roman"/>
          <w:szCs w:val="32"/>
        </w:rPr>
        <w:t>旅游景区（十里荷画）1处，码头渡口（仁里镇）2处，</w:t>
      </w:r>
      <w:r>
        <w:rPr>
          <w:rFonts w:hint="eastAsia" w:cs="Times New Roman"/>
          <w:szCs w:val="32"/>
        </w:rPr>
        <w:t>还有</w:t>
      </w:r>
      <w:r>
        <w:rPr>
          <w:rFonts w:cs="Times New Roman"/>
          <w:szCs w:val="32"/>
        </w:rPr>
        <w:t>烟</w:t>
      </w:r>
      <w:r>
        <w:rPr>
          <w:rFonts w:hint="eastAsia" w:cs="Times New Roman"/>
          <w:szCs w:val="32"/>
        </w:rPr>
        <w:t>花</w:t>
      </w:r>
      <w:r>
        <w:rPr>
          <w:rFonts w:cs="Times New Roman"/>
          <w:szCs w:val="32"/>
        </w:rPr>
        <w:t>爆竹销售网点</w:t>
      </w:r>
      <w:r>
        <w:rPr>
          <w:rFonts w:hint="eastAsia" w:cs="Times New Roman"/>
          <w:szCs w:val="32"/>
        </w:rPr>
        <w:t>、小作坊等</w:t>
      </w:r>
      <w:r>
        <w:rPr>
          <w:rFonts w:cs="Times New Roman"/>
          <w:szCs w:val="32"/>
        </w:rPr>
        <w:t>。</w:t>
      </w:r>
      <w:r>
        <w:rPr>
          <w:rFonts w:cs="Times New Roman"/>
        </w:rPr>
        <w:t>片区建有永河农业园，现有农业资源包含白芷中药材、粮油、经果蔬菜等多个品种。</w:t>
      </w:r>
      <w:r>
        <w:rPr>
          <w:rFonts w:cs="Times New Roman"/>
          <w:szCs w:val="32"/>
        </w:rPr>
        <w:t>十三五期间片区内由于机械操作不当发生一般事故1起，造成1人伤亡，经济损失130万元。片区近5年无较大及以上安全事故发生。</w:t>
      </w:r>
    </w:p>
    <w:p>
      <w:pPr>
        <w:ind w:firstLine="640"/>
        <w:rPr>
          <w:rFonts w:cs="Times New Roman"/>
        </w:rPr>
      </w:pPr>
      <w:r>
        <w:rPr>
          <w:rFonts w:cs="Times New Roman"/>
        </w:rPr>
        <w:t>道路交通方面。片区“一高三干”的对外交通骨架网络，交通较为便捷，为支撑服务永河农业园区快速发展的农环线、小环线等现代农业产业一体化公路较多，内部农村公路网络化水平较高，道路交通运输安全隐患突出。2016~2020年共发生交通事故事故5起，无人员伤亡。</w:t>
      </w:r>
    </w:p>
    <w:p>
      <w:pPr>
        <w:pStyle w:val="2"/>
        <w:ind w:firstLine="643"/>
        <w:jc w:val="left"/>
        <w:rPr>
          <w:rFonts w:ascii="Times New Roman" w:hAnsi="Times New Roman" w:eastAsia="仿宋" w:cstheme="minorBidi"/>
          <w:sz w:val="32"/>
          <w:szCs w:val="22"/>
        </w:rPr>
      </w:pPr>
      <w:r>
        <w:rPr>
          <w:rFonts w:hint="eastAsia" w:ascii="Times New Roman" w:hAnsi="Times New Roman" w:eastAsia="仿宋" w:cstheme="minorBidi"/>
          <w:b/>
          <w:bCs/>
          <w:sz w:val="32"/>
          <w:szCs w:val="22"/>
        </w:rPr>
        <w:t>自然灾害情况。</w:t>
      </w:r>
      <w:r>
        <w:rPr>
          <w:rFonts w:hint="eastAsia" w:ascii="Times New Roman" w:hAnsi="Times New Roman" w:eastAsia="仿宋" w:cstheme="minorBidi"/>
          <w:sz w:val="32"/>
          <w:szCs w:val="22"/>
        </w:rPr>
        <w:t>片区内存在</w:t>
      </w:r>
      <w:r>
        <w:rPr>
          <w:rFonts w:ascii="Times New Roman" w:hAnsi="Times New Roman" w:eastAsia="仿宋" w:cstheme="minorBidi"/>
          <w:sz w:val="32"/>
          <w:szCs w:val="22"/>
        </w:rPr>
        <w:t>山洪</w:t>
      </w:r>
      <w:r>
        <w:rPr>
          <w:rFonts w:hint="eastAsia" w:ascii="Times New Roman" w:hAnsi="Times New Roman" w:eastAsia="仿宋" w:cstheme="minorBidi"/>
          <w:sz w:val="32"/>
          <w:szCs w:val="22"/>
        </w:rPr>
        <w:t>灾害</w:t>
      </w:r>
      <w:r>
        <w:rPr>
          <w:rFonts w:ascii="Times New Roman" w:hAnsi="Times New Roman" w:eastAsia="仿宋" w:cstheme="minorBidi"/>
          <w:sz w:val="32"/>
          <w:szCs w:val="22"/>
        </w:rPr>
        <w:t>、地质灾害和地震灾害、</w:t>
      </w:r>
      <w:r>
        <w:rPr>
          <w:rFonts w:hint="eastAsia" w:ascii="Times New Roman" w:hAnsi="Times New Roman" w:eastAsia="仿宋" w:cstheme="minorBidi"/>
          <w:sz w:val="32"/>
          <w:szCs w:val="22"/>
        </w:rPr>
        <w:t>森林火灾和气象灾害</w:t>
      </w:r>
      <w:r>
        <w:rPr>
          <w:rFonts w:ascii="Times New Roman" w:hAnsi="Times New Roman" w:eastAsia="仿宋" w:cstheme="minorBidi"/>
          <w:sz w:val="32"/>
          <w:szCs w:val="22"/>
        </w:rPr>
        <w:t>等自然灾害。</w:t>
      </w:r>
    </w:p>
    <w:p>
      <w:pPr>
        <w:pStyle w:val="2"/>
        <w:ind w:firstLine="640"/>
        <w:jc w:val="left"/>
        <w:rPr>
          <w:rFonts w:ascii="Times New Roman" w:hAnsi="Times New Roman" w:eastAsia="仿宋" w:cstheme="minorBidi"/>
          <w:sz w:val="32"/>
          <w:szCs w:val="22"/>
        </w:rPr>
      </w:pPr>
      <w:r>
        <w:rPr>
          <w:rFonts w:hint="eastAsia" w:ascii="Times New Roman" w:hAnsi="Times New Roman" w:eastAsia="仿宋" w:cstheme="minorBidi"/>
          <w:sz w:val="32"/>
          <w:szCs w:val="22"/>
        </w:rPr>
        <w:t>山洪灾害：片区水系发达，库塘密布，南北流向呈树枝状分布，地表水系为涪江、联盟河及其支流，仁里镇十三五期间曾连续两年（2018和2019年）发生洪涝灾害造成经济财产损失95万元。片区内有4处山洪沟隐患点，仁里镇和河沙镇各2处，仁里镇有2处内涝隐患点。</w:t>
      </w:r>
    </w:p>
    <w:p>
      <w:pPr>
        <w:pStyle w:val="2"/>
        <w:ind w:firstLine="640"/>
        <w:rPr>
          <w:rFonts w:ascii="Times New Roman" w:hAnsi="Times New Roman" w:eastAsia="仿宋" w:cstheme="minorBidi"/>
          <w:sz w:val="32"/>
          <w:szCs w:val="22"/>
        </w:rPr>
      </w:pPr>
      <w:r>
        <w:rPr>
          <w:rFonts w:hint="eastAsia" w:ascii="Times New Roman" w:hAnsi="Times New Roman" w:eastAsia="仿宋" w:cstheme="minorBidi"/>
          <w:sz w:val="32"/>
          <w:szCs w:val="22"/>
        </w:rPr>
        <w:t>地质灾害：地质灾害隐患点以滑坡、崩塌为主，现有地灾隐患点13余处，分布在仁里镇文笔山村、亿禾村、东兴村，河沙镇梓桐村、赤岩沟村、桂花村，永兴镇新开村、长安村等8个村，主要类型包括滑坡、崩塌、危岩、不稳定斜坡等，以中小型为主，致灾原因以降雨和不合理的人类工程活动为主。通过普查监控及工程整治等措施，片区内地灾整体可控，无系统性风险。但存在一定水土流失风险，片区无水土流失极敏感区，较敏感区主要分布在东部及北部区域。</w:t>
      </w:r>
    </w:p>
    <w:p>
      <w:pPr>
        <w:ind w:firstLine="640"/>
        <w:rPr>
          <w:rFonts w:ascii="仿宋" w:hAnsi="仿宋"/>
          <w:szCs w:val="32"/>
        </w:rPr>
      </w:pPr>
      <w:r>
        <w:rPr>
          <w:rFonts w:hint="eastAsia" w:ascii="仿宋" w:hAnsi="仿宋" w:cs="Times New Roman"/>
          <w:color w:val="000000" w:themeColor="text1"/>
          <w:szCs w:val="32"/>
          <w14:textFill>
            <w14:solidFill>
              <w14:schemeClr w14:val="tx1"/>
            </w14:solidFill>
          </w14:textFill>
        </w:rPr>
        <w:t>地震灾害：</w:t>
      </w:r>
      <w:r>
        <w:rPr>
          <w:rFonts w:hint="eastAsia" w:cs="Times New Roman"/>
          <w:color w:val="000000" w:themeColor="text1"/>
          <w:szCs w:val="32"/>
          <w14:textFill>
            <w14:solidFill>
              <w14:schemeClr w14:val="tx1"/>
            </w14:solidFill>
          </w14:textFill>
        </w:rPr>
        <w:t>据《中国地震动参数区划图》(GB18306-2015)，片区地震设防基本烈度为6度，设计基本地震加速度为0.05g，地震动反应谱特征周期为0.35s。</w:t>
      </w:r>
      <w:r>
        <w:rPr>
          <w:rFonts w:hint="eastAsia" w:ascii="仿宋" w:hAnsi="仿宋"/>
          <w:szCs w:val="32"/>
        </w:rPr>
        <w:t>片区地属川中丘陵地区，地质结构相对稳定，受地震断裂带或断层影响较小。</w:t>
      </w:r>
    </w:p>
    <w:p>
      <w:pPr>
        <w:ind w:firstLine="640"/>
        <w:rPr>
          <w:rFonts w:cs="Times New Roman"/>
          <w:szCs w:val="32"/>
        </w:rPr>
      </w:pPr>
      <w:r>
        <w:rPr>
          <w:rFonts w:hint="eastAsia" w:ascii="仿宋" w:hAnsi="仿宋"/>
          <w:szCs w:val="32"/>
        </w:rPr>
        <w:t>森林火灾：</w:t>
      </w:r>
      <w:r>
        <w:rPr>
          <w:rFonts w:cs="Times New Roman"/>
          <w:szCs w:val="32"/>
        </w:rPr>
        <w:t>片区林地面积7154.97公顷，占全域45%，</w:t>
      </w:r>
      <w:r>
        <w:rPr>
          <w:rFonts w:cs="Times New Roman"/>
        </w:rPr>
        <w:t>是船山区水源涵养和林地资源分布密集区域。</w:t>
      </w:r>
      <w:r>
        <w:rPr>
          <w:rFonts w:cs="Times New Roman"/>
          <w:szCs w:val="32"/>
        </w:rPr>
        <w:t>现有森林防火卡点29个，永兴镇新开村、清源村、柏湾村、联盟村、长安村、朝阳村，仁里镇常林村、桃李村，河沙镇凤凰村、梓桐村为森林高火险区。</w:t>
      </w:r>
    </w:p>
    <w:p>
      <w:pPr>
        <w:ind w:firstLine="640"/>
        <w:rPr>
          <w:rFonts w:ascii="仿宋" w:hAnsi="仿宋"/>
          <w:szCs w:val="32"/>
        </w:rPr>
      </w:pPr>
      <w:r>
        <w:rPr>
          <w:rFonts w:hint="eastAsia" w:ascii="仿宋" w:hAnsi="仿宋"/>
          <w:szCs w:val="32"/>
        </w:rPr>
        <w:t>气象灾害：片区处于四川盆地亚热带季风气候区，四季分明，雨量充沛。冬暖春旱，无霜期长。夏季炎热，雨热同季，旱涝交错。秋多绵雨，冬多云雾，日照较少，湿度较大。气象灾害主要为暴雨、大风等天气现象，以暴雨为主，无人员伤亡，仅造成一定的经济损失。</w:t>
      </w:r>
    </w:p>
    <w:p>
      <w:pPr>
        <w:ind w:firstLine="643"/>
        <w:rPr>
          <w:rFonts w:cs="Times New Roman"/>
          <w:szCs w:val="32"/>
        </w:rPr>
      </w:pPr>
      <w:r>
        <w:rPr>
          <w:rFonts w:cs="Times New Roman"/>
          <w:b/>
          <w:bCs/>
        </w:rPr>
        <w:t>应急能力情况</w:t>
      </w:r>
      <w:r>
        <w:rPr>
          <w:rFonts w:hint="eastAsia" w:ascii="仿宋" w:hAnsi="仿宋"/>
          <w:b/>
          <w:bCs/>
        </w:rPr>
        <w:t>。</w:t>
      </w:r>
      <w:r>
        <w:rPr>
          <w:rFonts w:cs="Times New Roman"/>
          <w:szCs w:val="32"/>
        </w:rPr>
        <w:t>应急管理机构。片区各镇均建立了由镇党政主要领导担任组长的应急工作领导小组，承担安全生产和应急指挥决策职责。应急工作领导小组办公室设在镇应急办，负责本区域自然灾害防治、森林防灭火、安全生产等工作。各镇应急办配备专兼职工作人员1到3名。建有以“三长两员”为重点的山洪灾害、地质灾害的管理体系，建有山洪灾害、地质灾害点检测与巡查制度，每个山洪灾害隐患点及地质灾害隐患点均设置有监测责任人。</w:t>
      </w:r>
    </w:p>
    <w:p>
      <w:pPr>
        <w:ind w:firstLine="640"/>
        <w:rPr>
          <w:rFonts w:cs="Times New Roman"/>
          <w:szCs w:val="32"/>
        </w:rPr>
      </w:pPr>
      <w:r>
        <w:rPr>
          <w:rFonts w:cs="Times New Roman"/>
          <w:szCs w:val="32"/>
        </w:rPr>
        <w:t>应急救援队伍。片区仁里镇、永兴镇、河沙镇分别建有1支综合应急救援队伍，共计80人，应急救援分队共38个，共计430人，均为兼职人员，承担本辖区内地质灾害、洪涝灾害、森林火灾等先期处置工作。</w:t>
      </w:r>
    </w:p>
    <w:p>
      <w:pPr>
        <w:ind w:firstLine="640"/>
        <w:rPr>
          <w:rFonts w:cs="Times New Roman"/>
          <w:szCs w:val="32"/>
        </w:rPr>
      </w:pPr>
      <w:r>
        <w:rPr>
          <w:rFonts w:hint="eastAsia" w:cs="Times New Roman"/>
          <w:szCs w:val="32"/>
        </w:rPr>
        <w:t>应急预案。片区各镇编制了突发事件总体应急预案、地震灾害应急处置工作方案、山洪灾害应急预案、地质灾害应急预案等。河沙镇编制了突发事件总体应急救援预案和2个专项应急预案，仁里镇编制了突发事件总体应急救援预案和3个专项应急预案，永兴镇编制了突发事件总体应急预案和5个专项应急预案。片区各镇数次开展地灾、森林防火、防汛、崩塌等应急演练。</w:t>
      </w:r>
    </w:p>
    <w:p>
      <w:pPr>
        <w:ind w:firstLine="640"/>
        <w:rPr>
          <w:rFonts w:ascii="仿宋" w:hAnsi="仿宋"/>
          <w:szCs w:val="32"/>
        </w:rPr>
      </w:pPr>
      <w:r>
        <w:rPr>
          <w:rFonts w:hint="eastAsia" w:cs="Times New Roman"/>
          <w:szCs w:val="32"/>
        </w:rPr>
        <w:t>应急避难场所。片区暂无Ⅲ类及以上的应急</w:t>
      </w:r>
      <w:r>
        <w:rPr>
          <w:rFonts w:ascii="仿宋" w:hAnsi="仿宋"/>
          <w:szCs w:val="32"/>
        </w:rPr>
        <w:t>避难场所、</w:t>
      </w:r>
      <w:r>
        <w:rPr>
          <w:rFonts w:hint="eastAsia" w:ascii="仿宋" w:hAnsi="仿宋"/>
          <w:szCs w:val="32"/>
        </w:rPr>
        <w:t>主要利用</w:t>
      </w:r>
      <w:r>
        <w:rPr>
          <w:rFonts w:hint="eastAsia"/>
        </w:rPr>
        <w:t>公园绿地、广场、学校、养老院等开敞空间建立</w:t>
      </w:r>
      <w:r>
        <w:rPr>
          <w:rFonts w:ascii="仿宋" w:hAnsi="仿宋"/>
          <w:szCs w:val="32"/>
        </w:rPr>
        <w:t>临时应急避难场所共计7处</w:t>
      </w:r>
      <w:r>
        <w:rPr>
          <w:rFonts w:hint="eastAsia" w:ascii="仿宋" w:hAnsi="仿宋"/>
          <w:szCs w:val="32"/>
        </w:rPr>
        <w:t>（仁里镇</w:t>
      </w:r>
      <w:r>
        <w:rPr>
          <w:rFonts w:ascii="仿宋" w:hAnsi="仿宋"/>
          <w:szCs w:val="32"/>
        </w:rPr>
        <w:t>3</w:t>
      </w:r>
      <w:r>
        <w:rPr>
          <w:rFonts w:hint="eastAsia" w:ascii="仿宋" w:hAnsi="仿宋"/>
          <w:szCs w:val="32"/>
        </w:rPr>
        <w:t>处、河沙镇3处、永兴镇1处）</w:t>
      </w:r>
      <w:r>
        <w:rPr>
          <w:rFonts w:ascii="仿宋" w:hAnsi="仿宋"/>
          <w:szCs w:val="32"/>
        </w:rPr>
        <w:t>，</w:t>
      </w:r>
      <w:r>
        <w:rPr>
          <w:rFonts w:hint="eastAsia" w:ascii="仿宋" w:hAnsi="仿宋"/>
          <w:szCs w:val="32"/>
        </w:rPr>
        <w:t>占地总面积达</w:t>
      </w:r>
      <w:r>
        <w:rPr>
          <w:rFonts w:ascii="仿宋" w:hAnsi="仿宋"/>
          <w:szCs w:val="32"/>
        </w:rPr>
        <w:t>28900m2。</w:t>
      </w:r>
    </w:p>
    <w:p>
      <w:pPr>
        <w:ind w:firstLine="640"/>
        <w:rPr>
          <w:rFonts w:ascii="仿宋" w:hAnsi="仿宋"/>
          <w:szCs w:val="32"/>
        </w:rPr>
      </w:pPr>
      <w:r>
        <w:rPr>
          <w:rFonts w:ascii="仿宋" w:hAnsi="仿宋"/>
          <w:szCs w:val="32"/>
        </w:rPr>
        <w:t>应急物资。片区3个乡镇共有均建立应急物资储备站，配备专职维护或管理人员，拥有一定数量的救灾帐篷、棉被、折叠床、救援工具（救生衣、救生圈、麻袋、编织袋等），基本满足日常应急使用。</w:t>
      </w:r>
    </w:p>
    <w:p>
      <w:pPr>
        <w:ind w:firstLine="640"/>
        <w:rPr>
          <w:rFonts w:ascii="仿宋" w:hAnsi="仿宋"/>
          <w:szCs w:val="32"/>
        </w:rPr>
      </w:pPr>
      <w:r>
        <w:rPr>
          <w:rFonts w:ascii="仿宋" w:hAnsi="仿宋"/>
          <w:szCs w:val="32"/>
        </w:rPr>
        <w:t>防灾减灾基础设施建设。</w:t>
      </w:r>
      <w:r>
        <w:rPr>
          <w:rFonts w:hint="eastAsia" w:ascii="仿宋" w:hAnsi="仿宋"/>
          <w:szCs w:val="32"/>
        </w:rPr>
        <w:t>片区建有气象观测站2座（分布在仁里镇），暂未建有地震监测站。森林防灭火方面，河沙镇建有2</w:t>
      </w:r>
      <w:r>
        <w:rPr>
          <w:rFonts w:ascii="仿宋" w:hAnsi="仿宋"/>
          <w:szCs w:val="32"/>
        </w:rPr>
        <w:t>5.34</w:t>
      </w:r>
      <w:r>
        <w:rPr>
          <w:rFonts w:hint="eastAsia" w:ascii="仿宋" w:hAnsi="仿宋"/>
          <w:szCs w:val="32"/>
        </w:rPr>
        <w:t>公里防火通道，仁里镇建有</w:t>
      </w:r>
      <w:r>
        <w:rPr>
          <w:rFonts w:ascii="仿宋" w:hAnsi="仿宋"/>
          <w:szCs w:val="32"/>
        </w:rPr>
        <w:t>30.52</w:t>
      </w:r>
      <w:r>
        <w:rPr>
          <w:rFonts w:hint="eastAsia" w:ascii="仿宋" w:hAnsi="仿宋"/>
          <w:szCs w:val="32"/>
        </w:rPr>
        <w:t>公里防火通道，永兴镇建有2</w:t>
      </w:r>
      <w:r>
        <w:rPr>
          <w:rFonts w:ascii="仿宋" w:hAnsi="仿宋"/>
          <w:szCs w:val="32"/>
        </w:rPr>
        <w:t>5.05</w:t>
      </w:r>
      <w:r>
        <w:rPr>
          <w:rFonts w:hint="eastAsia" w:ascii="仿宋" w:hAnsi="仿宋"/>
          <w:szCs w:val="32"/>
        </w:rPr>
        <w:t>公里防火通道；河沙镇建有2个视频监控点，永兴镇建有</w:t>
      </w:r>
      <w:r>
        <w:rPr>
          <w:rFonts w:ascii="仿宋" w:hAnsi="仿宋"/>
          <w:szCs w:val="32"/>
        </w:rPr>
        <w:t>1</w:t>
      </w:r>
      <w:r>
        <w:rPr>
          <w:rFonts w:hint="eastAsia" w:ascii="仿宋" w:hAnsi="仿宋"/>
          <w:szCs w:val="32"/>
        </w:rPr>
        <w:t>个视频监控点；河沙镇建有消防水池</w:t>
      </w:r>
      <w:r>
        <w:rPr>
          <w:rFonts w:ascii="仿宋" w:hAnsi="仿宋"/>
          <w:szCs w:val="32"/>
        </w:rPr>
        <w:t>9</w:t>
      </w:r>
      <w:r>
        <w:rPr>
          <w:rFonts w:hint="eastAsia" w:ascii="仿宋" w:hAnsi="仿宋"/>
          <w:szCs w:val="32"/>
        </w:rPr>
        <w:t>个，河仁里镇建有消防水池</w:t>
      </w:r>
      <w:r>
        <w:rPr>
          <w:rFonts w:ascii="仿宋" w:hAnsi="仿宋"/>
          <w:szCs w:val="32"/>
        </w:rPr>
        <w:t>3</w:t>
      </w:r>
      <w:r>
        <w:rPr>
          <w:rFonts w:hint="eastAsia" w:ascii="仿宋" w:hAnsi="仿宋"/>
          <w:szCs w:val="32"/>
        </w:rPr>
        <w:t>个；各镇分别建有1个物资储备库。</w:t>
      </w:r>
    </w:p>
    <w:p>
      <w:pPr>
        <w:ind w:firstLine="640"/>
        <w:rPr>
          <w:rFonts w:ascii="仿宋" w:hAnsi="仿宋"/>
          <w:szCs w:val="32"/>
        </w:rPr>
      </w:pPr>
      <w:r>
        <w:rPr>
          <w:rFonts w:ascii="仿宋" w:hAnsi="仿宋"/>
          <w:szCs w:val="32"/>
        </w:rPr>
        <w:t>应急指挥信息化建设。片区</w:t>
      </w:r>
      <w:r>
        <w:rPr>
          <w:rFonts w:hint="eastAsia" w:ascii="仿宋" w:hAnsi="仿宋"/>
          <w:szCs w:val="32"/>
        </w:rPr>
        <w:t>3个镇</w:t>
      </w:r>
      <w:r>
        <w:rPr>
          <w:rFonts w:ascii="仿宋" w:hAnsi="仿宋"/>
          <w:szCs w:val="32"/>
        </w:rPr>
        <w:t>配备了卫星电话</w:t>
      </w:r>
      <w:r>
        <w:rPr>
          <w:rFonts w:hint="eastAsia" w:ascii="仿宋" w:hAnsi="仿宋"/>
          <w:szCs w:val="32"/>
        </w:rPr>
        <w:t>3</w:t>
      </w:r>
      <w:r>
        <w:rPr>
          <w:rFonts w:ascii="仿宋" w:hAnsi="仿宋"/>
          <w:szCs w:val="32"/>
        </w:rPr>
        <w:t>部，</w:t>
      </w:r>
      <w:r>
        <w:rPr>
          <w:rFonts w:hint="eastAsia" w:ascii="仿宋" w:hAnsi="仿宋"/>
          <w:szCs w:val="32"/>
        </w:rPr>
        <w:t>所有</w:t>
      </w:r>
      <w:r>
        <w:rPr>
          <w:rFonts w:ascii="仿宋" w:hAnsi="仿宋"/>
          <w:szCs w:val="32"/>
        </w:rPr>
        <w:t>村（社区）已完成应急广播建设</w:t>
      </w:r>
      <w:r>
        <w:rPr>
          <w:rFonts w:hint="eastAsia" w:ascii="仿宋" w:hAnsi="仿宋"/>
          <w:szCs w:val="32"/>
        </w:rPr>
        <w:t>，可</w:t>
      </w:r>
      <w:r>
        <w:rPr>
          <w:rFonts w:ascii="仿宋" w:hAnsi="仿宋"/>
          <w:szCs w:val="32"/>
        </w:rPr>
        <w:t>实现公网中断条件灾情反馈、指令下达。片区各</w:t>
      </w:r>
      <w:r>
        <w:rPr>
          <w:rFonts w:hint="eastAsia" w:ascii="仿宋" w:hAnsi="仿宋"/>
          <w:szCs w:val="32"/>
        </w:rPr>
        <w:t>乡镇</w:t>
      </w:r>
      <w:r>
        <w:rPr>
          <w:rFonts w:ascii="仿宋" w:hAnsi="仿宋"/>
          <w:szCs w:val="32"/>
        </w:rPr>
        <w:t>、</w:t>
      </w:r>
      <w:r>
        <w:rPr>
          <w:rFonts w:hint="eastAsia" w:ascii="仿宋" w:hAnsi="仿宋"/>
          <w:szCs w:val="32"/>
        </w:rPr>
        <w:t>村</w:t>
      </w:r>
      <w:r>
        <w:rPr>
          <w:rFonts w:ascii="仿宋" w:hAnsi="仿宋"/>
          <w:szCs w:val="32"/>
        </w:rPr>
        <w:t>通过运用手机、微信群、卫星电话、手持对讲机、护林员巡护定位系统APP等搭建</w:t>
      </w:r>
      <w:r>
        <w:rPr>
          <w:rFonts w:hint="eastAsia" w:ascii="仿宋" w:hAnsi="仿宋"/>
          <w:szCs w:val="32"/>
        </w:rPr>
        <w:t>信息化</w:t>
      </w:r>
      <w:r>
        <w:rPr>
          <w:rFonts w:ascii="仿宋" w:hAnsi="仿宋"/>
          <w:szCs w:val="32"/>
        </w:rPr>
        <w:t>网络。</w:t>
      </w:r>
    </w:p>
    <w:p>
      <w:pPr>
        <w:ind w:firstLine="640"/>
        <w:rPr>
          <w:rFonts w:ascii="仿宋" w:hAnsi="仿宋"/>
          <w:szCs w:val="32"/>
        </w:rPr>
      </w:pPr>
      <w:r>
        <w:rPr>
          <w:rFonts w:ascii="仿宋" w:hAnsi="仿宋"/>
          <w:szCs w:val="32"/>
        </w:rPr>
        <w:t>应急</w:t>
      </w:r>
      <w:r>
        <w:rPr>
          <w:rFonts w:hint="eastAsia" w:ascii="仿宋" w:hAnsi="仿宋"/>
          <w:szCs w:val="32"/>
        </w:rPr>
        <w:t>文化</w:t>
      </w:r>
      <w:r>
        <w:rPr>
          <w:rFonts w:ascii="仿宋" w:hAnsi="仿宋"/>
          <w:szCs w:val="32"/>
        </w:rPr>
        <w:t>。</w:t>
      </w:r>
      <w:bookmarkStart w:id="15" w:name="_Toc98773627"/>
      <w:r>
        <w:rPr>
          <w:rFonts w:ascii="仿宋" w:hAnsi="仿宋"/>
          <w:szCs w:val="32"/>
        </w:rPr>
        <w:t>片区各镇利用电视、广播、防</w:t>
      </w:r>
      <w:r>
        <w:rPr>
          <w:rFonts w:cs="Times New Roman"/>
          <w:color w:val="000000" w:themeColor="text1"/>
          <w:szCs w:val="32"/>
          <w14:textFill>
            <w14:solidFill>
              <w14:schemeClr w14:val="tx1"/>
            </w14:solidFill>
          </w14:textFill>
        </w:rPr>
        <w:t>灾减灾日、安全生产月、消防月、交通安全月等形式，开展消防、安全生产、森林火灾、防震减灾、交通安全等宣传活动；各乡镇利用“五进”活动，开展进企业、进农村、进村社、进校园、进家庭安全知识宣传培训。</w:t>
      </w:r>
    </w:p>
    <w:p>
      <w:pPr>
        <w:pStyle w:val="41"/>
        <w:numPr>
          <w:ilvl w:val="255"/>
          <w:numId w:val="0"/>
        </w:numPr>
        <w:spacing w:before="217" w:beforeLines="50" w:after="217" w:afterLines="50" w:line="550" w:lineRule="exact"/>
        <w:jc w:val="center"/>
        <w:outlineLvl w:val="1"/>
        <w:rPr>
          <w:rFonts w:ascii="楷体" w:hAnsi="楷体" w:eastAsia="楷体" w:cs="楷体"/>
        </w:rPr>
      </w:pPr>
      <w:bookmarkStart w:id="16" w:name="_Toc7162"/>
      <w:r>
        <w:rPr>
          <w:rFonts w:hint="eastAsia" w:ascii="楷体" w:hAnsi="楷体" w:eastAsia="楷体" w:cs="楷体"/>
        </w:rPr>
        <w:t>（二）面临形势</w:t>
      </w:r>
      <w:bookmarkEnd w:id="16"/>
    </w:p>
    <w:p>
      <w:pPr>
        <w:ind w:firstLine="643"/>
        <w:rPr>
          <w:rFonts w:ascii="仿宋" w:hAnsi="仿宋"/>
          <w:szCs w:val="32"/>
        </w:rPr>
      </w:pPr>
      <w:r>
        <w:rPr>
          <w:rFonts w:cs="Times New Roman"/>
          <w:b/>
          <w:szCs w:val="32"/>
        </w:rPr>
        <w:t>安全生产</w:t>
      </w:r>
      <w:r>
        <w:rPr>
          <w:rFonts w:hint="eastAsia" w:cs="Times New Roman"/>
          <w:b/>
          <w:szCs w:val="32"/>
        </w:rPr>
        <w:t>方面。</w:t>
      </w:r>
      <w:r>
        <w:rPr>
          <w:rFonts w:hint="eastAsia" w:ascii="仿宋" w:hAnsi="仿宋"/>
          <w:szCs w:val="32"/>
        </w:rPr>
        <w:t>片区主要以加油站</w:t>
      </w:r>
      <w:r>
        <w:rPr>
          <w:rFonts w:ascii="仿宋" w:hAnsi="仿宋"/>
          <w:szCs w:val="32"/>
        </w:rPr>
        <w:t>、</w:t>
      </w:r>
      <w:r>
        <w:rPr>
          <w:rFonts w:hint="eastAsia" w:ascii="仿宋" w:hAnsi="仿宋"/>
          <w:szCs w:val="32"/>
        </w:rPr>
        <w:t>燃气、工贸企业、</w:t>
      </w:r>
      <w:r>
        <w:rPr>
          <w:rFonts w:ascii="仿宋" w:hAnsi="仿宋"/>
          <w:szCs w:val="32"/>
        </w:rPr>
        <w:t>建材企业、</w:t>
      </w:r>
      <w:r>
        <w:rPr>
          <w:rFonts w:hint="eastAsia" w:ascii="仿宋" w:hAnsi="仿宋"/>
          <w:szCs w:val="32"/>
        </w:rPr>
        <w:t>旅游景区、烟火爆竹销售、渡口码头</w:t>
      </w:r>
      <w:r>
        <w:rPr>
          <w:rFonts w:ascii="仿宋" w:hAnsi="仿宋"/>
          <w:szCs w:val="32"/>
        </w:rPr>
        <w:t>为主，主要风险有火灾爆炸、有限空间中毒窒息、机械伤害</w:t>
      </w:r>
      <w:r>
        <w:rPr>
          <w:rFonts w:hint="eastAsia" w:ascii="仿宋" w:hAnsi="仿宋"/>
          <w:szCs w:val="32"/>
        </w:rPr>
        <w:t>、溺水</w:t>
      </w:r>
      <w:r>
        <w:rPr>
          <w:rFonts w:ascii="仿宋" w:hAnsi="仿宋"/>
          <w:szCs w:val="32"/>
        </w:rPr>
        <w:t>等类型。</w:t>
      </w:r>
      <w:r>
        <w:rPr>
          <w:rFonts w:hint="eastAsia" w:ascii="仿宋" w:hAnsi="仿宋"/>
          <w:szCs w:val="32"/>
        </w:rPr>
        <w:t>城镇燃气主要风险为易泄漏、易爆炸等；2</w:t>
      </w:r>
      <w:r>
        <w:rPr>
          <w:rFonts w:ascii="仿宋" w:hAnsi="仿宋"/>
          <w:szCs w:val="32"/>
        </w:rPr>
        <w:t>家加油站</w:t>
      </w:r>
      <w:r>
        <w:rPr>
          <w:rFonts w:hint="eastAsia" w:ascii="仿宋" w:hAnsi="仿宋"/>
          <w:szCs w:val="32"/>
        </w:rPr>
        <w:t>、1家燃气公司</w:t>
      </w:r>
      <w:r>
        <w:rPr>
          <w:rFonts w:ascii="仿宋" w:hAnsi="仿宋"/>
          <w:szCs w:val="32"/>
        </w:rPr>
        <w:t>主要风险为易燃易爆、中毒窒息等；3家</w:t>
      </w:r>
      <w:r>
        <w:rPr>
          <w:rFonts w:hint="eastAsia" w:ascii="仿宋" w:hAnsi="仿宋"/>
          <w:szCs w:val="32"/>
        </w:rPr>
        <w:t>建材生产</w:t>
      </w:r>
      <w:r>
        <w:rPr>
          <w:rFonts w:ascii="仿宋" w:hAnsi="仿宋"/>
          <w:szCs w:val="32"/>
        </w:rPr>
        <w:t>企业主要风险为机械伤害</w:t>
      </w:r>
      <w:r>
        <w:rPr>
          <w:rFonts w:hint="eastAsia" w:ascii="仿宋" w:hAnsi="仿宋"/>
          <w:szCs w:val="32"/>
        </w:rPr>
        <w:t>；2座码头渡口</w:t>
      </w:r>
      <w:r>
        <w:rPr>
          <w:rFonts w:ascii="仿宋" w:hAnsi="仿宋"/>
          <w:szCs w:val="32"/>
        </w:rPr>
        <w:t>主要风险为</w:t>
      </w:r>
      <w:r>
        <w:rPr>
          <w:rFonts w:hint="eastAsia" w:ascii="仿宋" w:hAnsi="仿宋"/>
          <w:szCs w:val="32"/>
        </w:rPr>
        <w:t>溺水；</w:t>
      </w:r>
      <w:r>
        <w:rPr>
          <w:rFonts w:ascii="仿宋" w:hAnsi="仿宋"/>
          <w:szCs w:val="32"/>
        </w:rPr>
        <w:t>1家</w:t>
      </w:r>
      <w:r>
        <w:rPr>
          <w:rFonts w:hint="eastAsia" w:ascii="仿宋" w:hAnsi="仿宋"/>
          <w:szCs w:val="32"/>
        </w:rPr>
        <w:t>旅游景区</w:t>
      </w:r>
      <w:r>
        <w:rPr>
          <w:rFonts w:ascii="仿宋" w:hAnsi="仿宋"/>
          <w:szCs w:val="32"/>
        </w:rPr>
        <w:t>主要风险为机械伤害</w:t>
      </w:r>
      <w:r>
        <w:rPr>
          <w:rFonts w:hint="eastAsia" w:ascii="仿宋" w:hAnsi="仿宋"/>
          <w:szCs w:val="32"/>
        </w:rPr>
        <w:t>、拥挤踩踏</w:t>
      </w:r>
      <w:r>
        <w:rPr>
          <w:rFonts w:ascii="仿宋" w:hAnsi="仿宋"/>
          <w:szCs w:val="32"/>
        </w:rPr>
        <w:t>等。</w:t>
      </w:r>
    </w:p>
    <w:p>
      <w:pPr>
        <w:ind w:firstLine="640"/>
        <w:rPr>
          <w:rFonts w:ascii="仿宋" w:hAnsi="仿宋"/>
          <w:szCs w:val="32"/>
        </w:rPr>
      </w:pPr>
      <w:r>
        <w:rPr>
          <w:rFonts w:hint="eastAsia" w:ascii="仿宋" w:hAnsi="仿宋"/>
          <w:szCs w:val="32"/>
        </w:rPr>
        <w:t>虽片区安全生产总体可控，但片区内部分企业主体责任落实力度不够，未全面建立健全安全生产责任清单制管理，规章制度建立不完善，风险辨识不全面，安全培训教育质量不高，员工安全意识淡薄，执行操作规程不熟练，还存在隐患排查治理不到位现象。</w:t>
      </w:r>
    </w:p>
    <w:p>
      <w:pPr>
        <w:ind w:firstLine="643"/>
      </w:pPr>
      <w:r>
        <w:rPr>
          <w:rFonts w:cs="Times New Roman"/>
          <w:b/>
          <w:szCs w:val="32"/>
        </w:rPr>
        <w:t>自然灾害</w:t>
      </w:r>
      <w:r>
        <w:rPr>
          <w:rFonts w:hint="eastAsia" w:cs="Times New Roman"/>
          <w:b/>
          <w:szCs w:val="32"/>
        </w:rPr>
        <w:t>方面。</w:t>
      </w:r>
      <w:r>
        <w:rPr>
          <w:rFonts w:hint="eastAsia" w:ascii="仿宋" w:hAnsi="仿宋"/>
          <w:szCs w:val="32"/>
        </w:rPr>
        <w:t>片区总的形势是自然灾害风险增大。随着全球气候变化，</w:t>
      </w:r>
      <w:r>
        <w:rPr>
          <w:rFonts w:ascii="仿宋" w:hAnsi="仿宋"/>
          <w:szCs w:val="32"/>
        </w:rPr>
        <w:t>极端天气气候事件增多增强趋势明显，多灾并发日益突出，高温、干旱、洪涝、地灾的风险进一步加剧，自然灾害形成机理、发生规律、时空特征、损失程度和影响深度广度出现新特点和新变化</w:t>
      </w:r>
      <w:r>
        <w:rPr>
          <w:rFonts w:hint="eastAsia" w:ascii="仿宋" w:hAnsi="仿宋"/>
          <w:szCs w:val="32"/>
        </w:rPr>
        <w:t>。</w:t>
      </w:r>
    </w:p>
    <w:p>
      <w:pPr>
        <w:widowControl/>
        <w:ind w:firstLine="640"/>
        <w:jc w:val="left"/>
        <w:rPr>
          <w:rFonts w:cs="Times New Roman"/>
          <w:szCs w:val="32"/>
        </w:rPr>
      </w:pPr>
      <w:r>
        <w:rPr>
          <w:rFonts w:hint="eastAsia" w:cs="Times New Roman"/>
          <w:szCs w:val="32"/>
        </w:rPr>
        <w:t>山洪灾害。</w:t>
      </w:r>
      <w:r>
        <w:rPr>
          <w:rFonts w:hint="eastAsia" w:ascii="仿宋" w:hAnsi="仿宋"/>
          <w:szCs w:val="32"/>
        </w:rPr>
        <w:t>随着</w:t>
      </w:r>
      <w:r>
        <w:rPr>
          <w:rFonts w:ascii="仿宋" w:hAnsi="仿宋"/>
          <w:szCs w:val="32"/>
        </w:rPr>
        <w:t>极端天气增多，强降雨、连续降水易引发</w:t>
      </w:r>
      <w:r>
        <w:rPr>
          <w:rFonts w:hint="eastAsia" w:ascii="仿宋" w:hAnsi="仿宋"/>
          <w:szCs w:val="32"/>
        </w:rPr>
        <w:t>洪涝灾害的概率上升，加之片区农业灌溉需求较多，洪涝灾害影响不容忽视。降雨是造成片区洪涝灾害主要原因之一，降水量主要集中在</w:t>
      </w:r>
      <w:r>
        <w:rPr>
          <w:rFonts w:ascii="仿宋" w:hAnsi="仿宋"/>
          <w:szCs w:val="32"/>
        </w:rPr>
        <w:t>5～9月，洪涝灾害主要发生在7、8月。</w:t>
      </w:r>
    </w:p>
    <w:p>
      <w:pPr>
        <w:ind w:firstLine="640"/>
        <w:rPr>
          <w:rFonts w:cs="Times New Roman"/>
          <w:szCs w:val="32"/>
        </w:rPr>
      </w:pPr>
      <w:r>
        <w:rPr>
          <w:rFonts w:hint="eastAsia" w:cs="Times New Roman"/>
          <w:szCs w:val="32"/>
        </w:rPr>
        <w:t>地质灾害。</w:t>
      </w:r>
      <w:r>
        <w:rPr>
          <w:rFonts w:hint="eastAsia" w:ascii="仿宋" w:hAnsi="仿宋"/>
          <w:szCs w:val="32"/>
        </w:rPr>
        <w:t>片区内地质灾害隐患点位多，受</w:t>
      </w:r>
      <w:r>
        <w:rPr>
          <w:rFonts w:ascii="仿宋" w:hAnsi="仿宋"/>
          <w:szCs w:val="32"/>
        </w:rPr>
        <w:t>威胁群众多，地震地灾监测预警能力差</w:t>
      </w:r>
      <w:r>
        <w:rPr>
          <w:rFonts w:hint="eastAsia" w:ascii="仿宋" w:hAnsi="仿宋"/>
          <w:szCs w:val="32"/>
        </w:rPr>
        <w:t>。随着</w:t>
      </w:r>
      <w:r>
        <w:rPr>
          <w:rFonts w:ascii="仿宋" w:hAnsi="仿宋"/>
          <w:szCs w:val="32"/>
        </w:rPr>
        <w:t>极端天气增多，尤其是遇强降雨、连续降水易引发地质灾害。</w:t>
      </w:r>
    </w:p>
    <w:p>
      <w:pPr>
        <w:wordWrap w:val="0"/>
        <w:ind w:firstLine="640"/>
        <w:rPr>
          <w:rFonts w:ascii="仿宋" w:hAnsi="仿宋"/>
          <w:szCs w:val="32"/>
        </w:rPr>
      </w:pPr>
      <w:r>
        <w:rPr>
          <w:rFonts w:hint="eastAsia" w:cs="Times New Roman"/>
          <w:szCs w:val="32"/>
        </w:rPr>
        <w:t>地震灾害。</w:t>
      </w:r>
      <w:r>
        <w:rPr>
          <w:rFonts w:hint="eastAsia" w:ascii="仿宋" w:hAnsi="仿宋"/>
          <w:szCs w:val="32"/>
        </w:rPr>
        <w:t>片区地属川中丘陵地区，地质结构相对稳定，受地震断裂带或断层影响较小。</w:t>
      </w:r>
    </w:p>
    <w:p>
      <w:pPr>
        <w:wordWrap w:val="0"/>
        <w:ind w:firstLine="640"/>
        <w:rPr>
          <w:rFonts w:ascii="仿宋" w:hAnsi="仿宋"/>
          <w:szCs w:val="32"/>
        </w:rPr>
      </w:pPr>
      <w:r>
        <w:rPr>
          <w:rFonts w:hint="eastAsia" w:cs="Times New Roman"/>
          <w:szCs w:val="32"/>
        </w:rPr>
        <w:t>森林火灾。</w:t>
      </w:r>
      <w:r>
        <w:rPr>
          <w:rFonts w:hint="eastAsia" w:ascii="仿宋" w:hAnsi="仿宋"/>
          <w:szCs w:val="32"/>
        </w:rPr>
        <w:t>片区属于船山区东部中低山防火区，森林面积占比大，林地连片度高，具有人口密度大、生产生活野外用火频繁、火灾发生可能性较高。随着全球极端天气增多，气候干旱趋势加强，片区森林火险等级攀高、森林火灾突发性和危害性增大。</w:t>
      </w:r>
    </w:p>
    <w:p>
      <w:pPr>
        <w:wordWrap w:val="0"/>
        <w:ind w:firstLine="640"/>
        <w:rPr>
          <w:rFonts w:ascii="仿宋" w:hAnsi="仿宋"/>
          <w:szCs w:val="32"/>
        </w:rPr>
      </w:pPr>
      <w:r>
        <w:rPr>
          <w:rFonts w:hint="eastAsia" w:ascii="仿宋" w:hAnsi="仿宋"/>
          <w:szCs w:val="32"/>
        </w:rPr>
        <w:t>气象灾害。区内暴雨、冰雹、大风、雷电等气象灾害多发，乡镇、村社气象防灾减灾服务体系不完善，24小时内晴雨预报准确率、气温预报准确率、暴雨预警准确率、气象灾害风险预警准确率、气象应急联动部门衔接率、气象预警信息发布覆盖率有待提升，强对流天气预警提前量、灾害性天气落区预警精细化程度有待提高。</w:t>
      </w:r>
    </w:p>
    <w:p>
      <w:pPr>
        <w:wordWrap w:val="0"/>
        <w:ind w:firstLine="643"/>
        <w:rPr>
          <w:rFonts w:ascii="仿宋" w:hAnsi="仿宋"/>
          <w:szCs w:val="32"/>
        </w:rPr>
      </w:pPr>
      <w:r>
        <w:rPr>
          <w:rFonts w:hint="eastAsia" w:ascii="仿宋" w:hAnsi="仿宋"/>
          <w:b/>
          <w:bCs/>
          <w:szCs w:val="32"/>
        </w:rPr>
        <w:t>应急管理机构方面。</w:t>
      </w:r>
      <w:r>
        <w:rPr>
          <w:rFonts w:hint="eastAsia" w:ascii="仿宋" w:hAnsi="仿宋"/>
          <w:szCs w:val="32"/>
        </w:rPr>
        <w:t>目前片区有都建有应急工作领导小组，但片区无专门的应急指挥保障中心，也无专职人员负责跨区域的片区总体应急指挥工作。片区应急指挥需进一步明确落实职能职责体系，优化管理机制，成立片区应急指挥中心，实现跨区域、多部门联动指挥。片区应急管理工作统筹协调性不强，未建立相关协同联动机制，应急指挥信息化水平不高，现代化、智能化、实战化新型应急指挥能力有待进一步提高。</w:t>
      </w:r>
    </w:p>
    <w:p>
      <w:pPr>
        <w:ind w:firstLine="640"/>
        <w:rPr>
          <w:rFonts w:ascii="仿宋" w:hAnsi="仿宋"/>
          <w:szCs w:val="32"/>
        </w:rPr>
      </w:pPr>
      <w:r>
        <w:rPr>
          <w:rFonts w:hint="eastAsia" w:ascii="仿宋" w:hAnsi="仿宋"/>
          <w:szCs w:val="32"/>
        </w:rPr>
        <w:t>应急救援队伍。目前片区建有</w:t>
      </w:r>
      <w:r>
        <w:rPr>
          <w:rFonts w:ascii="仿宋" w:hAnsi="仿宋"/>
          <w:szCs w:val="32"/>
        </w:rPr>
        <w:t>镇综合应急救援队3支80人</w:t>
      </w:r>
      <w:r>
        <w:rPr>
          <w:rFonts w:hint="eastAsia" w:ascii="仿宋" w:hAnsi="仿宋"/>
          <w:szCs w:val="32"/>
        </w:rPr>
        <w:t>，应急救援分队3</w:t>
      </w:r>
      <w:r>
        <w:rPr>
          <w:rFonts w:ascii="仿宋" w:hAnsi="仿宋"/>
          <w:szCs w:val="32"/>
        </w:rPr>
        <w:t>8</w:t>
      </w:r>
      <w:r>
        <w:rPr>
          <w:rFonts w:hint="eastAsia" w:ascii="仿宋" w:hAnsi="仿宋"/>
          <w:szCs w:val="32"/>
        </w:rPr>
        <w:t>支4</w:t>
      </w:r>
      <w:r>
        <w:rPr>
          <w:rFonts w:ascii="仿宋" w:hAnsi="仿宋"/>
          <w:szCs w:val="32"/>
        </w:rPr>
        <w:t>30</w:t>
      </w:r>
      <w:r>
        <w:rPr>
          <w:rFonts w:hint="eastAsia" w:ascii="仿宋" w:hAnsi="仿宋"/>
          <w:szCs w:val="32"/>
        </w:rPr>
        <w:t>人</w:t>
      </w:r>
      <w:r>
        <w:rPr>
          <w:rFonts w:ascii="仿宋" w:hAnsi="仿宋"/>
          <w:szCs w:val="32"/>
        </w:rPr>
        <w:t>。虽然</w:t>
      </w:r>
      <w:r>
        <w:rPr>
          <w:rFonts w:hint="eastAsia" w:ascii="仿宋" w:hAnsi="仿宋"/>
          <w:szCs w:val="32"/>
        </w:rPr>
        <w:t>各</w:t>
      </w:r>
      <w:r>
        <w:rPr>
          <w:rFonts w:ascii="仿宋" w:hAnsi="仿宋"/>
          <w:szCs w:val="32"/>
        </w:rPr>
        <w:t>镇、村（社）应急救援队伍已经成立，但存在以下问题：镇村应急队伍建立不规范</w:t>
      </w:r>
      <w:r>
        <w:rPr>
          <w:rFonts w:hint="eastAsia" w:ascii="仿宋" w:hAnsi="仿宋"/>
          <w:szCs w:val="32"/>
        </w:rPr>
        <w:t>，</w:t>
      </w:r>
      <w:r>
        <w:rPr>
          <w:rFonts w:ascii="仿宋" w:hAnsi="仿宋"/>
          <w:szCs w:val="32"/>
        </w:rPr>
        <w:t>大部分镇虽建立了抗洪抢险救援队、地质灾害救援队、安全生产救援队、半专业森林草原防灭火队伍，但实际都是几块牌子一队人马，基本上都是镇干部参与突击处置</w:t>
      </w:r>
      <w:r>
        <w:rPr>
          <w:rFonts w:hint="eastAsia" w:ascii="仿宋" w:hAnsi="仿宋"/>
          <w:szCs w:val="32"/>
        </w:rPr>
        <w:t>；</w:t>
      </w:r>
      <w:r>
        <w:rPr>
          <w:rFonts w:ascii="仿宋" w:hAnsi="仿宋"/>
          <w:szCs w:val="32"/>
        </w:rPr>
        <w:t>村（社）兼职应急救援队伍缺少系统性的指导和培训，存在流动性大、年龄偏大、外出务工</w:t>
      </w:r>
      <w:r>
        <w:rPr>
          <w:rFonts w:hint="eastAsia" w:ascii="仿宋" w:hAnsi="仿宋"/>
          <w:szCs w:val="32"/>
        </w:rPr>
        <w:t>不能参加演练和救援等情况，缺少主动性、纪律性和应急技能，先期处置突发事件能力不足，在处置过程中容易造成人员伤亡和次生灾害。同时，每年开展应急救援培训，但未对参训人员进行考评，专项应急处置能力亟待提升。</w:t>
      </w:r>
    </w:p>
    <w:p>
      <w:pPr>
        <w:ind w:firstLine="640"/>
        <w:rPr>
          <w:rFonts w:ascii="仿宋" w:hAnsi="仿宋"/>
          <w:szCs w:val="32"/>
        </w:rPr>
      </w:pPr>
      <w:r>
        <w:rPr>
          <w:rFonts w:hint="eastAsia" w:ascii="仿宋" w:hAnsi="仿宋"/>
          <w:szCs w:val="32"/>
        </w:rPr>
        <w:t>应急预案。目前片区各镇都制定了突发事件总体应急预案和山洪灾害、地质灾害</w:t>
      </w:r>
      <w:r>
        <w:rPr>
          <w:rFonts w:ascii="仿宋" w:hAnsi="仿宋"/>
          <w:szCs w:val="32"/>
        </w:rPr>
        <w:t>等专项应急预案</w:t>
      </w:r>
      <w:r>
        <w:rPr>
          <w:rFonts w:hint="eastAsia" w:ascii="仿宋" w:hAnsi="仿宋"/>
          <w:szCs w:val="32"/>
        </w:rPr>
        <w:t>，但</w:t>
      </w:r>
      <w:r>
        <w:rPr>
          <w:rFonts w:ascii="仿宋" w:hAnsi="仿宋"/>
          <w:szCs w:val="32"/>
        </w:rPr>
        <w:t>未建立预案及时更新修订机制，信息化管理程度不高。</w:t>
      </w:r>
    </w:p>
    <w:p>
      <w:pPr>
        <w:ind w:firstLine="640"/>
        <w:rPr>
          <w:rFonts w:ascii="仿宋" w:hAnsi="仿宋"/>
          <w:szCs w:val="32"/>
        </w:rPr>
      </w:pPr>
      <w:r>
        <w:rPr>
          <w:rFonts w:ascii="仿宋" w:hAnsi="仿宋"/>
          <w:szCs w:val="32"/>
        </w:rPr>
        <w:t>应急通讯</w:t>
      </w:r>
      <w:r>
        <w:rPr>
          <w:rFonts w:hint="eastAsia" w:ascii="仿宋" w:hAnsi="仿宋"/>
          <w:szCs w:val="32"/>
        </w:rPr>
        <w:t>。</w:t>
      </w:r>
      <w:r>
        <w:rPr>
          <w:rFonts w:ascii="仿宋" w:hAnsi="仿宋"/>
          <w:szCs w:val="32"/>
        </w:rPr>
        <w:t>目前大多仅依托基础网络，公共通讯线路，如手机通讯、微信群、QQ群、对讲机、卫星电话（对讲功能）等。基本上建立了与属地政府、行业部门、镇信息互通</w:t>
      </w:r>
      <w:r>
        <w:rPr>
          <w:rFonts w:hint="eastAsia" w:ascii="仿宋" w:hAnsi="仿宋"/>
          <w:szCs w:val="32"/>
        </w:rPr>
        <w:t>共享机制，可做到信息畅通。但灾害监测预警系统建设不完全，精准预警预报能力较弱。</w:t>
      </w:r>
    </w:p>
    <w:p>
      <w:pPr>
        <w:ind w:firstLine="640"/>
        <w:rPr>
          <w:rFonts w:ascii="仿宋" w:hAnsi="仿宋"/>
          <w:szCs w:val="32"/>
        </w:rPr>
      </w:pPr>
      <w:r>
        <w:rPr>
          <w:rFonts w:hint="eastAsia" w:ascii="仿宋" w:hAnsi="仿宋"/>
          <w:szCs w:val="32"/>
        </w:rPr>
        <w:t>应急物资与装备。目前片区有镇应急物资储备站</w:t>
      </w:r>
      <w:r>
        <w:rPr>
          <w:rFonts w:ascii="仿宋" w:hAnsi="仿宋"/>
          <w:szCs w:val="32"/>
        </w:rPr>
        <w:t>3个</w:t>
      </w:r>
      <w:r>
        <w:rPr>
          <w:rFonts w:hint="eastAsia" w:ascii="仿宋" w:hAnsi="仿宋"/>
          <w:szCs w:val="32"/>
        </w:rPr>
        <w:t>，</w:t>
      </w:r>
      <w:r>
        <w:rPr>
          <w:rFonts w:ascii="仿宋" w:hAnsi="仿宋"/>
          <w:szCs w:val="32"/>
        </w:rPr>
        <w:t>各镇均配备了</w:t>
      </w:r>
      <w:r>
        <w:rPr>
          <w:rFonts w:hint="eastAsia" w:ascii="仿宋" w:hAnsi="仿宋"/>
          <w:szCs w:val="32"/>
        </w:rPr>
        <w:t>帐篷、棉被、折叠床、</w:t>
      </w:r>
      <w:r>
        <w:rPr>
          <w:rFonts w:ascii="仿宋" w:hAnsi="仿宋"/>
          <w:szCs w:val="32"/>
        </w:rPr>
        <w:t>救生衣、救生圈、</w:t>
      </w:r>
      <w:r>
        <w:rPr>
          <w:rFonts w:hint="eastAsia" w:ascii="仿宋" w:hAnsi="仿宋"/>
          <w:szCs w:val="32"/>
        </w:rPr>
        <w:t>编织袋、麻袋、镐头、</w:t>
      </w:r>
      <w:r>
        <w:rPr>
          <w:rFonts w:ascii="仿宋" w:hAnsi="仿宋"/>
          <w:szCs w:val="32"/>
        </w:rPr>
        <w:t>铲子、应急</w:t>
      </w:r>
      <w:r>
        <w:rPr>
          <w:rFonts w:hint="eastAsia" w:ascii="仿宋" w:hAnsi="仿宋"/>
          <w:szCs w:val="32"/>
        </w:rPr>
        <w:t>灯</w:t>
      </w:r>
      <w:r>
        <w:rPr>
          <w:rFonts w:ascii="仿宋" w:hAnsi="仿宋"/>
          <w:szCs w:val="32"/>
        </w:rPr>
        <w:t>等应急抢险救援设备，但是数量和种类均较少，应急救援装备相对比较匮乏。为此，需加强村（社区）和家庭物资储备及多元化、多渠道储备体系建设及专项物资储备库建设。镇物资配备种类、数量层次不齐，需建立物资清单，加强标准化、规范化管理。对干旱、</w:t>
      </w:r>
      <w:r>
        <w:rPr>
          <w:rFonts w:hint="eastAsia" w:ascii="仿宋" w:hAnsi="仿宋"/>
          <w:szCs w:val="32"/>
        </w:rPr>
        <w:t>山洪</w:t>
      </w:r>
      <w:r>
        <w:rPr>
          <w:rFonts w:ascii="仿宋" w:hAnsi="仿宋"/>
          <w:szCs w:val="32"/>
        </w:rPr>
        <w:t>等易发灾害的应急物资储备针对性不强，对规模大、影响范围广、持续时间长的突发事件的</w:t>
      </w:r>
      <w:r>
        <w:rPr>
          <w:rFonts w:hint="eastAsia" w:ascii="仿宋" w:hAnsi="仿宋"/>
          <w:szCs w:val="32"/>
        </w:rPr>
        <w:t>应急物资与装备不足。</w:t>
      </w:r>
    </w:p>
    <w:p>
      <w:pPr>
        <w:ind w:firstLine="640"/>
        <w:rPr>
          <w:rFonts w:cs="Times New Roman"/>
          <w:szCs w:val="32"/>
        </w:rPr>
      </w:pPr>
      <w:r>
        <w:rPr>
          <w:rFonts w:hint="eastAsia" w:ascii="仿宋" w:hAnsi="仿宋"/>
          <w:szCs w:val="32"/>
        </w:rPr>
        <w:t>应急避难场所。目前依托的养老院、学校操场、体育场馆、村委会、广场等场所，建有</w:t>
      </w:r>
      <w:r>
        <w:rPr>
          <w:rFonts w:ascii="仿宋" w:hAnsi="仿宋"/>
          <w:szCs w:val="32"/>
        </w:rPr>
        <w:t>7个避难场所。</w:t>
      </w:r>
      <w:r>
        <w:rPr>
          <w:rFonts w:hint="eastAsia" w:ascii="仿宋" w:hAnsi="仿宋"/>
          <w:szCs w:val="32"/>
        </w:rPr>
        <w:t>由于片区内人口常住人口接近</w:t>
      </w:r>
      <w:r>
        <w:rPr>
          <w:rFonts w:ascii="仿宋" w:hAnsi="仿宋"/>
          <w:szCs w:val="32"/>
        </w:rPr>
        <w:t>4.7</w:t>
      </w:r>
      <w:r>
        <w:rPr>
          <w:rFonts w:hint="eastAsia" w:ascii="仿宋" w:hAnsi="仿宋"/>
          <w:szCs w:val="32"/>
        </w:rPr>
        <w:t>万，而避难场所总占地面积不足30</w:t>
      </w:r>
      <w:r>
        <w:rPr>
          <w:rFonts w:ascii="仿宋" w:hAnsi="仿宋"/>
          <w:szCs w:val="32"/>
        </w:rPr>
        <w:t>000</w:t>
      </w:r>
      <w:r>
        <w:rPr>
          <w:rFonts w:hint="eastAsia" w:ascii="仿宋" w:hAnsi="仿宋"/>
          <w:szCs w:val="32"/>
        </w:rPr>
        <w:t>㎡，人均低于</w:t>
      </w:r>
      <w:r>
        <w:rPr>
          <w:rFonts w:ascii="仿宋" w:hAnsi="仿宋"/>
          <w:szCs w:val="32"/>
        </w:rPr>
        <w:t>1</w:t>
      </w:r>
      <w:r>
        <w:rPr>
          <w:rFonts w:hint="eastAsia" w:ascii="仿宋" w:hAnsi="仿宋"/>
          <w:szCs w:val="32"/>
        </w:rPr>
        <w:t>㎡，现有应急避难场所从数量和人均有效避难面积都较低，且</w:t>
      </w:r>
      <w:r>
        <w:rPr>
          <w:rFonts w:ascii="仿宋" w:hAnsi="仿宋"/>
          <w:szCs w:val="32"/>
        </w:rPr>
        <w:t>现有避难场所均为自然灾害避险类型，暂无针对安全生产事故疏散场所。相对来说应急避难场所数量并不充足、类型单一，且物资储备与应</w:t>
      </w:r>
      <w:r>
        <w:rPr>
          <w:rFonts w:hint="eastAsia" w:cs="Times New Roman"/>
          <w:szCs w:val="32"/>
        </w:rPr>
        <w:t>急设施功能不完善。</w:t>
      </w:r>
    </w:p>
    <w:p>
      <w:pPr>
        <w:ind w:firstLine="640"/>
        <w:rPr>
          <w:rFonts w:cs="Times New Roman"/>
          <w:szCs w:val="32"/>
        </w:rPr>
      </w:pPr>
      <w:r>
        <w:rPr>
          <w:rFonts w:hint="eastAsia" w:cs="Times New Roman"/>
          <w:szCs w:val="32"/>
        </w:rPr>
        <w:t>共建共治共享方面。宣传覆盖不足，公众参与应急救援的组织化、规范化程度较低，专业领域志愿者发展不足，应急社会动员机制尚需完善。应急知识的宣传教育还不够深入，公众风险防范意识和自救互救能力仍需提高。</w:t>
      </w:r>
    </w:p>
    <w:p>
      <w:pPr>
        <w:pStyle w:val="41"/>
        <w:spacing w:before="217" w:beforeLines="50" w:after="217" w:afterLines="50" w:line="550" w:lineRule="exact"/>
        <w:ind w:firstLine="640"/>
        <w:jc w:val="center"/>
        <w:outlineLvl w:val="0"/>
        <w:rPr>
          <w:rFonts w:eastAsia="黑体"/>
        </w:rPr>
      </w:pPr>
      <w:bookmarkStart w:id="17" w:name="_Toc5238"/>
      <w:r>
        <w:rPr>
          <w:rFonts w:hint="eastAsia" w:eastAsia="黑体"/>
        </w:rPr>
        <w:t>三、规划目标</w:t>
      </w:r>
      <w:bookmarkEnd w:id="17"/>
    </w:p>
    <w:bookmarkEnd w:id="15"/>
    <w:p>
      <w:pPr>
        <w:pStyle w:val="4"/>
        <w:rPr>
          <w:rFonts w:cs="Times New Roman"/>
          <w:bCs w:val="0"/>
        </w:rPr>
      </w:pPr>
      <w:bookmarkStart w:id="18" w:name="_Toc1672"/>
      <w:r>
        <w:rPr>
          <w:rFonts w:hint="eastAsia" w:cs="Times New Roman"/>
          <w:bCs w:val="0"/>
        </w:rPr>
        <w:t>（一）</w:t>
      </w:r>
      <w:r>
        <w:rPr>
          <w:rFonts w:cs="Times New Roman"/>
          <w:bCs w:val="0"/>
        </w:rPr>
        <w:t>近期目标</w:t>
      </w:r>
      <w:bookmarkEnd w:id="18"/>
    </w:p>
    <w:p>
      <w:pPr>
        <w:ind w:firstLine="640"/>
        <w:rPr>
          <w:rFonts w:ascii="仿宋" w:hAnsi="仿宋"/>
          <w:szCs w:val="32"/>
        </w:rPr>
      </w:pPr>
      <w:bookmarkStart w:id="19" w:name="_Toc98773629"/>
      <w:r>
        <w:rPr>
          <w:rFonts w:ascii="仿宋" w:hAnsi="仿宋"/>
          <w:szCs w:val="32"/>
        </w:rPr>
        <w:t>到2025年，片区应急管理系统性、整体性、协同性显著增强，灾害事故防治基础全面夯实，基层应急救援能力显著提升，社会公众风险意识进一步加强，</w:t>
      </w:r>
      <w:r>
        <w:rPr>
          <w:rFonts w:hint="eastAsia" w:ascii="仿宋" w:hAnsi="仿宋"/>
          <w:szCs w:val="32"/>
        </w:rPr>
        <w:t>片区应急机制基本完善，建立片区级应急指挥中心，在统筹协调、应急指挥、应急力量调度分配上予以一定程度的提升和完善，加强应急队伍的专业性、物资配备率，加强应急物资储备库建设和应急物资储备，加强应急避难场所建设，显著提升片区社会共治共享能力全面建成权威高效的应急管理机制，应急能力现代化取得重大进展。</w:t>
      </w:r>
    </w:p>
    <w:p>
      <w:pPr>
        <w:ind w:firstLine="643"/>
        <w:rPr>
          <w:rFonts w:cs="Times New Roman"/>
          <w:szCs w:val="32"/>
        </w:rPr>
      </w:pPr>
      <w:r>
        <w:rPr>
          <w:rFonts w:hint="eastAsia" w:ascii="仿宋" w:hAnsi="仿宋"/>
          <w:b/>
          <w:bCs/>
          <w:szCs w:val="32"/>
        </w:rPr>
        <w:t>安全生产目标。</w:t>
      </w:r>
      <w:r>
        <w:rPr>
          <w:rFonts w:hint="eastAsia" w:ascii="仿宋" w:hAnsi="仿宋"/>
          <w:szCs w:val="32"/>
        </w:rPr>
        <w:t>安全生产责任全面压实，重点行业领域安全生产水平显著提升。风险分级管控与隐患排查治理机制持续健全，安全风险系统治理、依法治理、综</w:t>
      </w:r>
      <w:r>
        <w:rPr>
          <w:rFonts w:hint="eastAsia" w:cs="Times New Roman"/>
          <w:szCs w:val="32"/>
        </w:rPr>
        <w:t>合治理、源头治理能力明显增强。安全生产事故起数、死亡人数持续下降，坚决遏制重特大事故的发生，形成领先的现代化安全生产治理体系。</w:t>
      </w:r>
    </w:p>
    <w:p>
      <w:pPr>
        <w:ind w:firstLine="0" w:firstLineChars="0"/>
        <w:jc w:val="center"/>
        <w:rPr>
          <w:rFonts w:ascii="仿宋" w:hAnsi="仿宋" w:cs="仿宋"/>
          <w:szCs w:val="32"/>
        </w:rPr>
      </w:pPr>
      <w:r>
        <w:rPr>
          <w:rFonts w:hint="eastAsia" w:ascii="仿宋" w:hAnsi="仿宋" w:cs="仿宋"/>
          <w:szCs w:val="32"/>
        </w:rPr>
        <w:t>专栏1</w:t>
      </w:r>
      <w:r>
        <w:rPr>
          <w:rFonts w:ascii="仿宋" w:hAnsi="仿宋" w:cs="仿宋"/>
          <w:szCs w:val="32"/>
        </w:rPr>
        <w:t xml:space="preserve"> 安全生产主要指标</w:t>
      </w:r>
    </w:p>
    <w:tbl>
      <w:tblPr>
        <w:tblStyle w:val="26"/>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707"/>
        <w:gridCol w:w="2239"/>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ind w:firstLine="0" w:firstLineChars="0"/>
              <w:jc w:val="center"/>
            </w:pPr>
            <w:r>
              <w:rPr>
                <w:sz w:val="24"/>
                <w:szCs w:val="24"/>
                <w:lang w:bidi="ar"/>
              </w:rPr>
              <w:t>序号</w:t>
            </w:r>
          </w:p>
        </w:tc>
        <w:tc>
          <w:tcPr>
            <w:tcW w:w="4707" w:type="dxa"/>
            <w:shd w:val="clear" w:color="auto" w:fill="auto"/>
            <w:vAlign w:val="center"/>
          </w:tcPr>
          <w:p>
            <w:pPr>
              <w:ind w:firstLine="0" w:firstLineChars="0"/>
              <w:jc w:val="center"/>
            </w:pPr>
            <w:r>
              <w:rPr>
                <w:sz w:val="24"/>
                <w:szCs w:val="24"/>
                <w:lang w:bidi="ar"/>
              </w:rPr>
              <w:t>指标名称</w:t>
            </w:r>
          </w:p>
        </w:tc>
        <w:tc>
          <w:tcPr>
            <w:tcW w:w="2239" w:type="dxa"/>
            <w:vAlign w:val="center"/>
          </w:tcPr>
          <w:p>
            <w:pPr>
              <w:ind w:firstLine="0" w:firstLineChars="0"/>
              <w:jc w:val="center"/>
            </w:pPr>
            <w:r>
              <w:rPr>
                <w:rFonts w:hint="eastAsia"/>
                <w:sz w:val="24"/>
                <w:szCs w:val="24"/>
                <w:lang w:bidi="ar"/>
              </w:rPr>
              <w:t>2025年指标</w:t>
            </w:r>
            <w:r>
              <w:rPr>
                <w:sz w:val="24"/>
                <w:szCs w:val="24"/>
                <w:lang w:bidi="ar"/>
              </w:rPr>
              <w:t>值</w:t>
            </w:r>
          </w:p>
        </w:tc>
        <w:tc>
          <w:tcPr>
            <w:tcW w:w="1479" w:type="dxa"/>
            <w:vAlign w:val="center"/>
          </w:tcPr>
          <w:p>
            <w:pPr>
              <w:ind w:firstLine="0" w:firstLineChars="0"/>
              <w:jc w:val="center"/>
            </w:pPr>
            <w:r>
              <w:rPr>
                <w:sz w:val="24"/>
                <w:szCs w:val="24"/>
                <w:lang w:bidi="ar"/>
              </w:rPr>
              <w:t>指标</w:t>
            </w:r>
            <w:r>
              <w:rPr>
                <w:rFonts w:hint="eastAsia"/>
                <w:sz w:val="24"/>
                <w:szCs w:val="24"/>
                <w:lang w:bidi="ar"/>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ind w:firstLine="0" w:firstLineChars="0"/>
              <w:jc w:val="center"/>
            </w:pPr>
            <w:r>
              <w:rPr>
                <w:sz w:val="24"/>
                <w:szCs w:val="24"/>
                <w:lang w:bidi="ar"/>
              </w:rPr>
              <w:t>1</w:t>
            </w:r>
          </w:p>
        </w:tc>
        <w:tc>
          <w:tcPr>
            <w:tcW w:w="4707" w:type="dxa"/>
            <w:shd w:val="clear" w:color="auto" w:fill="auto"/>
            <w:vAlign w:val="center"/>
          </w:tcPr>
          <w:p>
            <w:pPr>
              <w:ind w:firstLine="0" w:firstLineChars="0"/>
              <w:jc w:val="center"/>
            </w:pPr>
            <w:r>
              <w:rPr>
                <w:color w:val="000000" w:themeColor="text1"/>
                <w:sz w:val="24"/>
                <w:szCs w:val="24"/>
                <w14:textFill>
                  <w14:solidFill>
                    <w14:schemeClr w14:val="tx1"/>
                  </w14:solidFill>
                </w14:textFill>
              </w:rPr>
              <w:t>生产安全事故死亡人数</w:t>
            </w:r>
          </w:p>
        </w:tc>
        <w:tc>
          <w:tcPr>
            <w:tcW w:w="2239" w:type="dxa"/>
            <w:vAlign w:val="center"/>
          </w:tcPr>
          <w:p>
            <w:pPr>
              <w:ind w:firstLine="0" w:firstLineChars="0"/>
              <w:jc w:val="center"/>
            </w:pPr>
            <w:r>
              <w:rPr>
                <w:rFonts w:hint="eastAsia"/>
                <w:color w:val="000000" w:themeColor="text1"/>
                <w:sz w:val="24"/>
                <w:szCs w:val="24"/>
                <w14:textFill>
                  <w14:solidFill>
                    <w14:schemeClr w14:val="tx1"/>
                  </w14:solidFill>
                </w14:textFill>
              </w:rPr>
              <w:t>与十三五期间持平</w:t>
            </w:r>
          </w:p>
        </w:tc>
        <w:tc>
          <w:tcPr>
            <w:tcW w:w="1479" w:type="dxa"/>
            <w:vAlign w:val="center"/>
          </w:tcPr>
          <w:p>
            <w:pPr>
              <w:ind w:firstLine="0" w:firstLineChars="0"/>
              <w:jc w:val="center"/>
            </w:pPr>
            <w:r>
              <w:rPr>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ind w:firstLine="0" w:firstLineChars="0"/>
              <w:jc w:val="center"/>
            </w:pPr>
            <w:r>
              <w:rPr>
                <w:rFonts w:hint="eastAsia"/>
                <w:sz w:val="24"/>
                <w:szCs w:val="24"/>
                <w:lang w:bidi="ar"/>
              </w:rPr>
              <w:t>2</w:t>
            </w:r>
          </w:p>
        </w:tc>
        <w:tc>
          <w:tcPr>
            <w:tcW w:w="4707" w:type="dxa"/>
            <w:shd w:val="clear" w:color="auto" w:fill="auto"/>
            <w:vAlign w:val="center"/>
          </w:tcPr>
          <w:p>
            <w:pPr>
              <w:ind w:firstLine="0" w:firstLineChars="0"/>
              <w:jc w:val="center"/>
            </w:pPr>
            <w:r>
              <w:rPr>
                <w:color w:val="000000" w:themeColor="text1"/>
                <w:sz w:val="24"/>
                <w:szCs w:val="24"/>
                <w14:textFill>
                  <w14:solidFill>
                    <w14:schemeClr w14:val="tx1"/>
                  </w14:solidFill>
                </w14:textFill>
              </w:rPr>
              <w:t>问题隐患按期整改率</w:t>
            </w:r>
          </w:p>
        </w:tc>
        <w:tc>
          <w:tcPr>
            <w:tcW w:w="2239" w:type="dxa"/>
            <w:vAlign w:val="center"/>
          </w:tcPr>
          <w:p>
            <w:pPr>
              <w:ind w:firstLine="0" w:firstLineChars="0"/>
              <w:jc w:val="center"/>
            </w:pPr>
            <w:r>
              <w:rPr>
                <w:color w:val="000000" w:themeColor="text1"/>
                <w:sz w:val="24"/>
                <w:szCs w:val="24"/>
                <w14:textFill>
                  <w14:solidFill>
                    <w14:schemeClr w14:val="tx1"/>
                  </w14:solidFill>
                </w14:textFill>
              </w:rPr>
              <w:t>100%</w:t>
            </w:r>
          </w:p>
        </w:tc>
        <w:tc>
          <w:tcPr>
            <w:tcW w:w="1479" w:type="dxa"/>
            <w:vAlign w:val="center"/>
          </w:tcPr>
          <w:p>
            <w:pPr>
              <w:ind w:firstLine="0" w:firstLineChars="0"/>
              <w:jc w:val="center"/>
            </w:pPr>
            <w:r>
              <w:rPr>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ind w:firstLine="0" w:firstLineChars="0"/>
              <w:jc w:val="center"/>
            </w:pPr>
            <w:r>
              <w:rPr>
                <w:rFonts w:hint="eastAsia"/>
                <w:sz w:val="24"/>
                <w:szCs w:val="24"/>
                <w:lang w:bidi="ar"/>
              </w:rPr>
              <w:t>3</w:t>
            </w:r>
          </w:p>
        </w:tc>
        <w:tc>
          <w:tcPr>
            <w:tcW w:w="4707" w:type="dxa"/>
            <w:shd w:val="clear" w:color="auto" w:fill="auto"/>
            <w:vAlign w:val="center"/>
          </w:tcPr>
          <w:p>
            <w:pPr>
              <w:ind w:firstLine="0" w:firstLineChars="0"/>
              <w:jc w:val="center"/>
            </w:pPr>
            <w:r>
              <w:rPr>
                <w:sz w:val="24"/>
                <w:szCs w:val="24"/>
              </w:rPr>
              <w:t>企业新增人员安全培训率</w:t>
            </w:r>
          </w:p>
        </w:tc>
        <w:tc>
          <w:tcPr>
            <w:tcW w:w="2239" w:type="dxa"/>
            <w:vAlign w:val="center"/>
          </w:tcPr>
          <w:p>
            <w:pPr>
              <w:ind w:firstLine="0" w:firstLineChars="0"/>
              <w:jc w:val="center"/>
            </w:pPr>
            <w:r>
              <w:rPr>
                <w:rFonts w:hint="eastAsia"/>
                <w:sz w:val="24"/>
                <w:szCs w:val="24"/>
              </w:rPr>
              <w:t>10</w:t>
            </w:r>
            <w:r>
              <w:rPr>
                <w:sz w:val="24"/>
                <w:szCs w:val="24"/>
              </w:rPr>
              <w:t>0%</w:t>
            </w:r>
          </w:p>
        </w:tc>
        <w:tc>
          <w:tcPr>
            <w:tcW w:w="1479" w:type="dxa"/>
            <w:vAlign w:val="center"/>
          </w:tcPr>
          <w:p>
            <w:pPr>
              <w:ind w:firstLine="0" w:firstLineChars="0"/>
              <w:jc w:val="center"/>
            </w:pPr>
            <w:r>
              <w:rPr>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ind w:firstLine="0" w:firstLineChars="0"/>
              <w:jc w:val="center"/>
            </w:pPr>
            <w:r>
              <w:rPr>
                <w:rFonts w:hint="eastAsia"/>
                <w:sz w:val="24"/>
                <w:szCs w:val="24"/>
                <w:lang w:bidi="ar"/>
              </w:rPr>
              <w:t>4</w:t>
            </w:r>
          </w:p>
        </w:tc>
        <w:tc>
          <w:tcPr>
            <w:tcW w:w="4707" w:type="dxa"/>
            <w:shd w:val="clear" w:color="auto" w:fill="auto"/>
            <w:vAlign w:val="center"/>
          </w:tcPr>
          <w:p>
            <w:pPr>
              <w:ind w:firstLine="0" w:firstLineChars="0"/>
              <w:jc w:val="center"/>
            </w:pPr>
            <w:r>
              <w:rPr>
                <w:rFonts w:hint="eastAsia"/>
                <w:sz w:val="24"/>
                <w:szCs w:val="24"/>
              </w:rPr>
              <w:t>重点行业领域企业安全标准化建设率</w:t>
            </w:r>
          </w:p>
        </w:tc>
        <w:tc>
          <w:tcPr>
            <w:tcW w:w="2239" w:type="dxa"/>
            <w:vAlign w:val="center"/>
          </w:tcPr>
          <w:p>
            <w:pPr>
              <w:ind w:firstLine="0" w:firstLineChars="0"/>
              <w:jc w:val="center"/>
            </w:pPr>
            <w:r>
              <w:rPr>
                <w:rFonts w:hint="eastAsia"/>
                <w:sz w:val="24"/>
                <w:szCs w:val="24"/>
              </w:rPr>
              <w:t>100%</w:t>
            </w:r>
          </w:p>
        </w:tc>
        <w:tc>
          <w:tcPr>
            <w:tcW w:w="1479" w:type="dxa"/>
            <w:vAlign w:val="center"/>
          </w:tcPr>
          <w:p>
            <w:pPr>
              <w:ind w:firstLine="0" w:firstLineChars="0"/>
              <w:jc w:val="center"/>
            </w:pPr>
            <w:r>
              <w:rPr>
                <w:sz w:val="24"/>
                <w:szCs w:val="24"/>
              </w:rPr>
              <w:t>预期性</w:t>
            </w:r>
          </w:p>
        </w:tc>
      </w:tr>
    </w:tbl>
    <w:p>
      <w:pPr>
        <w:pStyle w:val="19"/>
        <w:ind w:left="0" w:firstLine="643"/>
        <w:rPr>
          <w:rFonts w:ascii="Times New Roman" w:hAnsi="Times New Roman" w:eastAsia="仿宋" w:cs="Times New Roman"/>
          <w:smallCaps w:val="0"/>
          <w:sz w:val="32"/>
          <w:szCs w:val="32"/>
        </w:rPr>
      </w:pPr>
      <w:r>
        <w:rPr>
          <w:rFonts w:hint="eastAsia" w:ascii="Times New Roman" w:hAnsi="Times New Roman" w:eastAsia="仿宋" w:cs="Times New Roman"/>
          <w:b/>
          <w:bCs/>
          <w:smallCaps w:val="0"/>
          <w:sz w:val="32"/>
          <w:szCs w:val="32"/>
        </w:rPr>
        <w:t>防灾减灾目标</w:t>
      </w:r>
      <w:r>
        <w:rPr>
          <w:rFonts w:ascii="Times New Roman" w:hAnsi="Times New Roman" w:eastAsia="仿宋" w:cs="Times New Roman"/>
          <w:b/>
          <w:bCs/>
          <w:smallCaps w:val="0"/>
          <w:sz w:val="32"/>
          <w:szCs w:val="32"/>
        </w:rPr>
        <w:t>。</w:t>
      </w:r>
      <w:r>
        <w:rPr>
          <w:rFonts w:hint="eastAsia" w:ascii="Times New Roman" w:hAnsi="Times New Roman" w:eastAsia="仿宋" w:cs="Times New Roman"/>
          <w:smallCaps w:val="0"/>
          <w:sz w:val="32"/>
          <w:szCs w:val="32"/>
        </w:rPr>
        <w:t>洪涝灾害、地质灾害、地震灾害、森林火灾等风险早期识别和精准预警能力大幅提升。形成“专业监测＋预警平台＋责任人＋监测员”的立体监测预警格局，提高气象灾害综合监测能力预警能力、加强气象灾害预警信息发布、提高气象灾害风险评估能力，加强相关人员专业培训。进一步完善乡镇、村救灾物资储备体系，推进避难场所规范化建设。受灾群众基本生活得到有效救助，灾害综合救助水平显著提高。</w:t>
      </w:r>
    </w:p>
    <w:p>
      <w:pPr>
        <w:ind w:firstLine="640"/>
        <w:jc w:val="center"/>
        <w:rPr>
          <w:rFonts w:cs="Times New Roman"/>
          <w:sz w:val="24"/>
          <w:szCs w:val="21"/>
        </w:rPr>
      </w:pPr>
      <w:r>
        <w:rPr>
          <w:rFonts w:hint="eastAsia" w:ascii="仿宋" w:hAnsi="仿宋" w:cs="仿宋"/>
          <w:szCs w:val="32"/>
        </w:rPr>
        <w:t>专栏2</w:t>
      </w:r>
      <w:r>
        <w:rPr>
          <w:rFonts w:ascii="仿宋" w:hAnsi="仿宋" w:cs="仿宋"/>
          <w:szCs w:val="32"/>
        </w:rPr>
        <w:t xml:space="preserve"> 防灾减灾主要指标</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5010"/>
        <w:gridCol w:w="1779"/>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pct"/>
            <w:shd w:val="clear" w:color="auto" w:fill="auto"/>
            <w:vAlign w:val="center"/>
          </w:tcPr>
          <w:p>
            <w:pPr>
              <w:pStyle w:val="11"/>
              <w:spacing w:after="0" w:line="550" w:lineRule="exact"/>
              <w:rPr>
                <w:szCs w:val="24"/>
                <w:lang w:bidi="ar"/>
              </w:rPr>
            </w:pPr>
            <w:bookmarkStart w:id="20" w:name="_Toc98773630"/>
            <w:r>
              <w:rPr>
                <w:szCs w:val="24"/>
                <w:lang w:bidi="ar"/>
              </w:rPr>
              <w:t>序号</w:t>
            </w:r>
          </w:p>
        </w:tc>
        <w:tc>
          <w:tcPr>
            <w:tcW w:w="2765" w:type="pct"/>
            <w:shd w:val="clear" w:color="auto" w:fill="auto"/>
            <w:vAlign w:val="center"/>
          </w:tcPr>
          <w:p>
            <w:pPr>
              <w:pStyle w:val="11"/>
              <w:spacing w:after="0" w:line="550" w:lineRule="exact"/>
              <w:ind w:firstLine="480"/>
              <w:rPr>
                <w:color w:val="000000" w:themeColor="text1"/>
                <w:szCs w:val="24"/>
                <w:lang w:bidi="ar"/>
                <w14:textFill>
                  <w14:solidFill>
                    <w14:schemeClr w14:val="tx1"/>
                  </w14:solidFill>
                </w14:textFill>
              </w:rPr>
            </w:pPr>
            <w:r>
              <w:rPr>
                <w:color w:val="000000" w:themeColor="text1"/>
                <w:szCs w:val="24"/>
                <w:lang w:bidi="ar"/>
                <w14:textFill>
                  <w14:solidFill>
                    <w14:schemeClr w14:val="tx1"/>
                  </w14:solidFill>
                </w14:textFill>
              </w:rPr>
              <w:t>指标名称</w:t>
            </w:r>
          </w:p>
        </w:tc>
        <w:tc>
          <w:tcPr>
            <w:tcW w:w="982" w:type="pct"/>
            <w:vAlign w:val="center"/>
          </w:tcPr>
          <w:p>
            <w:pPr>
              <w:pStyle w:val="11"/>
              <w:spacing w:after="0" w:line="550" w:lineRule="exact"/>
              <w:ind w:firstLine="480"/>
              <w:rPr>
                <w:color w:val="000000" w:themeColor="text1"/>
                <w:szCs w:val="24"/>
                <w:lang w:bidi="ar"/>
                <w14:textFill>
                  <w14:solidFill>
                    <w14:schemeClr w14:val="tx1"/>
                  </w14:solidFill>
                </w14:textFill>
              </w:rPr>
            </w:pPr>
            <w:r>
              <w:rPr>
                <w:rFonts w:hint="eastAsia"/>
                <w:color w:val="000000" w:themeColor="text1"/>
                <w:szCs w:val="24"/>
                <w:lang w:bidi="ar"/>
                <w14:textFill>
                  <w14:solidFill>
                    <w14:schemeClr w14:val="tx1"/>
                  </w14:solidFill>
                </w14:textFill>
              </w:rPr>
              <w:t>预期</w:t>
            </w:r>
            <w:r>
              <w:rPr>
                <w:color w:val="000000" w:themeColor="text1"/>
                <w:szCs w:val="24"/>
                <w:lang w:bidi="ar"/>
                <w14:textFill>
                  <w14:solidFill>
                    <w14:schemeClr w14:val="tx1"/>
                  </w14:solidFill>
                </w14:textFill>
              </w:rPr>
              <w:t>值</w:t>
            </w:r>
          </w:p>
        </w:tc>
        <w:tc>
          <w:tcPr>
            <w:tcW w:w="722" w:type="pct"/>
            <w:vAlign w:val="center"/>
          </w:tcPr>
          <w:p>
            <w:pPr>
              <w:pStyle w:val="11"/>
              <w:spacing w:after="0" w:line="550" w:lineRule="exact"/>
              <w:rPr>
                <w:color w:val="000000" w:themeColor="text1"/>
                <w:szCs w:val="24"/>
                <w:lang w:bidi="ar"/>
                <w14:textFill>
                  <w14:solidFill>
                    <w14:schemeClr w14:val="tx1"/>
                  </w14:solidFill>
                </w14:textFill>
              </w:rPr>
            </w:pPr>
            <w:r>
              <w:rPr>
                <w:color w:val="000000" w:themeColor="text1"/>
                <w:szCs w:val="24"/>
                <w:lang w:bidi="ar"/>
                <w14:textFill>
                  <w14:solidFill>
                    <w14:schemeClr w14:val="tx1"/>
                  </w14:solidFill>
                </w14:textFill>
              </w:rPr>
              <w:t>指标</w:t>
            </w:r>
            <w:r>
              <w:rPr>
                <w:rFonts w:hint="eastAsia"/>
                <w:color w:val="000000" w:themeColor="text1"/>
                <w:szCs w:val="24"/>
                <w:lang w:bidi="ar"/>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pct"/>
            <w:shd w:val="clear" w:color="auto" w:fill="auto"/>
            <w:vAlign w:val="center"/>
          </w:tcPr>
          <w:p>
            <w:pPr>
              <w:pStyle w:val="11"/>
              <w:spacing w:after="0" w:line="550" w:lineRule="exact"/>
              <w:ind w:firstLine="480"/>
              <w:rPr>
                <w:szCs w:val="24"/>
                <w:lang w:bidi="ar"/>
              </w:rPr>
            </w:pPr>
            <w:r>
              <w:rPr>
                <w:szCs w:val="24"/>
                <w:lang w:bidi="ar"/>
              </w:rPr>
              <w:t>1</w:t>
            </w:r>
          </w:p>
        </w:tc>
        <w:tc>
          <w:tcPr>
            <w:tcW w:w="2765" w:type="pct"/>
            <w:shd w:val="clear" w:color="auto" w:fill="auto"/>
            <w:vAlign w:val="center"/>
          </w:tcPr>
          <w:p>
            <w:pPr>
              <w:pStyle w:val="11"/>
              <w:spacing w:after="0" w:line="550" w:lineRule="exact"/>
              <w:rPr>
                <w:color w:val="000000" w:themeColor="text1"/>
                <w:szCs w:val="24"/>
                <w:lang w:bidi="ar"/>
                <w14:textFill>
                  <w14:solidFill>
                    <w14:schemeClr w14:val="tx1"/>
                  </w14:solidFill>
                </w14:textFill>
              </w:rPr>
            </w:pPr>
            <w:r>
              <w:rPr>
                <w:color w:val="000000" w:themeColor="text1"/>
                <w:kern w:val="0"/>
                <w:szCs w:val="24"/>
                <w14:textFill>
                  <w14:solidFill>
                    <w14:schemeClr w14:val="tx1"/>
                  </w14:solidFill>
                </w14:textFill>
              </w:rPr>
              <w:t>灾害点位智能监测覆盖率</w:t>
            </w:r>
          </w:p>
        </w:tc>
        <w:tc>
          <w:tcPr>
            <w:tcW w:w="982" w:type="pct"/>
            <w:vAlign w:val="center"/>
          </w:tcPr>
          <w:p>
            <w:pPr>
              <w:pStyle w:val="11"/>
              <w:spacing w:after="0" w:line="550" w:lineRule="exact"/>
              <w:rPr>
                <w:color w:val="000000" w:themeColor="text1"/>
                <w:szCs w:val="24"/>
                <w:lang w:bidi="ar"/>
                <w14:textFill>
                  <w14:solidFill>
                    <w14:schemeClr w14:val="tx1"/>
                  </w14:solidFill>
                </w14:textFill>
              </w:rPr>
            </w:pPr>
            <w:r>
              <w:rPr>
                <w:color w:val="000000" w:themeColor="text1"/>
                <w:szCs w:val="24"/>
                <w:lang w:bidi="ar"/>
                <w14:textFill>
                  <w14:solidFill>
                    <w14:schemeClr w14:val="tx1"/>
                  </w14:solidFill>
                </w14:textFill>
              </w:rPr>
              <w:t>≥80%</w:t>
            </w:r>
          </w:p>
        </w:tc>
        <w:tc>
          <w:tcPr>
            <w:tcW w:w="722" w:type="pct"/>
            <w:vAlign w:val="center"/>
          </w:tcPr>
          <w:p>
            <w:pPr>
              <w:pStyle w:val="11"/>
              <w:spacing w:after="0" w:line="550" w:lineRule="exact"/>
              <w:rPr>
                <w:color w:val="000000" w:themeColor="text1"/>
                <w:szCs w:val="24"/>
                <w:lang w:bidi="ar"/>
                <w14:textFill>
                  <w14:solidFill>
                    <w14:schemeClr w14:val="tx1"/>
                  </w14:solidFill>
                </w14:textFill>
              </w:rPr>
            </w:pPr>
            <w:r>
              <w:rPr>
                <w:color w:val="000000" w:themeColor="text1"/>
                <w:kern w:val="0"/>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pct"/>
            <w:shd w:val="clear" w:color="auto" w:fill="auto"/>
            <w:vAlign w:val="center"/>
          </w:tcPr>
          <w:p>
            <w:pPr>
              <w:pStyle w:val="11"/>
              <w:spacing w:after="0" w:line="550" w:lineRule="exact"/>
              <w:ind w:firstLine="480"/>
              <w:rPr>
                <w:szCs w:val="24"/>
                <w:lang w:bidi="ar"/>
              </w:rPr>
            </w:pPr>
            <w:r>
              <w:rPr>
                <w:rFonts w:hint="eastAsia"/>
                <w:szCs w:val="24"/>
                <w:lang w:bidi="ar"/>
              </w:rPr>
              <w:t>2</w:t>
            </w:r>
          </w:p>
        </w:tc>
        <w:tc>
          <w:tcPr>
            <w:tcW w:w="2765" w:type="pct"/>
            <w:shd w:val="clear" w:color="auto" w:fill="auto"/>
            <w:vAlign w:val="center"/>
          </w:tcPr>
          <w:p>
            <w:pPr>
              <w:pStyle w:val="11"/>
              <w:spacing w:line="550" w:lineRule="exact"/>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t>灾害信息发布公众覆盖率</w:t>
            </w:r>
          </w:p>
        </w:tc>
        <w:tc>
          <w:tcPr>
            <w:tcW w:w="982" w:type="pct"/>
            <w:vAlign w:val="center"/>
          </w:tcPr>
          <w:p>
            <w:pPr>
              <w:pStyle w:val="11"/>
              <w:spacing w:line="550" w:lineRule="exact"/>
              <w:rPr>
                <w:color w:val="000000" w:themeColor="text1"/>
                <w:szCs w:val="24"/>
                <w:vertAlign w:val="superscript"/>
                <w14:textFill>
                  <w14:solidFill>
                    <w14:schemeClr w14:val="tx1"/>
                  </w14:solidFill>
                </w14:textFill>
              </w:rPr>
            </w:pPr>
            <w:r>
              <w:rPr>
                <w:color w:val="000000" w:themeColor="text1"/>
                <w:szCs w:val="24"/>
                <w:lang w:bidi="ar"/>
                <w14:textFill>
                  <w14:solidFill>
                    <w14:schemeClr w14:val="tx1"/>
                  </w14:solidFill>
                </w14:textFill>
              </w:rPr>
              <w:t>＞90%</w:t>
            </w:r>
          </w:p>
        </w:tc>
        <w:tc>
          <w:tcPr>
            <w:tcW w:w="722" w:type="pct"/>
            <w:vAlign w:val="center"/>
          </w:tcPr>
          <w:p>
            <w:pPr>
              <w:pStyle w:val="11"/>
              <w:spacing w:after="0" w:line="550" w:lineRule="exact"/>
              <w:rPr>
                <w:color w:val="000000" w:themeColor="text1"/>
                <w:szCs w:val="24"/>
                <w:lang w:bidi="ar"/>
                <w14:textFill>
                  <w14:solidFill>
                    <w14:schemeClr w14:val="tx1"/>
                  </w14:solidFill>
                </w14:textFill>
              </w:rPr>
            </w:pPr>
            <w:r>
              <w:rPr>
                <w:color w:val="000000" w:themeColor="text1"/>
                <w:szCs w:val="24"/>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pct"/>
            <w:shd w:val="clear" w:color="auto" w:fill="auto"/>
            <w:vAlign w:val="center"/>
          </w:tcPr>
          <w:p>
            <w:pPr>
              <w:pStyle w:val="11"/>
              <w:spacing w:after="0" w:line="550" w:lineRule="exact"/>
              <w:ind w:firstLine="480"/>
              <w:rPr>
                <w:szCs w:val="24"/>
                <w:lang w:bidi="ar"/>
              </w:rPr>
            </w:pPr>
            <w:r>
              <w:rPr>
                <w:rFonts w:hint="eastAsia"/>
                <w:szCs w:val="24"/>
                <w:lang w:bidi="ar"/>
              </w:rPr>
              <w:t>3</w:t>
            </w:r>
          </w:p>
        </w:tc>
        <w:tc>
          <w:tcPr>
            <w:tcW w:w="2765" w:type="pct"/>
            <w:shd w:val="clear" w:color="auto" w:fill="auto"/>
            <w:vAlign w:val="center"/>
          </w:tcPr>
          <w:p>
            <w:pPr>
              <w:pStyle w:val="11"/>
              <w:spacing w:line="550" w:lineRule="exact"/>
              <w:rPr>
                <w:color w:val="000000" w:themeColor="text1"/>
                <w:szCs w:val="24"/>
                <w14:textFill>
                  <w14:solidFill>
                    <w14:schemeClr w14:val="tx1"/>
                  </w14:solidFill>
                </w14:textFill>
              </w:rPr>
            </w:pPr>
            <w:r>
              <w:rPr>
                <w:rFonts w:hint="eastAsia"/>
                <w:color w:val="000000" w:themeColor="text1"/>
                <w:szCs w:val="24"/>
                <w:lang w:bidi="ar"/>
                <w14:textFill>
                  <w14:solidFill>
                    <w14:schemeClr w14:val="tx1"/>
                  </w14:solidFill>
                </w14:textFill>
              </w:rPr>
              <w:t>中心村应急物资储备点物资配备率</w:t>
            </w:r>
          </w:p>
        </w:tc>
        <w:tc>
          <w:tcPr>
            <w:tcW w:w="982" w:type="pct"/>
            <w:vAlign w:val="center"/>
          </w:tcPr>
          <w:p>
            <w:pPr>
              <w:pStyle w:val="11"/>
              <w:spacing w:line="550" w:lineRule="exact"/>
              <w:rPr>
                <w:color w:val="000000" w:themeColor="text1"/>
                <w:szCs w:val="24"/>
                <w:lang w:bidi="ar"/>
                <w14:textFill>
                  <w14:solidFill>
                    <w14:schemeClr w14:val="tx1"/>
                  </w14:solidFill>
                </w14:textFill>
              </w:rPr>
            </w:pPr>
            <w:r>
              <w:rPr>
                <w:rFonts w:hint="eastAsia"/>
                <w:color w:val="000000" w:themeColor="text1"/>
                <w:szCs w:val="24"/>
                <w:lang w:bidi="ar"/>
                <w14:textFill>
                  <w14:solidFill>
                    <w14:schemeClr w14:val="tx1"/>
                  </w14:solidFill>
                </w14:textFill>
              </w:rPr>
              <w:t>10</w:t>
            </w:r>
            <w:r>
              <w:rPr>
                <w:color w:val="000000" w:themeColor="text1"/>
                <w:szCs w:val="24"/>
                <w:lang w:bidi="ar"/>
                <w14:textFill>
                  <w14:solidFill>
                    <w14:schemeClr w14:val="tx1"/>
                  </w14:solidFill>
                </w14:textFill>
              </w:rPr>
              <w:t>0%</w:t>
            </w:r>
          </w:p>
        </w:tc>
        <w:tc>
          <w:tcPr>
            <w:tcW w:w="722" w:type="pct"/>
            <w:vAlign w:val="center"/>
          </w:tcPr>
          <w:p>
            <w:pPr>
              <w:pStyle w:val="11"/>
              <w:spacing w:line="550" w:lineRule="exact"/>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pct"/>
            <w:shd w:val="clear" w:color="auto" w:fill="auto"/>
            <w:vAlign w:val="center"/>
          </w:tcPr>
          <w:p>
            <w:pPr>
              <w:pStyle w:val="11"/>
              <w:spacing w:after="0" w:line="550" w:lineRule="exact"/>
              <w:ind w:firstLine="480"/>
              <w:rPr>
                <w:szCs w:val="24"/>
                <w:lang w:bidi="ar"/>
              </w:rPr>
            </w:pPr>
            <w:r>
              <w:rPr>
                <w:rFonts w:hint="eastAsia"/>
                <w:szCs w:val="24"/>
                <w:lang w:bidi="ar"/>
              </w:rPr>
              <w:t>4</w:t>
            </w:r>
          </w:p>
        </w:tc>
        <w:tc>
          <w:tcPr>
            <w:tcW w:w="2765" w:type="pct"/>
            <w:shd w:val="clear" w:color="auto" w:fill="auto"/>
            <w:vAlign w:val="center"/>
          </w:tcPr>
          <w:p>
            <w:pPr>
              <w:pStyle w:val="11"/>
              <w:spacing w:after="0" w:line="550" w:lineRule="exact"/>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t>应急避难场所人均避难面积</w:t>
            </w:r>
          </w:p>
        </w:tc>
        <w:tc>
          <w:tcPr>
            <w:tcW w:w="982" w:type="pct"/>
            <w:vAlign w:val="center"/>
          </w:tcPr>
          <w:p>
            <w:pPr>
              <w:pStyle w:val="11"/>
              <w:spacing w:after="0" w:line="550" w:lineRule="exact"/>
              <w:rPr>
                <w:color w:val="000000" w:themeColor="text1"/>
                <w:szCs w:val="24"/>
                <w:lang w:bidi="ar"/>
                <w14:textFill>
                  <w14:solidFill>
                    <w14:schemeClr w14:val="tx1"/>
                  </w14:solidFill>
                </w14:textFill>
              </w:rPr>
            </w:pPr>
            <w:r>
              <w:rPr>
                <w:color w:val="000000" w:themeColor="text1"/>
                <w:szCs w:val="24"/>
                <w:lang w:bidi="ar"/>
                <w14:textFill>
                  <w14:solidFill>
                    <w14:schemeClr w14:val="tx1"/>
                  </w14:solidFill>
                </w14:textFill>
              </w:rPr>
              <w:t>＞1.5m</w:t>
            </w:r>
            <w:r>
              <w:rPr>
                <w:color w:val="000000" w:themeColor="text1"/>
                <w:szCs w:val="24"/>
                <w:vertAlign w:val="superscript"/>
                <w:lang w:bidi="ar"/>
                <w14:textFill>
                  <w14:solidFill>
                    <w14:schemeClr w14:val="tx1"/>
                  </w14:solidFill>
                </w14:textFill>
              </w:rPr>
              <w:t>2</w:t>
            </w:r>
          </w:p>
        </w:tc>
        <w:tc>
          <w:tcPr>
            <w:tcW w:w="722" w:type="pct"/>
            <w:vAlign w:val="center"/>
          </w:tcPr>
          <w:p>
            <w:pPr>
              <w:pStyle w:val="11"/>
              <w:spacing w:line="550" w:lineRule="exact"/>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9" w:type="pct"/>
            <w:shd w:val="clear" w:color="auto" w:fill="auto"/>
            <w:vAlign w:val="center"/>
          </w:tcPr>
          <w:p>
            <w:pPr>
              <w:pStyle w:val="11"/>
              <w:spacing w:after="0" w:line="550" w:lineRule="exact"/>
              <w:ind w:firstLine="480"/>
              <w:rPr>
                <w:szCs w:val="24"/>
                <w:lang w:bidi="ar"/>
              </w:rPr>
            </w:pPr>
            <w:r>
              <w:rPr>
                <w:rFonts w:hint="eastAsia"/>
                <w:szCs w:val="24"/>
                <w:lang w:bidi="ar"/>
              </w:rPr>
              <w:t>5</w:t>
            </w:r>
          </w:p>
        </w:tc>
        <w:tc>
          <w:tcPr>
            <w:tcW w:w="2765" w:type="pct"/>
            <w:shd w:val="clear" w:color="auto" w:fill="auto"/>
            <w:vAlign w:val="center"/>
          </w:tcPr>
          <w:p>
            <w:pPr>
              <w:pStyle w:val="11"/>
              <w:spacing w:line="550" w:lineRule="exact"/>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t>受灾群众基本生活得到有效救助</w:t>
            </w:r>
          </w:p>
        </w:tc>
        <w:tc>
          <w:tcPr>
            <w:tcW w:w="982" w:type="pct"/>
            <w:vAlign w:val="center"/>
          </w:tcPr>
          <w:p>
            <w:pPr>
              <w:pStyle w:val="11"/>
              <w:spacing w:line="550" w:lineRule="exact"/>
              <w:rPr>
                <w:color w:val="000000" w:themeColor="text1"/>
                <w:szCs w:val="24"/>
                <w:lang w:bidi="ar"/>
                <w14:textFill>
                  <w14:solidFill>
                    <w14:schemeClr w14:val="tx1"/>
                  </w14:solidFill>
                </w14:textFill>
              </w:rPr>
            </w:pPr>
            <w:r>
              <w:rPr>
                <w:rFonts w:hint="eastAsia"/>
                <w:color w:val="000000" w:themeColor="text1"/>
                <w:szCs w:val="24"/>
                <w:lang w:bidi="ar"/>
                <w14:textFill>
                  <w14:solidFill>
                    <w14:schemeClr w14:val="tx1"/>
                  </w14:solidFill>
                </w14:textFill>
              </w:rPr>
              <w:t>8</w:t>
            </w:r>
            <w:r>
              <w:rPr>
                <w:color w:val="000000" w:themeColor="text1"/>
                <w:szCs w:val="24"/>
                <w:lang w:bidi="ar"/>
                <w14:textFill>
                  <w14:solidFill>
                    <w14:schemeClr w14:val="tx1"/>
                  </w14:solidFill>
                </w14:textFill>
              </w:rPr>
              <w:t>小时之内</w:t>
            </w:r>
          </w:p>
        </w:tc>
        <w:tc>
          <w:tcPr>
            <w:tcW w:w="722" w:type="pct"/>
            <w:vAlign w:val="center"/>
          </w:tcPr>
          <w:p>
            <w:pPr>
              <w:pStyle w:val="11"/>
              <w:spacing w:line="550" w:lineRule="exact"/>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t>预期性</w:t>
            </w:r>
          </w:p>
        </w:tc>
      </w:tr>
    </w:tbl>
    <w:p>
      <w:pPr>
        <w:ind w:firstLine="643"/>
        <w:rPr>
          <w:rFonts w:cs="Times New Roman"/>
          <w:szCs w:val="32"/>
        </w:rPr>
      </w:pPr>
      <w:r>
        <w:rPr>
          <w:rFonts w:hint="eastAsia" w:cs="Times New Roman"/>
          <w:b/>
          <w:bCs/>
          <w:szCs w:val="32"/>
        </w:rPr>
        <w:t>应急能力目标。</w:t>
      </w:r>
      <w:r>
        <w:rPr>
          <w:rFonts w:hint="eastAsia" w:cs="Times New Roman"/>
          <w:szCs w:val="32"/>
        </w:rPr>
        <w:t>各镇完善应急管理机构，建设消防站和应急指挥分中心，全面建成配置科学、体系完备、指挥顺畅、技能精湛的救援力量体系，基本形成乡镇快速响应圈。应急救援人员装备配备水平基本符合实际工作需要。片区内应急管理和处置工作实现村、镇和友邻县乡联动。</w:t>
      </w:r>
    </w:p>
    <w:bookmarkEnd w:id="20"/>
    <w:p>
      <w:pPr>
        <w:ind w:firstLine="640"/>
        <w:jc w:val="center"/>
        <w:rPr>
          <w:rFonts w:ascii="仿宋" w:hAnsi="仿宋" w:cs="仿宋"/>
          <w:szCs w:val="32"/>
        </w:rPr>
      </w:pPr>
      <w:r>
        <w:rPr>
          <w:rFonts w:hint="eastAsia" w:ascii="仿宋" w:hAnsi="仿宋" w:cs="仿宋"/>
          <w:szCs w:val="32"/>
        </w:rPr>
        <w:t>专栏3</w:t>
      </w:r>
      <w:r>
        <w:rPr>
          <w:rFonts w:ascii="仿宋" w:hAnsi="仿宋" w:cs="仿宋"/>
          <w:szCs w:val="32"/>
        </w:rPr>
        <w:t xml:space="preserve"> 应急能力主要指标</w:t>
      </w:r>
    </w:p>
    <w:bookmarkEnd w:id="19"/>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5088"/>
        <w:gridCol w:w="1778"/>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bookmarkStart w:id="21" w:name="_Toc91792983"/>
            <w:bookmarkStart w:id="22" w:name="_Toc91790490"/>
            <w:bookmarkStart w:id="23" w:name="_Toc98773631"/>
            <w:r>
              <w:rPr>
                <w:szCs w:val="24"/>
                <w:lang w:bidi="ar"/>
              </w:rPr>
              <w:t>序号</w:t>
            </w:r>
          </w:p>
        </w:tc>
        <w:tc>
          <w:tcPr>
            <w:tcW w:w="2808" w:type="pct"/>
            <w:shd w:val="clear" w:color="auto" w:fill="auto"/>
            <w:vAlign w:val="center"/>
          </w:tcPr>
          <w:p>
            <w:pPr>
              <w:pStyle w:val="11"/>
              <w:spacing w:after="0" w:line="550" w:lineRule="exact"/>
              <w:rPr>
                <w:szCs w:val="24"/>
                <w:lang w:bidi="ar"/>
              </w:rPr>
            </w:pPr>
            <w:r>
              <w:rPr>
                <w:szCs w:val="24"/>
                <w:lang w:bidi="ar"/>
              </w:rPr>
              <w:t>指标名称</w:t>
            </w:r>
          </w:p>
        </w:tc>
        <w:tc>
          <w:tcPr>
            <w:tcW w:w="981" w:type="pct"/>
            <w:vAlign w:val="center"/>
          </w:tcPr>
          <w:p>
            <w:pPr>
              <w:pStyle w:val="11"/>
              <w:spacing w:after="0" w:line="550" w:lineRule="exact"/>
              <w:rPr>
                <w:szCs w:val="24"/>
                <w:lang w:bidi="ar"/>
              </w:rPr>
            </w:pPr>
            <w:r>
              <w:rPr>
                <w:szCs w:val="24"/>
                <w:lang w:bidi="ar"/>
              </w:rPr>
              <w:t>预期值</w:t>
            </w:r>
          </w:p>
        </w:tc>
        <w:tc>
          <w:tcPr>
            <w:tcW w:w="681" w:type="pct"/>
            <w:vAlign w:val="center"/>
          </w:tcPr>
          <w:p>
            <w:pPr>
              <w:pStyle w:val="11"/>
              <w:spacing w:after="0" w:line="550" w:lineRule="exact"/>
              <w:rPr>
                <w:szCs w:val="24"/>
                <w:lang w:bidi="ar"/>
              </w:rPr>
            </w:pPr>
            <w:r>
              <w:rPr>
                <w:szCs w:val="24"/>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r>
              <w:rPr>
                <w:rFonts w:hint="eastAsia"/>
                <w:szCs w:val="24"/>
                <w:lang w:bidi="ar"/>
              </w:rPr>
              <w:t>1</w:t>
            </w:r>
          </w:p>
        </w:tc>
        <w:tc>
          <w:tcPr>
            <w:tcW w:w="2808" w:type="pct"/>
            <w:shd w:val="clear" w:color="auto" w:fill="auto"/>
            <w:vAlign w:val="center"/>
          </w:tcPr>
          <w:p>
            <w:pPr>
              <w:pStyle w:val="11"/>
              <w:spacing w:line="550" w:lineRule="exact"/>
              <w:rPr>
                <w:szCs w:val="24"/>
                <w:lang w:bidi="ar"/>
              </w:rPr>
            </w:pPr>
            <w:r>
              <w:rPr>
                <w:rFonts w:hint="eastAsia"/>
                <w:szCs w:val="24"/>
                <w:lang w:bidi="ar"/>
              </w:rPr>
              <w:t>乡</w:t>
            </w:r>
            <w:r>
              <w:rPr>
                <w:szCs w:val="24"/>
                <w:lang w:bidi="ar"/>
              </w:rPr>
              <w:t>镇应急管理</w:t>
            </w:r>
            <w:r>
              <w:rPr>
                <w:rFonts w:hint="eastAsia"/>
                <w:szCs w:val="24"/>
                <w:lang w:bidi="ar"/>
              </w:rPr>
              <w:t>专职</w:t>
            </w:r>
            <w:r>
              <w:rPr>
                <w:szCs w:val="24"/>
                <w:lang w:bidi="ar"/>
              </w:rPr>
              <w:t>工作人员</w:t>
            </w:r>
          </w:p>
        </w:tc>
        <w:tc>
          <w:tcPr>
            <w:tcW w:w="981" w:type="pct"/>
            <w:vAlign w:val="center"/>
          </w:tcPr>
          <w:p>
            <w:pPr>
              <w:pStyle w:val="11"/>
              <w:spacing w:line="550" w:lineRule="exact"/>
              <w:rPr>
                <w:szCs w:val="24"/>
                <w:lang w:bidi="ar"/>
              </w:rPr>
            </w:pPr>
            <w:r>
              <w:rPr>
                <w:rFonts w:hint="eastAsia"/>
                <w:szCs w:val="24"/>
                <w:lang w:bidi="ar"/>
              </w:rPr>
              <w:t>≥2名</w:t>
            </w:r>
          </w:p>
        </w:tc>
        <w:tc>
          <w:tcPr>
            <w:tcW w:w="681" w:type="pct"/>
            <w:vAlign w:val="center"/>
          </w:tcPr>
          <w:p>
            <w:pPr>
              <w:pStyle w:val="11"/>
              <w:spacing w:line="550" w:lineRule="exact"/>
              <w:rPr>
                <w:szCs w:val="24"/>
                <w:lang w:bidi="ar"/>
              </w:rPr>
            </w:pPr>
            <w:r>
              <w:rPr>
                <w:szCs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r>
              <w:rPr>
                <w:rFonts w:hint="eastAsia"/>
                <w:szCs w:val="24"/>
                <w:lang w:bidi="ar"/>
              </w:rPr>
              <w:t>2</w:t>
            </w:r>
          </w:p>
        </w:tc>
        <w:tc>
          <w:tcPr>
            <w:tcW w:w="2808" w:type="pct"/>
            <w:shd w:val="clear" w:color="auto" w:fill="auto"/>
            <w:vAlign w:val="center"/>
          </w:tcPr>
          <w:p>
            <w:pPr>
              <w:pStyle w:val="11"/>
              <w:spacing w:after="0" w:line="550" w:lineRule="exact"/>
              <w:rPr>
                <w:szCs w:val="24"/>
                <w:lang w:bidi="ar"/>
              </w:rPr>
            </w:pPr>
            <w:r>
              <w:rPr>
                <w:szCs w:val="24"/>
              </w:rPr>
              <w:t>应急管理机构专业人员占比</w:t>
            </w:r>
          </w:p>
        </w:tc>
        <w:tc>
          <w:tcPr>
            <w:tcW w:w="981" w:type="pct"/>
            <w:vAlign w:val="center"/>
          </w:tcPr>
          <w:p>
            <w:pPr>
              <w:pStyle w:val="11"/>
              <w:spacing w:after="0" w:line="550" w:lineRule="exact"/>
              <w:rPr>
                <w:szCs w:val="24"/>
                <w:lang w:bidi="ar"/>
              </w:rPr>
            </w:pPr>
            <w:r>
              <w:rPr>
                <w:szCs w:val="24"/>
              </w:rPr>
              <w:t>＞60%</w:t>
            </w:r>
          </w:p>
        </w:tc>
        <w:tc>
          <w:tcPr>
            <w:tcW w:w="681" w:type="pct"/>
            <w:vAlign w:val="center"/>
          </w:tcPr>
          <w:p>
            <w:pPr>
              <w:pStyle w:val="11"/>
              <w:spacing w:after="0" w:line="550" w:lineRule="exact"/>
              <w:rPr>
                <w:szCs w:val="24"/>
                <w:lang w:bidi="ar"/>
              </w:rPr>
            </w:pPr>
            <w:r>
              <w:rPr>
                <w:szCs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r>
              <w:rPr>
                <w:rFonts w:hint="eastAsia"/>
                <w:szCs w:val="24"/>
                <w:lang w:bidi="ar"/>
              </w:rPr>
              <w:t>3</w:t>
            </w:r>
          </w:p>
        </w:tc>
        <w:tc>
          <w:tcPr>
            <w:tcW w:w="2808" w:type="pct"/>
            <w:shd w:val="clear" w:color="auto" w:fill="auto"/>
            <w:vAlign w:val="center"/>
          </w:tcPr>
          <w:p>
            <w:pPr>
              <w:widowControl/>
              <w:ind w:firstLine="0" w:firstLineChars="0"/>
              <w:jc w:val="center"/>
              <w:rPr>
                <w:sz w:val="24"/>
                <w:szCs w:val="24"/>
              </w:rPr>
            </w:pPr>
            <w:r>
              <w:rPr>
                <w:rFonts w:ascii="仿宋" w:hAnsi="仿宋" w:cs="仿宋"/>
                <w:kern w:val="0"/>
                <w:sz w:val="24"/>
                <w:szCs w:val="24"/>
                <w:lang w:bidi="ar"/>
              </w:rPr>
              <w:t>应急救援</w:t>
            </w:r>
            <w:r>
              <w:rPr>
                <w:rFonts w:hint="eastAsia" w:ascii="仿宋" w:hAnsi="仿宋" w:cs="仿宋"/>
                <w:kern w:val="0"/>
                <w:sz w:val="24"/>
                <w:szCs w:val="24"/>
                <w:lang w:bidi="ar"/>
              </w:rPr>
              <w:t>人员</w:t>
            </w:r>
            <w:r>
              <w:rPr>
                <w:rFonts w:ascii="仿宋" w:hAnsi="仿宋" w:cs="仿宋"/>
                <w:kern w:val="0"/>
                <w:sz w:val="24"/>
                <w:szCs w:val="24"/>
                <w:lang w:bidi="ar"/>
              </w:rPr>
              <w:t>受专业培训率</w:t>
            </w:r>
          </w:p>
        </w:tc>
        <w:tc>
          <w:tcPr>
            <w:tcW w:w="981" w:type="pct"/>
            <w:vAlign w:val="center"/>
          </w:tcPr>
          <w:p>
            <w:pPr>
              <w:widowControl/>
              <w:ind w:firstLine="0" w:firstLineChars="0"/>
              <w:jc w:val="center"/>
              <w:rPr>
                <w:sz w:val="24"/>
                <w:szCs w:val="24"/>
              </w:rPr>
            </w:pPr>
            <w:r>
              <w:rPr>
                <w:rFonts w:eastAsia="宋体" w:cs="Times New Roman"/>
                <w:kern w:val="0"/>
                <w:sz w:val="24"/>
                <w:szCs w:val="24"/>
                <w:lang w:bidi="ar"/>
              </w:rPr>
              <w:t>100%</w:t>
            </w:r>
          </w:p>
        </w:tc>
        <w:tc>
          <w:tcPr>
            <w:tcW w:w="681" w:type="pct"/>
            <w:vAlign w:val="center"/>
          </w:tcPr>
          <w:p>
            <w:pPr>
              <w:pStyle w:val="11"/>
              <w:spacing w:line="550" w:lineRule="exact"/>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28" w:type="pct"/>
            <w:shd w:val="clear" w:color="auto" w:fill="auto"/>
            <w:vAlign w:val="center"/>
          </w:tcPr>
          <w:p>
            <w:pPr>
              <w:pStyle w:val="11"/>
              <w:spacing w:after="0" w:line="550" w:lineRule="exact"/>
              <w:rPr>
                <w:szCs w:val="24"/>
                <w:lang w:bidi="ar"/>
              </w:rPr>
            </w:pPr>
            <w:r>
              <w:rPr>
                <w:rFonts w:hint="eastAsia"/>
                <w:szCs w:val="24"/>
                <w:lang w:bidi="ar"/>
              </w:rPr>
              <w:t>4</w:t>
            </w:r>
          </w:p>
        </w:tc>
        <w:tc>
          <w:tcPr>
            <w:tcW w:w="2808" w:type="pct"/>
            <w:shd w:val="clear" w:color="auto" w:fill="auto"/>
            <w:vAlign w:val="center"/>
          </w:tcPr>
          <w:p>
            <w:pPr>
              <w:widowControl/>
              <w:ind w:firstLine="0" w:firstLineChars="0"/>
              <w:jc w:val="center"/>
              <w:rPr>
                <w:rFonts w:ascii="仿宋" w:hAnsi="仿宋" w:cs="仿宋"/>
                <w:kern w:val="0"/>
                <w:sz w:val="24"/>
                <w:szCs w:val="24"/>
                <w:lang w:bidi="ar"/>
              </w:rPr>
            </w:pPr>
            <w:r>
              <w:rPr>
                <w:rFonts w:cs="Times New Roman"/>
                <w:color w:val="000000" w:themeColor="text1"/>
                <w:kern w:val="0"/>
                <w:sz w:val="24"/>
                <w:szCs w:val="24"/>
                <w:lang w:bidi="ar"/>
                <w14:textFill>
                  <w14:solidFill>
                    <w14:schemeClr w14:val="tx1"/>
                  </w14:solidFill>
                </w14:textFill>
              </w:rPr>
              <w:t>乡镇、村</w:t>
            </w:r>
            <w:r>
              <w:rPr>
                <w:rFonts w:hint="eastAsia" w:cs="Times New Roman"/>
                <w:color w:val="000000" w:themeColor="text1"/>
                <w:kern w:val="0"/>
                <w:sz w:val="24"/>
                <w:szCs w:val="24"/>
                <w:lang w:bidi="ar"/>
                <w14:textFill>
                  <w14:solidFill>
                    <w14:schemeClr w14:val="tx1"/>
                  </w14:solidFill>
                </w14:textFill>
              </w:rPr>
              <w:t>社</w:t>
            </w:r>
            <w:r>
              <w:rPr>
                <w:rFonts w:hint="eastAsia" w:ascii="仿宋" w:hAnsi="仿宋" w:cs="仿宋"/>
                <w:kern w:val="0"/>
                <w:sz w:val="24"/>
                <w:szCs w:val="24"/>
                <w:lang w:bidi="ar"/>
              </w:rPr>
              <w:t>应急队装备配备率</w:t>
            </w:r>
          </w:p>
        </w:tc>
        <w:tc>
          <w:tcPr>
            <w:tcW w:w="981" w:type="pct"/>
            <w:vAlign w:val="center"/>
          </w:tcPr>
          <w:p>
            <w:pPr>
              <w:widowControl/>
              <w:ind w:firstLine="0" w:firstLineChars="0"/>
              <w:jc w:val="center"/>
              <w:rPr>
                <w:rFonts w:eastAsia="宋体" w:cs="Times New Roman"/>
                <w:kern w:val="0"/>
                <w:sz w:val="24"/>
                <w:szCs w:val="24"/>
                <w:lang w:bidi="ar"/>
              </w:rPr>
            </w:pPr>
            <w:r>
              <w:rPr>
                <w:rFonts w:hint="eastAsia" w:eastAsia="宋体" w:cs="Times New Roman"/>
                <w:kern w:val="0"/>
                <w:sz w:val="24"/>
                <w:szCs w:val="24"/>
                <w:lang w:bidi="ar"/>
              </w:rPr>
              <w:t>80%</w:t>
            </w:r>
          </w:p>
        </w:tc>
        <w:tc>
          <w:tcPr>
            <w:tcW w:w="681" w:type="pct"/>
            <w:vAlign w:val="center"/>
          </w:tcPr>
          <w:p>
            <w:pPr>
              <w:pStyle w:val="11"/>
              <w:spacing w:line="550" w:lineRule="exact"/>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r>
              <w:rPr>
                <w:rFonts w:hint="eastAsia"/>
                <w:szCs w:val="24"/>
                <w:lang w:bidi="ar"/>
              </w:rPr>
              <w:t>5</w:t>
            </w:r>
          </w:p>
        </w:tc>
        <w:tc>
          <w:tcPr>
            <w:tcW w:w="2808" w:type="pct"/>
            <w:shd w:val="clear" w:color="auto" w:fill="auto"/>
            <w:vAlign w:val="center"/>
          </w:tcPr>
          <w:p>
            <w:pPr>
              <w:widowControl/>
              <w:ind w:firstLine="0" w:firstLineChars="0"/>
              <w:jc w:val="center"/>
              <w:rPr>
                <w:rFonts w:ascii="仿宋" w:hAnsi="仿宋" w:cs="仿宋"/>
                <w:kern w:val="0"/>
                <w:sz w:val="24"/>
                <w:szCs w:val="24"/>
                <w:lang w:bidi="ar"/>
              </w:rPr>
            </w:pPr>
            <w:r>
              <w:rPr>
                <w:rFonts w:hint="eastAsia" w:ascii="仿宋" w:hAnsi="仿宋" w:cs="仿宋"/>
                <w:kern w:val="0"/>
                <w:sz w:val="24"/>
                <w:szCs w:val="24"/>
                <w:lang w:bidi="ar"/>
              </w:rPr>
              <w:t>应急预案制定、演练率</w:t>
            </w:r>
          </w:p>
        </w:tc>
        <w:tc>
          <w:tcPr>
            <w:tcW w:w="981" w:type="pct"/>
            <w:vAlign w:val="center"/>
          </w:tcPr>
          <w:p>
            <w:pPr>
              <w:widowControl/>
              <w:ind w:firstLine="0" w:firstLineChars="0"/>
              <w:jc w:val="center"/>
              <w:rPr>
                <w:rFonts w:eastAsia="宋体" w:cs="Times New Roman"/>
                <w:kern w:val="0"/>
                <w:sz w:val="24"/>
                <w:szCs w:val="24"/>
                <w:lang w:bidi="ar"/>
              </w:rPr>
            </w:pPr>
            <w:r>
              <w:rPr>
                <w:rFonts w:hint="eastAsia" w:eastAsia="宋体" w:cs="Times New Roman"/>
                <w:kern w:val="0"/>
                <w:sz w:val="24"/>
                <w:szCs w:val="24"/>
                <w:lang w:bidi="ar"/>
              </w:rPr>
              <w:t>100%</w:t>
            </w:r>
          </w:p>
        </w:tc>
        <w:tc>
          <w:tcPr>
            <w:tcW w:w="681" w:type="pct"/>
            <w:vAlign w:val="center"/>
          </w:tcPr>
          <w:p>
            <w:pPr>
              <w:pStyle w:val="11"/>
              <w:spacing w:line="550" w:lineRule="exact"/>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r>
              <w:rPr>
                <w:rFonts w:hint="eastAsia"/>
                <w:szCs w:val="24"/>
                <w:lang w:bidi="ar"/>
              </w:rPr>
              <w:t>6</w:t>
            </w:r>
          </w:p>
        </w:tc>
        <w:tc>
          <w:tcPr>
            <w:tcW w:w="2808" w:type="pct"/>
            <w:shd w:val="clear" w:color="auto" w:fill="auto"/>
            <w:vAlign w:val="center"/>
          </w:tcPr>
          <w:p>
            <w:pPr>
              <w:pStyle w:val="11"/>
              <w:spacing w:after="0" w:line="550" w:lineRule="exact"/>
              <w:rPr>
                <w:szCs w:val="24"/>
                <w:lang w:bidi="ar"/>
              </w:rPr>
            </w:pPr>
            <w:r>
              <w:rPr>
                <w:szCs w:val="24"/>
                <w:lang w:bidi="ar"/>
              </w:rPr>
              <w:t>社会公众应急知识普及率</w:t>
            </w:r>
          </w:p>
        </w:tc>
        <w:tc>
          <w:tcPr>
            <w:tcW w:w="981" w:type="pct"/>
            <w:vAlign w:val="center"/>
          </w:tcPr>
          <w:p>
            <w:pPr>
              <w:pStyle w:val="11"/>
              <w:spacing w:after="0" w:line="550" w:lineRule="exact"/>
              <w:rPr>
                <w:szCs w:val="24"/>
                <w:highlight w:val="yellow"/>
                <w:lang w:bidi="ar"/>
              </w:rPr>
            </w:pPr>
            <w:r>
              <w:rPr>
                <w:szCs w:val="24"/>
                <w:lang w:bidi="ar"/>
              </w:rPr>
              <w:t>≥</w:t>
            </w:r>
            <w:r>
              <w:rPr>
                <w:rFonts w:hint="eastAsia"/>
                <w:szCs w:val="24"/>
                <w:lang w:bidi="ar"/>
              </w:rPr>
              <w:t>8</w:t>
            </w:r>
            <w:r>
              <w:rPr>
                <w:szCs w:val="24"/>
                <w:lang w:bidi="ar"/>
              </w:rPr>
              <w:t>0%</w:t>
            </w:r>
          </w:p>
        </w:tc>
        <w:tc>
          <w:tcPr>
            <w:tcW w:w="681" w:type="pct"/>
            <w:vAlign w:val="center"/>
          </w:tcPr>
          <w:p>
            <w:pPr>
              <w:pStyle w:val="11"/>
              <w:spacing w:after="0" w:line="550" w:lineRule="exact"/>
              <w:rPr>
                <w:szCs w:val="24"/>
                <w:lang w:bidi="ar"/>
              </w:rPr>
            </w:pPr>
            <w:r>
              <w:rPr>
                <w:szCs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8" w:type="pct"/>
            <w:shd w:val="clear" w:color="auto" w:fill="auto"/>
            <w:vAlign w:val="center"/>
          </w:tcPr>
          <w:p>
            <w:pPr>
              <w:pStyle w:val="11"/>
              <w:spacing w:after="0" w:line="550" w:lineRule="exact"/>
              <w:rPr>
                <w:szCs w:val="24"/>
                <w:lang w:bidi="ar"/>
              </w:rPr>
            </w:pPr>
            <w:r>
              <w:rPr>
                <w:color w:val="000000" w:themeColor="text1"/>
                <w:szCs w:val="24"/>
                <w14:textFill>
                  <w14:solidFill>
                    <w14:schemeClr w14:val="tx1"/>
                  </w14:solidFill>
                </w14:textFill>
              </w:rPr>
              <w:t>7</w:t>
            </w:r>
          </w:p>
        </w:tc>
        <w:tc>
          <w:tcPr>
            <w:tcW w:w="2808" w:type="pct"/>
            <w:shd w:val="clear" w:color="auto" w:fill="auto"/>
            <w:vAlign w:val="center"/>
          </w:tcPr>
          <w:p>
            <w:pPr>
              <w:pStyle w:val="11"/>
              <w:spacing w:after="0" w:line="550" w:lineRule="exact"/>
              <w:rPr>
                <w:szCs w:val="24"/>
                <w:lang w:bidi="ar"/>
              </w:rPr>
            </w:pPr>
            <w:r>
              <w:rPr>
                <w:color w:val="000000" w:themeColor="text1"/>
                <w:szCs w:val="24"/>
                <w14:textFill>
                  <w14:solidFill>
                    <w14:schemeClr w14:val="tx1"/>
                  </w14:solidFill>
                </w14:textFill>
              </w:rPr>
              <w:t>学生应急知识普及率</w:t>
            </w:r>
          </w:p>
        </w:tc>
        <w:tc>
          <w:tcPr>
            <w:tcW w:w="981" w:type="pct"/>
            <w:vAlign w:val="center"/>
          </w:tcPr>
          <w:p>
            <w:pPr>
              <w:pStyle w:val="11"/>
              <w:spacing w:after="0" w:line="550" w:lineRule="exact"/>
              <w:rPr>
                <w:szCs w:val="24"/>
                <w:lang w:bidi="ar"/>
              </w:rPr>
            </w:pPr>
            <w:r>
              <w:rPr>
                <w:color w:val="000000" w:themeColor="text1"/>
                <w:szCs w:val="24"/>
                <w14:textFill>
                  <w14:solidFill>
                    <w14:schemeClr w14:val="tx1"/>
                  </w14:solidFill>
                </w14:textFill>
              </w:rPr>
              <w:t>100%</w:t>
            </w:r>
          </w:p>
        </w:tc>
        <w:tc>
          <w:tcPr>
            <w:tcW w:w="681" w:type="pct"/>
            <w:vAlign w:val="center"/>
          </w:tcPr>
          <w:p>
            <w:pPr>
              <w:pStyle w:val="11"/>
              <w:spacing w:after="0" w:line="550" w:lineRule="exact"/>
              <w:rPr>
                <w:szCs w:val="24"/>
                <w:lang w:bidi="ar"/>
              </w:rPr>
            </w:pPr>
            <w:r>
              <w:rPr>
                <w:color w:val="000000" w:themeColor="text1"/>
                <w:szCs w:val="24"/>
                <w14:textFill>
                  <w14:solidFill>
                    <w14:schemeClr w14:val="tx1"/>
                  </w14:solidFill>
                </w14:textFill>
              </w:rPr>
              <w:t>预期性</w:t>
            </w:r>
          </w:p>
        </w:tc>
      </w:tr>
    </w:tbl>
    <w:p>
      <w:pPr>
        <w:pStyle w:val="4"/>
        <w:rPr>
          <w:rFonts w:cs="Times New Roman"/>
        </w:rPr>
      </w:pPr>
      <w:bookmarkStart w:id="24" w:name="_Toc20406"/>
      <w:r>
        <w:rPr>
          <w:rFonts w:hint="eastAsia" w:cs="Times New Roman"/>
        </w:rPr>
        <w:t>（二）</w:t>
      </w:r>
      <w:r>
        <w:rPr>
          <w:rFonts w:cs="Times New Roman"/>
        </w:rPr>
        <w:t>远景目标</w:t>
      </w:r>
      <w:bookmarkEnd w:id="24"/>
    </w:p>
    <w:p>
      <w:pPr>
        <w:ind w:firstLine="640"/>
        <w:rPr>
          <w:rFonts w:ascii="仿宋" w:hAnsi="仿宋"/>
          <w:szCs w:val="32"/>
        </w:rPr>
      </w:pPr>
      <w:r>
        <w:rPr>
          <w:rFonts w:hint="eastAsia" w:ascii="仿宋" w:hAnsi="仿宋"/>
          <w:szCs w:val="32"/>
        </w:rPr>
        <w:t>到2035年，全面提升应急管理能力现代化水平。风险防控能力显著提升，全面实现各类安全风险精准识别、整体监测、实时感知、早期预警和有效防控，综合保障能力全面增强，应急救援队伍和装备水平显著提升，共商共建共治共享的应急管理新格局全面形成，人民群众的获得感、幸福感、安全感显著增强，形成应急管理能力现代化。</w:t>
      </w:r>
    </w:p>
    <w:bookmarkEnd w:id="21"/>
    <w:bookmarkEnd w:id="22"/>
    <w:p>
      <w:pPr>
        <w:ind w:firstLine="640"/>
        <w:rPr>
          <w:rFonts w:cs="Times New Roman"/>
          <w:szCs w:val="32"/>
        </w:rPr>
      </w:pPr>
      <w:r>
        <w:rPr>
          <w:rFonts w:hint="eastAsia" w:cs="Times New Roman"/>
          <w:szCs w:val="32"/>
        </w:rPr>
        <w:br w:type="page"/>
      </w:r>
    </w:p>
    <w:p>
      <w:pPr>
        <w:pStyle w:val="3"/>
        <w:rPr>
          <w:rFonts w:cs="Times New Roman"/>
          <w:szCs w:val="32"/>
        </w:rPr>
      </w:pPr>
      <w:bookmarkStart w:id="25" w:name="_Toc16428"/>
      <w:r>
        <w:rPr>
          <w:rFonts w:hint="eastAsia" w:cs="Times New Roman"/>
          <w:szCs w:val="32"/>
        </w:rPr>
        <w:t>四、</w:t>
      </w:r>
      <w:r>
        <w:rPr>
          <w:rFonts w:cs="Times New Roman"/>
          <w:szCs w:val="32"/>
        </w:rPr>
        <w:t>主要任务和重点工程</w:t>
      </w:r>
      <w:bookmarkEnd w:id="23"/>
      <w:bookmarkEnd w:id="25"/>
      <w:bookmarkStart w:id="26" w:name="_Toc98773632"/>
    </w:p>
    <w:bookmarkEnd w:id="26"/>
    <w:p>
      <w:pPr>
        <w:keepNext/>
        <w:keepLines/>
        <w:adjustRightInd w:val="0"/>
        <w:spacing w:before="240" w:after="120"/>
        <w:ind w:firstLine="0" w:firstLineChars="0"/>
        <w:jc w:val="center"/>
        <w:outlineLvl w:val="1"/>
        <w:rPr>
          <w:rFonts w:eastAsia="楷体" w:cs="Times New Roman"/>
          <w:bCs/>
          <w:szCs w:val="32"/>
        </w:rPr>
      </w:pPr>
      <w:bookmarkStart w:id="27" w:name="_Toc19509"/>
      <w:r>
        <w:rPr>
          <w:rFonts w:hint="eastAsia" w:eastAsia="楷体" w:cs="Times New Roman"/>
          <w:bCs/>
          <w:szCs w:val="32"/>
        </w:rPr>
        <w:t>（一）</w:t>
      </w:r>
      <w:r>
        <w:rPr>
          <w:rFonts w:eastAsia="楷体" w:cs="Times New Roman"/>
          <w:bCs/>
          <w:szCs w:val="32"/>
        </w:rPr>
        <w:t>应急管理机制</w:t>
      </w:r>
      <w:r>
        <w:rPr>
          <w:rFonts w:hint="eastAsia" w:eastAsia="楷体" w:cs="Times New Roman"/>
          <w:bCs/>
          <w:szCs w:val="32"/>
        </w:rPr>
        <w:t>方面</w:t>
      </w:r>
      <w:bookmarkEnd w:id="27"/>
    </w:p>
    <w:p>
      <w:pPr>
        <w:ind w:firstLine="643"/>
        <w:rPr>
          <w:rFonts w:ascii="仿宋" w:hAnsi="仿宋"/>
          <w:szCs w:val="32"/>
        </w:rPr>
      </w:pPr>
      <w:r>
        <w:rPr>
          <w:rFonts w:hint="eastAsia" w:ascii="仿宋" w:hAnsi="仿宋"/>
          <w:b/>
          <w:bCs/>
          <w:szCs w:val="32"/>
        </w:rPr>
        <w:t>健全组织领导</w:t>
      </w:r>
      <w:r>
        <w:rPr>
          <w:rFonts w:ascii="仿宋" w:hAnsi="仿宋"/>
          <w:b/>
          <w:bCs/>
          <w:szCs w:val="32"/>
        </w:rPr>
        <w:t>。</w:t>
      </w:r>
      <w:r>
        <w:rPr>
          <w:rFonts w:ascii="仿宋" w:hAnsi="仿宋"/>
          <w:szCs w:val="32"/>
        </w:rPr>
        <w:t>加强应急管理机构建设，推动</w:t>
      </w:r>
      <w:r>
        <w:rPr>
          <w:rFonts w:hint="eastAsia" w:ascii="仿宋" w:hAnsi="仿宋"/>
          <w:szCs w:val="32"/>
        </w:rPr>
        <w:t>仁里镇、永兴镇和河沙镇成立集安全生产委员会、应急委员会、减灾委员会、森林防灭火指挥部为一体的应急管理机构</w:t>
      </w:r>
      <w:r>
        <w:rPr>
          <w:rFonts w:ascii="仿宋" w:hAnsi="仿宋"/>
          <w:szCs w:val="32"/>
        </w:rPr>
        <w:t>和专职人员配置工作进度，</w:t>
      </w:r>
      <w:r>
        <w:rPr>
          <w:rFonts w:hint="eastAsia" w:ascii="仿宋" w:hAnsi="仿宋"/>
          <w:szCs w:val="32"/>
        </w:rPr>
        <w:t>党委政府主要负责同志任主任，负责统筹、领导辖区应急管理工作。深化推进清单制管理，落实从党政领导到行业监管部门、属地政府，直至基层村（社区）主要负责人和班子成员安全生产、自然灾害防治责任，</w:t>
      </w:r>
      <w:r>
        <w:rPr>
          <w:rFonts w:ascii="仿宋" w:hAnsi="仿宋"/>
          <w:szCs w:val="32"/>
        </w:rPr>
        <w:t>细化职能职责，夯实基层应急管理基础。</w:t>
      </w:r>
      <w:r>
        <w:rPr>
          <w:rFonts w:hint="eastAsia" w:ascii="仿宋" w:hAnsi="仿宋"/>
          <w:szCs w:val="32"/>
        </w:rPr>
        <w:t>各镇独立设置应急管理办公室，明确编制，专人负责安全生产、防灾减灾、应急救援工作，村（社）应成立应急管理工作小组，负责辖区应急管理工作。建立灾害信息员队伍，打通应急管理“最后一米”，着力解决基层应急管理机构不够完善、职责尚未明确、人员普遍不足、能力有待加强等难点问题。</w:t>
      </w:r>
    </w:p>
    <w:p>
      <w:pPr>
        <w:ind w:firstLine="643"/>
        <w:rPr>
          <w:rFonts w:ascii="仿宋" w:hAnsi="仿宋"/>
          <w:szCs w:val="32"/>
        </w:rPr>
      </w:pPr>
      <w:r>
        <w:rPr>
          <w:rFonts w:hint="eastAsia" w:ascii="仿宋" w:hAnsi="仿宋"/>
          <w:b/>
          <w:bCs/>
          <w:szCs w:val="32"/>
        </w:rPr>
        <w:t>加强应急管理制度建设</w:t>
      </w:r>
      <w:r>
        <w:rPr>
          <w:rFonts w:ascii="仿宋" w:hAnsi="仿宋"/>
          <w:b/>
          <w:bCs/>
          <w:szCs w:val="32"/>
        </w:rPr>
        <w:t>。</w:t>
      </w:r>
      <w:r>
        <w:rPr>
          <w:rFonts w:ascii="仿宋" w:hAnsi="仿宋"/>
          <w:szCs w:val="32"/>
        </w:rPr>
        <w:t>按照省、市相关工作要求，区委、区政府高度重视基层应急管理</w:t>
      </w:r>
      <w:r>
        <w:rPr>
          <w:rFonts w:hint="eastAsia" w:ascii="仿宋" w:hAnsi="仿宋"/>
          <w:szCs w:val="32"/>
        </w:rPr>
        <w:t>制度</w:t>
      </w:r>
      <w:r>
        <w:rPr>
          <w:rFonts w:ascii="仿宋" w:hAnsi="仿宋"/>
          <w:szCs w:val="32"/>
        </w:rPr>
        <w:t>建设，结合</w:t>
      </w:r>
      <w:r>
        <w:rPr>
          <w:rFonts w:hint="eastAsia" w:ascii="仿宋" w:hAnsi="仿宋"/>
          <w:szCs w:val="32"/>
        </w:rPr>
        <w:t>乡镇</w:t>
      </w:r>
      <w:r>
        <w:rPr>
          <w:rFonts w:ascii="仿宋" w:hAnsi="仿宋"/>
          <w:szCs w:val="32"/>
        </w:rPr>
        <w:t>体制改革、网格化管理等方面制度创新要求，</w:t>
      </w:r>
      <w:r>
        <w:rPr>
          <w:rFonts w:hint="eastAsia" w:ascii="仿宋" w:hAnsi="仿宋"/>
          <w:szCs w:val="32"/>
        </w:rPr>
        <w:t>强化应急管理工作的集中统一领导，确保安全生产、自然灾害事故防救“一体化”体系的高效运行。</w:t>
      </w:r>
      <w:bookmarkStart w:id="28" w:name="_Hlk100923823"/>
      <w:r>
        <w:rPr>
          <w:rFonts w:ascii="仿宋" w:hAnsi="仿宋"/>
          <w:szCs w:val="32"/>
        </w:rPr>
        <w:t>健全灾害事故信息直报制度，制订报送灾情规范和表册，强化灾情数据归口统一管理</w:t>
      </w:r>
      <w:r>
        <w:rPr>
          <w:rFonts w:hint="eastAsia" w:ascii="仿宋" w:hAnsi="仿宋"/>
          <w:szCs w:val="32"/>
        </w:rPr>
        <w:t>，促使应急管理工作制度化，建立与应急救援消耗挂钩的补充机制，建立健全应急管理绩效评估和责任追究制度，确保各项制度能落地、有针对性、符合片区发展实际。</w:t>
      </w:r>
    </w:p>
    <w:bookmarkEnd w:id="28"/>
    <w:p>
      <w:pPr>
        <w:ind w:firstLine="643"/>
        <w:rPr>
          <w:rFonts w:ascii="仿宋" w:hAnsi="仿宋"/>
          <w:szCs w:val="32"/>
        </w:rPr>
      </w:pPr>
      <w:r>
        <w:rPr>
          <w:rFonts w:ascii="仿宋" w:hAnsi="仿宋"/>
          <w:b/>
          <w:bCs/>
          <w:szCs w:val="32"/>
        </w:rPr>
        <w:t>完善应急</w:t>
      </w:r>
      <w:r>
        <w:rPr>
          <w:rFonts w:hint="eastAsia" w:ascii="仿宋" w:hAnsi="仿宋"/>
          <w:b/>
          <w:bCs/>
          <w:szCs w:val="32"/>
        </w:rPr>
        <w:t>指挥机制</w:t>
      </w:r>
      <w:r>
        <w:rPr>
          <w:rFonts w:ascii="仿宋" w:hAnsi="仿宋"/>
          <w:b/>
          <w:bCs/>
          <w:szCs w:val="32"/>
        </w:rPr>
        <w:t>。</w:t>
      </w:r>
      <w:r>
        <w:rPr>
          <w:rFonts w:hint="eastAsia" w:ascii="仿宋" w:hAnsi="仿宋"/>
          <w:szCs w:val="32"/>
        </w:rPr>
        <w:t>片区内建立统一指挥、分级响应、乡镇为主、多方参与的社会动员响应体系，健全常态化管理和应急管理动态衔接的基层治理机制。建立监测预警和会商研判机制、隐患排查治理机制、预警发布机制、应急值守机制、信息统筹报送机制、应急救援协同联动机制、疏散转移和安置机制、监管执法机制、调查评估机制，构建便捷、通畅、高效的应急管理运行体系。明确应对安全生产、自然灾害等应急指挥领导小组事权划分，按照分级响应原则，层层落实突发事件应对处置责任，建立标准化应急指挥业务流程和扁平化信息业务流程，构建权责一致、分级应对、快速响应的应急指挥体系。</w:t>
      </w:r>
    </w:p>
    <w:p>
      <w:pPr>
        <w:widowControl/>
        <w:ind w:firstLine="643"/>
        <w:jc w:val="left"/>
        <w:rPr>
          <w:rFonts w:cs="Times New Roman"/>
          <w:szCs w:val="32"/>
        </w:rPr>
      </w:pPr>
      <w:r>
        <w:rPr>
          <w:rFonts w:hint="eastAsia" w:ascii="仿宋" w:hAnsi="仿宋"/>
          <w:b/>
          <w:bCs/>
          <w:szCs w:val="32"/>
        </w:rPr>
        <w:t>优化协同联动机制。</w:t>
      </w:r>
      <w:r>
        <w:rPr>
          <w:rFonts w:hint="eastAsia" w:ascii="仿宋" w:hAnsi="仿宋"/>
          <w:szCs w:val="32"/>
        </w:rPr>
        <w:t>加强与接壤片区协作，建立日常工作协同机制。健全应对突发性自然灾害救助体系和运行机制，完善片区与乡镇间应急协调联动工作方案。加强重大风险联防联控，编制跨区域联合预案，建立健全联合指挥、灾情通报、资源共享、跨域救援等机制，组织综合应急演练，强化互助调配衔接。建立健全成员单位联动机制，辖区内重点单位提供符合自身特点的应急预案和协同响应内容，固化体系成员单位职能清单，每年修订更新。</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ind w:firstLine="0" w:firstLineChars="0"/>
              <w:jc w:val="center"/>
              <w:rPr>
                <w:rFonts w:cs="Times New Roman"/>
                <w:bCs/>
                <w:sz w:val="30"/>
                <w:szCs w:val="30"/>
              </w:rPr>
            </w:pPr>
            <w:r>
              <w:rPr>
                <w:rFonts w:cs="Times New Roman"/>
                <w:bCs/>
                <w:sz w:val="30"/>
                <w:szCs w:val="30"/>
              </w:rPr>
              <w:t>专栏1 应急</w:t>
            </w:r>
            <w:r>
              <w:rPr>
                <w:rFonts w:hint="eastAsia" w:cs="Times New Roman"/>
                <w:bCs/>
                <w:sz w:val="30"/>
                <w:szCs w:val="30"/>
              </w:rPr>
              <w:t>管理重点</w:t>
            </w:r>
            <w:r>
              <w:rPr>
                <w:rFonts w:cs="Times New Roman"/>
                <w:bCs/>
                <w:sz w:val="30"/>
                <w:szCs w:val="30"/>
              </w:rPr>
              <w:t>工程</w:t>
            </w:r>
          </w:p>
          <w:p>
            <w:pPr>
              <w:ind w:firstLine="600"/>
              <w:rPr>
                <w:rFonts w:cs="Times New Roman"/>
                <w:sz w:val="30"/>
                <w:szCs w:val="30"/>
              </w:rPr>
            </w:pPr>
            <w:r>
              <w:rPr>
                <w:rFonts w:hint="eastAsia" w:cs="Times New Roman"/>
                <w:sz w:val="30"/>
                <w:szCs w:val="30"/>
              </w:rPr>
              <w:t>1.应急管理人员能力提升项目</w:t>
            </w:r>
          </w:p>
          <w:p>
            <w:pPr>
              <w:ind w:firstLine="600"/>
              <w:rPr>
                <w:rFonts w:cs="Times New Roman"/>
                <w:sz w:val="30"/>
                <w:szCs w:val="30"/>
              </w:rPr>
            </w:pPr>
            <w:r>
              <w:rPr>
                <w:rFonts w:hint="eastAsia" w:cs="Times New Roman"/>
                <w:sz w:val="30"/>
                <w:szCs w:val="30"/>
              </w:rPr>
              <w:t>建设内容：加强片区各镇应急管理人员业务培训，提升应急管理人员综合能力，每年聘请专业人员培训不少于2次。</w:t>
            </w:r>
          </w:p>
          <w:p>
            <w:pPr>
              <w:ind w:firstLine="600"/>
              <w:rPr>
                <w:rFonts w:cs="Times New Roman"/>
                <w:sz w:val="30"/>
                <w:szCs w:val="30"/>
              </w:rPr>
            </w:pPr>
            <w:r>
              <w:rPr>
                <w:rFonts w:hint="eastAsia" w:cs="Times New Roman"/>
                <w:sz w:val="30"/>
                <w:szCs w:val="30"/>
              </w:rPr>
              <w:t>建设地点：片区各镇；</w:t>
            </w:r>
          </w:p>
          <w:p>
            <w:pPr>
              <w:ind w:firstLine="600"/>
              <w:rPr>
                <w:rFonts w:cs="Times New Roman"/>
                <w:sz w:val="30"/>
                <w:szCs w:val="30"/>
              </w:rPr>
            </w:pPr>
            <w:r>
              <w:rPr>
                <w:rFonts w:hint="eastAsia" w:cs="Times New Roman"/>
                <w:sz w:val="30"/>
                <w:szCs w:val="30"/>
              </w:rPr>
              <w:t>责任单位：区应急管理局；片区各镇党委和人民政府</w:t>
            </w:r>
          </w:p>
          <w:p>
            <w:pPr>
              <w:ind w:firstLine="600"/>
              <w:rPr>
                <w:rFonts w:cs="Times New Roman"/>
                <w:sz w:val="30"/>
                <w:szCs w:val="30"/>
              </w:rPr>
            </w:pPr>
            <w:r>
              <w:rPr>
                <w:rFonts w:hint="eastAsia" w:cs="Times New Roman"/>
                <w:sz w:val="30"/>
                <w:szCs w:val="30"/>
              </w:rPr>
              <w:t>资金估算：</w:t>
            </w:r>
            <w:r>
              <w:rPr>
                <w:rFonts w:cs="Times New Roman"/>
                <w:sz w:val="30"/>
                <w:szCs w:val="30"/>
              </w:rPr>
              <w:t>3</w:t>
            </w:r>
            <w:r>
              <w:rPr>
                <w:rFonts w:hint="eastAsia" w:cs="Times New Roman"/>
                <w:sz w:val="30"/>
                <w:szCs w:val="30"/>
              </w:rPr>
              <w:t>0万元/年，共计</w:t>
            </w:r>
            <w:r>
              <w:rPr>
                <w:rFonts w:cs="Times New Roman"/>
                <w:sz w:val="30"/>
                <w:szCs w:val="30"/>
              </w:rPr>
              <w:t>45</w:t>
            </w:r>
            <w:r>
              <w:rPr>
                <w:rFonts w:hint="eastAsia" w:cs="Times New Roman"/>
                <w:sz w:val="30"/>
                <w:szCs w:val="30"/>
              </w:rPr>
              <w:t>0万；</w:t>
            </w:r>
          </w:p>
          <w:p>
            <w:pPr>
              <w:ind w:firstLine="600"/>
              <w:rPr>
                <w:rFonts w:cs="Times New Roman"/>
              </w:rPr>
            </w:pPr>
            <w:r>
              <w:rPr>
                <w:rFonts w:hint="eastAsia" w:cs="Times New Roman"/>
                <w:sz w:val="30"/>
                <w:szCs w:val="30"/>
              </w:rPr>
              <w:t>完成时限：2035年。</w:t>
            </w:r>
          </w:p>
        </w:tc>
      </w:tr>
    </w:tbl>
    <w:p>
      <w:pPr>
        <w:keepNext/>
        <w:keepLines/>
        <w:adjustRightInd w:val="0"/>
        <w:spacing w:before="240" w:after="120"/>
        <w:ind w:firstLine="0" w:firstLineChars="0"/>
        <w:jc w:val="center"/>
        <w:outlineLvl w:val="1"/>
        <w:rPr>
          <w:rFonts w:eastAsia="楷体" w:cs="Times New Roman"/>
          <w:bCs/>
          <w:szCs w:val="32"/>
        </w:rPr>
      </w:pPr>
      <w:bookmarkStart w:id="29" w:name="_Toc2953"/>
      <w:r>
        <w:rPr>
          <w:rFonts w:hint="eastAsia" w:eastAsia="楷体" w:cs="Times New Roman"/>
          <w:bCs/>
          <w:szCs w:val="32"/>
        </w:rPr>
        <w:t>（二）安全生产风险防控方面</w:t>
      </w:r>
      <w:bookmarkEnd w:id="29"/>
    </w:p>
    <w:p>
      <w:pPr>
        <w:ind w:firstLine="643"/>
        <w:rPr>
          <w:rFonts w:ascii="仿宋" w:hAnsi="仿宋"/>
          <w:szCs w:val="32"/>
        </w:rPr>
      </w:pPr>
      <w:r>
        <w:rPr>
          <w:rFonts w:hint="eastAsia" w:ascii="仿宋" w:hAnsi="仿宋"/>
          <w:b/>
          <w:bCs/>
          <w:szCs w:val="32"/>
        </w:rPr>
        <w:t>强化安全监管能力建设。</w:t>
      </w:r>
      <w:r>
        <w:rPr>
          <w:rFonts w:hint="eastAsia" w:ascii="仿宋" w:hAnsi="仿宋"/>
          <w:szCs w:val="32"/>
        </w:rPr>
        <w:t>持续增强新上任领导干部风险意识和底线思维，依托省、市、区三级组织和各级党校按照“走出去、请进来”等模式，对片区内各级领导干部及安全监管队伍开展专业知识、救援实战、心理素质等方面的培训，提升安全监管队伍理论水平和业务技能。加强专业人才队伍建设，推行应急专业人才“员额制”管理，加强专职安全监管人员的配备，进一步优化人员编制、职能划转。深入开展乡镇委托执法，加强乡镇执法装备配备，提高装备保障、经费保障、技术保障能力，深入开展“清单式”“诊断式”执法检查。</w:t>
      </w:r>
    </w:p>
    <w:p>
      <w:pPr>
        <w:ind w:firstLine="643"/>
        <w:rPr>
          <w:rFonts w:ascii="仿宋" w:hAnsi="仿宋"/>
          <w:szCs w:val="32"/>
        </w:rPr>
      </w:pPr>
      <w:r>
        <w:rPr>
          <w:rFonts w:hint="eastAsia" w:ascii="仿宋" w:hAnsi="仿宋"/>
          <w:b/>
          <w:bCs/>
          <w:szCs w:val="32"/>
        </w:rPr>
        <w:t>加强风险源头管控。</w:t>
      </w:r>
      <w:r>
        <w:rPr>
          <w:rFonts w:hint="eastAsia" w:ascii="仿宋" w:hAnsi="仿宋"/>
          <w:szCs w:val="32"/>
        </w:rPr>
        <w:t>严格落实项目安全设施“三同时”制度，建立公共安全隐患排查和安全预防控制体系，健全重大项目决策安全风险评估与论证机制，加强新材料、新工艺安全风险评估和管控。全面推进重点行业领域安全风险防控，加强高危行业企业主要负责人、安全管理人员、特种作业人员安全教育培训，提高安全管理水平和自救互救能力。督促指导各类生产经营单位建立常态化摸排辨识重大风险工作机制，完善风险管控任务清单，明确风险位置、具体表现、管控措施、监管人员等基础信息；积极开展宣传企业安全生产教育培训，提升重点行业领</w:t>
      </w:r>
      <w:r>
        <w:rPr>
          <w:rFonts w:ascii="仿宋" w:hAnsi="仿宋"/>
          <w:szCs w:val="32"/>
        </w:rPr>
        <w:t>域内关键</w:t>
      </w:r>
      <w:r>
        <w:rPr>
          <w:rFonts w:hint="eastAsia" w:ascii="仿宋" w:hAnsi="仿宋"/>
          <w:szCs w:val="32"/>
        </w:rPr>
        <w:t>岗位人员职业安全技能。</w:t>
      </w:r>
    </w:p>
    <w:p>
      <w:pPr>
        <w:ind w:firstLine="643"/>
        <w:rPr>
          <w:rFonts w:ascii="仿宋" w:hAnsi="仿宋"/>
          <w:szCs w:val="32"/>
        </w:rPr>
      </w:pPr>
      <w:r>
        <w:rPr>
          <w:rFonts w:hint="eastAsia" w:ascii="仿宋" w:hAnsi="仿宋"/>
          <w:b/>
          <w:bCs/>
          <w:szCs w:val="32"/>
        </w:rPr>
        <w:t>强化风险监测预警。</w:t>
      </w:r>
      <w:r>
        <w:rPr>
          <w:rFonts w:hint="eastAsia" w:ascii="仿宋" w:hAnsi="仿宋"/>
          <w:szCs w:val="32"/>
        </w:rPr>
        <w:t>充分利用物联网、视频识别、</w:t>
      </w:r>
      <w:r>
        <w:rPr>
          <w:rFonts w:ascii="仿宋" w:hAnsi="仿宋"/>
          <w:szCs w:val="32"/>
        </w:rPr>
        <w:t>5G等技术，以感知设备智能化、网络化、微型化、集成化为特征，强化风险感知网络，提高监测感知能力。加强重要设施、重大危险源、重点脆弱性目标和重点区域安全风险智能感知与态势动态评估，实现道路桥梁、供排水、电力、燃气、输油管道、通信等重要市政基础设施，危险化学品生产储存、建筑施工、农业和旅游业等重点行业领域，以及医院、学校、养老院等重要场所、地质灾害、洪涝灾害、森林火灾等自然灾害风险监测预警全覆盖，形成基础信息库和风险隐患数据库。</w:t>
      </w:r>
    </w:p>
    <w:p>
      <w:pPr>
        <w:ind w:firstLine="643"/>
        <w:rPr>
          <w:rFonts w:ascii="仿宋" w:hAnsi="仿宋"/>
          <w:szCs w:val="32"/>
        </w:rPr>
      </w:pPr>
      <w:r>
        <w:rPr>
          <w:rFonts w:hint="eastAsia" w:ascii="仿宋" w:hAnsi="仿宋"/>
          <w:b/>
          <w:bCs/>
          <w:szCs w:val="32"/>
        </w:rPr>
        <w:t>深化重点领域综合治理。</w:t>
      </w:r>
      <w:r>
        <w:rPr>
          <w:rFonts w:hint="eastAsia" w:ascii="仿宋" w:hAnsi="仿宋"/>
          <w:szCs w:val="32"/>
        </w:rPr>
        <w:t>加强安全生产责任制落实，建立全员安全生产责任制和各岗位最新安全履责清单，从高危企业、道路交通、乡村建设、建筑施工等重点领域提档升级，实施重要领域专项整治。</w:t>
      </w:r>
      <w:r>
        <w:rPr>
          <w:rFonts w:hint="eastAsia" w:ascii="仿宋" w:hAnsi="仿宋"/>
          <w:b/>
          <w:bCs/>
          <w:szCs w:val="32"/>
        </w:rPr>
        <w:t>消防安全方面，</w:t>
      </w:r>
      <w:r>
        <w:rPr>
          <w:rFonts w:hint="eastAsia" w:ascii="仿宋" w:hAnsi="仿宋"/>
          <w:szCs w:val="32"/>
        </w:rPr>
        <w:t>完善消防安全网格化管理体系，全面推进企业消防安全网格化规范管理，落实企业消防安全主体责任。</w:t>
      </w:r>
      <w:r>
        <w:rPr>
          <w:rFonts w:hint="eastAsia" w:ascii="仿宋" w:hAnsi="仿宋"/>
          <w:b/>
          <w:bCs/>
          <w:szCs w:val="32"/>
        </w:rPr>
        <w:t>交通运输方面，</w:t>
      </w:r>
      <w:r>
        <w:rPr>
          <w:rFonts w:hint="eastAsia" w:ascii="仿宋" w:hAnsi="仿宋"/>
          <w:szCs w:val="32"/>
        </w:rPr>
        <w:t>强化道路交通安全监管，加强校车、农村客运班车等安全管控，加大重点路段、危险路段和农村道路路面安全管控力度，深入实施公路安全生命防护工程、危旧桥（隧）改造工程，加强连续长陡下坡、急弯陡坡等隐患路段整治。</w:t>
      </w:r>
      <w:r>
        <w:rPr>
          <w:rFonts w:hint="eastAsia" w:ascii="仿宋" w:hAnsi="仿宋"/>
          <w:b/>
          <w:bCs/>
          <w:szCs w:val="32"/>
        </w:rPr>
        <w:t>建筑领域方面，</w:t>
      </w:r>
      <w:r>
        <w:rPr>
          <w:rFonts w:hint="eastAsia" w:ascii="仿宋" w:hAnsi="仿宋"/>
          <w:szCs w:val="32"/>
        </w:rPr>
        <w:t>加强农村危房改造治理及农村建房施工审批手续，严格落实建筑施工安全管理各方主体责任，实施建筑行业防范高处坠落、施工坍塌等专项治理行动。</w:t>
      </w:r>
      <w:r>
        <w:rPr>
          <w:rFonts w:hint="eastAsia" w:ascii="仿宋" w:hAnsi="仿宋"/>
          <w:b/>
          <w:bCs/>
          <w:szCs w:val="32"/>
        </w:rPr>
        <w:t>工贸企业方面，</w:t>
      </w:r>
      <w:r>
        <w:rPr>
          <w:rFonts w:hint="eastAsia" w:ascii="仿宋" w:hAnsi="仿宋"/>
          <w:szCs w:val="32"/>
        </w:rPr>
        <w:t>健全工贸行业安全生产责任体系、责任清单，着力提升安全风险辨识和有效管控能力，加强对企业构建双重预防机制的督促检查与指导。</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ind w:firstLine="0" w:firstLineChars="0"/>
              <w:jc w:val="center"/>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 xml:space="preserve">专栏2 </w:t>
            </w:r>
            <w:r>
              <w:rPr>
                <w:rFonts w:hint="eastAsia" w:ascii="仿宋" w:hAnsi="仿宋" w:cs="仿宋"/>
                <w:color w:val="000000"/>
                <w:kern w:val="0"/>
                <w:sz w:val="30"/>
                <w:szCs w:val="30"/>
              </w:rPr>
              <w:t>安全生产风险防控重点工程</w:t>
            </w:r>
          </w:p>
          <w:p>
            <w:pPr>
              <w:ind w:firstLine="600"/>
              <w:rPr>
                <w:rFonts w:ascii="仿宋" w:hAnsi="仿宋" w:cs="仿宋"/>
                <w:sz w:val="30"/>
                <w:szCs w:val="30"/>
              </w:rPr>
            </w:pPr>
            <w:r>
              <w:rPr>
                <w:rFonts w:hint="eastAsia" w:ascii="仿宋" w:hAnsi="仿宋" w:cs="仿宋"/>
                <w:sz w:val="30"/>
                <w:szCs w:val="30"/>
              </w:rPr>
              <w:t>1.安全生产基础能力提升工程</w:t>
            </w:r>
          </w:p>
          <w:p>
            <w:pPr>
              <w:ind w:firstLine="600"/>
              <w:rPr>
                <w:rFonts w:ascii="仿宋" w:hAnsi="仿宋" w:cs="仿宋"/>
                <w:sz w:val="30"/>
                <w:szCs w:val="30"/>
              </w:rPr>
            </w:pPr>
            <w:r>
              <w:rPr>
                <w:rFonts w:hint="eastAsia" w:ascii="仿宋" w:hAnsi="仿宋" w:cs="仿宋"/>
                <w:sz w:val="30"/>
                <w:szCs w:val="30"/>
              </w:rPr>
              <w:t>建设内容：完善医院、学校、卫生所、集贸市场、养老院、车站等人员密集场所视频监控设施，基本实现全覆盖；在生产企业关键岗位、高危作业、特种作业等各环节建设在线视频监控及智能报警装置。</w:t>
            </w:r>
          </w:p>
          <w:p>
            <w:pPr>
              <w:ind w:firstLine="600"/>
              <w:rPr>
                <w:rFonts w:ascii="仿宋" w:hAnsi="仿宋" w:cs="仿宋"/>
                <w:sz w:val="30"/>
                <w:szCs w:val="30"/>
              </w:rPr>
            </w:pPr>
            <w:r>
              <w:rPr>
                <w:rFonts w:hint="eastAsia" w:ascii="仿宋" w:hAnsi="仿宋" w:cs="仿宋"/>
                <w:sz w:val="30"/>
                <w:szCs w:val="30"/>
              </w:rPr>
              <w:t>责任单位：区应急管理局，片区各镇党委和人民政府；</w:t>
            </w:r>
          </w:p>
          <w:p>
            <w:pPr>
              <w:ind w:firstLine="600"/>
              <w:rPr>
                <w:rFonts w:ascii="仿宋" w:hAnsi="仿宋" w:cs="仿宋"/>
                <w:sz w:val="30"/>
                <w:szCs w:val="30"/>
              </w:rPr>
            </w:pPr>
            <w:r>
              <w:rPr>
                <w:rFonts w:hint="eastAsia" w:ascii="仿宋" w:hAnsi="仿宋" w:cs="仿宋"/>
                <w:sz w:val="30"/>
                <w:szCs w:val="30"/>
              </w:rPr>
              <w:t>资金估算：</w:t>
            </w:r>
            <w:r>
              <w:rPr>
                <w:rFonts w:ascii="仿宋" w:hAnsi="仿宋" w:cs="仿宋"/>
                <w:sz w:val="30"/>
                <w:szCs w:val="30"/>
              </w:rPr>
              <w:t>3</w:t>
            </w:r>
            <w:r>
              <w:rPr>
                <w:rFonts w:hint="eastAsia" w:ascii="仿宋" w:hAnsi="仿宋" w:cs="仿宋"/>
                <w:sz w:val="30"/>
                <w:szCs w:val="30"/>
              </w:rPr>
              <w:t>0万元/年，共计</w:t>
            </w:r>
            <w:r>
              <w:rPr>
                <w:rFonts w:ascii="仿宋" w:hAnsi="仿宋" w:cs="仿宋"/>
                <w:sz w:val="30"/>
                <w:szCs w:val="30"/>
              </w:rPr>
              <w:t>45</w:t>
            </w:r>
            <w:r>
              <w:rPr>
                <w:rFonts w:hint="eastAsia" w:ascii="仿宋" w:hAnsi="仿宋" w:cs="仿宋"/>
                <w:sz w:val="30"/>
                <w:szCs w:val="30"/>
              </w:rPr>
              <w:t>0万；</w:t>
            </w:r>
          </w:p>
          <w:p>
            <w:pPr>
              <w:ind w:firstLine="600"/>
              <w:rPr>
                <w:rFonts w:ascii="仿宋" w:hAnsi="仿宋" w:cs="仿宋"/>
                <w:sz w:val="30"/>
                <w:szCs w:val="30"/>
              </w:rPr>
            </w:pPr>
            <w:r>
              <w:rPr>
                <w:rFonts w:hint="eastAsia" w:ascii="仿宋" w:hAnsi="仿宋" w:cs="仿宋"/>
                <w:sz w:val="30"/>
                <w:szCs w:val="30"/>
              </w:rPr>
              <w:t>完成期限：20</w:t>
            </w:r>
            <w:r>
              <w:rPr>
                <w:rFonts w:ascii="仿宋" w:hAnsi="仿宋" w:cs="仿宋"/>
                <w:sz w:val="30"/>
                <w:szCs w:val="30"/>
              </w:rPr>
              <w:t>3</w:t>
            </w:r>
            <w:r>
              <w:rPr>
                <w:rFonts w:hint="eastAsia" w:ascii="仿宋" w:hAnsi="仿宋" w:cs="仿宋"/>
                <w:sz w:val="30"/>
                <w:szCs w:val="30"/>
              </w:rPr>
              <w:t>5年。</w:t>
            </w:r>
          </w:p>
          <w:p>
            <w:pPr>
              <w:ind w:firstLine="600"/>
              <w:rPr>
                <w:rFonts w:ascii="仿宋" w:hAnsi="仿宋" w:cs="仿宋"/>
                <w:sz w:val="30"/>
                <w:szCs w:val="30"/>
              </w:rPr>
            </w:pPr>
            <w:r>
              <w:rPr>
                <w:rFonts w:hint="eastAsia" w:ascii="仿宋" w:hAnsi="仿宋" w:cs="仿宋"/>
                <w:sz w:val="30"/>
                <w:szCs w:val="30"/>
              </w:rPr>
              <w:t>2.道路交通安全防护工程</w:t>
            </w:r>
          </w:p>
          <w:p>
            <w:pPr>
              <w:ind w:firstLine="600"/>
              <w:rPr>
                <w:rFonts w:ascii="仿宋" w:hAnsi="仿宋" w:cs="仿宋"/>
                <w:sz w:val="30"/>
                <w:szCs w:val="30"/>
              </w:rPr>
            </w:pPr>
            <w:r>
              <w:rPr>
                <w:rFonts w:hint="eastAsia" w:ascii="仿宋" w:hAnsi="仿宋" w:cs="仿宋"/>
                <w:sz w:val="30"/>
                <w:szCs w:val="30"/>
              </w:rPr>
              <w:t>建设内容：在乡道、村道重点部位更新、改进、安装道路防护栏、防护网、凸镜、减速带、夜间照明，进村道路周边环境整治。</w:t>
            </w:r>
          </w:p>
          <w:p>
            <w:pPr>
              <w:ind w:firstLine="600"/>
              <w:rPr>
                <w:rFonts w:ascii="仿宋" w:hAnsi="仿宋" w:cs="仿宋"/>
                <w:sz w:val="30"/>
                <w:szCs w:val="30"/>
              </w:rPr>
            </w:pPr>
            <w:r>
              <w:rPr>
                <w:rFonts w:hint="eastAsia" w:ascii="仿宋" w:hAnsi="仿宋" w:cs="仿宋"/>
                <w:sz w:val="30"/>
                <w:szCs w:val="30"/>
              </w:rPr>
              <w:t>责任单位：区交通运输局，片区各镇党委和人民政府；</w:t>
            </w:r>
          </w:p>
          <w:p>
            <w:pPr>
              <w:ind w:firstLine="600"/>
              <w:rPr>
                <w:rFonts w:ascii="仿宋" w:hAnsi="仿宋" w:cs="仿宋"/>
                <w:sz w:val="30"/>
                <w:szCs w:val="30"/>
              </w:rPr>
            </w:pPr>
            <w:r>
              <w:rPr>
                <w:rFonts w:hint="eastAsia" w:ascii="仿宋" w:hAnsi="仿宋" w:cs="仿宋"/>
                <w:sz w:val="30"/>
                <w:szCs w:val="30"/>
              </w:rPr>
              <w:t>资金估算：总计300万；</w:t>
            </w:r>
          </w:p>
          <w:p>
            <w:pPr>
              <w:ind w:firstLine="600"/>
            </w:pPr>
            <w:r>
              <w:rPr>
                <w:rFonts w:hint="eastAsia" w:ascii="仿宋" w:hAnsi="仿宋" w:cs="仿宋"/>
                <w:sz w:val="30"/>
                <w:szCs w:val="30"/>
              </w:rPr>
              <w:t>完成期限：2025年。</w:t>
            </w:r>
          </w:p>
        </w:tc>
      </w:tr>
    </w:tbl>
    <w:p>
      <w:pPr>
        <w:pStyle w:val="4"/>
        <w:rPr>
          <w:rFonts w:cs="Times New Roman"/>
          <w:bCs w:val="0"/>
        </w:rPr>
      </w:pPr>
      <w:bookmarkStart w:id="30" w:name="_Toc100068673"/>
      <w:bookmarkStart w:id="31" w:name="_Toc28721"/>
      <w:r>
        <w:rPr>
          <w:rFonts w:hint="eastAsia"/>
        </w:rPr>
        <w:t>（三）</w:t>
      </w:r>
      <w:r>
        <w:rPr>
          <w:rFonts w:cs="Times New Roman"/>
          <w:bCs w:val="0"/>
        </w:rPr>
        <w:t>自然灾害</w:t>
      </w:r>
      <w:bookmarkEnd w:id="30"/>
      <w:r>
        <w:rPr>
          <w:rFonts w:hint="eastAsia" w:cs="Times New Roman"/>
          <w:bCs w:val="0"/>
        </w:rPr>
        <w:t>防治方面</w:t>
      </w:r>
      <w:bookmarkEnd w:id="31"/>
    </w:p>
    <w:p>
      <w:pPr>
        <w:ind w:firstLine="643"/>
        <w:rPr>
          <w:rFonts w:ascii="仿宋" w:hAnsi="仿宋"/>
          <w:szCs w:val="32"/>
        </w:rPr>
      </w:pPr>
      <w:r>
        <w:rPr>
          <w:rFonts w:ascii="仿宋" w:hAnsi="仿宋"/>
          <w:b/>
          <w:bCs/>
          <w:szCs w:val="32"/>
        </w:rPr>
        <w:t>加强多灾种和灾害链综合监测。</w:t>
      </w:r>
      <w:r>
        <w:rPr>
          <w:rFonts w:hint="eastAsia" w:ascii="仿宋" w:hAnsi="仿宋"/>
          <w:szCs w:val="32"/>
        </w:rPr>
        <w:t>强化基层自然灾害信息员队伍建设，建设洪涝、气象等自然灾害综合监测预警系统，积极推进监测预警基础设施建设，加强风险监测数据分析处理，提升全域、全要素感知的自然灾害综合监测预警能力。整合信息发布资源，完善灾害预警信息发布渠道，提升预警信息发布的覆盖面、精准度和时效性。</w:t>
      </w:r>
      <w:r>
        <w:rPr>
          <w:rFonts w:ascii="仿宋" w:hAnsi="仿宋"/>
          <w:szCs w:val="32"/>
        </w:rPr>
        <w:t>强化对</w:t>
      </w:r>
      <w:r>
        <w:rPr>
          <w:rFonts w:hint="eastAsia" w:ascii="仿宋" w:hAnsi="仿宋"/>
          <w:szCs w:val="32"/>
        </w:rPr>
        <w:t>地质灾害、洪涝灾害</w:t>
      </w:r>
      <w:r>
        <w:rPr>
          <w:rFonts w:ascii="仿宋" w:hAnsi="仿宋"/>
          <w:szCs w:val="32"/>
        </w:rPr>
        <w:t>、极端天气、</w:t>
      </w:r>
      <w:r>
        <w:rPr>
          <w:rFonts w:hint="eastAsia" w:ascii="仿宋" w:hAnsi="仿宋"/>
          <w:szCs w:val="32"/>
        </w:rPr>
        <w:t>森林</w:t>
      </w:r>
      <w:r>
        <w:rPr>
          <w:rFonts w:ascii="仿宋" w:hAnsi="仿宋"/>
          <w:szCs w:val="32"/>
        </w:rPr>
        <w:t>火灾等主要自然灾害的预警预报及防御基础设施建设。</w:t>
      </w:r>
      <w:r>
        <w:rPr>
          <w:rFonts w:hint="eastAsia" w:ascii="仿宋" w:hAnsi="仿宋"/>
          <w:szCs w:val="32"/>
        </w:rPr>
        <w:t>针对片区主要自然灾害种类和特点，加强对重点区域的自然灾害监测预警预报基础设施建设，完善地质灾害预警系统、水位雨量监测站、森林火灾“两点一哨”，建设森林防火瞭望视频平台，实现在重要数据进行实时监测，提升预警信息时效性和准确性，扩大监测预警覆盖范围。加强与气象部门和林业部门联动，在森林防火期向相关责任单位每日定时发布森林火险气象等级预报，积极开展人工增雨作业，提高林区降水量和植被潮湿率，降低山火可能性和森林火险等级。至</w:t>
      </w:r>
      <w:r>
        <w:rPr>
          <w:rFonts w:ascii="仿宋" w:hAnsi="仿宋"/>
          <w:szCs w:val="32"/>
        </w:rPr>
        <w:t>2025年，实现信息资源数据接入率达到50%，预警信息发布公众覆盖率争取达到95%以上；到2035年接入率达到100</w:t>
      </w:r>
      <w:r>
        <w:rPr>
          <w:rFonts w:hint="eastAsia" w:ascii="仿宋" w:hAnsi="仿宋"/>
          <w:szCs w:val="32"/>
        </w:rPr>
        <w:t>%</w:t>
      </w:r>
      <w:r>
        <w:rPr>
          <w:rFonts w:ascii="仿宋" w:hAnsi="仿宋"/>
          <w:szCs w:val="32"/>
        </w:rPr>
        <w:t>，信息发布全覆盖。</w:t>
      </w:r>
    </w:p>
    <w:p>
      <w:pPr>
        <w:ind w:firstLine="643"/>
        <w:rPr>
          <w:rFonts w:ascii="仿宋" w:hAnsi="仿宋"/>
          <w:szCs w:val="32"/>
        </w:rPr>
      </w:pPr>
      <w:r>
        <w:rPr>
          <w:rFonts w:hint="eastAsia" w:ascii="仿宋" w:hAnsi="仿宋"/>
          <w:b/>
          <w:bCs/>
          <w:szCs w:val="32"/>
        </w:rPr>
        <w:t>提高自然灾害工程设防建设标准。</w:t>
      </w:r>
      <w:r>
        <w:rPr>
          <w:rFonts w:hint="eastAsia" w:ascii="仿宋" w:hAnsi="仿宋"/>
          <w:szCs w:val="32"/>
        </w:rPr>
        <w:t>开展片区森林防火、防洪抗汛、地质灾害基础设施建设，增强自然灾害防御能力。提升公共服务设施和居民住宅防灾减灾水平，做好沿山受地质灾害影响较大区域的灾害避险搬迁安置工作，加强数字化地质灾害监测预警建设，确保监测网络对区内</w:t>
      </w:r>
      <w:r>
        <w:rPr>
          <w:rFonts w:ascii="仿宋" w:hAnsi="仿宋"/>
          <w:szCs w:val="32"/>
        </w:rPr>
        <w:t>地质灾害隐患点的全覆盖，坚持主动防灾避险的策略，对险情重、治理难度大、治理成本高的受威胁人员实施避险搬迁。加快防洪抗旱工程达标建设，采取“上蓄、中防、侧分、长疏”的总体策略，短期内以堤防工程、分洪工程和河道疏浚清障为主，以蓄滞洪建设为辅，按照</w:t>
      </w:r>
      <w:r>
        <w:rPr>
          <w:rFonts w:hint="eastAsia" w:ascii="仿宋" w:hAnsi="仿宋"/>
          <w:szCs w:val="32"/>
        </w:rPr>
        <w:t>远近结合、易后难的原则，制定阶段工程措施方案，推进片区堤防补短板、河道疏浚、水库加固等工程建设。</w:t>
      </w:r>
      <w:r>
        <w:rPr>
          <w:rFonts w:ascii="仿宋" w:hAnsi="仿宋"/>
          <w:szCs w:val="32"/>
        </w:rPr>
        <w:t>加强火源管理，持续推进森林消防蓄水池、防火隔离带、</w:t>
      </w:r>
      <w:r>
        <w:rPr>
          <w:rFonts w:hint="eastAsia" w:ascii="仿宋" w:hAnsi="仿宋"/>
          <w:szCs w:val="32"/>
        </w:rPr>
        <w:t>应急道路等基础设施建设。对重点部位、环节、时段设立临时检查站，禁止一切火源进入山林，最大限度减少森林火灾隐患。</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ind w:firstLine="0" w:firstLineChars="0"/>
              <w:jc w:val="center"/>
              <w:rPr>
                <w:rFonts w:ascii="仿宋" w:hAnsi="仿宋" w:cs="仿宋"/>
                <w:b/>
                <w:bCs/>
                <w:color w:val="000000" w:themeColor="text1"/>
                <w:sz w:val="30"/>
                <w:szCs w:val="30"/>
                <w14:textFill>
                  <w14:solidFill>
                    <w14:schemeClr w14:val="tx1"/>
                  </w14:solidFill>
                </w14:textFill>
              </w:rPr>
            </w:pPr>
            <w:bookmarkStart w:id="32" w:name="_Hlk106818660"/>
            <w:r>
              <w:rPr>
                <w:rFonts w:hint="eastAsia" w:ascii="仿宋" w:hAnsi="仿宋" w:cs="仿宋"/>
                <w:color w:val="000000" w:themeColor="text1"/>
                <w:sz w:val="30"/>
                <w:szCs w:val="30"/>
                <w14:textFill>
                  <w14:solidFill>
                    <w14:schemeClr w14:val="tx1"/>
                  </w14:solidFill>
                </w14:textFill>
              </w:rPr>
              <w:t>专栏3 自然灾害防治重点工程</w:t>
            </w:r>
          </w:p>
          <w:bookmarkEnd w:id="32"/>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1.防汛抗旱水利提升工程</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内容：配合大江大河堤防整治，包括唐家渡电航堤防配套工程以及涪江干流仁里镇刘家河堤建设项目。实施片区小河段防洪治理工程；巩固提升山洪灾害监测预警能力，建立灾害群测群防体系；对片区内病害水库进行除险加固工作。</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建设地点：片区各镇；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责任单位：区水利局，片区各镇党委和人民政府；</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资金估算：5000万；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完成期限：20</w:t>
            </w:r>
            <w:r>
              <w:rPr>
                <w:rFonts w:ascii="仿宋" w:hAnsi="仿宋" w:eastAsia="仿宋" w:cs="仿宋"/>
                <w:color w:val="000000" w:themeColor="text1"/>
                <w:sz w:val="30"/>
                <w:szCs w:val="30"/>
                <w14:textFill>
                  <w14:solidFill>
                    <w14:schemeClr w14:val="tx1"/>
                  </w14:solidFill>
                </w14:textFill>
              </w:rPr>
              <w:t>2</w:t>
            </w:r>
            <w:r>
              <w:rPr>
                <w:rFonts w:hint="eastAsia" w:ascii="仿宋" w:hAnsi="仿宋" w:eastAsia="仿宋" w:cs="仿宋"/>
                <w:color w:val="000000" w:themeColor="text1"/>
                <w:sz w:val="30"/>
                <w:szCs w:val="30"/>
                <w14:textFill>
                  <w14:solidFill>
                    <w14:schemeClr w14:val="tx1"/>
                  </w14:solidFill>
                </w14:textFill>
              </w:rPr>
              <w:t>5年。</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2.抗震防灾能力建设工程</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内容：逐年在片区重点部门（单位）以及学校、医院、养老院等人员密集型场所安置地震预警信息终端设施，结合镇级应急指挥中心平台或现有地震监测站平台建设覆盖片区的集地震监测、烈度速报、预警信息发布于一体地震监测预警信息平台系统。</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建设地点：片区各镇；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责任单位：区应急管理局，区教育和体育局、区卫生健康局、区民政局、区交通运输局、片区各镇党委和人民政府；</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资金估算：500万；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完成期限：2035年。</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3.地质灾害综合防治工程</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内容：加强重点防治区域地质灾害详细调查，并开展动态巡查工作。加强地质灾害群测群防专职监测网络建设，开展地质灾害专业监测预警及隐患点动态管理系统和地质灾害重点防治区监测预警指挥平台建设。采用监测预警、工程整治、搬迁避让等方式综合治理既有隐患点，减小灾害损失。</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地点：河沙镇赤岩沟村张家湾、仁里镇倒碑垭村2社、河沙镇赤岩沟村11社、仁里镇楼子沟村1社龙家湾、十里荷花景区道路、河沙镇赤岩沟村9社、仁里镇东兴村2社梁荣润屋后、河沙镇赤岩沟村9社唐家湾、仁里镇东兴村2社陈立潜屋后、永兴镇孟桥村打锣坡、河沙镇桂花村2社、河沙镇送家沟村6社；</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责任单位：区自然资源规划局，区应急管理局、区农业农村局、片区各镇党委和人民政府；</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资金估算：500万；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完成期限：2035年。</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4.防灭火宣传教育工程建设</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建设内容：重点林区重点地段新建宣传牌、LED宣传教育警示屏，防火宣传手册，开展防火技能培训和防火演练，扑火队员轮换培训率达100%，重点林区、重点部位宣传警示设施覆盖率达95%。</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建设地点：</w:t>
            </w:r>
            <w:r>
              <w:rPr>
                <w:rFonts w:hint="eastAsia" w:ascii="仿宋" w:hAnsi="仿宋" w:eastAsia="仿宋" w:cs="仿宋"/>
                <w:color w:val="0000FF"/>
                <w:sz w:val="30"/>
                <w:szCs w:val="30"/>
              </w:rPr>
              <w:t>片区各乡镇；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责任单位：区应急管理局、区消防救援大队；</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资金估算：总计投入200万元。</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完成期限：2025年；</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5.气象预测预报及气象应急保障体系能力提升</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建设内容：更新运行片区5年以上区域自动气象站设备,易损部件的备份，视频监控系统、使用防爆柜达到100%；直通式气象服务平台建设，购买LED显示屏及配套软件、信息服务平台。</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建设地点：</w:t>
            </w:r>
            <w:r>
              <w:rPr>
                <w:rFonts w:hint="eastAsia" w:ascii="仿宋" w:hAnsi="仿宋" w:eastAsia="仿宋" w:cs="仿宋"/>
                <w:color w:val="0000FF"/>
                <w:sz w:val="30"/>
                <w:szCs w:val="30"/>
              </w:rPr>
              <w:t>片区各镇</w:t>
            </w:r>
            <w:r>
              <w:rPr>
                <w:rFonts w:hint="eastAsia" w:ascii="仿宋" w:hAnsi="仿宋" w:eastAsia="仿宋" w:cs="仿宋"/>
                <w:color w:val="000000" w:themeColor="text1"/>
                <w:sz w:val="30"/>
                <w:szCs w:val="30"/>
                <w14:textFill>
                  <w14:solidFill>
                    <w14:schemeClr w14:val="tx1"/>
                  </w14:solidFill>
                </w14:textFill>
              </w:rPr>
              <w:t>；</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责任单位：区水利局；</w:t>
            </w:r>
          </w:p>
          <w:p>
            <w:pPr>
              <w:pStyle w:val="2"/>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资金估算：总计投入70万元；</w:t>
            </w:r>
          </w:p>
          <w:p>
            <w:pPr>
              <w:pStyle w:val="2"/>
              <w:ind w:firstLine="600"/>
              <w:rPr>
                <w:sz w:val="30"/>
                <w:szCs w:val="30"/>
              </w:rPr>
            </w:pPr>
            <w:r>
              <w:rPr>
                <w:rFonts w:hint="eastAsia" w:ascii="仿宋" w:hAnsi="仿宋" w:eastAsia="仿宋" w:cs="仿宋"/>
                <w:color w:val="000000" w:themeColor="text1"/>
                <w:sz w:val="30"/>
                <w:szCs w:val="30"/>
                <w14:textFill>
                  <w14:solidFill>
                    <w14:schemeClr w14:val="tx1"/>
                  </w14:solidFill>
                </w14:textFill>
              </w:rPr>
              <w:t>完成期限：20</w:t>
            </w:r>
            <w:r>
              <w:rPr>
                <w:rFonts w:ascii="仿宋" w:hAnsi="仿宋" w:eastAsia="仿宋" w:cs="仿宋"/>
                <w:color w:val="000000" w:themeColor="text1"/>
                <w:sz w:val="30"/>
                <w:szCs w:val="30"/>
                <w14:textFill>
                  <w14:solidFill>
                    <w14:schemeClr w14:val="tx1"/>
                  </w14:solidFill>
                </w14:textFill>
              </w:rPr>
              <w:t>3</w:t>
            </w:r>
            <w:r>
              <w:rPr>
                <w:rFonts w:hint="eastAsia" w:ascii="仿宋" w:hAnsi="仿宋" w:eastAsia="仿宋" w:cs="仿宋"/>
                <w:color w:val="000000" w:themeColor="text1"/>
                <w:sz w:val="30"/>
                <w:szCs w:val="30"/>
                <w14:textFill>
                  <w14:solidFill>
                    <w14:schemeClr w14:val="tx1"/>
                  </w14:solidFill>
                </w14:textFill>
              </w:rPr>
              <w:t>5年。</w:t>
            </w:r>
          </w:p>
        </w:tc>
      </w:tr>
    </w:tbl>
    <w:p>
      <w:pPr>
        <w:pStyle w:val="4"/>
        <w:rPr>
          <w:rFonts w:cs="Times New Roman"/>
        </w:rPr>
      </w:pPr>
      <w:bookmarkStart w:id="33" w:name="_Toc100068674"/>
      <w:bookmarkStart w:id="34" w:name="_Toc13181"/>
      <w:r>
        <w:rPr>
          <w:rFonts w:hint="eastAsia"/>
        </w:rPr>
        <w:t>（四）</w:t>
      </w:r>
      <w:r>
        <w:rPr>
          <w:rFonts w:hint="eastAsia" w:cs="Times New Roman"/>
        </w:rPr>
        <w:t>应急</w:t>
      </w:r>
      <w:r>
        <w:rPr>
          <w:rFonts w:cs="Times New Roman"/>
        </w:rPr>
        <w:t>能力建设</w:t>
      </w:r>
      <w:bookmarkEnd w:id="33"/>
      <w:r>
        <w:rPr>
          <w:rFonts w:hint="eastAsia" w:cs="Times New Roman"/>
        </w:rPr>
        <w:t>方面</w:t>
      </w:r>
      <w:bookmarkEnd w:id="34"/>
    </w:p>
    <w:p>
      <w:pPr>
        <w:ind w:firstLine="643"/>
        <w:rPr>
          <w:rFonts w:cs="Times New Roman"/>
          <w:szCs w:val="32"/>
        </w:rPr>
      </w:pPr>
      <w:bookmarkStart w:id="35" w:name="_Hlk99789326"/>
      <w:r>
        <w:rPr>
          <w:rFonts w:cs="Times New Roman"/>
          <w:b/>
          <w:bCs/>
          <w:szCs w:val="32"/>
        </w:rPr>
        <w:t>提升应急队伍能力。</w:t>
      </w:r>
      <w:r>
        <w:rPr>
          <w:rFonts w:hint="eastAsia" w:cs="Times New Roman"/>
          <w:szCs w:val="32"/>
        </w:rPr>
        <w:t>建设永兴镇、仁里镇和河沙镇专职消防队，提升队伍先进适用装备；定期组织消防员进行救灾知识的学习演练，强化多灾种专业化训练演练，提高极端条件下的综合救援能力。加强乡镇应急救援队、村应急救援分队的装备配备，为乡镇应急队、村应急分队补充配备必要的个人防护（对讲机、头盔、雨靴、雨衣、安全绳、急救箱、消防器材等）、抢险辅助（车辆、无人机、水泵、油锯、风力灭火机、发电机、担架等）必要的救援装备和器材，并集中储存，统一管理。</w:t>
      </w:r>
    </w:p>
    <w:bookmarkEnd w:id="35"/>
    <w:p>
      <w:pPr>
        <w:ind w:firstLine="643"/>
        <w:rPr>
          <w:rFonts w:cs="Times New Roman"/>
          <w:szCs w:val="32"/>
        </w:rPr>
      </w:pPr>
      <w:bookmarkStart w:id="36" w:name="_Toc15011"/>
      <w:bookmarkStart w:id="37" w:name="_Toc10268"/>
      <w:r>
        <w:rPr>
          <w:rFonts w:cs="Times New Roman"/>
          <w:b/>
          <w:szCs w:val="32"/>
        </w:rPr>
        <w:t>加强应急预案</w:t>
      </w:r>
      <w:bookmarkEnd w:id="36"/>
      <w:bookmarkEnd w:id="37"/>
      <w:r>
        <w:rPr>
          <w:rFonts w:cs="Times New Roman"/>
          <w:b/>
          <w:szCs w:val="32"/>
        </w:rPr>
        <w:t>管理。</w:t>
      </w:r>
      <w:r>
        <w:rPr>
          <w:rFonts w:hint="eastAsia" w:cs="Times New Roman"/>
          <w:szCs w:val="32"/>
        </w:rPr>
        <w:t>根据片区安全生产和自然灾害风险分布，修订完善乡镇应急预案，编制村综合性“多案合一”应急手册，加强各层级应急预案的有效衔接。制定地质灾害、洪涝灾害、地震和森林火灾应急救援行动方案和高危行业企业安全生产专项应急救援行动方案。</w:t>
      </w:r>
    </w:p>
    <w:p>
      <w:pPr>
        <w:ind w:firstLine="643"/>
        <w:rPr>
          <w:rFonts w:cs="Times New Roman"/>
          <w:szCs w:val="32"/>
        </w:rPr>
      </w:pPr>
      <w:r>
        <w:rPr>
          <w:rFonts w:cs="Times New Roman"/>
          <w:b/>
          <w:szCs w:val="32"/>
        </w:rPr>
        <w:t>提高物资保障能力。</w:t>
      </w:r>
      <w:r>
        <w:rPr>
          <w:rFonts w:ascii="仿宋" w:hAnsi="仿宋"/>
          <w:szCs w:val="32"/>
        </w:rPr>
        <w:t>结合片区风险和灾情特点，规范应急物资储备点建设，明确物资装备储备种类、数量及模式。完善应急救灾物资储备，做好应急类救灾物资、救援类抢险救灾物资、救灾类生活物资储备计划，优化储备方式，加大先进适用装备配置力度。优化重要应急物资区域布局，提升片区、乡镇、村（社区）应急物资装备库（点）建设水平，完善物资储备网络。</w:t>
      </w:r>
      <w:r>
        <w:rPr>
          <w:rFonts w:hint="eastAsia" w:ascii="仿宋" w:hAnsi="仿宋"/>
          <w:szCs w:val="32"/>
        </w:rPr>
        <w:t>完善城乡消防站点布局，扎实开展中心镇消防救援站项目及应急队伍训练基地建设，推动中心镇综合应急救援能力全面提升。</w:t>
      </w:r>
      <w:r>
        <w:rPr>
          <w:rFonts w:ascii="仿宋" w:hAnsi="仿宋"/>
          <w:szCs w:val="32"/>
        </w:rPr>
        <w:t>依托二级消防站、小型消防站等建立应急物资储备点，适时前置应急物资。制定家庭应急物资储备推荐清单，引导群众做好家庭应急物资储备。</w:t>
      </w:r>
      <w:r>
        <w:rPr>
          <w:rFonts w:hint="eastAsia" w:ascii="仿宋" w:hAnsi="仿宋"/>
          <w:szCs w:val="32"/>
        </w:rPr>
        <w:t>依托中心镇（</w:t>
      </w:r>
      <w:r>
        <w:rPr>
          <w:rFonts w:ascii="仿宋" w:hAnsi="仿宋"/>
          <w:szCs w:val="32"/>
        </w:rPr>
        <w:t>河沙镇</w:t>
      </w:r>
      <w:r>
        <w:rPr>
          <w:rFonts w:hint="eastAsia" w:ascii="仿宋" w:hAnsi="仿宋"/>
          <w:szCs w:val="32"/>
        </w:rPr>
        <w:t>）建设专职消防救援站建设项目。</w:t>
      </w:r>
      <w:r>
        <w:rPr>
          <w:rFonts w:ascii="仿宋" w:hAnsi="仿宋"/>
          <w:szCs w:val="32"/>
        </w:rPr>
        <w:t>加强各级各类（战勤、特勤、普通及微型消防站）消防站补</w:t>
      </w:r>
      <w:r>
        <w:rPr>
          <w:rFonts w:hint="eastAsia" w:ascii="仿宋" w:hAnsi="仿宋"/>
          <w:szCs w:val="32"/>
        </w:rPr>
        <w:t>充升级建设，保证各乡镇配置</w:t>
      </w:r>
      <w:r>
        <w:rPr>
          <w:rFonts w:ascii="仿宋" w:hAnsi="仿宋"/>
          <w:szCs w:val="32"/>
        </w:rPr>
        <w:t>1座小型消防站，设专职或义务消防队，农村新型村（社区）及聚居点配备必要的消防设施。</w:t>
      </w:r>
    </w:p>
    <w:p>
      <w:pPr>
        <w:ind w:firstLine="643"/>
      </w:pPr>
      <w:r>
        <w:rPr>
          <w:rFonts w:cs="Times New Roman"/>
          <w:b/>
          <w:szCs w:val="32"/>
        </w:rPr>
        <w:t>建设应急避难场所。</w:t>
      </w:r>
      <w:r>
        <w:rPr>
          <w:rFonts w:hint="eastAsia" w:ascii="仿宋" w:hAnsi="仿宋"/>
          <w:szCs w:val="32"/>
        </w:rPr>
        <w:t>按照“平灾结合、因地制宜、综合利用”的原则、人均避难场所面积不低于1.5</w:t>
      </w:r>
      <w:r>
        <w:rPr>
          <w:rFonts w:ascii="仿宋" w:hAnsi="仿宋"/>
          <w:szCs w:val="32"/>
        </w:rPr>
        <w:t>㎡的要求，根据</w:t>
      </w:r>
      <w:r>
        <w:rPr>
          <w:rFonts w:hint="eastAsia" w:ascii="仿宋" w:hAnsi="仿宋"/>
          <w:szCs w:val="32"/>
        </w:rPr>
        <w:t>片区</w:t>
      </w:r>
      <w:r>
        <w:rPr>
          <w:rFonts w:ascii="仿宋" w:hAnsi="仿宋"/>
          <w:szCs w:val="32"/>
        </w:rPr>
        <w:t>国土规划、人口分布、风险点分布等实际情况，在</w:t>
      </w:r>
      <w:r>
        <w:rPr>
          <w:rFonts w:hint="eastAsia" w:ascii="仿宋" w:hAnsi="仿宋"/>
          <w:szCs w:val="32"/>
        </w:rPr>
        <w:t>永兴镇、仁里镇和河沙镇利旧改建</w:t>
      </w:r>
      <w:r>
        <w:rPr>
          <w:rFonts w:ascii="仿宋" w:hAnsi="仿宋"/>
          <w:szCs w:val="32"/>
        </w:rPr>
        <w:t>3个</w:t>
      </w:r>
      <w:r>
        <w:rPr>
          <w:rFonts w:hint="eastAsia" w:ascii="仿宋" w:hAnsi="仿宋"/>
          <w:szCs w:val="32"/>
        </w:rPr>
        <w:t>Ⅲ</w:t>
      </w:r>
      <w:r>
        <w:rPr>
          <w:rFonts w:ascii="仿宋" w:hAnsi="仿宋"/>
          <w:szCs w:val="32"/>
        </w:rPr>
        <w:t>类应急避难场所和25个临时应急避难场所。优化完善现有避难场所建设，调配闲置公房，通过改造、改建公共建筑等方式持续构建和城镇相协调、室内和室外相结合的镇村两级应急避难体系。片区应因地制宜建设应急避难场所，完善避难场所应急物资储备、避难疏散区、应急供电供水、消防设施设备等主要应急避险功能及配套设施，到2035年，片区人均</w:t>
      </w:r>
      <w:r>
        <w:rPr>
          <w:rFonts w:hint="eastAsia" w:ascii="仿宋" w:hAnsi="仿宋"/>
          <w:szCs w:val="32"/>
        </w:rPr>
        <w:t>避难场所面积达到</w:t>
      </w:r>
      <w:r>
        <w:rPr>
          <w:rFonts w:ascii="仿宋" w:hAnsi="仿宋"/>
          <w:szCs w:val="32"/>
        </w:rPr>
        <w:t>3m</w:t>
      </w:r>
      <w:r>
        <w:rPr>
          <w:rFonts w:ascii="仿宋" w:hAnsi="仿宋"/>
          <w:szCs w:val="32"/>
          <w:vertAlign w:val="superscript"/>
        </w:rPr>
        <w:t>2</w:t>
      </w:r>
      <w:r>
        <w:rPr>
          <w:rFonts w:ascii="仿宋" w:hAnsi="仿宋"/>
          <w:szCs w:val="32"/>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ind w:firstLine="0" w:firstLineChars="0"/>
              <w:jc w:val="center"/>
              <w:rPr>
                <w:rFonts w:ascii="仿宋" w:hAnsi="仿宋" w:cs="仿宋"/>
                <w:sz w:val="30"/>
                <w:szCs w:val="30"/>
              </w:rPr>
            </w:pPr>
            <w:r>
              <w:rPr>
                <w:rFonts w:hint="eastAsia" w:ascii="仿宋" w:hAnsi="仿宋" w:cs="仿宋"/>
                <w:sz w:val="30"/>
                <w:szCs w:val="30"/>
              </w:rPr>
              <w:t>专栏4：应急能力建设重点工程</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1.消防站建设</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结合镇区需求建设中心镇河沙镇专职消防救援站1个、一般镇小型消防救援站2个，按需配置相应等级数量的消防车辆、灭火器材、通信器材、破拆器材、个人基本防护装备，布局森林防火视频监控点、消防水池。</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建设地点：片区各镇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责任单位：区应急管理局、区消防救援大队，各镇党委和人民政府；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资金估算：1</w:t>
            </w:r>
            <w:r>
              <w:rPr>
                <w:rFonts w:ascii="仿宋" w:hAnsi="仿宋" w:cs="仿宋"/>
                <w:color w:val="000000" w:themeColor="text1"/>
                <w:sz w:val="30"/>
                <w:szCs w:val="30"/>
                <w14:textFill>
                  <w14:solidFill>
                    <w14:schemeClr w14:val="tx1"/>
                  </w14:solidFill>
                </w14:textFill>
              </w:rPr>
              <w:t>5</w:t>
            </w:r>
            <w:r>
              <w:rPr>
                <w:rFonts w:hint="eastAsia" w:ascii="仿宋" w:hAnsi="仿宋" w:cs="仿宋"/>
                <w:color w:val="000000" w:themeColor="text1"/>
                <w:sz w:val="30"/>
                <w:szCs w:val="30"/>
                <w14:textFill>
                  <w14:solidFill>
                    <w14:schemeClr w14:val="tx1"/>
                  </w14:solidFill>
                </w14:textFill>
              </w:rPr>
              <w:t>00万；</w:t>
            </w:r>
          </w:p>
          <w:p>
            <w:pPr>
              <w:ind w:firstLine="600"/>
              <w:rPr>
                <w:rFonts w:ascii="仿宋" w:hAnsi="仿宋" w:cs="仿宋"/>
                <w:sz w:val="30"/>
                <w:szCs w:val="30"/>
              </w:rPr>
            </w:pPr>
            <w:r>
              <w:rPr>
                <w:rFonts w:hint="eastAsia" w:ascii="仿宋" w:hAnsi="仿宋" w:cs="仿宋"/>
                <w:color w:val="000000" w:themeColor="text1"/>
                <w:sz w:val="30"/>
                <w:szCs w:val="30"/>
                <w14:textFill>
                  <w14:solidFill>
                    <w14:schemeClr w14:val="tx1"/>
                  </w14:solidFill>
                </w14:textFill>
              </w:rPr>
              <w:t>完成期限：2030年。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2.应急物资储备点升级改造</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建设内容：各镇在现有基础上，升级改造应急物资储备点，重点建设视频监控、专用货架、防潮、防虫、防火等设施；利用各村（居）委会新增应急物资储备点</w:t>
            </w:r>
            <w:r>
              <w:rPr>
                <w:rFonts w:ascii="仿宋" w:hAnsi="仿宋" w:cs="仿宋"/>
                <w:color w:val="000000" w:themeColor="text1"/>
                <w:sz w:val="30"/>
                <w:szCs w:val="30"/>
                <w14:textFill>
                  <w14:solidFill>
                    <w14:schemeClr w14:val="tx1"/>
                  </w14:solidFill>
                </w14:textFill>
              </w:rPr>
              <w:t>2</w:t>
            </w:r>
            <w:r>
              <w:rPr>
                <w:rFonts w:hint="eastAsia" w:ascii="仿宋" w:hAnsi="仿宋" w:cs="仿宋"/>
                <w:color w:val="000000" w:themeColor="text1"/>
                <w:sz w:val="30"/>
                <w:szCs w:val="30"/>
                <w14:textFill>
                  <w14:solidFill>
                    <w14:schemeClr w14:val="tx1"/>
                  </w14:solidFill>
                </w14:textFill>
              </w:rPr>
              <w:t>5个，不新增用地。</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建设地点：片区各镇；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责任单位：区应急管理局、区发展改革局、区财政局、片区各镇党委和人民政府；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资金估算：400万；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完成期限：20</w:t>
            </w:r>
            <w:r>
              <w:rPr>
                <w:rFonts w:ascii="仿宋" w:hAnsi="仿宋" w:cs="仿宋"/>
                <w:color w:val="000000" w:themeColor="text1"/>
                <w:sz w:val="30"/>
                <w:szCs w:val="30"/>
                <w14:textFill>
                  <w14:solidFill>
                    <w14:schemeClr w14:val="tx1"/>
                  </w14:solidFill>
                </w14:textFill>
              </w:rPr>
              <w:t>3</w:t>
            </w:r>
            <w:r>
              <w:rPr>
                <w:rFonts w:hint="eastAsia" w:ascii="仿宋" w:hAnsi="仿宋" w:cs="仿宋"/>
                <w:color w:val="000000" w:themeColor="text1"/>
                <w:sz w:val="30"/>
                <w:szCs w:val="30"/>
                <w14:textFill>
                  <w14:solidFill>
                    <w14:schemeClr w14:val="tx1"/>
                  </w14:solidFill>
                </w14:textFill>
              </w:rPr>
              <w:t>5年。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3.应急避难场所建设</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建设内容：利旧改建3个Ⅲ类应急避难场所和</w:t>
            </w:r>
            <w:r>
              <w:rPr>
                <w:rFonts w:ascii="仿宋" w:hAnsi="仿宋" w:cs="仿宋"/>
                <w:color w:val="000000" w:themeColor="text1"/>
                <w:sz w:val="30"/>
                <w:szCs w:val="30"/>
                <w14:textFill>
                  <w14:solidFill>
                    <w14:schemeClr w14:val="tx1"/>
                  </w14:solidFill>
                </w14:textFill>
              </w:rPr>
              <w:t>2</w:t>
            </w:r>
            <w:r>
              <w:rPr>
                <w:rFonts w:hint="eastAsia" w:ascii="仿宋" w:hAnsi="仿宋" w:cs="仿宋"/>
                <w:color w:val="000000" w:themeColor="text1"/>
                <w:sz w:val="30"/>
                <w:szCs w:val="30"/>
                <w14:textFill>
                  <w14:solidFill>
                    <w14:schemeClr w14:val="tx1"/>
                  </w14:solidFill>
                </w14:textFill>
              </w:rPr>
              <w:t>5个临时应急避难场所。规划利用公园绿地、广场、学校等开敞空间构建应急避难场所，达到镇区常住人口人均应急避难面积≥1.5m</w:t>
            </w:r>
            <w:r>
              <w:rPr>
                <w:rFonts w:hint="eastAsia" w:ascii="仿宋" w:hAnsi="仿宋" w:cs="仿宋"/>
                <w:color w:val="000000" w:themeColor="text1"/>
                <w:sz w:val="30"/>
                <w:szCs w:val="30"/>
                <w:vertAlign w:val="superscript"/>
                <w14:textFill>
                  <w14:solidFill>
                    <w14:schemeClr w14:val="tx1"/>
                  </w14:solidFill>
                </w14:textFill>
              </w:rPr>
              <w:t>2</w:t>
            </w:r>
            <w:r>
              <w:rPr>
                <w:rFonts w:hint="eastAsia" w:ascii="仿宋" w:hAnsi="仿宋" w:cs="仿宋"/>
                <w:color w:val="000000" w:themeColor="text1"/>
                <w:sz w:val="30"/>
                <w:szCs w:val="30"/>
                <w14:textFill>
                  <w14:solidFill>
                    <w14:schemeClr w14:val="tx1"/>
                  </w14:solidFill>
                </w14:textFill>
              </w:rPr>
              <w:t>，建设将各镇区主次干道作为应急救援或避难疏散通道，明确标志标牌；通过改造、改建公共建筑等方式持续构建和城镇相协调、室内和室外相结合的镇村两级应急避难体系。</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建设地点：片区各镇；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建筑面积：7</w:t>
            </w:r>
            <w:r>
              <w:rPr>
                <w:rFonts w:ascii="仿宋" w:hAnsi="仿宋" w:cs="仿宋"/>
                <w:color w:val="000000" w:themeColor="text1"/>
                <w:sz w:val="30"/>
                <w:szCs w:val="30"/>
                <w14:textFill>
                  <w14:solidFill>
                    <w14:schemeClr w14:val="tx1"/>
                  </w14:solidFill>
                </w14:textFill>
              </w:rPr>
              <w:t>0000</w:t>
            </w:r>
            <w:r>
              <w:rPr>
                <w:rFonts w:hint="eastAsia" w:ascii="仿宋" w:hAnsi="仿宋" w:cs="仿宋"/>
                <w:color w:val="000000" w:themeColor="text1"/>
                <w:sz w:val="30"/>
                <w:szCs w:val="30"/>
                <w14:textFill>
                  <w14:solidFill>
                    <w14:schemeClr w14:val="tx1"/>
                  </w14:solidFill>
                </w14:textFill>
              </w:rPr>
              <w:t>平方米；</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w:t>
            </w:r>
            <w:bookmarkStart w:id="70" w:name="_GoBack"/>
            <w:bookmarkEnd w:id="70"/>
            <w:r>
              <w:rPr>
                <w:rFonts w:hint="eastAsia" w:ascii="仿宋" w:hAnsi="仿宋" w:cs="仿宋"/>
                <w:color w:val="000000" w:themeColor="text1"/>
                <w:sz w:val="30"/>
                <w:szCs w:val="30"/>
                <w:lang w:eastAsia="zh-CN"/>
                <w14:textFill>
                  <w14:solidFill>
                    <w14:schemeClr w14:val="tx1"/>
                  </w14:solidFill>
                </w14:textFill>
              </w:rPr>
              <w:t>区应急管理局</w:t>
            </w:r>
            <w:r>
              <w:rPr>
                <w:rFonts w:hint="eastAsia" w:ascii="仿宋" w:hAnsi="仿宋" w:cs="仿宋"/>
                <w:color w:val="000000" w:themeColor="text1"/>
                <w:sz w:val="30"/>
                <w:szCs w:val="30"/>
                <w14:textFill>
                  <w14:solidFill>
                    <w14:schemeClr w14:val="tx1"/>
                  </w14:solidFill>
                </w14:textFill>
              </w:rPr>
              <w:t>、区住房城乡建设局、区教育局、区财政局、片区各镇党委和人民政府；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w:t>
            </w:r>
            <w:r>
              <w:rPr>
                <w:rFonts w:ascii="仿宋" w:hAnsi="仿宋" w:cs="仿宋"/>
                <w:color w:val="000000" w:themeColor="text1"/>
                <w:sz w:val="30"/>
                <w:szCs w:val="30"/>
                <w14:textFill>
                  <w14:solidFill>
                    <w14:schemeClr w14:val="tx1"/>
                  </w14:solidFill>
                </w14:textFill>
              </w:rPr>
              <w:t>8</w:t>
            </w:r>
            <w:r>
              <w:rPr>
                <w:rFonts w:hint="eastAsia" w:ascii="仿宋" w:hAnsi="仿宋" w:cs="仿宋"/>
                <w:color w:val="000000" w:themeColor="text1"/>
                <w:sz w:val="30"/>
                <w:szCs w:val="30"/>
                <w14:textFill>
                  <w14:solidFill>
                    <w14:schemeClr w14:val="tx1"/>
                  </w14:solidFill>
                </w14:textFill>
              </w:rPr>
              <w:t>00万；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完成期限：20</w:t>
            </w:r>
            <w:r>
              <w:rPr>
                <w:rFonts w:ascii="仿宋" w:hAnsi="仿宋" w:cs="仿宋"/>
                <w:color w:val="000000" w:themeColor="text1"/>
                <w:sz w:val="30"/>
                <w:szCs w:val="30"/>
                <w14:textFill>
                  <w14:solidFill>
                    <w14:schemeClr w14:val="tx1"/>
                  </w14:solidFill>
                </w14:textFill>
              </w:rPr>
              <w:t>3</w:t>
            </w:r>
            <w:r>
              <w:rPr>
                <w:rFonts w:hint="eastAsia" w:ascii="仿宋" w:hAnsi="仿宋" w:cs="仿宋"/>
                <w:color w:val="000000" w:themeColor="text1"/>
                <w:sz w:val="30"/>
                <w:szCs w:val="30"/>
                <w14:textFill>
                  <w14:solidFill>
                    <w14:schemeClr w14:val="tx1"/>
                  </w14:solidFill>
                </w14:textFill>
              </w:rPr>
              <w:t>5年。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4.应急队伍建设</w:t>
            </w:r>
          </w:p>
          <w:p>
            <w:pPr>
              <w:ind w:firstLine="600"/>
              <w:rPr>
                <w:rFonts w:ascii="仿宋" w:hAnsi="仿宋" w:cs="仿宋"/>
                <w:sz w:val="30"/>
                <w:szCs w:val="30"/>
              </w:rPr>
            </w:pPr>
            <w:r>
              <w:rPr>
                <w:rFonts w:hint="eastAsia" w:ascii="仿宋" w:hAnsi="仿宋" w:cs="仿宋"/>
                <w:color w:val="000000" w:themeColor="text1"/>
                <w:sz w:val="30"/>
                <w:szCs w:val="30"/>
                <w14:textFill>
                  <w14:solidFill>
                    <w14:schemeClr w14:val="tx1"/>
                  </w14:solidFill>
                </w14:textFill>
              </w:rPr>
              <w:t>建设内容：加强各镇政府专职消防队建设，提升多灾种应急救援技能。加强镇应急队、村应急分队建设，加强队伍培训演练，每半年培训不低于2次。</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责任单位：区应急管理局，区消防救援大队，片区各镇党委和人民政府；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w:t>
            </w:r>
            <w:r>
              <w:rPr>
                <w:rFonts w:ascii="仿宋" w:hAnsi="仿宋" w:cs="仿宋"/>
                <w:color w:val="000000" w:themeColor="text1"/>
                <w:sz w:val="30"/>
                <w:szCs w:val="30"/>
                <w14:textFill>
                  <w14:solidFill>
                    <w14:schemeClr w14:val="tx1"/>
                  </w14:solidFill>
                </w14:textFill>
              </w:rPr>
              <w:t>3</w:t>
            </w:r>
            <w:r>
              <w:rPr>
                <w:rFonts w:hint="eastAsia" w:ascii="仿宋" w:hAnsi="仿宋" w:cs="仿宋"/>
                <w:color w:val="000000" w:themeColor="text1"/>
                <w:sz w:val="30"/>
                <w:szCs w:val="30"/>
                <w14:textFill>
                  <w14:solidFill>
                    <w14:schemeClr w14:val="tx1"/>
                  </w14:solidFill>
                </w14:textFill>
              </w:rPr>
              <w:t>0万元/年，共计</w:t>
            </w:r>
            <w:r>
              <w:rPr>
                <w:rFonts w:ascii="仿宋" w:hAnsi="仿宋" w:cs="仿宋"/>
                <w:color w:val="000000" w:themeColor="text1"/>
                <w:sz w:val="30"/>
                <w:szCs w:val="30"/>
                <w14:textFill>
                  <w14:solidFill>
                    <w14:schemeClr w14:val="tx1"/>
                  </w14:solidFill>
                </w14:textFill>
              </w:rPr>
              <w:t>45</w:t>
            </w:r>
            <w:r>
              <w:rPr>
                <w:rFonts w:hint="eastAsia" w:ascii="仿宋" w:hAnsi="仿宋" w:cs="仿宋"/>
                <w:color w:val="000000" w:themeColor="text1"/>
                <w:sz w:val="30"/>
                <w:szCs w:val="30"/>
                <w14:textFill>
                  <w14:solidFill>
                    <w14:schemeClr w14:val="tx1"/>
                  </w14:solidFill>
                </w14:textFill>
              </w:rPr>
              <w:t>0万；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完成期限：2035年。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5.应急装备建设</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建设内容：为各镇应急队配备1架无人机，培训无人机飞手。加强救生衣、救生圈、皮划艇等防汛抗旱救援装备，棉被、帐篷、折叠床等救灾物资配备。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责任单位：区应急管理局，片区各镇党委和人民政府；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资金估算：300万；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完成期限：2035年。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6.应急预案编制与修订</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以“科学化、实用化、效能化”为目标，结合各镇特点，查漏补缺，加强基层和企事业单位应急预案建设，重点推进应急预案进社区、进乡村、进企业、进学校以及重点行业，积极完善应急预案体系，梯次推进各级各类预案编修工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责任单位：区应急管理局，片区内各镇党委和人民政府；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w:t>
            </w:r>
            <w:r>
              <w:rPr>
                <w:rFonts w:ascii="仿宋" w:hAnsi="仿宋" w:cs="仿宋"/>
                <w:color w:val="000000" w:themeColor="text1"/>
                <w:sz w:val="30"/>
                <w:szCs w:val="30"/>
                <w14:textFill>
                  <w14:solidFill>
                    <w14:schemeClr w14:val="tx1"/>
                  </w14:solidFill>
                </w14:textFill>
              </w:rPr>
              <w:t>20</w:t>
            </w:r>
            <w:r>
              <w:rPr>
                <w:rFonts w:hint="eastAsia" w:ascii="仿宋" w:hAnsi="仿宋" w:cs="仿宋"/>
                <w:color w:val="000000" w:themeColor="text1"/>
                <w:sz w:val="30"/>
                <w:szCs w:val="30"/>
                <w14:textFill>
                  <w14:solidFill>
                    <w14:schemeClr w14:val="tx1"/>
                  </w14:solidFill>
                </w14:textFill>
              </w:rPr>
              <w:t>0万；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完成期限：2025年。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7.应急演练</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建设内容：各镇开展山洪灾害、地质灾害、森林防灭火等演练每季度不少于1次，各学校开展山洪灾害、火灾等演练每学期不少于1次。</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责任单位：区应急管理局，区自然资源规划局、区水利局、区教育和体育局、片区各镇党委和人民政府；</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w:t>
            </w:r>
            <w:r>
              <w:rPr>
                <w:rFonts w:ascii="仿宋" w:hAnsi="仿宋" w:cs="仿宋"/>
                <w:color w:val="000000" w:themeColor="text1"/>
                <w:sz w:val="30"/>
                <w:szCs w:val="30"/>
                <w14:textFill>
                  <w14:solidFill>
                    <w14:schemeClr w14:val="tx1"/>
                  </w14:solidFill>
                </w14:textFill>
              </w:rPr>
              <w:t>3</w:t>
            </w:r>
            <w:r>
              <w:rPr>
                <w:rFonts w:hint="eastAsia" w:ascii="仿宋" w:hAnsi="仿宋" w:cs="仿宋"/>
                <w:color w:val="000000" w:themeColor="text1"/>
                <w:sz w:val="30"/>
                <w:szCs w:val="30"/>
                <w14:textFill>
                  <w14:solidFill>
                    <w14:schemeClr w14:val="tx1"/>
                  </w14:solidFill>
                </w14:textFill>
              </w:rPr>
              <w:t>0万元/年，共计</w:t>
            </w:r>
            <w:r>
              <w:rPr>
                <w:rFonts w:ascii="仿宋" w:hAnsi="仿宋" w:cs="仿宋"/>
                <w:color w:val="000000" w:themeColor="text1"/>
                <w:sz w:val="30"/>
                <w:szCs w:val="30"/>
                <w14:textFill>
                  <w14:solidFill>
                    <w14:schemeClr w14:val="tx1"/>
                  </w14:solidFill>
                </w14:textFill>
              </w:rPr>
              <w:t>45</w:t>
            </w:r>
            <w:r>
              <w:rPr>
                <w:rFonts w:hint="eastAsia" w:ascii="仿宋" w:hAnsi="仿宋" w:cs="仿宋"/>
                <w:color w:val="000000" w:themeColor="text1"/>
                <w:sz w:val="30"/>
                <w:szCs w:val="30"/>
                <w14:textFill>
                  <w14:solidFill>
                    <w14:schemeClr w14:val="tx1"/>
                  </w14:solidFill>
                </w14:textFill>
              </w:rPr>
              <w:t>0万；</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完成期限：2035年。</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8.应急培训</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建设内容：各镇整合现有应急管理资源，组建由乡镇安全监管人员、乡镇综合应急救援队伍、村（社区）网格员、灾害信息员、干部构成乡镇、村（社区）两级基层应急管理宣教队伍；各镇每个乡镇每年培训综合应急救援员不少于24人，每个村（社区）每年培训“应急第一响应人”不少于10人；</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责任单位：区应急管理局，片区内</w:t>
            </w:r>
            <w:r>
              <w:rPr>
                <w:rFonts w:hint="eastAsia" w:ascii="仿宋" w:hAnsi="仿宋" w:cs="仿宋"/>
                <w:sz w:val="30"/>
                <w:szCs w:val="30"/>
              </w:rPr>
              <w:t>各镇党委和人民政府</w:t>
            </w:r>
            <w:r>
              <w:rPr>
                <w:rFonts w:hint="eastAsia" w:ascii="仿宋" w:hAnsi="仿宋" w:cs="仿宋"/>
                <w:color w:val="000000" w:themeColor="text1"/>
                <w:sz w:val="30"/>
                <w:szCs w:val="30"/>
                <w14:textFill>
                  <w14:solidFill>
                    <w14:schemeClr w14:val="tx1"/>
                  </w14:solidFill>
                </w14:textFill>
              </w:rPr>
              <w:t>；</w:t>
            </w:r>
          </w:p>
          <w:p>
            <w:pPr>
              <w:ind w:firstLine="600"/>
              <w:rPr>
                <w:rFonts w:ascii="仿宋" w:hAnsi="仿宋" w:cs="仿宋"/>
                <w:color w:val="000000" w:themeColor="text1"/>
                <w:sz w:val="30"/>
                <w:szCs w:val="30"/>
                <w14:textFill>
                  <w14:solidFill>
                    <w14:schemeClr w14:val="tx1"/>
                  </w14:solidFill>
                </w14:textFill>
              </w:rPr>
            </w:pPr>
            <w:r>
              <w:rPr>
                <w:rFonts w:hint="eastAsia" w:ascii="仿宋" w:hAnsi="仿宋" w:cs="仿宋"/>
                <w:color w:val="000000" w:themeColor="text1"/>
                <w:sz w:val="30"/>
                <w:szCs w:val="30"/>
                <w14:textFill>
                  <w14:solidFill>
                    <w14:schemeClr w14:val="tx1"/>
                  </w14:solidFill>
                </w14:textFill>
              </w:rPr>
              <w:t>资金估算：</w:t>
            </w:r>
            <w:r>
              <w:rPr>
                <w:rFonts w:ascii="仿宋" w:hAnsi="仿宋" w:cs="仿宋"/>
                <w:color w:val="000000" w:themeColor="text1"/>
                <w:sz w:val="30"/>
                <w:szCs w:val="30"/>
                <w14:textFill>
                  <w14:solidFill>
                    <w14:schemeClr w14:val="tx1"/>
                  </w14:solidFill>
                </w14:textFill>
              </w:rPr>
              <w:t>3</w:t>
            </w:r>
            <w:r>
              <w:rPr>
                <w:rFonts w:hint="eastAsia" w:ascii="仿宋" w:hAnsi="仿宋" w:cs="仿宋"/>
                <w:color w:val="000000" w:themeColor="text1"/>
                <w:sz w:val="30"/>
                <w:szCs w:val="30"/>
                <w14:textFill>
                  <w14:solidFill>
                    <w14:schemeClr w14:val="tx1"/>
                  </w14:solidFill>
                </w14:textFill>
              </w:rPr>
              <w:t>0万元/年，共计</w:t>
            </w:r>
            <w:r>
              <w:rPr>
                <w:rFonts w:ascii="仿宋" w:hAnsi="仿宋" w:cs="仿宋"/>
                <w:color w:val="000000" w:themeColor="text1"/>
                <w:sz w:val="30"/>
                <w:szCs w:val="30"/>
                <w14:textFill>
                  <w14:solidFill>
                    <w14:schemeClr w14:val="tx1"/>
                  </w14:solidFill>
                </w14:textFill>
              </w:rPr>
              <w:t>4</w:t>
            </w:r>
            <w:r>
              <w:rPr>
                <w:rFonts w:hint="eastAsia" w:ascii="仿宋" w:hAnsi="仿宋" w:cs="仿宋"/>
                <w:color w:val="000000" w:themeColor="text1"/>
                <w:sz w:val="30"/>
                <w:szCs w:val="30"/>
                <w14:textFill>
                  <w14:solidFill>
                    <w14:schemeClr w14:val="tx1"/>
                  </w14:solidFill>
                </w14:textFill>
              </w:rPr>
              <w:t>50万；</w:t>
            </w:r>
          </w:p>
          <w:p>
            <w:pPr>
              <w:ind w:firstLine="600"/>
              <w:rPr>
                <w:rFonts w:ascii="仿宋" w:hAnsi="仿宋" w:cs="仿宋"/>
                <w:sz w:val="30"/>
                <w:szCs w:val="30"/>
              </w:rPr>
            </w:pPr>
            <w:r>
              <w:rPr>
                <w:rFonts w:hint="eastAsia" w:ascii="仿宋" w:hAnsi="仿宋" w:cs="仿宋"/>
                <w:color w:val="000000" w:themeColor="text1"/>
                <w:sz w:val="30"/>
                <w:szCs w:val="30"/>
                <w14:textFill>
                  <w14:solidFill>
                    <w14:schemeClr w14:val="tx1"/>
                  </w14:solidFill>
                </w14:textFill>
              </w:rPr>
              <w:t>完成期限：2035年；</w:t>
            </w:r>
          </w:p>
        </w:tc>
      </w:tr>
    </w:tbl>
    <w:p>
      <w:pPr>
        <w:pStyle w:val="4"/>
        <w:rPr>
          <w:rFonts w:cs="Times New Roman"/>
        </w:rPr>
      </w:pPr>
      <w:bookmarkStart w:id="38" w:name="_Toc100068675"/>
      <w:bookmarkStart w:id="39" w:name="_Toc19009"/>
      <w:r>
        <w:rPr>
          <w:rFonts w:hint="eastAsia" w:cs="Times New Roman"/>
        </w:rPr>
        <w:t>（五）</w:t>
      </w:r>
      <w:r>
        <w:rPr>
          <w:rFonts w:cs="Times New Roman"/>
        </w:rPr>
        <w:t>先进技术应用</w:t>
      </w:r>
      <w:bookmarkEnd w:id="38"/>
      <w:r>
        <w:rPr>
          <w:rFonts w:hint="eastAsia" w:cs="Times New Roman"/>
        </w:rPr>
        <w:t>方面</w:t>
      </w:r>
      <w:bookmarkEnd w:id="39"/>
    </w:p>
    <w:p>
      <w:pPr>
        <w:ind w:firstLine="643"/>
        <w:rPr>
          <w:rFonts w:ascii="仿宋" w:hAnsi="仿宋"/>
          <w:szCs w:val="32"/>
        </w:rPr>
      </w:pPr>
      <w:r>
        <w:rPr>
          <w:rFonts w:ascii="仿宋" w:hAnsi="仿宋"/>
          <w:b/>
          <w:bCs/>
          <w:szCs w:val="32"/>
        </w:rPr>
        <w:t>加快应急指挥中心建设。</w:t>
      </w:r>
      <w:r>
        <w:rPr>
          <w:rFonts w:ascii="仿宋" w:hAnsi="仿宋"/>
          <w:szCs w:val="32"/>
        </w:rPr>
        <w:t>结合</w:t>
      </w:r>
      <w:r>
        <w:rPr>
          <w:rFonts w:hint="eastAsia" w:ascii="仿宋" w:hAnsi="仿宋"/>
          <w:szCs w:val="32"/>
        </w:rPr>
        <w:t>船山区片区</w:t>
      </w:r>
      <w:r>
        <w:rPr>
          <w:rFonts w:ascii="仿宋" w:hAnsi="仿宋"/>
          <w:szCs w:val="32"/>
        </w:rPr>
        <w:t>自然灾害防治辅助决策系统、智慧应急平台、森林防火预警监测系统、森林防火通讯系统、森林防灭火信息指挥系统、防洪排涝系统、地质灾害监测预警系统等信息化系统建设，持续推进片区各类信息化基础设施建设，强化安全生产、自然灾害等领域感知网络建设，形成片区“应急一张图”，推动国家、省、市、</w:t>
      </w:r>
      <w:r>
        <w:rPr>
          <w:rFonts w:hint="eastAsia" w:ascii="仿宋" w:hAnsi="仿宋"/>
          <w:szCs w:val="32"/>
        </w:rPr>
        <w:t>区</w:t>
      </w:r>
      <w:r>
        <w:rPr>
          <w:rFonts w:ascii="仿宋" w:hAnsi="仿宋"/>
          <w:szCs w:val="32"/>
        </w:rPr>
        <w:t>有关政策的有效落地，推动5G、大数据、无人侦察、无人灭火等空天地一体化等高科技手段在安全生产、防灾减灾和应急救援领域的应用，推广应用信息化、智能化的监测预警装备和轻量化、便携化、高机动性的应急装备，建强城市感知的“末端神经”，提升片区综合应急管理能力。整合应急信息资源，建设以</w:t>
      </w:r>
      <w:r>
        <w:rPr>
          <w:rFonts w:hint="eastAsia" w:ascii="仿宋" w:hAnsi="仿宋"/>
          <w:szCs w:val="32"/>
        </w:rPr>
        <w:t>遂宁船山区永和片区</w:t>
      </w:r>
      <w:r>
        <w:rPr>
          <w:rFonts w:ascii="仿宋" w:hAnsi="仿宋"/>
          <w:szCs w:val="32"/>
        </w:rPr>
        <w:t>智慧平台为中枢、</w:t>
      </w:r>
      <w:r>
        <w:rPr>
          <w:rFonts w:hint="eastAsia" w:ascii="仿宋" w:hAnsi="仿宋"/>
          <w:szCs w:val="32"/>
        </w:rPr>
        <w:t>镇级</w:t>
      </w:r>
      <w:r>
        <w:rPr>
          <w:rFonts w:ascii="仿宋" w:hAnsi="仿宋"/>
          <w:szCs w:val="32"/>
        </w:rPr>
        <w:t>智慧指挥室为中心的应急指挥平台系统，形成贯通片区的灾害事故应急指挥网络，提升远程协同会商决策能力。上通</w:t>
      </w:r>
      <w:r>
        <w:rPr>
          <w:rFonts w:hint="eastAsia" w:ascii="仿宋" w:hAnsi="仿宋"/>
          <w:szCs w:val="32"/>
        </w:rPr>
        <w:t>船山区</w:t>
      </w:r>
      <w:r>
        <w:rPr>
          <w:rFonts w:ascii="仿宋" w:hAnsi="仿宋"/>
          <w:szCs w:val="32"/>
        </w:rPr>
        <w:t>应急指挥中心系统，逐步形成上下贯通、左右衔接、互联互通、信息共享、互有侧重、互为支撑、安全畅通的智慧应急体系。整合片区重要风险源、重点防护目标、重要基础设施及各类应急资源等基础数据，加快重要领域数据库建设，实现数据实时采集和动态更新，提升大数据的辅助决策作用。</w:t>
      </w:r>
    </w:p>
    <w:p>
      <w:pPr>
        <w:ind w:firstLine="643"/>
        <w:rPr>
          <w:rFonts w:ascii="仿宋" w:hAnsi="仿宋"/>
          <w:szCs w:val="32"/>
        </w:rPr>
      </w:pPr>
      <w:r>
        <w:rPr>
          <w:rFonts w:ascii="仿宋" w:hAnsi="仿宋"/>
          <w:b/>
          <w:bCs/>
          <w:szCs w:val="32"/>
        </w:rPr>
        <w:t>推进建设应急广播工程。</w:t>
      </w:r>
      <w:r>
        <w:rPr>
          <w:rFonts w:ascii="仿宋" w:hAnsi="仿宋"/>
          <w:szCs w:val="32"/>
        </w:rPr>
        <w:t>持续开展应急广播系统建设，优化预警信息网络，推进应急广播到村入户，提高应对各类突发事件的应急信息采集、发布及调度指挥等能力，打通信息发布“最后一公里”，确保预警信息到户到人，实现应急信息及时汇聚、快速</w:t>
      </w:r>
      <w:r>
        <w:rPr>
          <w:rFonts w:hint="eastAsia" w:ascii="仿宋" w:hAnsi="仿宋"/>
          <w:szCs w:val="32"/>
        </w:rPr>
        <w:t>制作发布、信号精准覆盖。</w:t>
      </w:r>
    </w:p>
    <w:p>
      <w:pPr>
        <w:ind w:firstLine="643"/>
        <w:rPr>
          <w:rFonts w:ascii="仿宋" w:hAnsi="仿宋"/>
          <w:szCs w:val="32"/>
        </w:rPr>
      </w:pPr>
      <w:r>
        <w:rPr>
          <w:rFonts w:hint="eastAsia" w:ascii="仿宋" w:hAnsi="仿宋"/>
          <w:b/>
          <w:bCs/>
          <w:szCs w:val="32"/>
        </w:rPr>
        <w:t>增强应急通信设施保障。</w:t>
      </w:r>
      <w:r>
        <w:rPr>
          <w:rFonts w:hint="eastAsia" w:ascii="仿宋" w:hAnsi="仿宋"/>
          <w:szCs w:val="32"/>
        </w:rPr>
        <w:t>强化卫星电话管理，确保应急通讯效能。安排专人指导培训卫星电话的使用方法及注意事项，确保使用人员能够熟练操作卫星电话。卫星电话存放于专用的应急通信专柜内，保证在紧急情况下能够随时取出，投入使用。确保片区居民和所有手机用户都能收到灾害预警提示信息，有效降低突发事件造成的危害。</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ind w:firstLine="0" w:firstLineChars="0"/>
              <w:jc w:val="center"/>
              <w:rPr>
                <w:rFonts w:ascii="仿宋" w:hAnsi="仿宋" w:cs="仿宋"/>
                <w:b/>
                <w:sz w:val="30"/>
                <w:szCs w:val="30"/>
              </w:rPr>
            </w:pPr>
            <w:r>
              <w:rPr>
                <w:rFonts w:hint="eastAsia" w:ascii="仿宋" w:hAnsi="仿宋" w:cs="仿宋"/>
                <w:bCs/>
                <w:sz w:val="30"/>
                <w:szCs w:val="30"/>
              </w:rPr>
              <w:t>专栏5 先进技术应用重点工程</w:t>
            </w:r>
          </w:p>
          <w:p>
            <w:pPr>
              <w:ind w:firstLine="600"/>
              <w:rPr>
                <w:rFonts w:ascii="仿宋" w:hAnsi="仿宋" w:cs="仿宋"/>
                <w:sz w:val="30"/>
                <w:szCs w:val="30"/>
              </w:rPr>
            </w:pPr>
            <w:r>
              <w:rPr>
                <w:rFonts w:hint="eastAsia" w:ascii="仿宋" w:hAnsi="仿宋" w:cs="仿宋"/>
                <w:sz w:val="30"/>
                <w:szCs w:val="30"/>
              </w:rPr>
              <w:t>1.应急指挥中心建设</w:t>
            </w:r>
          </w:p>
          <w:p>
            <w:pPr>
              <w:ind w:firstLine="600"/>
              <w:rPr>
                <w:rFonts w:ascii="仿宋" w:hAnsi="仿宋" w:cs="仿宋"/>
                <w:sz w:val="30"/>
                <w:szCs w:val="30"/>
              </w:rPr>
            </w:pPr>
            <w:r>
              <w:rPr>
                <w:rFonts w:hint="eastAsia" w:ascii="仿宋" w:hAnsi="仿宋" w:cs="仿宋"/>
                <w:sz w:val="30"/>
                <w:szCs w:val="30"/>
              </w:rPr>
              <w:t>建设内容：依托镇政府现有信息化基础设施，各镇分别建设1处应急指挥分中心，整合乡镇数据监管、查询；风险监测、上报以及第一现场应急处突等工作需求，建设智慧乡镇终端，并接入片区智慧平台，提供移动端日常工作信息查询需要以及紧急事件上报和应急视频会商功能。</w:t>
            </w:r>
          </w:p>
          <w:p>
            <w:pPr>
              <w:ind w:firstLine="600"/>
              <w:rPr>
                <w:rFonts w:ascii="仿宋" w:hAnsi="仿宋" w:cs="仿宋"/>
                <w:sz w:val="30"/>
                <w:szCs w:val="30"/>
              </w:rPr>
            </w:pPr>
            <w:r>
              <w:rPr>
                <w:rFonts w:hint="eastAsia" w:ascii="仿宋" w:hAnsi="仿宋" w:cs="仿宋"/>
                <w:sz w:val="30"/>
                <w:szCs w:val="30"/>
              </w:rPr>
              <w:t>责任单位：区应急管理局，片区各镇党委和人民政府</w:t>
            </w:r>
          </w:p>
          <w:p>
            <w:pPr>
              <w:ind w:firstLine="600"/>
              <w:rPr>
                <w:rFonts w:ascii="仿宋" w:hAnsi="仿宋" w:cs="仿宋"/>
                <w:sz w:val="30"/>
                <w:szCs w:val="30"/>
              </w:rPr>
            </w:pPr>
            <w:r>
              <w:rPr>
                <w:rFonts w:hint="eastAsia" w:ascii="仿宋" w:hAnsi="仿宋" w:cs="仿宋"/>
                <w:sz w:val="30"/>
                <w:szCs w:val="30"/>
              </w:rPr>
              <w:t>建设地点：片区各镇；</w:t>
            </w:r>
          </w:p>
          <w:p>
            <w:pPr>
              <w:ind w:firstLine="600"/>
              <w:rPr>
                <w:rFonts w:ascii="仿宋" w:hAnsi="仿宋" w:cs="仿宋"/>
                <w:sz w:val="30"/>
                <w:szCs w:val="30"/>
              </w:rPr>
            </w:pPr>
            <w:r>
              <w:rPr>
                <w:rFonts w:hint="eastAsia" w:ascii="仿宋" w:hAnsi="仿宋" w:cs="仿宋"/>
                <w:sz w:val="30"/>
                <w:szCs w:val="30"/>
              </w:rPr>
              <w:t>资金估算：总计投入200万元；</w:t>
            </w:r>
          </w:p>
          <w:p>
            <w:pPr>
              <w:ind w:firstLine="600"/>
              <w:rPr>
                <w:rFonts w:ascii="仿宋" w:hAnsi="仿宋" w:cs="仿宋"/>
                <w:sz w:val="30"/>
                <w:szCs w:val="30"/>
              </w:rPr>
            </w:pPr>
            <w:r>
              <w:rPr>
                <w:rFonts w:hint="eastAsia" w:ascii="仿宋" w:hAnsi="仿宋" w:cs="仿宋"/>
                <w:sz w:val="30"/>
                <w:szCs w:val="30"/>
              </w:rPr>
              <w:t>完成时限：2025年。</w:t>
            </w:r>
          </w:p>
          <w:p>
            <w:pPr>
              <w:ind w:firstLine="600"/>
              <w:rPr>
                <w:rFonts w:ascii="仿宋" w:hAnsi="仿宋" w:cs="仿宋"/>
                <w:sz w:val="30"/>
                <w:szCs w:val="30"/>
              </w:rPr>
            </w:pPr>
            <w:r>
              <w:rPr>
                <w:rFonts w:hint="eastAsia" w:ascii="仿宋" w:hAnsi="仿宋" w:cs="仿宋"/>
                <w:sz w:val="30"/>
                <w:szCs w:val="30"/>
              </w:rPr>
              <w:t>2.应急广播提升改造工程</w:t>
            </w:r>
          </w:p>
          <w:p>
            <w:pPr>
              <w:ind w:firstLine="600"/>
              <w:rPr>
                <w:rFonts w:ascii="仿宋" w:hAnsi="仿宋" w:cs="仿宋"/>
                <w:sz w:val="30"/>
                <w:szCs w:val="30"/>
              </w:rPr>
            </w:pPr>
            <w:r>
              <w:rPr>
                <w:rFonts w:hint="eastAsia" w:ascii="仿宋" w:hAnsi="仿宋" w:cs="仿宋"/>
                <w:sz w:val="30"/>
                <w:szCs w:val="30"/>
              </w:rPr>
              <w:t>建设内容：升级、改造各镇现有广播系统，提高应急广播覆盖率，实现片区村（社区）人口覆盖率超90%，提升灾害预警信息传播、防灾减灾宣传。</w:t>
            </w:r>
          </w:p>
          <w:p>
            <w:pPr>
              <w:ind w:firstLine="600"/>
              <w:rPr>
                <w:rFonts w:ascii="仿宋" w:hAnsi="仿宋" w:cs="仿宋"/>
                <w:sz w:val="30"/>
                <w:szCs w:val="30"/>
              </w:rPr>
            </w:pPr>
            <w:r>
              <w:rPr>
                <w:rFonts w:hint="eastAsia" w:ascii="仿宋" w:hAnsi="仿宋" w:cs="仿宋"/>
                <w:sz w:val="30"/>
                <w:szCs w:val="30"/>
              </w:rPr>
              <w:t>建设地点：片区各镇及各村（社区）；</w:t>
            </w:r>
          </w:p>
          <w:p>
            <w:pPr>
              <w:ind w:firstLine="600"/>
              <w:rPr>
                <w:rFonts w:ascii="仿宋" w:hAnsi="仿宋" w:cs="仿宋"/>
                <w:sz w:val="30"/>
                <w:szCs w:val="30"/>
              </w:rPr>
            </w:pPr>
            <w:r>
              <w:rPr>
                <w:rFonts w:hint="eastAsia" w:ascii="仿宋" w:hAnsi="仿宋" w:cs="仿宋"/>
                <w:sz w:val="30"/>
                <w:szCs w:val="30"/>
              </w:rPr>
              <w:t>责任单位：区应急管理局、区文化广电和旅游局；</w:t>
            </w:r>
          </w:p>
          <w:p>
            <w:pPr>
              <w:ind w:firstLine="600"/>
              <w:rPr>
                <w:rFonts w:ascii="仿宋" w:hAnsi="仿宋" w:cs="仿宋"/>
                <w:sz w:val="30"/>
                <w:szCs w:val="30"/>
              </w:rPr>
            </w:pPr>
            <w:r>
              <w:rPr>
                <w:rFonts w:hint="eastAsia" w:ascii="仿宋" w:hAnsi="仿宋" w:cs="仿宋"/>
                <w:sz w:val="30"/>
                <w:szCs w:val="30"/>
              </w:rPr>
              <w:t>资金估算：总计投入80万元；</w:t>
            </w:r>
          </w:p>
          <w:p>
            <w:pPr>
              <w:ind w:firstLine="600"/>
              <w:rPr>
                <w:rFonts w:ascii="仿宋" w:hAnsi="仿宋" w:cs="仿宋"/>
                <w:sz w:val="30"/>
                <w:szCs w:val="30"/>
              </w:rPr>
            </w:pPr>
            <w:r>
              <w:rPr>
                <w:rFonts w:hint="eastAsia" w:ascii="仿宋" w:hAnsi="仿宋" w:cs="仿宋"/>
                <w:sz w:val="30"/>
                <w:szCs w:val="30"/>
              </w:rPr>
              <w:t>完成时限：2035年。</w:t>
            </w:r>
          </w:p>
        </w:tc>
      </w:tr>
    </w:tbl>
    <w:p>
      <w:pPr>
        <w:pStyle w:val="4"/>
        <w:rPr>
          <w:rFonts w:cs="Times New Roman"/>
        </w:rPr>
      </w:pPr>
      <w:bookmarkStart w:id="40" w:name="_Toc100068676"/>
      <w:bookmarkStart w:id="41" w:name="_Toc1707"/>
      <w:r>
        <w:rPr>
          <w:rFonts w:hint="eastAsia" w:cs="Times New Roman"/>
        </w:rPr>
        <w:t>（六）应急管理</w:t>
      </w:r>
      <w:r>
        <w:rPr>
          <w:rFonts w:cs="Times New Roman"/>
        </w:rPr>
        <w:t>共建共治共享</w:t>
      </w:r>
      <w:bookmarkEnd w:id="40"/>
      <w:r>
        <w:rPr>
          <w:rFonts w:hint="eastAsia" w:cs="Times New Roman"/>
        </w:rPr>
        <w:t>方面</w:t>
      </w:r>
      <w:bookmarkEnd w:id="41"/>
    </w:p>
    <w:p>
      <w:pPr>
        <w:ind w:firstLine="643"/>
        <w:rPr>
          <w:rFonts w:cs="Times New Roman"/>
          <w:szCs w:val="32"/>
        </w:rPr>
      </w:pPr>
      <w:r>
        <w:rPr>
          <w:rFonts w:cs="Times New Roman"/>
          <w:b/>
          <w:bCs/>
          <w:szCs w:val="32"/>
        </w:rPr>
        <w:t>提升全民安全应急素质</w:t>
      </w:r>
      <w:r>
        <w:rPr>
          <w:rFonts w:cs="Times New Roman"/>
          <w:szCs w:val="32"/>
        </w:rPr>
        <w:t>。</w:t>
      </w:r>
      <w:r>
        <w:rPr>
          <w:rFonts w:hint="eastAsia" w:cs="Times New Roman"/>
          <w:szCs w:val="32"/>
        </w:rPr>
        <w:t>加强安全素质国民教育和应急管理法治宣传，结合防灾减灾日、安全生产月、消防宣传月等节点，开展形式多样的宣教活动和常态化应急疏散演练，开展安全文化建设示范单位创建。深入推进安全宣传“五进”活动，利用微博、微信、短视频、AR、VR等手段加强公益宣传，普及安全知识，提高全民防灾避险意识。推动建立村、居民家庭的自救互救、邻里相助机制。</w:t>
      </w:r>
    </w:p>
    <w:p>
      <w:pPr>
        <w:ind w:firstLine="643"/>
        <w:rPr>
          <w:rFonts w:cs="Times New Roman"/>
          <w:szCs w:val="32"/>
        </w:rPr>
      </w:pPr>
      <w:r>
        <w:rPr>
          <w:rFonts w:cs="Times New Roman"/>
          <w:b/>
          <w:bCs/>
          <w:szCs w:val="32"/>
        </w:rPr>
        <w:t>完善社会协同防范。</w:t>
      </w:r>
      <w:r>
        <w:rPr>
          <w:rFonts w:hint="eastAsia" w:cs="Times New Roman"/>
          <w:szCs w:val="32"/>
        </w:rPr>
        <w:t>推进社会治理协同机制建设，增强协同合作理念，完善协同运行机制，加强社会组织建设。健全防治结合、联防联控、群防群控的工作机制，完善社区动员、社会救助、社会福利、社会事务、社会力量的“五社”联动机制，引导社会公众积极参与突发事件应对工作，开展常态化应急疏散演练。</w:t>
      </w:r>
    </w:p>
    <w:p>
      <w:pPr>
        <w:ind w:firstLine="643"/>
        <w:rPr>
          <w:rFonts w:cs="Times New Roman"/>
          <w:szCs w:val="32"/>
        </w:rPr>
      </w:pPr>
      <w:r>
        <w:rPr>
          <w:rFonts w:cs="Times New Roman"/>
          <w:b/>
          <w:bCs/>
          <w:szCs w:val="32"/>
        </w:rPr>
        <w:t>推进示范社区创建</w:t>
      </w:r>
      <w:r>
        <w:rPr>
          <w:rFonts w:hint="eastAsia" w:cs="Times New Roman"/>
          <w:b/>
          <w:bCs/>
          <w:szCs w:val="32"/>
        </w:rPr>
        <w:t>。</w:t>
      </w:r>
      <w:r>
        <w:rPr>
          <w:rFonts w:hint="eastAsia" w:cs="Times New Roman"/>
          <w:szCs w:val="32"/>
        </w:rPr>
        <w:t>持续推进示范社区建设，统筹推动应急管理宣传教育场所建设，大力开展“综合减灾示范社区”创建活动，提高社区应急规范化水平。</w:t>
      </w:r>
    </w:p>
    <w:tbl>
      <w:tblPr>
        <w:tblStyle w:val="25"/>
        <w:tblW w:w="893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5"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cs="仿宋"/>
                <w:bCs/>
                <w:sz w:val="30"/>
                <w:szCs w:val="30"/>
              </w:rPr>
            </w:pPr>
            <w:r>
              <w:rPr>
                <w:rFonts w:hint="eastAsia" w:ascii="仿宋" w:hAnsi="仿宋" w:cs="仿宋"/>
                <w:bCs/>
                <w:sz w:val="30"/>
                <w:szCs w:val="30"/>
              </w:rPr>
              <w:t>专栏6 共建共治共享重点工程</w:t>
            </w:r>
          </w:p>
          <w:p>
            <w:pPr>
              <w:ind w:firstLine="600"/>
              <w:rPr>
                <w:rFonts w:ascii="仿宋" w:hAnsi="仿宋" w:cs="仿宋"/>
                <w:sz w:val="30"/>
                <w:szCs w:val="30"/>
              </w:rPr>
            </w:pPr>
            <w:r>
              <w:rPr>
                <w:rFonts w:hint="eastAsia" w:ascii="仿宋" w:hAnsi="仿宋" w:cs="仿宋"/>
                <w:sz w:val="30"/>
                <w:szCs w:val="30"/>
              </w:rPr>
              <w:t>1.综合减灾示范社区建设</w:t>
            </w:r>
          </w:p>
          <w:p>
            <w:pPr>
              <w:ind w:firstLine="600"/>
              <w:rPr>
                <w:rFonts w:ascii="仿宋" w:hAnsi="仿宋" w:cs="仿宋"/>
                <w:sz w:val="30"/>
                <w:szCs w:val="30"/>
              </w:rPr>
            </w:pPr>
            <w:r>
              <w:rPr>
                <w:rFonts w:hint="eastAsia" w:ascii="仿宋" w:hAnsi="仿宋" w:cs="仿宋"/>
                <w:sz w:val="30"/>
                <w:szCs w:val="30"/>
              </w:rPr>
              <w:t>建设内容：片区内规划建设1个国家级“综合减灾示范社区”、2个省级“安全社区”。</w:t>
            </w:r>
          </w:p>
          <w:p>
            <w:pPr>
              <w:ind w:firstLine="600"/>
              <w:rPr>
                <w:rFonts w:ascii="仿宋" w:hAnsi="仿宋" w:cs="仿宋"/>
                <w:sz w:val="30"/>
                <w:szCs w:val="30"/>
              </w:rPr>
            </w:pPr>
            <w:r>
              <w:rPr>
                <w:rFonts w:hint="eastAsia" w:ascii="仿宋" w:hAnsi="仿宋" w:cs="仿宋"/>
                <w:sz w:val="30"/>
                <w:szCs w:val="30"/>
              </w:rPr>
              <w:t>建设地点：片区各村（社区）；</w:t>
            </w:r>
          </w:p>
          <w:p>
            <w:pPr>
              <w:ind w:firstLine="600"/>
              <w:rPr>
                <w:rFonts w:ascii="仿宋" w:hAnsi="仿宋" w:cs="仿宋"/>
                <w:sz w:val="30"/>
                <w:szCs w:val="30"/>
              </w:rPr>
            </w:pPr>
            <w:r>
              <w:rPr>
                <w:rFonts w:hint="eastAsia" w:ascii="仿宋" w:hAnsi="仿宋" w:cs="仿宋"/>
                <w:sz w:val="30"/>
                <w:szCs w:val="30"/>
              </w:rPr>
              <w:t>责任单位：区应急管理局、各镇党委和人民政府；</w:t>
            </w:r>
          </w:p>
          <w:p>
            <w:pPr>
              <w:ind w:firstLine="600"/>
              <w:rPr>
                <w:rFonts w:ascii="仿宋" w:hAnsi="仿宋" w:cs="仿宋"/>
                <w:sz w:val="30"/>
                <w:szCs w:val="30"/>
              </w:rPr>
            </w:pPr>
            <w:r>
              <w:rPr>
                <w:rFonts w:hint="eastAsia" w:ascii="仿宋" w:hAnsi="仿宋" w:cs="仿宋"/>
                <w:sz w:val="30"/>
                <w:szCs w:val="30"/>
              </w:rPr>
              <w:t>资金估算：总计投入150万元；</w:t>
            </w:r>
          </w:p>
          <w:p>
            <w:pPr>
              <w:ind w:firstLine="600"/>
              <w:rPr>
                <w:rFonts w:ascii="仿宋" w:hAnsi="仿宋" w:cs="仿宋"/>
                <w:sz w:val="30"/>
                <w:szCs w:val="30"/>
              </w:rPr>
            </w:pPr>
            <w:r>
              <w:rPr>
                <w:rFonts w:hint="eastAsia" w:ascii="仿宋" w:hAnsi="仿宋" w:cs="仿宋"/>
                <w:sz w:val="30"/>
                <w:szCs w:val="30"/>
              </w:rPr>
              <w:t>完成时限：2035年。</w:t>
            </w:r>
          </w:p>
          <w:p>
            <w:pPr>
              <w:ind w:firstLine="600"/>
              <w:rPr>
                <w:rFonts w:ascii="仿宋" w:hAnsi="仿宋" w:cs="仿宋"/>
                <w:sz w:val="30"/>
                <w:szCs w:val="30"/>
              </w:rPr>
            </w:pPr>
            <w:r>
              <w:rPr>
                <w:rFonts w:hint="eastAsia" w:ascii="仿宋" w:hAnsi="仿宋" w:cs="仿宋"/>
                <w:sz w:val="30"/>
                <w:szCs w:val="30"/>
              </w:rPr>
              <w:t>2.应急宣教阵地建设</w:t>
            </w:r>
          </w:p>
          <w:p>
            <w:pPr>
              <w:ind w:firstLine="600"/>
              <w:rPr>
                <w:rFonts w:ascii="仿宋" w:hAnsi="仿宋" w:cs="仿宋"/>
                <w:sz w:val="30"/>
                <w:szCs w:val="30"/>
              </w:rPr>
            </w:pPr>
            <w:r>
              <w:rPr>
                <w:rFonts w:hint="eastAsia" w:ascii="仿宋" w:hAnsi="仿宋" w:cs="仿宋"/>
                <w:sz w:val="30"/>
                <w:szCs w:val="30"/>
              </w:rPr>
              <w:t>建设内容：持续推进安全生产“五进”活动，于片区内各村（社区）的党员活动中心设置村级宣教场所，开展宣传培训；学校开展应急宣教进课堂活动，培训儿童和青少年。</w:t>
            </w:r>
          </w:p>
          <w:p>
            <w:pPr>
              <w:ind w:firstLine="600"/>
              <w:rPr>
                <w:rFonts w:ascii="仿宋" w:hAnsi="仿宋" w:cs="仿宋"/>
                <w:sz w:val="30"/>
                <w:szCs w:val="30"/>
              </w:rPr>
            </w:pPr>
            <w:r>
              <w:rPr>
                <w:rFonts w:hint="eastAsia" w:ascii="仿宋" w:hAnsi="仿宋" w:cs="仿宋"/>
                <w:sz w:val="30"/>
                <w:szCs w:val="30"/>
              </w:rPr>
              <w:t>责任单位：区应急管理局，各镇党委和人民政府；</w:t>
            </w:r>
          </w:p>
          <w:p>
            <w:pPr>
              <w:ind w:firstLine="600"/>
              <w:rPr>
                <w:rFonts w:ascii="仿宋" w:hAnsi="仿宋" w:cs="仿宋"/>
                <w:sz w:val="30"/>
                <w:szCs w:val="30"/>
              </w:rPr>
            </w:pPr>
            <w:r>
              <w:rPr>
                <w:rFonts w:hint="eastAsia" w:ascii="仿宋" w:hAnsi="仿宋" w:cs="仿宋"/>
                <w:sz w:val="30"/>
                <w:szCs w:val="30"/>
              </w:rPr>
              <w:t>资金估算：每年10万，总计投入150万元；</w:t>
            </w:r>
          </w:p>
          <w:p>
            <w:pPr>
              <w:ind w:firstLine="600"/>
              <w:rPr>
                <w:rFonts w:ascii="仿宋" w:hAnsi="仿宋" w:cs="仿宋"/>
                <w:sz w:val="30"/>
                <w:szCs w:val="30"/>
              </w:rPr>
            </w:pPr>
            <w:r>
              <w:rPr>
                <w:rFonts w:hint="eastAsia" w:ascii="仿宋" w:hAnsi="仿宋" w:cs="仿宋"/>
                <w:sz w:val="30"/>
                <w:szCs w:val="30"/>
              </w:rPr>
              <w:t>完成期限：2035年。</w:t>
            </w:r>
          </w:p>
          <w:p>
            <w:pPr>
              <w:ind w:firstLine="600"/>
              <w:rPr>
                <w:rFonts w:ascii="仿宋" w:hAnsi="仿宋" w:cs="仿宋"/>
                <w:sz w:val="30"/>
                <w:szCs w:val="30"/>
              </w:rPr>
            </w:pPr>
            <w:r>
              <w:rPr>
                <w:rFonts w:hint="eastAsia" w:ascii="仿宋" w:hAnsi="仿宋" w:cs="仿宋"/>
                <w:sz w:val="30"/>
                <w:szCs w:val="30"/>
              </w:rPr>
              <w:t>3.应急文化建设</w:t>
            </w:r>
          </w:p>
          <w:p>
            <w:pPr>
              <w:widowControl/>
              <w:ind w:firstLine="600"/>
              <w:jc w:val="left"/>
              <w:rPr>
                <w:rFonts w:ascii="仿宋" w:hAnsi="仿宋" w:cs="仿宋"/>
                <w:sz w:val="30"/>
                <w:szCs w:val="30"/>
              </w:rPr>
            </w:pPr>
            <w:r>
              <w:rPr>
                <w:rFonts w:hint="eastAsia" w:ascii="仿宋" w:hAnsi="仿宋" w:cs="仿宋"/>
                <w:sz w:val="30"/>
                <w:szCs w:val="30"/>
              </w:rPr>
              <w:t>建设内容：建设应急文化广场，在村（居）委会聚居点、文化广场、学校、医院等设置应急知识科普专栏，</w:t>
            </w:r>
            <w:r>
              <w:rPr>
                <w:rFonts w:hint="eastAsia" w:ascii="仿宋" w:hAnsi="仿宋" w:cs="仿宋"/>
                <w:color w:val="000000"/>
                <w:kern w:val="0"/>
                <w:sz w:val="30"/>
                <w:szCs w:val="30"/>
                <w:lang w:bidi="ar"/>
              </w:rPr>
              <w:t>增加应急知识科普书籍、应急管理时事资讯等文化内容。</w:t>
            </w:r>
          </w:p>
          <w:p>
            <w:pPr>
              <w:ind w:firstLine="600"/>
              <w:rPr>
                <w:rFonts w:ascii="仿宋" w:hAnsi="仿宋" w:cs="仿宋"/>
                <w:sz w:val="30"/>
                <w:szCs w:val="30"/>
              </w:rPr>
            </w:pPr>
            <w:r>
              <w:rPr>
                <w:rFonts w:hint="eastAsia" w:ascii="仿宋" w:hAnsi="仿宋" w:cs="仿宋"/>
                <w:sz w:val="30"/>
                <w:szCs w:val="30"/>
              </w:rPr>
              <w:t>建设地点：片区各学校、文化广场、医院；</w:t>
            </w:r>
          </w:p>
          <w:p>
            <w:pPr>
              <w:ind w:firstLine="600"/>
              <w:rPr>
                <w:rFonts w:ascii="仿宋" w:hAnsi="仿宋" w:cs="仿宋"/>
                <w:sz w:val="30"/>
                <w:szCs w:val="30"/>
              </w:rPr>
            </w:pPr>
            <w:r>
              <w:rPr>
                <w:rFonts w:hint="eastAsia" w:ascii="仿宋" w:hAnsi="仿宋" w:cs="仿宋"/>
                <w:sz w:val="30"/>
                <w:szCs w:val="30"/>
              </w:rPr>
              <w:t>责任单位：各镇党委和人民政府；</w:t>
            </w:r>
          </w:p>
          <w:p>
            <w:pPr>
              <w:ind w:firstLine="600"/>
              <w:rPr>
                <w:rFonts w:ascii="仿宋" w:hAnsi="仿宋" w:cs="仿宋"/>
                <w:sz w:val="30"/>
                <w:szCs w:val="30"/>
              </w:rPr>
            </w:pPr>
            <w:r>
              <w:rPr>
                <w:rFonts w:hint="eastAsia" w:ascii="仿宋" w:hAnsi="仿宋" w:cs="仿宋"/>
                <w:sz w:val="30"/>
                <w:szCs w:val="30"/>
              </w:rPr>
              <w:t>资金估算：每年10万，总计投入150万元；</w:t>
            </w:r>
          </w:p>
          <w:p>
            <w:pPr>
              <w:ind w:firstLine="600"/>
              <w:rPr>
                <w:rFonts w:ascii="仿宋" w:hAnsi="仿宋" w:cs="仿宋"/>
                <w:sz w:val="30"/>
                <w:szCs w:val="30"/>
              </w:rPr>
            </w:pPr>
            <w:r>
              <w:rPr>
                <w:rFonts w:hint="eastAsia" w:ascii="仿宋" w:hAnsi="仿宋" w:cs="仿宋"/>
                <w:sz w:val="30"/>
                <w:szCs w:val="30"/>
              </w:rPr>
              <w:t>完成期限：2035年。</w:t>
            </w:r>
          </w:p>
        </w:tc>
      </w:tr>
    </w:tbl>
    <w:p>
      <w:pPr>
        <w:pStyle w:val="3"/>
        <w:rPr>
          <w:rFonts w:cs="Times New Roman"/>
          <w:szCs w:val="32"/>
        </w:rPr>
      </w:pPr>
      <w:bookmarkStart w:id="42" w:name="_Toc100068677"/>
      <w:bookmarkStart w:id="43" w:name="_Toc10046"/>
      <w:r>
        <w:rPr>
          <w:rFonts w:hint="eastAsia" w:cs="Times New Roman"/>
          <w:szCs w:val="32"/>
        </w:rPr>
        <w:t>五、</w:t>
      </w:r>
      <w:r>
        <w:rPr>
          <w:rFonts w:cs="Times New Roman"/>
          <w:szCs w:val="32"/>
        </w:rPr>
        <w:t>保障措施</w:t>
      </w:r>
      <w:bookmarkEnd w:id="42"/>
      <w:bookmarkEnd w:id="43"/>
    </w:p>
    <w:p>
      <w:pPr>
        <w:pStyle w:val="4"/>
        <w:rPr>
          <w:rFonts w:cs="Times New Roman"/>
        </w:rPr>
      </w:pPr>
      <w:bookmarkStart w:id="44" w:name="_Toc19961"/>
      <w:bookmarkStart w:id="45" w:name="_Toc1674"/>
      <w:bookmarkStart w:id="46" w:name="_Toc31812"/>
      <w:bookmarkStart w:id="47" w:name="_Toc1101"/>
      <w:bookmarkStart w:id="48" w:name="_Toc100068678"/>
      <w:bookmarkStart w:id="49" w:name="_Toc27466"/>
      <w:bookmarkStart w:id="50" w:name="_Toc29389"/>
      <w:bookmarkStart w:id="51" w:name="_Toc5674"/>
      <w:bookmarkStart w:id="52" w:name="_Toc2246"/>
      <w:bookmarkStart w:id="53" w:name="_Toc9744"/>
      <w:bookmarkStart w:id="54" w:name="_Toc19274"/>
      <w:r>
        <w:rPr>
          <w:rFonts w:hint="eastAsia" w:cs="Times New Roman"/>
        </w:rPr>
        <w:t>（一）</w:t>
      </w:r>
      <w:r>
        <w:rPr>
          <w:rFonts w:cs="Times New Roman"/>
        </w:rPr>
        <w:t>加强组织保障</w:t>
      </w:r>
      <w:bookmarkEnd w:id="44"/>
      <w:bookmarkEnd w:id="45"/>
      <w:bookmarkEnd w:id="46"/>
      <w:bookmarkEnd w:id="47"/>
      <w:bookmarkEnd w:id="48"/>
    </w:p>
    <w:p>
      <w:pPr>
        <w:ind w:firstLine="640"/>
        <w:rPr>
          <w:rFonts w:cs="Times New Roman"/>
          <w:szCs w:val="32"/>
        </w:rPr>
      </w:pPr>
      <w:r>
        <w:rPr>
          <w:rFonts w:hint="eastAsia" w:cs="Times New Roman"/>
          <w:szCs w:val="32"/>
        </w:rPr>
        <w:t>推动应急管理与经济发展、社会治理、国土空间同规划、同部署、同实施。应急管理部门加强规划实施的统筹协调，制订细化规划实施方案。有关部门按照职责分工通力协作，加强对规划实施的指导，创造有力条件，形成整体合力，确保规划目标实现。</w:t>
      </w:r>
    </w:p>
    <w:p>
      <w:pPr>
        <w:pStyle w:val="4"/>
        <w:rPr>
          <w:rFonts w:cs="Times New Roman"/>
        </w:rPr>
      </w:pPr>
      <w:bookmarkStart w:id="55" w:name="_Toc28773"/>
      <w:bookmarkStart w:id="56" w:name="_Toc100068679"/>
      <w:r>
        <w:rPr>
          <w:rFonts w:hint="eastAsia" w:cs="Times New Roman"/>
        </w:rPr>
        <w:t>（二）</w:t>
      </w:r>
      <w:r>
        <w:rPr>
          <w:rFonts w:cs="Times New Roman"/>
        </w:rPr>
        <w:t>增强投入保障</w:t>
      </w:r>
      <w:bookmarkEnd w:id="49"/>
      <w:bookmarkEnd w:id="50"/>
      <w:bookmarkEnd w:id="51"/>
      <w:bookmarkEnd w:id="55"/>
      <w:bookmarkEnd w:id="56"/>
    </w:p>
    <w:p>
      <w:pPr>
        <w:ind w:firstLine="640"/>
        <w:rPr>
          <w:rFonts w:cs="Times New Roman"/>
          <w:szCs w:val="32"/>
        </w:rPr>
      </w:pPr>
      <w:r>
        <w:rPr>
          <w:rFonts w:hint="eastAsia" w:cs="Times New Roman"/>
          <w:szCs w:val="32"/>
        </w:rPr>
        <w:t>完善财政支持政策，积极争取省级资金支持，探索建立政府、企业和社会共同承担的应急投入长效机制，拓宽应急投入渠道。健全应急管理专项资金制度，严格资金使用管理，确保资金使用效率。积极推动将应急管理领域重点项目纳入本地区、部门财政优先安排范畴，统筹安排规划重大工程项目所需财政资金，简化重大工程项目审批核准程序，拓宽规划多元投入保障渠道，保障工程项目落地实施。</w:t>
      </w:r>
    </w:p>
    <w:p>
      <w:pPr>
        <w:pStyle w:val="4"/>
        <w:rPr>
          <w:rFonts w:cs="Times New Roman"/>
        </w:rPr>
      </w:pPr>
      <w:bookmarkStart w:id="57" w:name="_Toc100068680"/>
      <w:bookmarkStart w:id="58" w:name="_Toc13338"/>
      <w:r>
        <w:rPr>
          <w:rFonts w:hint="eastAsia" w:cs="Times New Roman"/>
        </w:rPr>
        <w:t>（三）</w:t>
      </w:r>
      <w:r>
        <w:rPr>
          <w:rFonts w:cs="Times New Roman"/>
        </w:rPr>
        <w:t>加大政策支持</w:t>
      </w:r>
      <w:bookmarkEnd w:id="52"/>
      <w:bookmarkEnd w:id="53"/>
      <w:bookmarkEnd w:id="54"/>
      <w:bookmarkEnd w:id="57"/>
      <w:bookmarkEnd w:id="58"/>
    </w:p>
    <w:p>
      <w:pPr>
        <w:ind w:firstLine="640"/>
        <w:rPr>
          <w:rFonts w:cs="Times New Roman"/>
          <w:szCs w:val="32"/>
        </w:rPr>
      </w:pPr>
      <w:r>
        <w:rPr>
          <w:rFonts w:hint="eastAsia" w:cs="Times New Roman"/>
          <w:szCs w:val="32"/>
        </w:rPr>
        <w:t>充分发挥保险机制的事前防灾防损和事后经济补偿作用，研究完善鼓励自然人、法人或其他组织参与应对突发事件捐赠、志愿服务等应急管理工作的政策措施，鼓励家庭购买应急产品和储备应急物资，制定鼓励企业、社会组织和个人共享应急物资储备的办法。优化整合各类科技资源,利用好省、市专家平台,加快推动先进技术在防灾减灾救灾中的应用。加大政府购买服务力度,引入第三方技术支撑机构协助开展应急管理工作。</w:t>
      </w:r>
    </w:p>
    <w:p>
      <w:pPr>
        <w:pStyle w:val="4"/>
        <w:rPr>
          <w:rFonts w:cs="Times New Roman"/>
        </w:rPr>
      </w:pPr>
      <w:bookmarkStart w:id="59" w:name="_Toc23457"/>
      <w:r>
        <w:rPr>
          <w:rFonts w:hint="eastAsia" w:cs="Times New Roman"/>
        </w:rPr>
        <w:t>（四）加强督查问效</w:t>
      </w:r>
      <w:bookmarkEnd w:id="59"/>
    </w:p>
    <w:p>
      <w:pPr>
        <w:widowControl/>
        <w:ind w:firstLine="640"/>
        <w:jc w:val="left"/>
        <w:sectPr>
          <w:footerReference r:id="rId11" w:type="default"/>
          <w:pgSz w:w="11906" w:h="16838"/>
          <w:pgMar w:top="2098" w:right="1474" w:bottom="1984" w:left="1587" w:header="851" w:footer="1134" w:gutter="0"/>
          <w:pgNumType w:start="1"/>
          <w:cols w:space="0" w:num="1"/>
          <w:docGrid w:type="lines" w:linePitch="435" w:charSpace="0"/>
        </w:sectPr>
      </w:pPr>
      <w:r>
        <w:rPr>
          <w:rFonts w:hint="eastAsia" w:cs="Times New Roman"/>
          <w:szCs w:val="32"/>
        </w:rPr>
        <w:t>结合地方实际，建立规划公示、群众监督与动态监测制度。强化督促指导和协调推进，对规划确定的目标指标、主要任务、重大举措和重大工程落实情况进行及时评估总结，将规划实施情况作为对部门和乡镇工作督查、检查和考核评价的重要内容，确保阶段性目标任务完成。</w:t>
      </w:r>
    </w:p>
    <w:p>
      <w:pPr>
        <w:snapToGrid w:val="0"/>
        <w:ind w:firstLine="640"/>
        <w:jc w:val="center"/>
        <w:outlineLvl w:val="0"/>
        <w:rPr>
          <w:rFonts w:ascii="Calibri" w:hAnsi="Calibri" w:eastAsia="黑体" w:cs="Times New Roman"/>
        </w:rPr>
      </w:pPr>
      <w:bookmarkStart w:id="60" w:name="_Toc21571"/>
      <w:r>
        <w:rPr>
          <w:rFonts w:hint="eastAsia" w:ascii="Calibri" w:hAnsi="Calibri" w:eastAsia="黑体" w:cs="Times New Roman"/>
        </w:rPr>
        <w:t>附表</w:t>
      </w:r>
      <w:bookmarkEnd w:id="60"/>
    </w:p>
    <w:p>
      <w:pPr>
        <w:ind w:firstLine="640"/>
        <w:rPr>
          <w:rFonts w:ascii="仿宋" w:hAnsi="仿宋" w:cs="仿宋"/>
          <w:szCs w:val="32"/>
        </w:rPr>
      </w:pPr>
      <w:r>
        <w:rPr>
          <w:rFonts w:hint="eastAsia" w:ascii="仿宋" w:hAnsi="仿宋" w:cs="仿宋"/>
          <w:szCs w:val="32"/>
        </w:rPr>
        <w:t>1.片区企业风险等级及分布表</w:t>
      </w:r>
    </w:p>
    <w:p>
      <w:pPr>
        <w:ind w:firstLine="640"/>
        <w:rPr>
          <w:rFonts w:ascii="仿宋" w:hAnsi="仿宋" w:cs="仿宋"/>
          <w:szCs w:val="32"/>
        </w:rPr>
      </w:pPr>
      <w:r>
        <w:rPr>
          <w:rFonts w:hint="eastAsia" w:ascii="仿宋" w:hAnsi="仿宋" w:cs="仿宋"/>
          <w:szCs w:val="32"/>
        </w:rPr>
        <w:t>2.片区近年来典型安全生产和自然灾害事故统计表</w:t>
      </w:r>
    </w:p>
    <w:p>
      <w:pPr>
        <w:ind w:firstLine="640"/>
        <w:rPr>
          <w:rFonts w:ascii="仿宋" w:hAnsi="仿宋" w:cs="仿宋"/>
          <w:szCs w:val="32"/>
        </w:rPr>
      </w:pPr>
      <w:r>
        <w:rPr>
          <w:rFonts w:hint="eastAsia" w:ascii="仿宋" w:hAnsi="仿宋" w:cs="仿宋"/>
          <w:szCs w:val="32"/>
        </w:rPr>
        <w:t>3.片区应急队伍统计及分布表</w:t>
      </w:r>
    </w:p>
    <w:p>
      <w:pPr>
        <w:ind w:firstLine="640"/>
        <w:rPr>
          <w:rFonts w:ascii="仿宋" w:hAnsi="仿宋" w:cs="仿宋"/>
          <w:szCs w:val="32"/>
        </w:rPr>
      </w:pPr>
      <w:r>
        <w:rPr>
          <w:rFonts w:hint="eastAsia" w:ascii="仿宋" w:hAnsi="仿宋" w:cs="仿宋"/>
          <w:szCs w:val="32"/>
        </w:rPr>
        <w:t>4.片区应急救援装备、物资统计及分布表</w:t>
      </w:r>
    </w:p>
    <w:p>
      <w:pPr>
        <w:ind w:firstLine="640"/>
        <w:rPr>
          <w:rFonts w:ascii="仿宋" w:hAnsi="仿宋" w:cs="仿宋"/>
          <w:szCs w:val="32"/>
        </w:rPr>
      </w:pPr>
      <w:r>
        <w:rPr>
          <w:rFonts w:hint="eastAsia" w:ascii="仿宋" w:hAnsi="仿宋" w:cs="仿宋"/>
          <w:szCs w:val="32"/>
        </w:rPr>
        <w:t>5.片区应急管理用地现状和规划用地指标</w:t>
      </w:r>
    </w:p>
    <w:p>
      <w:pPr>
        <w:ind w:firstLine="640"/>
        <w:rPr>
          <w:rFonts w:ascii="仿宋" w:hAnsi="仿宋" w:cs="仿宋"/>
          <w:szCs w:val="32"/>
        </w:rPr>
        <w:sectPr>
          <w:pgSz w:w="11906" w:h="16838"/>
          <w:pgMar w:top="2098" w:right="1474" w:bottom="1984" w:left="1587" w:header="851" w:footer="1134" w:gutter="0"/>
          <w:cols w:space="0" w:num="1"/>
          <w:docGrid w:type="lines" w:linePitch="435" w:charSpace="0"/>
        </w:sectPr>
      </w:pPr>
      <w:r>
        <w:rPr>
          <w:rFonts w:hint="eastAsia" w:ascii="仿宋" w:hAnsi="仿宋" w:cs="仿宋"/>
          <w:szCs w:val="32"/>
        </w:rPr>
        <w:t>6.片区重点工程项目统计表</w:t>
      </w:r>
    </w:p>
    <w:p>
      <w:pPr>
        <w:pStyle w:val="4"/>
        <w:rPr>
          <w:rFonts w:cs="Times New Roman"/>
        </w:rPr>
      </w:pPr>
      <w:bookmarkStart w:id="61" w:name="_Toc1830"/>
      <w:r>
        <w:rPr>
          <w:rFonts w:hint="eastAsia" w:cs="Times New Roman"/>
        </w:rPr>
        <w:t>企业风险等级及分布表</w:t>
      </w:r>
      <w:bookmarkEnd w:id="61"/>
    </w:p>
    <w:tbl>
      <w:tblPr>
        <w:tblStyle w:val="26"/>
        <w:tblW w:w="13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690"/>
        <w:gridCol w:w="3827"/>
        <w:gridCol w:w="3402"/>
        <w:gridCol w:w="1389"/>
        <w:gridCol w:w="1351"/>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blHeader/>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序号</w:t>
            </w:r>
          </w:p>
        </w:tc>
        <w:tc>
          <w:tcPr>
            <w:tcW w:w="1690"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类型</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企业名称</w:t>
            </w:r>
          </w:p>
        </w:tc>
        <w:tc>
          <w:tcPr>
            <w:tcW w:w="3402"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地点</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风险等级</w:t>
            </w:r>
          </w:p>
        </w:tc>
        <w:tc>
          <w:tcPr>
            <w:tcW w:w="1351"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生产情况</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1</w:t>
            </w:r>
          </w:p>
        </w:tc>
        <w:tc>
          <w:tcPr>
            <w:tcW w:w="1690" w:type="dxa"/>
            <w:vMerge w:val="restart"/>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宋体"/>
                <w:color w:val="000000"/>
                <w:kern w:val="0"/>
                <w:sz w:val="24"/>
                <w:szCs w:val="24"/>
              </w:rPr>
              <w:t>非煤矿山</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遂宁市福万达建材有限公司</w:t>
            </w:r>
          </w:p>
        </w:tc>
        <w:tc>
          <w:tcPr>
            <w:tcW w:w="3402"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永兴镇大面沟村9社</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4</w:t>
            </w:r>
          </w:p>
        </w:tc>
        <w:tc>
          <w:tcPr>
            <w:tcW w:w="1690" w:type="dxa"/>
            <w:vMerge w:val="continue"/>
            <w:vAlign w:val="center"/>
          </w:tcPr>
          <w:p>
            <w:pPr>
              <w:spacing w:before="100" w:beforeAutospacing="1" w:after="100" w:afterAutospacing="1"/>
              <w:ind w:firstLine="0" w:firstLineChars="0"/>
              <w:jc w:val="center"/>
              <w:rPr>
                <w:rFonts w:ascii="仿宋" w:hAnsi="仿宋" w:cs="仿宋"/>
                <w:kern w:val="0"/>
                <w:sz w:val="24"/>
                <w:szCs w:val="24"/>
              </w:rPr>
            </w:pP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ascii="仿宋_GB2312" w:hAnsi="宋体" w:eastAsia="仿宋_GB2312" w:cs="仿宋_GB2312"/>
                <w:color w:val="000000"/>
                <w:kern w:val="0"/>
                <w:sz w:val="24"/>
                <w:szCs w:val="24"/>
              </w:rPr>
              <w:t>遂宁市船山区王勇砖厂</w:t>
            </w:r>
          </w:p>
        </w:tc>
        <w:tc>
          <w:tcPr>
            <w:tcW w:w="3402"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河沙镇西凤村9社</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5</w:t>
            </w:r>
          </w:p>
        </w:tc>
        <w:tc>
          <w:tcPr>
            <w:tcW w:w="1690" w:type="dxa"/>
            <w:vMerge w:val="continue"/>
            <w:vAlign w:val="center"/>
          </w:tcPr>
          <w:p>
            <w:pPr>
              <w:spacing w:before="100" w:beforeAutospacing="1" w:after="100" w:afterAutospacing="1"/>
              <w:ind w:firstLine="0" w:firstLineChars="0"/>
              <w:jc w:val="center"/>
              <w:rPr>
                <w:rFonts w:ascii="仿宋" w:hAnsi="仿宋" w:cs="仿宋"/>
                <w:kern w:val="0"/>
                <w:sz w:val="24"/>
                <w:szCs w:val="24"/>
              </w:rPr>
            </w:pP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ascii="仿宋_GB2312" w:hAnsi="宋体" w:eastAsia="仿宋_GB2312" w:cs="仿宋_GB2312"/>
                <w:color w:val="000000"/>
                <w:kern w:val="0"/>
                <w:sz w:val="24"/>
                <w:szCs w:val="24"/>
              </w:rPr>
              <w:t>遂宁市申兴琉璃瓦厂</w:t>
            </w:r>
          </w:p>
        </w:tc>
        <w:tc>
          <w:tcPr>
            <w:tcW w:w="3402" w:type="dxa"/>
            <w:vAlign w:val="center"/>
          </w:tcPr>
          <w:p>
            <w:pPr>
              <w:spacing w:before="100" w:beforeAutospacing="1" w:after="100" w:afterAutospacing="1"/>
              <w:ind w:firstLine="0" w:firstLineChars="0"/>
              <w:jc w:val="center"/>
              <w:rPr>
                <w:rFonts w:ascii="仿宋" w:hAnsi="仿宋" w:cs="仿宋"/>
                <w:kern w:val="0"/>
                <w:sz w:val="24"/>
                <w:szCs w:val="24"/>
              </w:rPr>
            </w:pPr>
            <w:r>
              <w:rPr>
                <w:rFonts w:ascii="仿宋_GB2312" w:hAnsi="宋体" w:eastAsia="仿宋_GB2312" w:cs="仿宋_GB2312"/>
                <w:color w:val="000000"/>
                <w:kern w:val="0"/>
                <w:sz w:val="24"/>
                <w:szCs w:val="24"/>
              </w:rPr>
              <w:t>河沙镇桥墩村</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2</w:t>
            </w:r>
          </w:p>
        </w:tc>
        <w:tc>
          <w:tcPr>
            <w:tcW w:w="1690" w:type="dxa"/>
            <w:vMerge w:val="restart"/>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加油站</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中石油永兴加油站</w:t>
            </w:r>
          </w:p>
        </w:tc>
        <w:tc>
          <w:tcPr>
            <w:tcW w:w="3402"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永兴镇白鹤林村4社</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B</w:t>
            </w:r>
          </w:p>
        </w:tc>
        <w:tc>
          <w:tcPr>
            <w:tcW w:w="1351"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6</w:t>
            </w:r>
          </w:p>
        </w:tc>
        <w:tc>
          <w:tcPr>
            <w:tcW w:w="1690" w:type="dxa"/>
            <w:vMerge w:val="continue"/>
            <w:vAlign w:val="center"/>
          </w:tcPr>
          <w:p>
            <w:pPr>
              <w:spacing w:before="100" w:beforeAutospacing="1" w:after="100" w:afterAutospacing="1"/>
              <w:ind w:firstLine="0" w:firstLineChars="0"/>
              <w:jc w:val="center"/>
              <w:rPr>
                <w:rFonts w:ascii="仿宋" w:hAnsi="仿宋" w:cs="仿宋"/>
                <w:kern w:val="0"/>
                <w:sz w:val="24"/>
                <w:szCs w:val="24"/>
              </w:rPr>
            </w:pP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东明石化</w:t>
            </w:r>
          </w:p>
        </w:tc>
        <w:tc>
          <w:tcPr>
            <w:tcW w:w="3402" w:type="dxa"/>
            <w:vAlign w:val="center"/>
          </w:tcPr>
          <w:p>
            <w:pPr>
              <w:widowControl/>
              <w:ind w:firstLine="0" w:firstLineChars="0"/>
              <w:jc w:val="center"/>
              <w:rPr>
                <w:rFonts w:cs="Times New Roman"/>
                <w:kern w:val="0"/>
                <w:sz w:val="24"/>
                <w:szCs w:val="24"/>
              </w:rPr>
            </w:pPr>
            <w:r>
              <w:rPr>
                <w:rFonts w:hint="eastAsia" w:ascii="仿宋_GB2312" w:hAnsi="宋体" w:eastAsia="仿宋_GB2312" w:cs="仿宋_GB2312"/>
                <w:color w:val="000000"/>
                <w:kern w:val="0"/>
                <w:sz w:val="24"/>
                <w:szCs w:val="24"/>
              </w:rPr>
              <w:t>河沙镇栖凤村9组59号</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B</w:t>
            </w:r>
          </w:p>
        </w:tc>
        <w:tc>
          <w:tcPr>
            <w:tcW w:w="1351" w:type="dxa"/>
            <w:vAlign w:val="center"/>
          </w:tcPr>
          <w:p>
            <w:pPr>
              <w:spacing w:before="100" w:beforeAutospacing="1" w:after="100" w:afterAutospacing="1"/>
              <w:ind w:firstLine="0" w:firstLineChars="0"/>
              <w:jc w:val="center"/>
              <w:rPr>
                <w:rFonts w:cs="Times New Roman"/>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8</w:t>
            </w:r>
          </w:p>
        </w:tc>
        <w:tc>
          <w:tcPr>
            <w:tcW w:w="1690"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燃气</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昌利燃气（天然气）</w:t>
            </w:r>
          </w:p>
        </w:tc>
        <w:tc>
          <w:tcPr>
            <w:tcW w:w="3402" w:type="dxa"/>
            <w:vAlign w:val="center"/>
          </w:tcPr>
          <w:p>
            <w:pPr>
              <w:widowControl/>
              <w:ind w:firstLine="0" w:firstLineChars="0"/>
              <w:jc w:val="center"/>
              <w:rPr>
                <w:rFonts w:cs="Times New Roman"/>
                <w:kern w:val="0"/>
                <w:sz w:val="24"/>
                <w:szCs w:val="24"/>
              </w:rPr>
            </w:pPr>
            <w:r>
              <w:rPr>
                <w:rFonts w:hint="eastAsia" w:cs="Times New Roman"/>
                <w:kern w:val="0"/>
                <w:sz w:val="24"/>
                <w:szCs w:val="24"/>
              </w:rPr>
              <w:t>河沙政府街34-38号</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B</w:t>
            </w:r>
          </w:p>
        </w:tc>
        <w:tc>
          <w:tcPr>
            <w:tcW w:w="1351" w:type="dxa"/>
            <w:vAlign w:val="center"/>
          </w:tcPr>
          <w:p>
            <w:pPr>
              <w:spacing w:before="100" w:beforeAutospacing="1" w:after="100" w:afterAutospacing="1"/>
              <w:ind w:firstLine="0" w:firstLineChars="0"/>
              <w:jc w:val="center"/>
              <w:rPr>
                <w:rFonts w:cs="Times New Roman"/>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3</w:t>
            </w:r>
          </w:p>
        </w:tc>
        <w:tc>
          <w:tcPr>
            <w:tcW w:w="1690"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旅游景区</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十里荷画</w:t>
            </w:r>
          </w:p>
        </w:tc>
        <w:tc>
          <w:tcPr>
            <w:tcW w:w="3402"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河沙镇凤凰咀村四社</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7</w:t>
            </w:r>
          </w:p>
        </w:tc>
        <w:tc>
          <w:tcPr>
            <w:tcW w:w="1690"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工贸企业</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四川铄泽科技有限公司</w:t>
            </w:r>
          </w:p>
        </w:tc>
        <w:tc>
          <w:tcPr>
            <w:tcW w:w="3402" w:type="dxa"/>
            <w:vAlign w:val="center"/>
          </w:tcPr>
          <w:p>
            <w:pPr>
              <w:widowControl/>
              <w:ind w:firstLine="0" w:firstLineChars="0"/>
              <w:jc w:val="center"/>
              <w:rPr>
                <w:rFonts w:cs="Times New Roman"/>
                <w:kern w:val="0"/>
                <w:sz w:val="24"/>
                <w:szCs w:val="24"/>
              </w:rPr>
            </w:pPr>
            <w:r>
              <w:rPr>
                <w:rFonts w:hint="eastAsia" w:cs="Times New Roman"/>
                <w:kern w:val="0"/>
                <w:sz w:val="24"/>
                <w:szCs w:val="24"/>
              </w:rPr>
              <w:t>永兴镇磨盘山村11社2号</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cs="Times New Roman"/>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9</w:t>
            </w:r>
          </w:p>
        </w:tc>
        <w:tc>
          <w:tcPr>
            <w:tcW w:w="1690" w:type="dxa"/>
            <w:vMerge w:val="restart"/>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水上交通工具</w:t>
            </w: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圣莲岛世界荷花博览园沙坝渡口</w:t>
            </w:r>
          </w:p>
        </w:tc>
        <w:tc>
          <w:tcPr>
            <w:tcW w:w="3402" w:type="dxa"/>
            <w:vAlign w:val="center"/>
          </w:tcPr>
          <w:p>
            <w:pPr>
              <w:widowControl/>
              <w:ind w:firstLine="0" w:firstLineChars="0"/>
              <w:jc w:val="center"/>
              <w:rPr>
                <w:rFonts w:cs="Times New Roman"/>
                <w:kern w:val="0"/>
                <w:sz w:val="24"/>
                <w:szCs w:val="24"/>
              </w:rPr>
            </w:pPr>
            <w:r>
              <w:rPr>
                <w:rFonts w:hint="eastAsia" w:cs="Times New Roman"/>
                <w:kern w:val="0"/>
                <w:sz w:val="24"/>
                <w:szCs w:val="24"/>
              </w:rPr>
              <w:t>圣莲岛</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cs="Times New Roman"/>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10</w:t>
            </w:r>
          </w:p>
        </w:tc>
        <w:tc>
          <w:tcPr>
            <w:tcW w:w="1690" w:type="dxa"/>
            <w:vMerge w:val="continue"/>
            <w:vAlign w:val="center"/>
          </w:tcPr>
          <w:p>
            <w:pPr>
              <w:spacing w:before="100" w:beforeAutospacing="1" w:after="100" w:afterAutospacing="1"/>
              <w:ind w:firstLine="0" w:firstLineChars="0"/>
              <w:jc w:val="center"/>
              <w:rPr>
                <w:rFonts w:ascii="仿宋" w:hAnsi="仿宋" w:cs="仿宋"/>
                <w:kern w:val="0"/>
                <w:sz w:val="24"/>
                <w:szCs w:val="24"/>
              </w:rPr>
            </w:pPr>
          </w:p>
        </w:tc>
        <w:tc>
          <w:tcPr>
            <w:tcW w:w="3827"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圣平岛码头渡口</w:t>
            </w:r>
          </w:p>
        </w:tc>
        <w:tc>
          <w:tcPr>
            <w:tcW w:w="3402" w:type="dxa"/>
            <w:vAlign w:val="center"/>
          </w:tcPr>
          <w:p>
            <w:pPr>
              <w:widowControl/>
              <w:ind w:firstLine="0" w:firstLineChars="0"/>
              <w:jc w:val="center"/>
              <w:rPr>
                <w:rFonts w:cs="Times New Roman"/>
                <w:kern w:val="0"/>
                <w:sz w:val="24"/>
                <w:szCs w:val="24"/>
              </w:rPr>
            </w:pPr>
            <w:r>
              <w:rPr>
                <w:rFonts w:hint="eastAsia" w:cs="Times New Roman"/>
                <w:kern w:val="0"/>
                <w:sz w:val="24"/>
                <w:szCs w:val="24"/>
              </w:rPr>
              <w:t>仁里镇</w:t>
            </w:r>
          </w:p>
        </w:tc>
        <w:tc>
          <w:tcPr>
            <w:tcW w:w="1389" w:type="dxa"/>
            <w:vAlign w:val="center"/>
          </w:tcPr>
          <w:p>
            <w:pPr>
              <w:spacing w:before="100" w:beforeAutospacing="1" w:after="100" w:afterAutospacing="1"/>
              <w:ind w:firstLine="0" w:firstLineChars="0"/>
              <w:jc w:val="center"/>
              <w:rPr>
                <w:rFonts w:ascii="仿宋" w:hAnsi="仿宋" w:cs="仿宋"/>
                <w:kern w:val="0"/>
                <w:sz w:val="24"/>
                <w:szCs w:val="24"/>
              </w:rPr>
            </w:pPr>
            <w:r>
              <w:rPr>
                <w:rFonts w:hint="eastAsia" w:ascii="仿宋" w:hAnsi="仿宋" w:cs="仿宋"/>
                <w:kern w:val="0"/>
                <w:sz w:val="24"/>
                <w:szCs w:val="24"/>
              </w:rPr>
              <w:t>C</w:t>
            </w:r>
          </w:p>
        </w:tc>
        <w:tc>
          <w:tcPr>
            <w:tcW w:w="1351" w:type="dxa"/>
            <w:vAlign w:val="center"/>
          </w:tcPr>
          <w:p>
            <w:pPr>
              <w:spacing w:before="100" w:beforeAutospacing="1" w:after="100" w:afterAutospacing="1"/>
              <w:ind w:firstLine="0" w:firstLineChars="0"/>
              <w:jc w:val="center"/>
              <w:rPr>
                <w:rFonts w:cs="Times New Roman"/>
                <w:kern w:val="0"/>
                <w:sz w:val="24"/>
                <w:szCs w:val="24"/>
              </w:rPr>
            </w:pPr>
            <w:r>
              <w:rPr>
                <w:rFonts w:hint="eastAsia" w:ascii="仿宋" w:hAnsi="仿宋" w:cs="仿宋"/>
                <w:kern w:val="0"/>
                <w:sz w:val="24"/>
                <w:szCs w:val="24"/>
              </w:rPr>
              <w:t>正常</w:t>
            </w:r>
          </w:p>
        </w:tc>
        <w:tc>
          <w:tcPr>
            <w:tcW w:w="804" w:type="dxa"/>
            <w:vAlign w:val="center"/>
          </w:tcPr>
          <w:p>
            <w:pPr>
              <w:spacing w:before="100" w:beforeAutospacing="1" w:after="100" w:afterAutospacing="1"/>
              <w:ind w:firstLine="0" w:firstLineChars="0"/>
              <w:jc w:val="center"/>
              <w:rPr>
                <w:rFonts w:ascii="仿宋" w:hAnsi="仿宋" w:cs="仿宋"/>
                <w:kern w:val="0"/>
                <w:sz w:val="24"/>
                <w:szCs w:val="24"/>
              </w:rPr>
            </w:pPr>
          </w:p>
        </w:tc>
      </w:tr>
    </w:tbl>
    <w:p>
      <w:pPr>
        <w:ind w:firstLine="640"/>
        <w:sectPr>
          <w:pgSz w:w="16838" w:h="11906" w:orient="landscape"/>
          <w:pgMar w:top="1588" w:right="2098" w:bottom="1474" w:left="1985" w:header="851" w:footer="992" w:gutter="0"/>
          <w:cols w:space="720" w:num="1"/>
          <w:docGrid w:type="lines" w:linePitch="312" w:charSpace="0"/>
        </w:sectPr>
      </w:pPr>
    </w:p>
    <w:p>
      <w:pPr>
        <w:pStyle w:val="4"/>
        <w:rPr>
          <w:rFonts w:cs="Times New Roman"/>
        </w:rPr>
      </w:pPr>
      <w:bookmarkStart w:id="62" w:name="_Toc6356"/>
      <w:r>
        <w:rPr>
          <w:rFonts w:hint="eastAsia" w:cs="Times New Roman"/>
        </w:rPr>
        <w:t>近年来典型安全生产和自然灾害事故统计表</w:t>
      </w:r>
      <w:bookmarkEnd w:id="62"/>
    </w:p>
    <w:tbl>
      <w:tblPr>
        <w:tblStyle w:val="26"/>
        <w:tblW w:w="12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264"/>
        <w:gridCol w:w="2720"/>
        <w:gridCol w:w="2390"/>
        <w:gridCol w:w="2390"/>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blHeader/>
        </w:trPr>
        <w:tc>
          <w:tcPr>
            <w:tcW w:w="827"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序号</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行业类别</w:t>
            </w:r>
          </w:p>
        </w:tc>
        <w:tc>
          <w:tcPr>
            <w:tcW w:w="272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事故起数</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伤亡情况</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发生年份</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27"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1</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安全生产</w:t>
            </w:r>
          </w:p>
        </w:tc>
        <w:tc>
          <w:tcPr>
            <w:tcW w:w="272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机械操作不当</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1人</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2019</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27"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2</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山洪灾害</w:t>
            </w:r>
          </w:p>
        </w:tc>
        <w:tc>
          <w:tcPr>
            <w:tcW w:w="272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ascii="仿宋" w:hAnsi="仿宋" w:cs="仿宋"/>
                <w:sz w:val="24"/>
                <w:szCs w:val="24"/>
              </w:rPr>
              <w:t>4</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无</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2018、2019</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p>
        </w:tc>
      </w:tr>
    </w:tbl>
    <w:p>
      <w:pPr>
        <w:ind w:firstLine="640"/>
        <w:sectPr>
          <w:pgSz w:w="16838" w:h="11906" w:orient="landscape"/>
          <w:pgMar w:top="1588" w:right="2098" w:bottom="1474" w:left="1985" w:header="851" w:footer="992" w:gutter="0"/>
          <w:cols w:space="720" w:num="1"/>
          <w:docGrid w:type="lines" w:linePitch="312" w:charSpace="0"/>
        </w:sectPr>
      </w:pPr>
    </w:p>
    <w:p>
      <w:pPr>
        <w:pStyle w:val="4"/>
        <w:rPr>
          <w:rFonts w:cs="Times New Roman"/>
        </w:rPr>
      </w:pPr>
      <w:bookmarkStart w:id="63" w:name="_Toc8885"/>
      <w:r>
        <w:rPr>
          <w:rFonts w:hint="eastAsia" w:cs="Times New Roman"/>
        </w:rPr>
        <w:t>应急队伍统计及分布表</w:t>
      </w:r>
      <w:bookmarkEnd w:id="63"/>
    </w:p>
    <w:tbl>
      <w:tblPr>
        <w:tblStyle w:val="26"/>
        <w:tblW w:w="12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264"/>
        <w:gridCol w:w="2858"/>
        <w:gridCol w:w="2252"/>
        <w:gridCol w:w="2390"/>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blHeader/>
        </w:trPr>
        <w:tc>
          <w:tcPr>
            <w:tcW w:w="827"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序号</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类型</w:t>
            </w:r>
          </w:p>
        </w:tc>
        <w:tc>
          <w:tcPr>
            <w:tcW w:w="2858"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队伍名称</w:t>
            </w:r>
          </w:p>
        </w:tc>
        <w:tc>
          <w:tcPr>
            <w:tcW w:w="2252"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队伍人数（人）</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救援类型</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27" w:type="dxa"/>
            <w:vAlign w:val="center"/>
          </w:tcPr>
          <w:p>
            <w:pPr>
              <w:spacing w:before="100" w:beforeAutospacing="1" w:after="100" w:afterAutospacing="1" w:line="300" w:lineRule="exact"/>
              <w:ind w:firstLine="0" w:firstLineChars="0"/>
              <w:rPr>
                <w:rFonts w:ascii="仿宋" w:hAnsi="仿宋" w:cs="仿宋"/>
                <w:sz w:val="24"/>
                <w:szCs w:val="24"/>
              </w:rPr>
            </w:pPr>
            <w:r>
              <w:rPr>
                <w:rFonts w:hint="eastAsia" w:ascii="仿宋" w:hAnsi="仿宋" w:cs="仿宋"/>
                <w:sz w:val="24"/>
                <w:szCs w:val="24"/>
              </w:rPr>
              <w:t>1</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综合应急救援队伍</w:t>
            </w:r>
          </w:p>
        </w:tc>
        <w:tc>
          <w:tcPr>
            <w:tcW w:w="2858"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仁里镇综合应急救援队伍</w:t>
            </w:r>
          </w:p>
        </w:tc>
        <w:tc>
          <w:tcPr>
            <w:tcW w:w="2252"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ascii="仿宋" w:hAnsi="仿宋" w:cs="仿宋"/>
                <w:sz w:val="24"/>
                <w:szCs w:val="24"/>
              </w:rPr>
              <w:t>20</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27" w:type="dxa"/>
            <w:vAlign w:val="center"/>
          </w:tcPr>
          <w:p>
            <w:pPr>
              <w:spacing w:before="100" w:beforeAutospacing="1" w:after="100" w:afterAutospacing="1" w:line="300" w:lineRule="exact"/>
              <w:ind w:firstLine="0" w:firstLineChars="0"/>
              <w:rPr>
                <w:rFonts w:ascii="仿宋" w:hAnsi="仿宋" w:cs="仿宋"/>
                <w:sz w:val="24"/>
                <w:szCs w:val="24"/>
              </w:rPr>
            </w:pPr>
            <w:r>
              <w:rPr>
                <w:rFonts w:hint="eastAsia" w:ascii="仿宋" w:hAnsi="仿宋" w:cs="仿宋"/>
                <w:sz w:val="24"/>
                <w:szCs w:val="24"/>
              </w:rPr>
              <w:t>2</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综合应急救援队伍</w:t>
            </w:r>
          </w:p>
        </w:tc>
        <w:tc>
          <w:tcPr>
            <w:tcW w:w="2858"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河沙镇综合应急救援队伍</w:t>
            </w:r>
          </w:p>
        </w:tc>
        <w:tc>
          <w:tcPr>
            <w:tcW w:w="2252"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0</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827" w:type="dxa"/>
            <w:vAlign w:val="center"/>
          </w:tcPr>
          <w:p>
            <w:pPr>
              <w:spacing w:before="100" w:beforeAutospacing="1" w:after="100" w:afterAutospacing="1" w:line="300" w:lineRule="exact"/>
              <w:ind w:firstLine="0" w:firstLineChars="0"/>
              <w:rPr>
                <w:rFonts w:ascii="仿宋" w:hAnsi="仿宋" w:cs="仿宋"/>
                <w:sz w:val="24"/>
                <w:szCs w:val="24"/>
              </w:rPr>
            </w:pPr>
            <w:r>
              <w:rPr>
                <w:rFonts w:hint="eastAsia" w:ascii="仿宋" w:hAnsi="仿宋" w:cs="仿宋"/>
                <w:sz w:val="24"/>
                <w:szCs w:val="24"/>
              </w:rPr>
              <w:t>3</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综合应急救援队伍</w:t>
            </w:r>
          </w:p>
        </w:tc>
        <w:tc>
          <w:tcPr>
            <w:tcW w:w="2858"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永兴镇综合应急救援队伍</w:t>
            </w:r>
          </w:p>
        </w:tc>
        <w:tc>
          <w:tcPr>
            <w:tcW w:w="2252"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ascii="仿宋" w:hAnsi="仿宋" w:cs="仿宋"/>
                <w:sz w:val="24"/>
                <w:szCs w:val="24"/>
              </w:rPr>
              <w:t>20</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27" w:type="dxa"/>
            <w:vAlign w:val="center"/>
          </w:tcPr>
          <w:p>
            <w:pPr>
              <w:spacing w:before="100" w:beforeAutospacing="1" w:after="100" w:afterAutospacing="1" w:line="300" w:lineRule="exact"/>
              <w:ind w:firstLine="0" w:firstLineChars="0"/>
              <w:rPr>
                <w:rFonts w:ascii="仿宋" w:hAnsi="仿宋" w:cs="仿宋"/>
                <w:sz w:val="24"/>
                <w:szCs w:val="24"/>
              </w:rPr>
            </w:pPr>
            <w:r>
              <w:rPr>
                <w:rFonts w:hint="eastAsia" w:ascii="仿宋" w:hAnsi="仿宋" w:cs="仿宋"/>
                <w:sz w:val="24"/>
                <w:szCs w:val="24"/>
              </w:rPr>
              <w:t>4</w:t>
            </w:r>
          </w:p>
        </w:tc>
        <w:tc>
          <w:tcPr>
            <w:tcW w:w="2264"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应急救援分队</w:t>
            </w:r>
          </w:p>
        </w:tc>
        <w:tc>
          <w:tcPr>
            <w:tcW w:w="2858"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各村级应急救援分队</w:t>
            </w:r>
          </w:p>
        </w:tc>
        <w:tc>
          <w:tcPr>
            <w:tcW w:w="2252"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ascii="仿宋" w:hAnsi="仿宋" w:cs="仿宋"/>
                <w:sz w:val="24"/>
                <w:szCs w:val="24"/>
              </w:rPr>
              <w:t>430</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r>
              <w:rPr>
                <w:rFonts w:hint="eastAsia" w:ascii="仿宋" w:hAnsi="仿宋" w:cs="仿宋"/>
                <w:sz w:val="24"/>
                <w:szCs w:val="24"/>
              </w:rPr>
              <w:t>综合</w:t>
            </w:r>
          </w:p>
        </w:tc>
        <w:tc>
          <w:tcPr>
            <w:tcW w:w="2390" w:type="dxa"/>
            <w:vAlign w:val="center"/>
          </w:tcPr>
          <w:p>
            <w:pPr>
              <w:spacing w:before="100" w:beforeAutospacing="1" w:after="100" w:afterAutospacing="1" w:line="300" w:lineRule="exact"/>
              <w:ind w:firstLine="0" w:firstLineChars="0"/>
              <w:jc w:val="center"/>
              <w:rPr>
                <w:rFonts w:ascii="仿宋" w:hAnsi="仿宋" w:cs="仿宋"/>
                <w:sz w:val="24"/>
                <w:szCs w:val="24"/>
              </w:rPr>
            </w:pPr>
          </w:p>
        </w:tc>
      </w:tr>
    </w:tbl>
    <w:p>
      <w:pPr>
        <w:ind w:firstLine="640"/>
        <w:sectPr>
          <w:pgSz w:w="16838" w:h="11906" w:orient="landscape"/>
          <w:pgMar w:top="1588" w:right="2098" w:bottom="1474" w:left="1985" w:header="851" w:footer="992" w:gutter="0"/>
          <w:cols w:space="720" w:num="1"/>
          <w:docGrid w:type="lines" w:linePitch="312" w:charSpace="0"/>
        </w:sectPr>
      </w:pPr>
    </w:p>
    <w:p>
      <w:pPr>
        <w:pStyle w:val="4"/>
        <w:rPr>
          <w:rFonts w:cs="Times New Roman"/>
        </w:rPr>
      </w:pPr>
      <w:bookmarkStart w:id="64" w:name="_Toc20095"/>
      <w:r>
        <w:rPr>
          <w:rFonts w:hint="eastAsia" w:cs="Times New Roman"/>
        </w:rPr>
        <w:t>应急救援装备、物资统计及分布表</w:t>
      </w:r>
      <w:bookmarkEnd w:id="64"/>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479"/>
        <w:gridCol w:w="1564"/>
        <w:gridCol w:w="1532"/>
        <w:gridCol w:w="1993"/>
        <w:gridCol w:w="4243"/>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0" w:firstLineChars="0"/>
              <w:rPr>
                <w:rFonts w:ascii="仿宋" w:hAnsi="仿宋" w:eastAsia="仿宋" w:cs="仿宋"/>
              </w:rPr>
            </w:pPr>
            <w:r>
              <w:rPr>
                <w:rFonts w:hint="eastAsia" w:ascii="仿宋" w:hAnsi="仿宋" w:eastAsia="仿宋" w:cs="仿宋"/>
              </w:rPr>
              <w:t>序号</w:t>
            </w:r>
          </w:p>
        </w:tc>
        <w:tc>
          <w:tcPr>
            <w:tcW w:w="1479" w:type="dxa"/>
          </w:tcPr>
          <w:p>
            <w:pPr>
              <w:pStyle w:val="2"/>
              <w:ind w:firstLine="420"/>
              <w:rPr>
                <w:rFonts w:ascii="仿宋" w:hAnsi="仿宋" w:eastAsia="仿宋" w:cs="仿宋"/>
              </w:rPr>
            </w:pPr>
            <w:r>
              <w:rPr>
                <w:rFonts w:hint="eastAsia" w:ascii="仿宋" w:hAnsi="仿宋" w:eastAsia="仿宋" w:cs="仿宋"/>
              </w:rPr>
              <w:t>名称</w:t>
            </w:r>
          </w:p>
        </w:tc>
        <w:tc>
          <w:tcPr>
            <w:tcW w:w="1564" w:type="dxa"/>
          </w:tcPr>
          <w:p>
            <w:pPr>
              <w:pStyle w:val="2"/>
              <w:ind w:firstLine="420"/>
              <w:rPr>
                <w:rFonts w:ascii="仿宋" w:hAnsi="仿宋" w:eastAsia="仿宋" w:cs="仿宋"/>
              </w:rPr>
            </w:pPr>
            <w:r>
              <w:rPr>
                <w:rFonts w:hint="eastAsia" w:ascii="仿宋" w:hAnsi="仿宋" w:eastAsia="仿宋" w:cs="仿宋"/>
              </w:rPr>
              <w:t>规格型号</w:t>
            </w:r>
          </w:p>
        </w:tc>
        <w:tc>
          <w:tcPr>
            <w:tcW w:w="1532" w:type="dxa"/>
          </w:tcPr>
          <w:p>
            <w:pPr>
              <w:pStyle w:val="2"/>
              <w:ind w:firstLine="420"/>
              <w:rPr>
                <w:rFonts w:ascii="仿宋" w:hAnsi="仿宋" w:eastAsia="仿宋" w:cs="仿宋"/>
              </w:rPr>
            </w:pPr>
            <w:r>
              <w:rPr>
                <w:rFonts w:hint="eastAsia" w:ascii="仿宋" w:hAnsi="仿宋" w:eastAsia="仿宋" w:cs="仿宋"/>
              </w:rPr>
              <w:t>单位</w:t>
            </w:r>
          </w:p>
        </w:tc>
        <w:tc>
          <w:tcPr>
            <w:tcW w:w="1993" w:type="dxa"/>
          </w:tcPr>
          <w:p>
            <w:pPr>
              <w:pStyle w:val="2"/>
              <w:ind w:firstLine="420"/>
              <w:rPr>
                <w:rFonts w:ascii="仿宋" w:hAnsi="仿宋" w:eastAsia="仿宋" w:cs="仿宋"/>
              </w:rPr>
            </w:pPr>
            <w:r>
              <w:rPr>
                <w:rFonts w:hint="eastAsia" w:ascii="仿宋" w:hAnsi="仿宋" w:eastAsia="仿宋" w:cs="仿宋"/>
              </w:rPr>
              <w:t>数量</w:t>
            </w:r>
          </w:p>
        </w:tc>
        <w:tc>
          <w:tcPr>
            <w:tcW w:w="4243" w:type="dxa"/>
          </w:tcPr>
          <w:p>
            <w:pPr>
              <w:pStyle w:val="2"/>
              <w:ind w:firstLine="420"/>
              <w:rPr>
                <w:rFonts w:ascii="仿宋" w:hAnsi="仿宋" w:eastAsia="仿宋" w:cs="仿宋"/>
              </w:rPr>
            </w:pPr>
            <w:r>
              <w:rPr>
                <w:rFonts w:hint="eastAsia" w:ascii="仿宋" w:hAnsi="仿宋" w:eastAsia="仿宋" w:cs="仿宋"/>
              </w:rPr>
              <w:t>存储地点</w:t>
            </w:r>
          </w:p>
        </w:tc>
        <w:tc>
          <w:tcPr>
            <w:tcW w:w="1244" w:type="dxa"/>
          </w:tcPr>
          <w:p>
            <w:pPr>
              <w:pStyle w:val="2"/>
              <w:ind w:firstLine="420"/>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1</w:t>
            </w:r>
          </w:p>
        </w:tc>
        <w:tc>
          <w:tcPr>
            <w:tcW w:w="1479" w:type="dxa"/>
          </w:tcPr>
          <w:p>
            <w:pPr>
              <w:pStyle w:val="2"/>
              <w:ind w:firstLine="0" w:firstLineChars="0"/>
              <w:jc w:val="center"/>
              <w:rPr>
                <w:rFonts w:ascii="仿宋" w:hAnsi="仿宋" w:eastAsia="仿宋" w:cs="仿宋"/>
              </w:rPr>
            </w:pPr>
            <w:r>
              <w:rPr>
                <w:rFonts w:hint="eastAsia" w:ascii="仿宋" w:hAnsi="仿宋" w:eastAsia="仿宋" w:cs="仿宋"/>
              </w:rPr>
              <w:t>救灾帐篷</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顶</w:t>
            </w:r>
          </w:p>
        </w:tc>
        <w:tc>
          <w:tcPr>
            <w:tcW w:w="1993" w:type="dxa"/>
          </w:tcPr>
          <w:p>
            <w:pPr>
              <w:pStyle w:val="2"/>
              <w:ind w:firstLine="420"/>
              <w:rPr>
                <w:rFonts w:ascii="仿宋" w:hAnsi="仿宋" w:eastAsia="仿宋" w:cs="仿宋"/>
              </w:rPr>
            </w:pPr>
            <w:r>
              <w:rPr>
                <w:rFonts w:hint="eastAsia" w:ascii="仿宋" w:hAnsi="仿宋" w:eastAsia="仿宋" w:cs="仿宋"/>
              </w:rPr>
              <w:t>12+30+34</w:t>
            </w:r>
          </w:p>
        </w:tc>
        <w:tc>
          <w:tcPr>
            <w:tcW w:w="4243" w:type="dxa"/>
          </w:tcPr>
          <w:p>
            <w:pPr>
              <w:pStyle w:val="2"/>
              <w:ind w:firstLine="0" w:firstLineChars="0"/>
              <w:rPr>
                <w:rFonts w:ascii="仿宋" w:hAnsi="仿宋" w:eastAsia="仿宋" w:cs="仿宋"/>
              </w:rPr>
            </w:pPr>
            <w:r>
              <w:rPr>
                <w:rFonts w:hint="eastAsia" w:ascii="仿宋" w:hAnsi="仿宋" w:eastAsia="仿宋" w:cs="仿宋"/>
              </w:rPr>
              <w:t>河沙镇、仁里镇、永兴镇应急物资储备库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2</w:t>
            </w:r>
          </w:p>
        </w:tc>
        <w:tc>
          <w:tcPr>
            <w:tcW w:w="1479" w:type="dxa"/>
          </w:tcPr>
          <w:p>
            <w:pPr>
              <w:pStyle w:val="2"/>
              <w:ind w:firstLine="420"/>
              <w:rPr>
                <w:rFonts w:ascii="仿宋" w:hAnsi="仿宋" w:eastAsia="仿宋" w:cs="仿宋"/>
              </w:rPr>
            </w:pPr>
            <w:r>
              <w:rPr>
                <w:rFonts w:hint="eastAsia" w:ascii="仿宋" w:hAnsi="仿宋" w:eastAsia="仿宋" w:cs="仿宋"/>
              </w:rPr>
              <w:t>棉被</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床</w:t>
            </w:r>
          </w:p>
        </w:tc>
        <w:tc>
          <w:tcPr>
            <w:tcW w:w="1993" w:type="dxa"/>
          </w:tcPr>
          <w:p>
            <w:pPr>
              <w:pStyle w:val="2"/>
              <w:ind w:firstLine="420"/>
              <w:rPr>
                <w:rFonts w:ascii="仿宋" w:hAnsi="仿宋" w:eastAsia="仿宋" w:cs="仿宋"/>
              </w:rPr>
            </w:pPr>
            <w:r>
              <w:rPr>
                <w:rFonts w:hint="eastAsia" w:ascii="仿宋" w:hAnsi="仿宋" w:eastAsia="仿宋" w:cs="仿宋"/>
              </w:rPr>
              <w:t>58+100+300</w:t>
            </w:r>
          </w:p>
        </w:tc>
        <w:tc>
          <w:tcPr>
            <w:tcW w:w="4243" w:type="dxa"/>
          </w:tcPr>
          <w:p>
            <w:pPr>
              <w:pStyle w:val="2"/>
              <w:ind w:firstLine="0" w:firstLineChars="0"/>
              <w:rPr>
                <w:rFonts w:ascii="仿宋" w:hAnsi="仿宋" w:eastAsia="仿宋" w:cs="仿宋"/>
              </w:rPr>
            </w:pPr>
            <w:r>
              <w:rPr>
                <w:rFonts w:hint="eastAsia" w:ascii="仿宋" w:hAnsi="仿宋" w:eastAsia="仿宋" w:cs="仿宋"/>
              </w:rPr>
              <w:t>河沙镇、仁里镇、永兴镇应急物资储备库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6" w:type="dxa"/>
          </w:tcPr>
          <w:p>
            <w:pPr>
              <w:pStyle w:val="2"/>
              <w:ind w:firstLine="420"/>
              <w:rPr>
                <w:rFonts w:ascii="仿宋" w:hAnsi="仿宋" w:eastAsia="仿宋" w:cs="仿宋"/>
              </w:rPr>
            </w:pPr>
            <w:r>
              <w:rPr>
                <w:rFonts w:hint="eastAsia" w:ascii="仿宋" w:hAnsi="仿宋" w:eastAsia="仿宋" w:cs="仿宋"/>
              </w:rPr>
              <w:t>3</w:t>
            </w:r>
          </w:p>
        </w:tc>
        <w:tc>
          <w:tcPr>
            <w:tcW w:w="1479" w:type="dxa"/>
          </w:tcPr>
          <w:p>
            <w:pPr>
              <w:pStyle w:val="2"/>
              <w:ind w:firstLine="420"/>
              <w:rPr>
                <w:rFonts w:ascii="仿宋" w:hAnsi="仿宋" w:eastAsia="仿宋" w:cs="仿宋"/>
              </w:rPr>
            </w:pPr>
            <w:r>
              <w:rPr>
                <w:rFonts w:hint="eastAsia" w:ascii="仿宋" w:hAnsi="仿宋" w:eastAsia="仿宋" w:cs="仿宋"/>
              </w:rPr>
              <w:t>折叠床</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张</w:t>
            </w:r>
          </w:p>
        </w:tc>
        <w:tc>
          <w:tcPr>
            <w:tcW w:w="1993" w:type="dxa"/>
          </w:tcPr>
          <w:p>
            <w:pPr>
              <w:pStyle w:val="2"/>
              <w:ind w:firstLine="420"/>
              <w:rPr>
                <w:rFonts w:ascii="仿宋" w:hAnsi="仿宋" w:eastAsia="仿宋" w:cs="仿宋"/>
              </w:rPr>
            </w:pPr>
            <w:r>
              <w:rPr>
                <w:rFonts w:hint="eastAsia" w:ascii="仿宋" w:hAnsi="仿宋" w:eastAsia="仿宋" w:cs="仿宋"/>
              </w:rPr>
              <w:t>4+30</w:t>
            </w:r>
          </w:p>
        </w:tc>
        <w:tc>
          <w:tcPr>
            <w:tcW w:w="4243" w:type="dxa"/>
          </w:tcPr>
          <w:p>
            <w:pPr>
              <w:pStyle w:val="2"/>
              <w:ind w:firstLine="0" w:firstLineChars="0"/>
              <w:rPr>
                <w:rFonts w:ascii="仿宋" w:hAnsi="仿宋" w:eastAsia="仿宋" w:cs="仿宋"/>
              </w:rPr>
            </w:pPr>
            <w:r>
              <w:rPr>
                <w:rFonts w:hint="eastAsia" w:ascii="仿宋" w:hAnsi="仿宋" w:eastAsia="仿宋" w:cs="仿宋"/>
              </w:rPr>
              <w:t>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4</w:t>
            </w:r>
          </w:p>
        </w:tc>
        <w:tc>
          <w:tcPr>
            <w:tcW w:w="1479" w:type="dxa"/>
          </w:tcPr>
          <w:p>
            <w:pPr>
              <w:pStyle w:val="2"/>
              <w:ind w:firstLine="420"/>
              <w:rPr>
                <w:rFonts w:ascii="仿宋" w:hAnsi="仿宋" w:eastAsia="仿宋" w:cs="仿宋"/>
              </w:rPr>
            </w:pPr>
            <w:r>
              <w:rPr>
                <w:rFonts w:hint="eastAsia" w:ascii="仿宋" w:hAnsi="仿宋" w:eastAsia="仿宋" w:cs="仿宋"/>
              </w:rPr>
              <w:t>冲锋舟</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艘</w:t>
            </w:r>
          </w:p>
        </w:tc>
        <w:tc>
          <w:tcPr>
            <w:tcW w:w="1993" w:type="dxa"/>
          </w:tcPr>
          <w:p>
            <w:pPr>
              <w:pStyle w:val="2"/>
              <w:ind w:firstLine="630" w:firstLineChars="300"/>
              <w:rPr>
                <w:rFonts w:ascii="仿宋" w:hAnsi="仿宋" w:eastAsia="仿宋" w:cs="仿宋"/>
              </w:rPr>
            </w:pPr>
            <w:r>
              <w:rPr>
                <w:rFonts w:hint="eastAsia" w:ascii="仿宋" w:hAnsi="仿宋" w:eastAsia="仿宋" w:cs="仿宋"/>
              </w:rPr>
              <w:t>1</w:t>
            </w:r>
          </w:p>
        </w:tc>
        <w:tc>
          <w:tcPr>
            <w:tcW w:w="4243" w:type="dxa"/>
          </w:tcPr>
          <w:p>
            <w:pPr>
              <w:pStyle w:val="2"/>
              <w:ind w:firstLine="0" w:firstLineChars="0"/>
              <w:rPr>
                <w:rFonts w:ascii="仿宋" w:hAnsi="仿宋" w:eastAsia="仿宋" w:cs="仿宋"/>
              </w:rPr>
            </w:pPr>
            <w:r>
              <w:rPr>
                <w:rFonts w:hint="eastAsia" w:ascii="仿宋" w:hAnsi="仿宋" w:eastAsia="仿宋" w:cs="仿宋"/>
              </w:rPr>
              <w:t>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5</w:t>
            </w:r>
          </w:p>
        </w:tc>
        <w:tc>
          <w:tcPr>
            <w:tcW w:w="1479" w:type="dxa"/>
          </w:tcPr>
          <w:p>
            <w:pPr>
              <w:pStyle w:val="2"/>
              <w:ind w:firstLine="420"/>
              <w:rPr>
                <w:rFonts w:ascii="仿宋" w:hAnsi="仿宋" w:eastAsia="仿宋" w:cs="仿宋"/>
              </w:rPr>
            </w:pPr>
            <w:r>
              <w:rPr>
                <w:rFonts w:hint="eastAsia" w:ascii="仿宋" w:hAnsi="仿宋" w:eastAsia="仿宋" w:cs="仿宋"/>
              </w:rPr>
              <w:t>救生衣</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件</w:t>
            </w:r>
          </w:p>
        </w:tc>
        <w:tc>
          <w:tcPr>
            <w:tcW w:w="1993" w:type="dxa"/>
          </w:tcPr>
          <w:p>
            <w:pPr>
              <w:pStyle w:val="2"/>
              <w:ind w:firstLine="420"/>
              <w:rPr>
                <w:rFonts w:ascii="仿宋" w:hAnsi="仿宋" w:eastAsia="仿宋" w:cs="仿宋"/>
              </w:rPr>
            </w:pPr>
            <w:r>
              <w:rPr>
                <w:rFonts w:hint="eastAsia" w:ascii="仿宋" w:hAnsi="仿宋" w:eastAsia="仿宋" w:cs="仿宋"/>
              </w:rPr>
              <w:t>40+400+370</w:t>
            </w:r>
          </w:p>
        </w:tc>
        <w:tc>
          <w:tcPr>
            <w:tcW w:w="4243" w:type="dxa"/>
          </w:tcPr>
          <w:p>
            <w:pPr>
              <w:pStyle w:val="2"/>
              <w:ind w:firstLine="0" w:firstLineChars="0"/>
              <w:rPr>
                <w:rFonts w:ascii="仿宋" w:hAnsi="仿宋" w:eastAsia="仿宋" w:cs="仿宋"/>
              </w:rPr>
            </w:pPr>
            <w:r>
              <w:rPr>
                <w:rFonts w:hint="eastAsia" w:ascii="仿宋" w:hAnsi="仿宋" w:eastAsia="仿宋" w:cs="仿宋"/>
              </w:rPr>
              <w:t>河沙镇、仁里镇、永兴镇应急物资储备库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6</w:t>
            </w:r>
          </w:p>
        </w:tc>
        <w:tc>
          <w:tcPr>
            <w:tcW w:w="1479" w:type="dxa"/>
          </w:tcPr>
          <w:p>
            <w:pPr>
              <w:pStyle w:val="2"/>
              <w:ind w:firstLine="420"/>
              <w:rPr>
                <w:rFonts w:ascii="仿宋" w:hAnsi="仿宋" w:eastAsia="仿宋" w:cs="仿宋"/>
              </w:rPr>
            </w:pPr>
            <w:r>
              <w:rPr>
                <w:rFonts w:hint="eastAsia" w:ascii="仿宋" w:hAnsi="仿宋" w:eastAsia="仿宋" w:cs="仿宋"/>
              </w:rPr>
              <w:t>救生圈</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个</w:t>
            </w:r>
          </w:p>
        </w:tc>
        <w:tc>
          <w:tcPr>
            <w:tcW w:w="1993" w:type="dxa"/>
          </w:tcPr>
          <w:p>
            <w:pPr>
              <w:pStyle w:val="2"/>
              <w:ind w:firstLine="420"/>
              <w:rPr>
                <w:rFonts w:ascii="仿宋" w:hAnsi="仿宋" w:eastAsia="仿宋" w:cs="仿宋"/>
              </w:rPr>
            </w:pPr>
            <w:r>
              <w:rPr>
                <w:rFonts w:hint="eastAsia" w:ascii="仿宋" w:hAnsi="仿宋" w:eastAsia="仿宋" w:cs="仿宋"/>
              </w:rPr>
              <w:t>2+20+10</w:t>
            </w:r>
          </w:p>
        </w:tc>
        <w:tc>
          <w:tcPr>
            <w:tcW w:w="4243" w:type="dxa"/>
          </w:tcPr>
          <w:p>
            <w:pPr>
              <w:pStyle w:val="2"/>
              <w:ind w:firstLine="0" w:firstLineChars="0"/>
              <w:rPr>
                <w:rFonts w:ascii="仿宋" w:hAnsi="仿宋" w:eastAsia="仿宋" w:cs="仿宋"/>
              </w:rPr>
            </w:pPr>
            <w:r>
              <w:rPr>
                <w:rFonts w:hint="eastAsia" w:ascii="仿宋" w:hAnsi="仿宋" w:eastAsia="仿宋" w:cs="仿宋"/>
              </w:rPr>
              <w:t>河沙镇、仁里镇、永兴镇应急物资储备库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6" w:type="dxa"/>
          </w:tcPr>
          <w:p>
            <w:pPr>
              <w:pStyle w:val="2"/>
              <w:ind w:firstLine="420"/>
              <w:rPr>
                <w:rFonts w:ascii="仿宋" w:hAnsi="仿宋" w:eastAsia="仿宋" w:cs="仿宋"/>
              </w:rPr>
            </w:pPr>
            <w:r>
              <w:rPr>
                <w:rFonts w:hint="eastAsia" w:ascii="仿宋" w:hAnsi="仿宋" w:eastAsia="仿宋" w:cs="仿宋"/>
              </w:rPr>
              <w:t>7</w:t>
            </w:r>
          </w:p>
        </w:tc>
        <w:tc>
          <w:tcPr>
            <w:tcW w:w="1479" w:type="dxa"/>
          </w:tcPr>
          <w:p>
            <w:pPr>
              <w:pStyle w:val="2"/>
              <w:ind w:firstLine="420"/>
              <w:rPr>
                <w:rFonts w:ascii="仿宋" w:hAnsi="仿宋" w:eastAsia="仿宋" w:cs="仿宋"/>
              </w:rPr>
            </w:pPr>
            <w:r>
              <w:rPr>
                <w:rFonts w:hint="eastAsia" w:ascii="仿宋" w:hAnsi="仿宋" w:eastAsia="仿宋" w:cs="仿宋"/>
              </w:rPr>
              <w:t>编织袋</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个</w:t>
            </w:r>
          </w:p>
        </w:tc>
        <w:tc>
          <w:tcPr>
            <w:tcW w:w="1993" w:type="dxa"/>
          </w:tcPr>
          <w:p>
            <w:pPr>
              <w:pStyle w:val="2"/>
              <w:ind w:firstLine="0" w:firstLineChars="0"/>
              <w:rPr>
                <w:rFonts w:ascii="仿宋" w:hAnsi="仿宋" w:eastAsia="仿宋" w:cs="仿宋"/>
              </w:rPr>
            </w:pPr>
            <w:r>
              <w:rPr>
                <w:rFonts w:hint="eastAsia" w:ascii="仿宋" w:hAnsi="仿宋" w:eastAsia="仿宋" w:cs="仿宋"/>
              </w:rPr>
              <w:t>1000+1000+3900</w:t>
            </w:r>
          </w:p>
        </w:tc>
        <w:tc>
          <w:tcPr>
            <w:tcW w:w="4243" w:type="dxa"/>
          </w:tcPr>
          <w:p>
            <w:pPr>
              <w:pStyle w:val="2"/>
              <w:ind w:firstLine="0" w:firstLineChars="0"/>
              <w:rPr>
                <w:rFonts w:ascii="仿宋" w:hAnsi="仿宋" w:eastAsia="仿宋" w:cs="仿宋"/>
              </w:rPr>
            </w:pPr>
            <w:r>
              <w:rPr>
                <w:rFonts w:hint="eastAsia" w:ascii="仿宋" w:hAnsi="仿宋" w:eastAsia="仿宋" w:cs="仿宋"/>
              </w:rPr>
              <w:t>河沙镇、仁里镇、永兴镇应急物资储备库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8</w:t>
            </w:r>
          </w:p>
        </w:tc>
        <w:tc>
          <w:tcPr>
            <w:tcW w:w="1479" w:type="dxa"/>
          </w:tcPr>
          <w:p>
            <w:pPr>
              <w:pStyle w:val="2"/>
              <w:ind w:firstLine="420"/>
              <w:rPr>
                <w:rFonts w:ascii="仿宋" w:hAnsi="仿宋" w:eastAsia="仿宋" w:cs="仿宋"/>
              </w:rPr>
            </w:pPr>
            <w:r>
              <w:rPr>
                <w:rFonts w:hint="eastAsia" w:ascii="仿宋" w:hAnsi="仿宋" w:eastAsia="仿宋" w:cs="仿宋"/>
              </w:rPr>
              <w:t>麻袋</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个</w:t>
            </w:r>
          </w:p>
        </w:tc>
        <w:tc>
          <w:tcPr>
            <w:tcW w:w="1993" w:type="dxa"/>
          </w:tcPr>
          <w:p>
            <w:pPr>
              <w:pStyle w:val="2"/>
              <w:ind w:firstLine="420"/>
              <w:rPr>
                <w:rFonts w:ascii="仿宋" w:hAnsi="仿宋" w:eastAsia="仿宋" w:cs="仿宋"/>
              </w:rPr>
            </w:pPr>
            <w:r>
              <w:rPr>
                <w:rFonts w:hint="eastAsia" w:ascii="仿宋" w:hAnsi="仿宋" w:eastAsia="仿宋" w:cs="仿宋"/>
              </w:rPr>
              <w:t>100+300</w:t>
            </w:r>
          </w:p>
        </w:tc>
        <w:tc>
          <w:tcPr>
            <w:tcW w:w="4243" w:type="dxa"/>
          </w:tcPr>
          <w:p>
            <w:pPr>
              <w:pStyle w:val="2"/>
              <w:ind w:firstLine="0" w:firstLineChars="0"/>
              <w:rPr>
                <w:rFonts w:ascii="仿宋" w:hAnsi="仿宋" w:eastAsia="仿宋" w:cs="仿宋"/>
              </w:rPr>
            </w:pPr>
            <w:r>
              <w:rPr>
                <w:rFonts w:hint="eastAsia" w:ascii="仿宋" w:hAnsi="仿宋" w:eastAsia="仿宋" w:cs="仿宋"/>
              </w:rPr>
              <w:t>仁里镇、永兴镇应急物资储备库</w:t>
            </w:r>
          </w:p>
        </w:tc>
        <w:tc>
          <w:tcPr>
            <w:tcW w:w="1244" w:type="dxa"/>
          </w:tcPr>
          <w:p>
            <w:pPr>
              <w:pStyle w:val="2"/>
              <w:ind w:firstLine="42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pStyle w:val="2"/>
              <w:ind w:firstLine="420"/>
              <w:rPr>
                <w:rFonts w:ascii="仿宋" w:hAnsi="仿宋" w:eastAsia="仿宋" w:cs="仿宋"/>
              </w:rPr>
            </w:pPr>
            <w:r>
              <w:rPr>
                <w:rFonts w:hint="eastAsia" w:ascii="仿宋" w:hAnsi="仿宋" w:eastAsia="仿宋" w:cs="仿宋"/>
              </w:rPr>
              <w:t>9</w:t>
            </w:r>
          </w:p>
        </w:tc>
        <w:tc>
          <w:tcPr>
            <w:tcW w:w="1479" w:type="dxa"/>
          </w:tcPr>
          <w:p>
            <w:pPr>
              <w:pStyle w:val="2"/>
              <w:ind w:firstLine="420"/>
              <w:rPr>
                <w:rFonts w:ascii="仿宋" w:hAnsi="仿宋" w:eastAsia="仿宋" w:cs="仿宋"/>
              </w:rPr>
            </w:pPr>
            <w:r>
              <w:rPr>
                <w:rFonts w:hint="eastAsia" w:ascii="仿宋" w:hAnsi="仿宋" w:eastAsia="仿宋" w:cs="仿宋"/>
              </w:rPr>
              <w:t>发电机</w:t>
            </w:r>
          </w:p>
        </w:tc>
        <w:tc>
          <w:tcPr>
            <w:tcW w:w="1564" w:type="dxa"/>
          </w:tcPr>
          <w:p>
            <w:pPr>
              <w:pStyle w:val="2"/>
              <w:ind w:firstLine="420"/>
              <w:rPr>
                <w:rFonts w:ascii="仿宋" w:hAnsi="仿宋" w:eastAsia="仿宋" w:cs="仿宋"/>
              </w:rPr>
            </w:pPr>
          </w:p>
        </w:tc>
        <w:tc>
          <w:tcPr>
            <w:tcW w:w="1532" w:type="dxa"/>
          </w:tcPr>
          <w:p>
            <w:pPr>
              <w:pStyle w:val="2"/>
              <w:ind w:firstLine="420"/>
              <w:rPr>
                <w:rFonts w:ascii="仿宋" w:hAnsi="仿宋" w:eastAsia="仿宋" w:cs="仿宋"/>
              </w:rPr>
            </w:pPr>
            <w:r>
              <w:rPr>
                <w:rFonts w:hint="eastAsia" w:ascii="仿宋" w:hAnsi="仿宋" w:eastAsia="仿宋" w:cs="仿宋"/>
              </w:rPr>
              <w:t>台</w:t>
            </w:r>
          </w:p>
        </w:tc>
        <w:tc>
          <w:tcPr>
            <w:tcW w:w="1993" w:type="dxa"/>
          </w:tcPr>
          <w:p>
            <w:pPr>
              <w:pStyle w:val="2"/>
              <w:ind w:firstLine="630" w:firstLineChars="300"/>
              <w:rPr>
                <w:rFonts w:ascii="仿宋" w:hAnsi="仿宋" w:eastAsia="仿宋" w:cs="仿宋"/>
              </w:rPr>
            </w:pPr>
            <w:r>
              <w:rPr>
                <w:rFonts w:hint="eastAsia" w:ascii="仿宋" w:hAnsi="仿宋" w:eastAsia="仿宋" w:cs="仿宋"/>
              </w:rPr>
              <w:t>1</w:t>
            </w:r>
          </w:p>
        </w:tc>
        <w:tc>
          <w:tcPr>
            <w:tcW w:w="4243" w:type="dxa"/>
          </w:tcPr>
          <w:p>
            <w:pPr>
              <w:pStyle w:val="2"/>
              <w:ind w:firstLine="0" w:firstLineChars="0"/>
              <w:rPr>
                <w:rFonts w:ascii="仿宋" w:hAnsi="仿宋" w:eastAsia="仿宋" w:cs="仿宋"/>
              </w:rPr>
            </w:pPr>
            <w:r>
              <w:rPr>
                <w:rFonts w:hint="eastAsia" w:ascii="仿宋" w:hAnsi="仿宋" w:eastAsia="仿宋" w:cs="仿宋"/>
              </w:rPr>
              <w:t>永兴镇应急物资储备库</w:t>
            </w:r>
          </w:p>
        </w:tc>
        <w:tc>
          <w:tcPr>
            <w:tcW w:w="1244" w:type="dxa"/>
          </w:tcPr>
          <w:p>
            <w:pPr>
              <w:pStyle w:val="2"/>
              <w:ind w:firstLine="420"/>
              <w:rPr>
                <w:rFonts w:ascii="仿宋" w:hAnsi="仿宋" w:eastAsia="仿宋" w:cs="仿宋"/>
              </w:rPr>
            </w:pPr>
          </w:p>
        </w:tc>
      </w:tr>
    </w:tbl>
    <w:p>
      <w:pPr>
        <w:pStyle w:val="2"/>
        <w:ind w:firstLine="420"/>
      </w:pPr>
    </w:p>
    <w:p>
      <w:pPr>
        <w:pStyle w:val="2"/>
        <w:ind w:firstLine="420"/>
      </w:pPr>
    </w:p>
    <w:p>
      <w:pPr>
        <w:pStyle w:val="2"/>
        <w:ind w:firstLine="420"/>
        <w:sectPr>
          <w:pgSz w:w="16838" w:h="11906" w:orient="landscape"/>
          <w:pgMar w:top="1588" w:right="2098" w:bottom="1474" w:left="1985" w:header="851" w:footer="992" w:gutter="0"/>
          <w:cols w:space="720" w:num="1"/>
          <w:docGrid w:type="lines" w:linePitch="312" w:charSpace="0"/>
        </w:sectPr>
      </w:pPr>
    </w:p>
    <w:p>
      <w:pPr>
        <w:pStyle w:val="4"/>
        <w:rPr>
          <w:rFonts w:cs="Times New Roman"/>
        </w:rPr>
      </w:pPr>
      <w:bookmarkStart w:id="65" w:name="_Toc7243"/>
      <w:r>
        <w:rPr>
          <w:rFonts w:hint="eastAsia" w:cs="Times New Roman"/>
        </w:rPr>
        <w:t>应急管理用地现状和规划用地指标</w:t>
      </w:r>
      <w:bookmarkEnd w:id="65"/>
    </w:p>
    <w:tbl>
      <w:tblPr>
        <w:tblStyle w:val="26"/>
        <w:tblW w:w="47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755"/>
        <w:gridCol w:w="2150"/>
        <w:gridCol w:w="1741"/>
        <w:gridCol w:w="2078"/>
        <w:gridCol w:w="155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序号</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项目名称</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具体位置</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用途</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用地类型</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用地规模（m2）</w:t>
            </w:r>
          </w:p>
        </w:tc>
        <w:tc>
          <w:tcPr>
            <w:tcW w:w="527" w:type="pct"/>
            <w:vAlign w:val="center"/>
          </w:tcPr>
          <w:p>
            <w:pPr>
              <w:pStyle w:val="2"/>
              <w:ind w:firstLine="0" w:firstLineChars="0"/>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仁里镇政府</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灵泉街道办</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4000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仁里康养中心</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仁里镇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2000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3</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圣莲岛小学</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仁里镇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4</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永兴小学</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永兴镇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5</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河沙小学</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7000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6</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河沙镇幼儿园</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2500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7</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河沙镇敬老院</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3400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8</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文笔山村村民委员会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仁里镇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400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9</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亿禾村村民委员会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仁里镇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r>
              <w:rPr>
                <w:rFonts w:ascii="仿宋" w:hAnsi="仿宋" w:eastAsia="仿宋" w:cs="仿宋"/>
              </w:rPr>
              <w:t>0</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清源村村民委员会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永兴镇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600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r>
              <w:rPr>
                <w:rFonts w:ascii="仿宋" w:hAnsi="仿宋" w:eastAsia="仿宋" w:cs="仿宋"/>
              </w:rPr>
              <w:t>1</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联盟村村民委员会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永兴镇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r>
              <w:rPr>
                <w:rFonts w:ascii="仿宋" w:hAnsi="仿宋" w:eastAsia="仿宋" w:cs="仿宋"/>
              </w:rPr>
              <w:t>2</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新开村村民委员会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永兴镇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400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r>
              <w:rPr>
                <w:rFonts w:ascii="仿宋" w:hAnsi="仿宋" w:eastAsia="仿宋" w:cs="仿宋"/>
              </w:rPr>
              <w:t>3</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柏湾村村民委员会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永兴镇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400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r>
              <w:rPr>
                <w:rFonts w:ascii="仿宋" w:hAnsi="仿宋" w:eastAsia="仿宋" w:cs="仿宋"/>
              </w:rPr>
              <w:t>4</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朝阳村村民委员会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永兴镇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1</w:t>
            </w:r>
            <w:r>
              <w:rPr>
                <w:rFonts w:ascii="仿宋" w:hAnsi="仿宋" w:eastAsia="仿宋" w:cs="仿宋"/>
              </w:rPr>
              <w:t>5</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凤凰村村民委员会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ascii="仿宋" w:hAnsi="仿宋" w:eastAsia="仿宋" w:cs="仿宋"/>
              </w:rPr>
              <w:t>16</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梓桐村村民委员会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ascii="仿宋" w:hAnsi="仿宋" w:eastAsia="仿宋" w:cs="仿宋"/>
              </w:rPr>
              <w:t>17</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栖凤村村民委员会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600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ascii="仿宋" w:hAnsi="仿宋" w:eastAsia="仿宋" w:cs="仿宋"/>
              </w:rPr>
              <w:t>18</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景峰村村民委员会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ascii="仿宋" w:hAnsi="仿宋" w:eastAsia="仿宋" w:cs="仿宋"/>
              </w:rPr>
              <w:t>19</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云灵村村民委员会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400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r>
              <w:rPr>
                <w:rFonts w:ascii="仿宋" w:hAnsi="仿宋" w:eastAsia="仿宋" w:cs="仿宋"/>
              </w:rPr>
              <w:t>0</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鹤林村村民委员会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400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r>
              <w:rPr>
                <w:rFonts w:ascii="仿宋" w:hAnsi="仿宋" w:eastAsia="仿宋" w:cs="仿宋"/>
              </w:rPr>
              <w:t>1</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送家沟村村民委员会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r>
              <w:rPr>
                <w:rFonts w:ascii="仿宋" w:hAnsi="仿宋" w:eastAsia="仿宋" w:cs="仿宋"/>
              </w:rPr>
              <w:t>2</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王家场村村民委员会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r>
              <w:rPr>
                <w:rFonts w:ascii="仿宋" w:hAnsi="仿宋" w:eastAsia="仿宋" w:cs="仿宋"/>
              </w:rPr>
              <w:t>3</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谷村村民委员会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ascii="仿宋" w:hAnsi="仿宋" w:eastAsia="仿宋" w:cs="仿宋"/>
              </w:rPr>
              <w:t>5</w:t>
            </w:r>
            <w:r>
              <w:rPr>
                <w:rFonts w:hint="eastAsia" w:ascii="仿宋" w:hAnsi="仿宋" w:eastAsia="仿宋" w:cs="仿宋"/>
              </w:rPr>
              <w:t>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r>
              <w:rPr>
                <w:rFonts w:ascii="仿宋" w:hAnsi="仿宋" w:eastAsia="仿宋" w:cs="仿宋"/>
              </w:rPr>
              <w:t>4</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桂花村村民委员会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500</w:t>
            </w:r>
          </w:p>
        </w:tc>
        <w:tc>
          <w:tcPr>
            <w:tcW w:w="527" w:type="pct"/>
            <w:vAlign w:val="center"/>
          </w:tcPr>
          <w:p>
            <w:pPr>
              <w:pStyle w:val="2"/>
              <w:ind w:firstLine="0" w:firstLineChars="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1" w:type="pct"/>
            <w:vAlign w:val="center"/>
          </w:tcPr>
          <w:p>
            <w:pPr>
              <w:pStyle w:val="2"/>
              <w:ind w:firstLine="0" w:firstLineChars="0"/>
              <w:rPr>
                <w:rFonts w:ascii="仿宋" w:hAnsi="仿宋" w:eastAsia="仿宋" w:cs="仿宋"/>
              </w:rPr>
            </w:pPr>
            <w:r>
              <w:rPr>
                <w:rFonts w:hint="eastAsia" w:ascii="仿宋" w:hAnsi="仿宋" w:eastAsia="仿宋" w:cs="仿宋"/>
              </w:rPr>
              <w:t>2</w:t>
            </w:r>
            <w:r>
              <w:rPr>
                <w:rFonts w:ascii="仿宋" w:hAnsi="仿宋" w:eastAsia="仿宋" w:cs="仿宋"/>
              </w:rPr>
              <w:t>5</w:t>
            </w:r>
          </w:p>
        </w:tc>
        <w:tc>
          <w:tcPr>
            <w:tcW w:w="1120" w:type="pct"/>
            <w:vAlign w:val="center"/>
          </w:tcPr>
          <w:p>
            <w:pPr>
              <w:pStyle w:val="2"/>
              <w:ind w:firstLine="0" w:firstLineChars="0"/>
              <w:rPr>
                <w:rFonts w:ascii="仿宋" w:hAnsi="仿宋" w:eastAsia="仿宋" w:cs="仿宋"/>
              </w:rPr>
            </w:pPr>
            <w:r>
              <w:rPr>
                <w:rFonts w:hint="eastAsia" w:ascii="仿宋" w:hAnsi="仿宋" w:eastAsia="仿宋" w:cs="仿宋"/>
              </w:rPr>
              <w:t>赤岩沟村村民委员会</w:t>
            </w:r>
          </w:p>
        </w:tc>
        <w:tc>
          <w:tcPr>
            <w:tcW w:w="874" w:type="pct"/>
            <w:vAlign w:val="center"/>
          </w:tcPr>
          <w:p>
            <w:pPr>
              <w:pStyle w:val="2"/>
              <w:ind w:firstLine="0" w:firstLineChars="0"/>
              <w:rPr>
                <w:rFonts w:ascii="仿宋" w:hAnsi="仿宋" w:eastAsia="仿宋" w:cs="仿宋"/>
              </w:rPr>
            </w:pPr>
            <w:r>
              <w:rPr>
                <w:rFonts w:hint="eastAsia" w:ascii="仿宋" w:hAnsi="仿宋" w:eastAsia="仿宋" w:cs="仿宋"/>
              </w:rPr>
              <w:t>河沙镇</w:t>
            </w:r>
          </w:p>
        </w:tc>
        <w:tc>
          <w:tcPr>
            <w:tcW w:w="708" w:type="pct"/>
            <w:vAlign w:val="center"/>
          </w:tcPr>
          <w:p>
            <w:pPr>
              <w:pStyle w:val="2"/>
              <w:ind w:firstLine="0" w:firstLineChars="0"/>
              <w:rPr>
                <w:rFonts w:ascii="仿宋" w:hAnsi="仿宋" w:eastAsia="仿宋" w:cs="仿宋"/>
              </w:rPr>
            </w:pPr>
            <w:r>
              <w:rPr>
                <w:rFonts w:hint="eastAsia" w:ascii="仿宋" w:hAnsi="仿宋" w:eastAsia="仿宋" w:cs="仿宋"/>
              </w:rPr>
              <w:t>应急避难场所</w:t>
            </w:r>
          </w:p>
        </w:tc>
        <w:tc>
          <w:tcPr>
            <w:tcW w:w="845" w:type="pct"/>
            <w:vAlign w:val="center"/>
          </w:tcPr>
          <w:p>
            <w:pPr>
              <w:pStyle w:val="2"/>
              <w:ind w:firstLine="0" w:firstLineChars="0"/>
              <w:rPr>
                <w:rFonts w:ascii="仿宋" w:hAnsi="仿宋" w:eastAsia="仿宋" w:cs="仿宋"/>
              </w:rPr>
            </w:pPr>
            <w:r>
              <w:rPr>
                <w:rFonts w:hint="eastAsia" w:ascii="仿宋" w:hAnsi="仿宋" w:eastAsia="仿宋" w:cs="仿宋"/>
              </w:rPr>
              <w:t>利旧</w:t>
            </w:r>
          </w:p>
        </w:tc>
        <w:tc>
          <w:tcPr>
            <w:tcW w:w="634" w:type="pct"/>
            <w:vAlign w:val="center"/>
          </w:tcPr>
          <w:p>
            <w:pPr>
              <w:pStyle w:val="2"/>
              <w:ind w:firstLine="0" w:firstLineChars="0"/>
              <w:rPr>
                <w:rFonts w:ascii="仿宋" w:hAnsi="仿宋" w:eastAsia="仿宋" w:cs="仿宋"/>
              </w:rPr>
            </w:pPr>
            <w:r>
              <w:rPr>
                <w:rFonts w:hint="eastAsia" w:ascii="仿宋" w:hAnsi="仿宋" w:eastAsia="仿宋" w:cs="仿宋"/>
              </w:rPr>
              <w:t>300</w:t>
            </w:r>
          </w:p>
        </w:tc>
        <w:tc>
          <w:tcPr>
            <w:tcW w:w="527" w:type="pct"/>
            <w:vAlign w:val="center"/>
          </w:tcPr>
          <w:p>
            <w:pPr>
              <w:pStyle w:val="2"/>
              <w:ind w:firstLine="0" w:firstLineChars="0"/>
              <w:rPr>
                <w:rFonts w:ascii="仿宋" w:hAnsi="仿宋" w:eastAsia="仿宋" w:cs="仿宋"/>
              </w:rPr>
            </w:pPr>
          </w:p>
        </w:tc>
      </w:tr>
    </w:tbl>
    <w:p>
      <w:pPr>
        <w:pStyle w:val="4"/>
        <w:rPr>
          <w:rFonts w:cs="Times New Roman"/>
        </w:rPr>
      </w:pPr>
      <w:bookmarkStart w:id="66" w:name="_Toc30489"/>
      <w:r>
        <w:rPr>
          <w:rFonts w:hint="eastAsia" w:cs="Times New Roman"/>
        </w:rPr>
        <w:t>重点工程项目统计表</w:t>
      </w:r>
      <w:bookmarkEnd w:id="66"/>
    </w:p>
    <w:tbl>
      <w:tblPr>
        <w:tblStyle w:val="25"/>
        <w:tblW w:w="14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239"/>
        <w:gridCol w:w="4675"/>
        <w:gridCol w:w="1350"/>
        <w:gridCol w:w="1020"/>
        <w:gridCol w:w="930"/>
        <w:gridCol w:w="915"/>
        <w:gridCol w:w="254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93"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项目大类</w:t>
            </w:r>
          </w:p>
        </w:tc>
        <w:tc>
          <w:tcPr>
            <w:tcW w:w="1239"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项目小类</w:t>
            </w:r>
          </w:p>
        </w:tc>
        <w:tc>
          <w:tcPr>
            <w:tcW w:w="4675"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建设内容</w:t>
            </w:r>
          </w:p>
        </w:tc>
        <w:tc>
          <w:tcPr>
            <w:tcW w:w="1350"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建设地点</w:t>
            </w:r>
          </w:p>
        </w:tc>
        <w:tc>
          <w:tcPr>
            <w:tcW w:w="1020"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用地量（㎡）</w:t>
            </w:r>
          </w:p>
        </w:tc>
        <w:tc>
          <w:tcPr>
            <w:tcW w:w="930"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用地性质</w:t>
            </w:r>
          </w:p>
        </w:tc>
        <w:tc>
          <w:tcPr>
            <w:tcW w:w="915"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建设期限</w:t>
            </w:r>
          </w:p>
        </w:tc>
        <w:tc>
          <w:tcPr>
            <w:tcW w:w="2541"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牵头</w:t>
            </w:r>
          </w:p>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单位</w:t>
            </w:r>
          </w:p>
        </w:tc>
        <w:tc>
          <w:tcPr>
            <w:tcW w:w="981" w:type="dxa"/>
            <w:shd w:val="clear" w:color="000000" w:fill="FFFFFF"/>
            <w:vAlign w:val="center"/>
          </w:tcPr>
          <w:p>
            <w:pPr>
              <w:widowControl/>
              <w:spacing w:line="276"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693"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应急管理重点工程</w:t>
            </w: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应急管理人员能力提升项目</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加强片区各镇应急管理人员业务培训，提升应急管理人员综合能力，每年聘请专业人员培训不少于2次</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2035年</w:t>
            </w:r>
          </w:p>
        </w:tc>
        <w:tc>
          <w:tcPr>
            <w:tcW w:w="2541"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区应急管理局；片区各镇党委和人民政府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45</w:t>
            </w:r>
            <w:r>
              <w:rPr>
                <w:rFonts w:hint="eastAsia" w:ascii="仿宋" w:hAnsi="仿宋"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693" w:type="dxa"/>
            <w:vMerge w:val="restart"/>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安全生产风险防控重点工程</w:t>
            </w: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安全生产基础能力提升工程</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完善医院、学校、卫生所、集贸市场、养老院、车站等人员密集场所视频监控设施，基本实现全覆盖；在生产企业关键岗位、高危作业、特种作业等各环节建设在线视频监控及智能报警装置。</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20</w:t>
            </w:r>
            <w:r>
              <w:rPr>
                <w:rFonts w:ascii="仿宋" w:hAnsi="仿宋" w:cs="Times New Roman"/>
                <w:color w:val="000000"/>
                <w:kern w:val="0"/>
                <w:sz w:val="24"/>
                <w:szCs w:val="24"/>
              </w:rPr>
              <w:t>3</w:t>
            </w:r>
            <w:r>
              <w:rPr>
                <w:rFonts w:hint="eastAsia" w:ascii="仿宋" w:hAnsi="仿宋" w:cs="Times New Roman"/>
                <w:color w:val="000000"/>
                <w:kern w:val="0"/>
                <w:sz w:val="24"/>
                <w:szCs w:val="24"/>
              </w:rPr>
              <w:t>5年</w:t>
            </w:r>
          </w:p>
        </w:tc>
        <w:tc>
          <w:tcPr>
            <w:tcW w:w="2541"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区应急管理局，片区各镇党委和人民政府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45</w:t>
            </w:r>
            <w:r>
              <w:rPr>
                <w:rFonts w:hint="eastAsia" w:ascii="仿宋" w:hAnsi="仿宋"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693" w:type="dxa"/>
            <w:vMerge w:val="continue"/>
            <w:shd w:val="clear" w:color="000000" w:fill="FFFFFF"/>
            <w:vAlign w:val="center"/>
          </w:tcPr>
          <w:p>
            <w:pPr>
              <w:widowControl/>
              <w:spacing w:line="276" w:lineRule="auto"/>
              <w:ind w:firstLine="0" w:firstLineChars="0"/>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道路交通安全防护工程</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在乡道、村道重点部位安装道路防护栏、防护网、凸镜、减速带、夜间照明，进展道路周边环境整治。</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利旧、改造</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25年</w:t>
            </w:r>
          </w:p>
        </w:tc>
        <w:tc>
          <w:tcPr>
            <w:tcW w:w="2541"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区交通运输局，片区各镇党委和人民政府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3</w:t>
            </w:r>
            <w:r>
              <w:rPr>
                <w:rFonts w:ascii="仿宋" w:hAnsi="仿宋" w:cs="Times New Roman"/>
                <w:color w:val="000000"/>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693" w:type="dxa"/>
            <w:vMerge w:val="restart"/>
            <w:shd w:val="clear" w:color="000000" w:fill="FFFFFF"/>
            <w:vAlign w:val="center"/>
          </w:tcPr>
          <w:p>
            <w:pPr>
              <w:widowControl/>
              <w:spacing w:line="276"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自然灾害防治重点工程</w:t>
            </w: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防汛抗旱水利提升工程</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配合大江大河堤防整治，包括唐家渡电航堤防配套工程以及涪江干流仁里镇刘家河堤建设项目。实施片区小河段防洪治理工程；巩固提升山洪灾害监测预警能力，建立灾害群测群防体系；对片区内病害水库进行除险加固工作。</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2025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区水利局，片区各镇党委和人民政府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500</w:t>
            </w:r>
            <w:r>
              <w:rPr>
                <w:rFonts w:hint="eastAsia" w:ascii="仿宋" w:hAnsi="仿宋"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抗震防灾能力建设工程</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逐年在片区重点部门（单位）以及学校、医院、养老院等人员密集型场所安置地震预警信息终端设施，结合镇级应急指挥中心平台或现有地震监测站平台建设覆盖片区的集地震监测、烈度速报、预警信息发布于一体地震监测预警信息平台系统。</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2035年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区应急管理局，区教育和体育局、区卫生健康局、区民政局、区交通运输局、片区各镇党委和人民政府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地质灾害综合防治工程</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加强重点防治区域地质灾害详细调查，并开展动态巡查工作。加强地质灾害群测群防专职监测网络建设，开展地质灾害专业监测预警及隐患点动态管理系统和地质灾害重点防治区监测预警指挥平台建设。采用监测预警、工程整治、搬迁避让等方式综合治理既有隐患点，减小灾害损失。</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2025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区自然资源规划局，区应急管理局、区农业农村局、片区各镇党委和人民政府；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5</w:t>
            </w:r>
            <w:r>
              <w:rPr>
                <w:rFonts w:ascii="仿宋" w:hAnsi="仿宋" w:cs="Times New Roman"/>
                <w:color w:val="000000"/>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防灭火宣传教育工程建设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重点林区重点地段新建宣传牌、LED宣传教育警示屏，防火宣传手册，开展防火技能培训和防火演练，扑火队员轮换培训率达100%，重点林区、重点部位宣传警示设施覆盖率达95%。</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25年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区自然资源规划局，区交通运输局</w:t>
            </w:r>
            <w:r>
              <w:rPr>
                <w:rFonts w:ascii="仿宋" w:hAnsi="仿宋" w:cs="宋体"/>
                <w:color w:val="000000"/>
                <w:kern w:val="0"/>
                <w:sz w:val="24"/>
                <w:szCs w:val="24"/>
              </w:rPr>
              <w:t xml:space="preserve"> </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w:t>
            </w:r>
            <w:r>
              <w:rPr>
                <w:rFonts w:ascii="仿宋" w:hAnsi="仿宋" w:cs="Times New Roman"/>
                <w:color w:val="000000"/>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气象预测预报及气象应急保障体系能力提升</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更新运行片区5年以上区域自动气象站设备,易损部件的备份，视频监控系统、使用防爆柜达到100%；直通式气象服务平台建设，购买LED显示屏及配套软件、信息服务平台。</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25年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区水利局，片区各镇党委和人民政府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93" w:type="dxa"/>
            <w:vMerge w:val="restart"/>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应急能力建设重点工程</w:t>
            </w: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消防站建设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结合镇区需求建设中心镇河沙镇专职消防救援站1个、一般镇小型消防救援站2个，按需配置相应等级数量的消防车辆、灭火器材、通信器材、破拆器材、个人基本防护装备</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河沙镇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新建、利旧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2030</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区应急管理局、区消防救援大队，各镇党委和人民政府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1</w:t>
            </w:r>
            <w:r>
              <w:rPr>
                <w:rFonts w:ascii="仿宋" w:hAnsi="仿宋" w:cs="Times New Roman"/>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93" w:type="dxa"/>
            <w:vMerge w:val="continue"/>
            <w:shd w:val="clear" w:color="000000" w:fill="FFFFFF"/>
            <w:vAlign w:val="center"/>
          </w:tcPr>
          <w:p>
            <w:pPr>
              <w:widowControl/>
              <w:spacing w:line="276" w:lineRule="auto"/>
              <w:ind w:firstLine="0" w:firstLineChars="0"/>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应急物资储备点升级改造</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各镇在现有基础上，升级改造应急物资储备点，重点建设视频监控、专用货架、防潮、防虫、防火等设施；利用各村（居）委会新增应急物资储备点35个，不新增用地</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20</w:t>
            </w:r>
            <w:r>
              <w:rPr>
                <w:rFonts w:ascii="仿宋" w:hAnsi="仿宋" w:cs="Times New Roman"/>
                <w:color w:val="000000"/>
                <w:kern w:val="0"/>
                <w:sz w:val="24"/>
                <w:szCs w:val="24"/>
              </w:rPr>
              <w:t>3</w:t>
            </w:r>
            <w:r>
              <w:rPr>
                <w:rFonts w:hint="eastAsia" w:ascii="仿宋" w:hAnsi="仿宋" w:cs="Times New Roman"/>
                <w:color w:val="000000"/>
                <w:kern w:val="0"/>
                <w:sz w:val="24"/>
                <w:szCs w:val="24"/>
              </w:rPr>
              <w:t>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区应急管理局、区发展改革局、区财政局、片区各镇党委和人民政府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93" w:type="dxa"/>
            <w:vMerge w:val="continue"/>
            <w:shd w:val="clear" w:color="000000" w:fill="FFFFFF"/>
            <w:vAlign w:val="center"/>
          </w:tcPr>
          <w:p>
            <w:pPr>
              <w:widowControl/>
              <w:spacing w:line="276" w:lineRule="auto"/>
              <w:ind w:firstLine="0" w:firstLineChars="0"/>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应急避难场所建设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分别在各个镇新建1个Ⅲ类应急避难场所。规划利用公园绿地、广场、学校等开敞空间构建应急避难场所，达到镇区常住人口人均应急避难面积≥1.5㎡，建设将各镇区主次干道作为应急救援或避难疏散通道，明确标志标牌；通过改造、改建公共建筑等方式持续构建和城镇相协调、室内和室外相结合的镇村两级应急避难体系。</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203</w:t>
            </w:r>
            <w:r>
              <w:rPr>
                <w:rFonts w:hint="eastAsia" w:ascii="仿宋" w:hAnsi="仿宋" w:cs="Times New Roman"/>
                <w:color w:val="000000"/>
                <w:kern w:val="0"/>
                <w:sz w:val="24"/>
                <w:szCs w:val="24"/>
              </w:rPr>
              <w:t>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区应急管理局、区住房城乡建设局、区教育局、区财政局、片区各镇党委和人民政府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应急救援队伍建设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加强各镇政府专职消防队建设，提升多灾种应急救援技能。加强镇应急队、村应急分队建设，加强队伍培训演练，每半年培训不低于2次。</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35年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区应急管理局，区消防救援大会，片区各镇党委和人民政府；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45</w:t>
            </w:r>
            <w:r>
              <w:rPr>
                <w:rFonts w:hint="eastAsia" w:ascii="仿宋" w:hAnsi="仿宋"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应急装备建设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为各镇应急队配备1架无人机，培训无人机飞手。加强救生衣、救生圈、皮划艇等防汛抗旱救援装备，棉被、帐篷、折叠床等救灾物资配备。</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25年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应急预案编制及修订</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以“科学化、实用化、效能化”为目标，结合各镇特点，查漏补缺，加强基层和企事业单位应急预案建设，重点推进应急预案进社区、进乡村、进企业、进学校以及重点行业，积极完善应急预案体系，梯次推进各级各类预案编修工作。</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2025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区应急管理局，片区内各镇党委和人民政府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w:t>
            </w:r>
            <w:r>
              <w:rPr>
                <w:rFonts w:ascii="仿宋" w:hAnsi="仿宋" w:cs="Times New Roman"/>
                <w:color w:val="000000"/>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应急演练</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各镇开展山洪灾害、地质灾害、森林防灭火等演练每季度不少于1次，各学校开展山洪灾害、火灾等演练每学期不少于1次。</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2035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区应急管理局，区自然资源规划局、区水利局、区教育和体育局、片区各镇党委和人民政府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应急培训</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各镇整合现有应急管理资源，组建由乡镇安全监管人员、乡镇综合应急救援队伍、村（社区）网格员、灾害信息员、干部构成乡镇、村（社区）两级基层应急管理宣教队伍；各镇每个乡镇每年培训综合应急救援员不少于24人，每个村（社区）每年培训“应急第一响应人”不少于10人。</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3</w:t>
            </w:r>
            <w:r>
              <w:rPr>
                <w:rFonts w:ascii="仿宋" w:hAnsi="仿宋" w:cs="Times New Roman"/>
                <w:color w:val="000000"/>
                <w:kern w:val="0"/>
                <w:sz w:val="24"/>
                <w:szCs w:val="24"/>
              </w:rPr>
              <w:t>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693" w:type="dxa"/>
            <w:vMerge w:val="restart"/>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先进技术应用重点工程</w:t>
            </w: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应急指挥中心建设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依托镇政府现有信息化基础设施，各镇分别建设1处应急指挥分中心，整合乡镇数据监管、查询；风险监测、上报以及第一现场应急处突等工作需求，建设智慧乡镇终端，并接入片区智慧平台，提供移动端日常工作信息查询需要以及紧急事件上报和应急视频会商功能。</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2025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区应急管理局，片区各镇党委和人民政府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应急广播提升改造工程</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升级、改造各镇现有广播系统，提高应急广播覆盖率，实现片区村（社区）人口覆盖率超90%，提升灾害预警信息传播、防灾减灾宣传。</w:t>
            </w:r>
          </w:p>
        </w:tc>
        <w:tc>
          <w:tcPr>
            <w:tcW w:w="135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w:t>
            </w:r>
            <w:r>
              <w:rPr>
                <w:rFonts w:hint="eastAsia" w:ascii="仿宋" w:hAnsi="仿宋" w:cs="Times New Roman"/>
                <w:color w:val="000000"/>
                <w:kern w:val="0"/>
                <w:sz w:val="24"/>
                <w:szCs w:val="24"/>
              </w:rPr>
              <w:t>3</w:t>
            </w:r>
            <w:r>
              <w:rPr>
                <w:rFonts w:ascii="仿宋" w:hAnsi="仿宋" w:cs="Times New Roman"/>
                <w:color w:val="000000"/>
                <w:kern w:val="0"/>
                <w:sz w:val="24"/>
                <w:szCs w:val="24"/>
              </w:rPr>
              <w:t>5</w:t>
            </w:r>
            <w:r>
              <w:rPr>
                <w:rFonts w:hint="eastAsia" w:ascii="仿宋" w:hAnsi="仿宋" w:cs="Times New Roman"/>
                <w:color w:val="000000"/>
                <w:kern w:val="0"/>
                <w:sz w:val="24"/>
                <w:szCs w:val="24"/>
              </w:rPr>
              <w:t>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区应急管理局、区文化广电和旅游局</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693" w:type="dxa"/>
            <w:vMerge w:val="restart"/>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共建共治共享重点工程</w:t>
            </w: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综合减灾示范社区建设</w:t>
            </w:r>
          </w:p>
        </w:tc>
        <w:tc>
          <w:tcPr>
            <w:tcW w:w="4675" w:type="dxa"/>
            <w:shd w:val="clear" w:color="000000" w:fill="FFFFFF"/>
            <w:vAlign w:val="center"/>
          </w:tcPr>
          <w:p>
            <w:pPr>
              <w:spacing w:line="460" w:lineRule="exact"/>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片区内规划建设1个国家级“综合减灾示范社区”、2个省级“安全社区”。</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利旧</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203</w:t>
            </w:r>
            <w:r>
              <w:rPr>
                <w:rFonts w:hint="eastAsia" w:ascii="仿宋" w:hAnsi="仿宋" w:cs="Times New Roman"/>
                <w:color w:val="000000"/>
                <w:kern w:val="0"/>
                <w:sz w:val="24"/>
                <w:szCs w:val="24"/>
              </w:rPr>
              <w:t>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15</w:t>
            </w:r>
            <w:r>
              <w:rPr>
                <w:rFonts w:ascii="仿宋" w:hAnsi="仿宋"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应急宣教阵地建设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持续推进安全生产“五进”活动，于片区内各村（社区）的党员活动中心设置村级宣教场所，开展宣传培训；学校开展应急宣教进课堂活动，培训儿童和青少年。</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2035年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区应急管理局、各镇党委和人民政府</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93" w:type="dxa"/>
            <w:vMerge w:val="continue"/>
            <w:vAlign w:val="center"/>
          </w:tcPr>
          <w:p>
            <w:pPr>
              <w:widowControl/>
              <w:spacing w:line="276" w:lineRule="auto"/>
              <w:ind w:firstLine="0" w:firstLineChars="0"/>
              <w:jc w:val="left"/>
              <w:rPr>
                <w:rFonts w:ascii="仿宋" w:hAnsi="仿宋" w:cs="宋体"/>
                <w:color w:val="000000"/>
                <w:kern w:val="0"/>
                <w:sz w:val="24"/>
                <w:szCs w:val="24"/>
              </w:rPr>
            </w:pPr>
          </w:p>
        </w:tc>
        <w:tc>
          <w:tcPr>
            <w:tcW w:w="1239"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应急文化建设</w:t>
            </w:r>
          </w:p>
        </w:tc>
        <w:tc>
          <w:tcPr>
            <w:tcW w:w="4675"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建设应急文化广场，在村（居）委会聚居点、文化广场、学校、医院等设置应急知识科普专栏，增加应急知识科普书籍、应急管理时事资讯等文化内容。</w:t>
            </w:r>
          </w:p>
        </w:tc>
        <w:tc>
          <w:tcPr>
            <w:tcW w:w="1350"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片区各镇</w:t>
            </w:r>
          </w:p>
        </w:tc>
        <w:tc>
          <w:tcPr>
            <w:tcW w:w="102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30" w:type="dxa"/>
            <w:shd w:val="clear" w:color="000000" w:fill="FFFFFF"/>
            <w:vAlign w:val="center"/>
          </w:tcPr>
          <w:p>
            <w:pPr>
              <w:widowControl/>
              <w:spacing w:line="276"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w:t>
            </w:r>
          </w:p>
        </w:tc>
        <w:tc>
          <w:tcPr>
            <w:tcW w:w="915"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ascii="仿宋" w:hAnsi="仿宋" w:cs="Times New Roman"/>
                <w:color w:val="000000"/>
                <w:kern w:val="0"/>
                <w:sz w:val="24"/>
                <w:szCs w:val="24"/>
              </w:rPr>
              <w:t>203</w:t>
            </w:r>
            <w:r>
              <w:rPr>
                <w:rFonts w:hint="eastAsia" w:ascii="仿宋" w:hAnsi="仿宋" w:cs="Times New Roman"/>
                <w:color w:val="000000"/>
                <w:kern w:val="0"/>
                <w:sz w:val="24"/>
                <w:szCs w:val="24"/>
              </w:rPr>
              <w:t>5年</w:t>
            </w:r>
          </w:p>
        </w:tc>
        <w:tc>
          <w:tcPr>
            <w:tcW w:w="2541" w:type="dxa"/>
            <w:shd w:val="clear" w:color="000000" w:fill="FFFFFF"/>
            <w:vAlign w:val="center"/>
          </w:tcPr>
          <w:p>
            <w:pPr>
              <w:widowControl/>
              <w:spacing w:line="276"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区应急管理局</w:t>
            </w:r>
          </w:p>
        </w:tc>
        <w:tc>
          <w:tcPr>
            <w:tcW w:w="981" w:type="dxa"/>
            <w:shd w:val="clear" w:color="000000" w:fill="FFFFFF"/>
            <w:vAlign w:val="center"/>
          </w:tcPr>
          <w:p>
            <w:pPr>
              <w:widowControl/>
              <w:spacing w:line="276" w:lineRule="auto"/>
              <w:ind w:firstLine="0" w:firstLineChars="0"/>
              <w:jc w:val="center"/>
              <w:rPr>
                <w:rFonts w:ascii="仿宋" w:hAnsi="仿宋" w:cs="Times New Roman"/>
                <w:color w:val="000000"/>
                <w:kern w:val="0"/>
                <w:sz w:val="24"/>
                <w:szCs w:val="24"/>
              </w:rPr>
            </w:pPr>
            <w:r>
              <w:rPr>
                <w:rFonts w:hint="eastAsia" w:ascii="仿宋" w:hAnsi="仿宋" w:cs="Times New Roman"/>
                <w:color w:val="000000"/>
                <w:kern w:val="0"/>
                <w:sz w:val="24"/>
                <w:szCs w:val="24"/>
              </w:rPr>
              <w:t>15</w:t>
            </w:r>
            <w:r>
              <w:rPr>
                <w:rFonts w:ascii="仿宋" w:hAnsi="仿宋" w:cs="Times New Roman"/>
                <w:color w:val="000000"/>
                <w:kern w:val="0"/>
                <w:sz w:val="24"/>
                <w:szCs w:val="24"/>
              </w:rPr>
              <w:t>0</w:t>
            </w:r>
          </w:p>
        </w:tc>
      </w:tr>
    </w:tbl>
    <w:p>
      <w:pPr>
        <w:pStyle w:val="2"/>
        <w:ind w:firstLine="420"/>
        <w:sectPr>
          <w:pgSz w:w="16838" w:h="11906" w:orient="landscape"/>
          <w:pgMar w:top="1587" w:right="2098" w:bottom="1474" w:left="1984" w:header="851" w:footer="1134" w:gutter="0"/>
          <w:cols w:space="0" w:num="1"/>
          <w:docGrid w:type="lines" w:linePitch="435" w:charSpace="0"/>
        </w:sectPr>
      </w:pPr>
    </w:p>
    <w:p>
      <w:pPr>
        <w:snapToGrid w:val="0"/>
        <w:ind w:firstLine="640"/>
        <w:jc w:val="left"/>
        <w:outlineLvl w:val="0"/>
        <w:rPr>
          <w:rFonts w:ascii="Calibri" w:hAnsi="Calibri" w:eastAsia="黑体" w:cs="Times New Roman"/>
        </w:rPr>
      </w:pPr>
      <w:bookmarkStart w:id="67" w:name="_Toc106829489"/>
      <w:bookmarkStart w:id="68" w:name="_Toc13068"/>
      <w:r>
        <w:rPr>
          <w:rFonts w:hint="eastAsia" w:ascii="Calibri" w:hAnsi="Calibri" w:eastAsia="黑体" w:cs="Times New Roman"/>
        </w:rPr>
        <w:t>附图</w:t>
      </w:r>
      <w:bookmarkEnd w:id="67"/>
      <w:bookmarkEnd w:id="68"/>
    </w:p>
    <w:p>
      <w:pPr>
        <w:pStyle w:val="18"/>
        <w:tabs>
          <w:tab w:val="right" w:leader="dot" w:pos="8306"/>
        </w:tabs>
        <w:ind w:firstLine="640" w:firstLineChars="200"/>
        <w:rPr>
          <w:rFonts w:ascii="仿宋" w:hAnsi="仿宋" w:eastAsia="仿宋" w:cs="仿宋"/>
          <w:color w:val="000000" w:themeColor="text1"/>
          <w:szCs w:val="32"/>
          <w14:textFill>
            <w14:solidFill>
              <w14:schemeClr w14:val="tx1"/>
            </w14:solidFill>
          </w14:textFill>
        </w:rPr>
      </w:pPr>
      <w:r>
        <w:fldChar w:fldCharType="begin"/>
      </w:r>
      <w:r>
        <w:instrText xml:space="preserve"> HYPERLINK \l "_Toc19569" </w:instrText>
      </w:r>
      <w:r>
        <w:fldChar w:fldCharType="separate"/>
      </w:r>
      <w:r>
        <w:rPr>
          <w:rFonts w:hint="eastAsia" w:ascii="仿宋" w:hAnsi="仿宋" w:eastAsia="仿宋" w:cs="仿宋"/>
          <w:color w:val="000000" w:themeColor="text1"/>
          <w:szCs w:val="32"/>
          <w14:textFill>
            <w14:solidFill>
              <w14:schemeClr w14:val="tx1"/>
            </w14:solidFill>
          </w14:textFill>
        </w:rPr>
        <w:t>1.片区镇村体系及村级片区划分规划图</w:t>
      </w:r>
      <w:r>
        <w:rPr>
          <w:rFonts w:ascii="仿宋" w:hAnsi="仿宋" w:eastAsia="仿宋" w:cs="仿宋"/>
          <w:color w:val="000000" w:themeColor="text1"/>
          <w:szCs w:val="32"/>
          <w14:textFill>
            <w14:solidFill>
              <w14:schemeClr w14:val="tx1"/>
            </w14:solidFill>
          </w14:textFill>
        </w:rPr>
        <w:tab/>
      </w:r>
      <w:r>
        <w:rPr>
          <w:rFonts w:ascii="仿宋" w:hAnsi="仿宋" w:eastAsia="仿宋" w:cs="仿宋"/>
          <w:color w:val="000000" w:themeColor="text1"/>
          <w:szCs w:val="32"/>
          <w14:textFill>
            <w14:solidFill>
              <w14:schemeClr w14:val="tx1"/>
            </w14:solidFill>
          </w14:textFill>
        </w:rPr>
        <w:t xml:space="preserve">51            </w:t>
      </w:r>
      <w:r>
        <w:rPr>
          <w:rFonts w:ascii="仿宋" w:hAnsi="仿宋" w:eastAsia="仿宋" w:cs="仿宋"/>
          <w:color w:val="000000" w:themeColor="text1"/>
          <w:szCs w:val="32"/>
          <w14:textFill>
            <w14:solidFill>
              <w14:schemeClr w14:val="tx1"/>
            </w14:solidFill>
          </w14:textFill>
        </w:rPr>
        <w:fldChar w:fldCharType="end"/>
      </w:r>
    </w:p>
    <w:p>
      <w:pPr>
        <w:pStyle w:val="18"/>
        <w:tabs>
          <w:tab w:val="right" w:leader="dot" w:pos="8306"/>
        </w:tabs>
        <w:ind w:firstLine="640" w:firstLineChars="200"/>
        <w:rPr>
          <w:rFonts w:ascii="仿宋" w:hAnsi="仿宋" w:eastAsia="仿宋" w:cs="仿宋"/>
          <w:color w:val="000000" w:themeColor="text1"/>
          <w14:textFill>
            <w14:solidFill>
              <w14:schemeClr w14:val="tx1"/>
            </w14:solidFill>
          </w14:textFill>
        </w:rPr>
      </w:pPr>
      <w:r>
        <w:fldChar w:fldCharType="begin"/>
      </w:r>
      <w:r>
        <w:instrText xml:space="preserve"> HYPERLINK \l "_Toc19569" </w:instrText>
      </w:r>
      <w:r>
        <w:fldChar w:fldCharType="separate"/>
      </w:r>
      <w:r>
        <w:rPr>
          <w:rFonts w:hint="eastAsia" w:ascii="仿宋" w:hAnsi="仿宋" w:eastAsia="仿宋" w:cs="仿宋"/>
          <w:color w:val="000000" w:themeColor="text1"/>
          <w:szCs w:val="32"/>
          <w14:textFill>
            <w14:solidFill>
              <w14:schemeClr w14:val="tx1"/>
            </w14:solidFill>
          </w14:textFill>
        </w:rPr>
        <w:t>2.片区安全</w:t>
      </w:r>
      <w:r>
        <w:rPr>
          <w:rFonts w:ascii="仿宋" w:hAnsi="仿宋" w:eastAsia="仿宋" w:cs="仿宋"/>
          <w:color w:val="000000" w:themeColor="text1"/>
          <w:szCs w:val="32"/>
          <w14:textFill>
            <w14:solidFill>
              <w14:schemeClr w14:val="tx1"/>
            </w14:solidFill>
          </w14:textFill>
        </w:rPr>
        <w:t>生产风险分布图</w:t>
      </w:r>
      <w:bookmarkStart w:id="69" w:name="_Hlk107178391"/>
      <w:r>
        <w:rPr>
          <w:rFonts w:hint="eastAsia" w:ascii="仿宋" w:hAnsi="仿宋" w:eastAsia="仿宋" w:cs="仿宋"/>
          <w:color w:val="000000" w:themeColor="text1"/>
          <w14:textFill>
            <w14:solidFill>
              <w14:schemeClr w14:val="tx1"/>
            </w14:solidFill>
          </w14:textFill>
        </w:rPr>
        <w:tab/>
      </w:r>
      <w:bookmarkEnd w:id="69"/>
      <w:r>
        <w:rPr>
          <w:rFonts w:hint="eastAsia" w:ascii="仿宋" w:hAnsi="仿宋" w:eastAsia="仿宋" w:cs="仿宋"/>
          <w:color w:val="000000" w:themeColor="text1"/>
          <w14:textFill>
            <w14:solidFill>
              <w14:schemeClr w14:val="tx1"/>
            </w14:solidFill>
          </w14:textFill>
        </w:rPr>
        <w:fldChar w:fldCharType="end"/>
      </w:r>
      <w:r>
        <w:rPr>
          <w:rFonts w:ascii="仿宋" w:hAnsi="仿宋" w:eastAsia="仿宋" w:cs="仿宋"/>
          <w:color w:val="000000" w:themeColor="text1"/>
          <w14:textFill>
            <w14:solidFill>
              <w14:schemeClr w14:val="tx1"/>
            </w14:solidFill>
          </w14:textFill>
        </w:rPr>
        <w:t>52</w:t>
      </w:r>
    </w:p>
    <w:p>
      <w:pPr>
        <w:pStyle w:val="20"/>
        <w:tabs>
          <w:tab w:val="right" w:leader="dot" w:pos="8306"/>
        </w:tabs>
        <w:ind w:firstLine="640"/>
        <w:rPr>
          <w:rFonts w:ascii="仿宋" w:hAnsi="仿宋" w:eastAsia="仿宋" w:cs="仿宋"/>
          <w:color w:val="000000" w:themeColor="text1"/>
          <w14:textFill>
            <w14:solidFill>
              <w14:schemeClr w14:val="tx1"/>
            </w14:solidFill>
          </w14:textFill>
        </w:rPr>
      </w:pPr>
      <w:r>
        <w:fldChar w:fldCharType="begin"/>
      </w:r>
      <w:r>
        <w:instrText xml:space="preserve"> HYPERLINK \l "_Toc7989" </w:instrText>
      </w:r>
      <w:r>
        <w:fldChar w:fldCharType="separate"/>
      </w:r>
      <w:r>
        <w:rPr>
          <w:rFonts w:hint="eastAsia" w:ascii="仿宋" w:hAnsi="仿宋" w:eastAsia="仿宋" w:cs="仿宋"/>
          <w:color w:val="000000" w:themeColor="text1"/>
          <w:szCs w:val="32"/>
          <w14:textFill>
            <w14:solidFill>
              <w14:schemeClr w14:val="tx1"/>
            </w14:solidFill>
          </w14:textFill>
        </w:rPr>
        <w:t>3.片区自然</w:t>
      </w:r>
      <w:r>
        <w:rPr>
          <w:rFonts w:ascii="仿宋" w:hAnsi="仿宋" w:eastAsia="仿宋" w:cs="仿宋"/>
          <w:color w:val="000000" w:themeColor="text1"/>
          <w:szCs w:val="32"/>
          <w14:textFill>
            <w14:solidFill>
              <w14:schemeClr w14:val="tx1"/>
            </w14:solidFill>
          </w14:textFill>
        </w:rPr>
        <w:t>灾害风险分布图</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fldChar w:fldCharType="end"/>
      </w:r>
      <w:r>
        <w:rPr>
          <w:rFonts w:ascii="仿宋" w:hAnsi="仿宋" w:eastAsia="仿宋" w:cs="仿宋"/>
          <w:color w:val="000000" w:themeColor="text1"/>
          <w14:textFill>
            <w14:solidFill>
              <w14:schemeClr w14:val="tx1"/>
            </w14:solidFill>
          </w14:textFill>
        </w:rPr>
        <w:t>53</w:t>
      </w:r>
    </w:p>
    <w:p>
      <w:pPr>
        <w:pStyle w:val="20"/>
        <w:tabs>
          <w:tab w:val="right" w:leader="dot" w:pos="8306"/>
        </w:tabs>
        <w:ind w:firstLine="640"/>
        <w:rPr>
          <w:rFonts w:ascii="仿宋" w:hAnsi="仿宋" w:eastAsia="仿宋" w:cs="仿宋"/>
          <w:bCs/>
          <w:color w:val="000000" w:themeColor="text1"/>
          <w14:textFill>
            <w14:solidFill>
              <w14:schemeClr w14:val="tx1"/>
            </w14:solidFill>
          </w14:textFill>
        </w:rPr>
      </w:pPr>
      <w:r>
        <w:fldChar w:fldCharType="begin"/>
      </w:r>
      <w:r>
        <w:instrText xml:space="preserve"> HYPERLINK \l "_Toc8628" </w:instrText>
      </w:r>
      <w:r>
        <w:fldChar w:fldCharType="separate"/>
      </w:r>
      <w:r>
        <w:rPr>
          <w:rFonts w:hint="eastAsia" w:ascii="仿宋" w:hAnsi="仿宋" w:eastAsia="仿宋" w:cs="仿宋"/>
          <w:color w:val="000000" w:themeColor="text1"/>
          <w:szCs w:val="32"/>
          <w14:textFill>
            <w14:solidFill>
              <w14:schemeClr w14:val="tx1"/>
            </w14:solidFill>
          </w14:textFill>
        </w:rPr>
        <w:t>4.片区</w:t>
      </w:r>
      <w:r>
        <w:rPr>
          <w:rFonts w:ascii="仿宋" w:hAnsi="仿宋" w:eastAsia="仿宋" w:cs="仿宋"/>
          <w:color w:val="000000" w:themeColor="text1"/>
          <w:szCs w:val="32"/>
          <w14:textFill>
            <w14:solidFill>
              <w14:schemeClr w14:val="tx1"/>
            </w14:solidFill>
          </w14:textFill>
        </w:rPr>
        <w:t>主要防抗救设施现状</w:t>
      </w:r>
      <w:r>
        <w:rPr>
          <w:rFonts w:hint="eastAsia" w:ascii="仿宋" w:hAnsi="仿宋" w:eastAsia="仿宋" w:cs="仿宋"/>
          <w:color w:val="000000" w:themeColor="text1"/>
          <w:szCs w:val="32"/>
          <w14:textFill>
            <w14:solidFill>
              <w14:schemeClr w14:val="tx1"/>
            </w14:solidFill>
          </w14:textFill>
        </w:rPr>
        <w:t>分布图</w:t>
      </w:r>
      <w:r>
        <w:rPr>
          <w:rFonts w:ascii="仿宋" w:hAnsi="仿宋" w:eastAsia="仿宋" w:cs="仿宋"/>
          <w:color w:val="000000" w:themeColor="text1"/>
          <w:szCs w:val="32"/>
          <w14:textFill>
            <w14:solidFill>
              <w14:schemeClr w14:val="tx1"/>
            </w14:solidFill>
          </w14:textFill>
        </w:rPr>
        <w:t>及规划图</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fldChar w:fldCharType="end"/>
      </w:r>
      <w:r>
        <w:rPr>
          <w:rFonts w:ascii="仿宋" w:hAnsi="仿宋" w:eastAsia="仿宋" w:cs="仿宋"/>
          <w:color w:val="000000" w:themeColor="text1"/>
          <w14:textFill>
            <w14:solidFill>
              <w14:schemeClr w14:val="tx1"/>
            </w14:solidFill>
          </w14:textFill>
        </w:rPr>
        <w:t>54</w:t>
      </w:r>
    </w:p>
    <w:p>
      <w:pPr>
        <w:pStyle w:val="20"/>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hint="eastAsia" w:ascii="仿宋" w:hAnsi="仿宋" w:eastAsia="仿宋" w:cs="仿宋"/>
          <w:color w:val="000000" w:themeColor="text1"/>
          <w:szCs w:val="32"/>
          <w14:textFill>
            <w14:solidFill>
              <w14:schemeClr w14:val="tx1"/>
            </w14:solidFill>
          </w14:textFill>
        </w:rPr>
        <w:t>5.片区防灾</w:t>
      </w:r>
      <w:r>
        <w:rPr>
          <w:rFonts w:ascii="仿宋" w:hAnsi="仿宋" w:eastAsia="仿宋" w:cs="仿宋"/>
          <w:color w:val="000000" w:themeColor="text1"/>
          <w:szCs w:val="32"/>
          <w14:textFill>
            <w14:solidFill>
              <w14:schemeClr w14:val="tx1"/>
            </w14:solidFill>
          </w14:textFill>
        </w:rPr>
        <w:t>减灾能力现状分布图及规划图</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fldChar w:fldCharType="end"/>
      </w:r>
      <w:r>
        <w:rPr>
          <w:rFonts w:ascii="仿宋" w:hAnsi="仿宋" w:eastAsia="仿宋" w:cs="仿宋"/>
          <w:color w:val="000000" w:themeColor="text1"/>
          <w14:textFill>
            <w14:solidFill>
              <w14:schemeClr w14:val="tx1"/>
            </w14:solidFill>
          </w14:textFill>
        </w:rPr>
        <w:t>55</w:t>
      </w:r>
    </w:p>
    <w:p>
      <w:pPr>
        <w:pStyle w:val="20"/>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ascii="仿宋" w:hAnsi="仿宋" w:eastAsia="仿宋" w:cs="仿宋"/>
          <w:color w:val="000000" w:themeColor="text1"/>
          <w:szCs w:val="32"/>
          <w14:textFill>
            <w14:solidFill>
              <w14:schemeClr w14:val="tx1"/>
            </w14:solidFill>
          </w14:textFill>
        </w:rPr>
        <w:t>6.</w:t>
      </w:r>
      <w:r>
        <w:rPr>
          <w:rFonts w:hint="eastAsia" w:ascii="仿宋" w:hAnsi="仿宋" w:eastAsia="仿宋" w:cs="仿宋"/>
          <w:color w:val="000000" w:themeColor="text1"/>
          <w:szCs w:val="32"/>
          <w14:textFill>
            <w14:solidFill>
              <w14:schemeClr w14:val="tx1"/>
            </w14:solidFill>
          </w14:textFill>
        </w:rPr>
        <w:t>片区灾害</w:t>
      </w:r>
      <w:r>
        <w:rPr>
          <w:rFonts w:ascii="仿宋" w:hAnsi="仿宋" w:eastAsia="仿宋" w:cs="仿宋"/>
          <w:color w:val="000000" w:themeColor="text1"/>
          <w:szCs w:val="32"/>
          <w14:textFill>
            <w14:solidFill>
              <w14:schemeClr w14:val="tx1"/>
            </w14:solidFill>
          </w14:textFill>
        </w:rPr>
        <w:t>事故防范工程规划图</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fldChar w:fldCharType="end"/>
      </w:r>
      <w:r>
        <w:rPr>
          <w:rFonts w:ascii="仿宋" w:hAnsi="仿宋" w:eastAsia="仿宋" w:cs="仿宋"/>
          <w:color w:val="000000" w:themeColor="text1"/>
          <w14:textFill>
            <w14:solidFill>
              <w14:schemeClr w14:val="tx1"/>
            </w14:solidFill>
          </w14:textFill>
        </w:rPr>
        <w:t>56</w:t>
      </w:r>
    </w:p>
    <w:p>
      <w:pPr>
        <w:pStyle w:val="20"/>
        <w:tabs>
          <w:tab w:val="right" w:leader="dot" w:pos="8306"/>
        </w:tabs>
        <w:ind w:firstLine="640"/>
      </w:pPr>
      <w:r>
        <w:fldChar w:fldCharType="begin"/>
      </w:r>
      <w:r>
        <w:instrText xml:space="preserve"> HYPERLINK \l "_Toc8628" </w:instrText>
      </w:r>
      <w:r>
        <w:fldChar w:fldCharType="separate"/>
      </w:r>
      <w:r>
        <w:rPr>
          <w:rFonts w:ascii="仿宋" w:hAnsi="仿宋" w:eastAsia="仿宋" w:cs="仿宋"/>
          <w:color w:val="000000" w:themeColor="text1"/>
          <w:szCs w:val="32"/>
          <w14:textFill>
            <w14:solidFill>
              <w14:schemeClr w14:val="tx1"/>
            </w14:solidFill>
          </w14:textFill>
        </w:rPr>
        <w:t>7.</w:t>
      </w:r>
      <w:r>
        <w:rPr>
          <w:rFonts w:hint="eastAsia" w:ascii="仿宋" w:hAnsi="仿宋" w:eastAsia="仿宋" w:cs="仿宋"/>
          <w:color w:val="000000" w:themeColor="text1"/>
          <w:szCs w:val="32"/>
          <w14:textFill>
            <w14:solidFill>
              <w14:schemeClr w14:val="tx1"/>
            </w14:solidFill>
          </w14:textFill>
        </w:rPr>
        <w:t>片区应急</w:t>
      </w:r>
      <w:r>
        <w:rPr>
          <w:rFonts w:ascii="仿宋" w:hAnsi="仿宋" w:eastAsia="仿宋" w:cs="仿宋"/>
          <w:color w:val="000000" w:themeColor="text1"/>
          <w:szCs w:val="32"/>
          <w14:textFill>
            <w14:solidFill>
              <w14:schemeClr w14:val="tx1"/>
            </w14:solidFill>
          </w14:textFill>
        </w:rPr>
        <w:t>管理信息工程规划图</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fldChar w:fldCharType="end"/>
      </w:r>
      <w:r>
        <w:rPr>
          <w:rFonts w:ascii="仿宋" w:hAnsi="仿宋" w:eastAsia="仿宋" w:cs="仿宋"/>
          <w:color w:val="000000" w:themeColor="text1"/>
          <w14:textFill>
            <w14:solidFill>
              <w14:schemeClr w14:val="tx1"/>
            </w14:solidFill>
          </w14:textFill>
        </w:rPr>
        <w:t>57</w:t>
      </w:r>
    </w:p>
    <w:p>
      <w:pPr>
        <w:pStyle w:val="7"/>
        <w:ind w:left="0" w:leftChars="0" w:firstLine="0" w:firstLineChars="0"/>
      </w:pPr>
    </w:p>
    <w:p>
      <w:pPr>
        <w:pStyle w:val="2"/>
        <w:ind w:firstLine="420"/>
        <w:rPr>
          <w:rFonts w:eastAsia="仿宋_GB2312" w:asciiTheme="minorHAnsi" w:hAnsiTheme="minorHAnsi"/>
        </w:rPr>
      </w:pPr>
      <w:r>
        <w:br w:type="page"/>
      </w:r>
    </w:p>
    <w:p>
      <w:pPr>
        <w:pStyle w:val="7"/>
        <w:spacing w:line="240" w:lineRule="auto"/>
        <w:ind w:left="0" w:leftChars="0" w:firstLine="0" w:firstLineChars="0"/>
        <w:jc w:val="center"/>
      </w:pPr>
      <w:r>
        <w:drawing>
          <wp:inline distT="0" distB="0" distL="0" distR="0">
            <wp:extent cx="5350510" cy="81000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50510" cy="8100060"/>
                    </a:xfrm>
                    <a:prstGeom prst="rect">
                      <a:avLst/>
                    </a:prstGeom>
                    <a:noFill/>
                    <a:ln>
                      <a:noFill/>
                    </a:ln>
                  </pic:spPr>
                </pic:pic>
              </a:graphicData>
            </a:graphic>
          </wp:inline>
        </w:drawing>
      </w:r>
    </w:p>
    <w:p>
      <w:pPr>
        <w:spacing w:line="240" w:lineRule="auto"/>
        <w:ind w:firstLine="0" w:firstLineChars="0"/>
        <w:jc w:val="center"/>
      </w:pPr>
      <w:r>
        <w:drawing>
          <wp:inline distT="0" distB="0" distL="0" distR="0">
            <wp:extent cx="5314950" cy="804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1653" cy="8057684"/>
                    </a:xfrm>
                    <a:prstGeom prst="rect">
                      <a:avLst/>
                    </a:prstGeom>
                    <a:noFill/>
                    <a:ln>
                      <a:noFill/>
                    </a:ln>
                  </pic:spPr>
                </pic:pic>
              </a:graphicData>
            </a:graphic>
          </wp:inline>
        </w:drawing>
      </w:r>
    </w:p>
    <w:p>
      <w:pPr>
        <w:pStyle w:val="2"/>
        <w:spacing w:line="240" w:lineRule="auto"/>
        <w:ind w:firstLine="0" w:firstLineChars="0"/>
        <w:jc w:val="center"/>
      </w:pPr>
      <w:r>
        <w:drawing>
          <wp:inline distT="0" distB="0" distL="0" distR="0">
            <wp:extent cx="5314950" cy="80492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17320" cy="8053483"/>
                    </a:xfrm>
                    <a:prstGeom prst="rect">
                      <a:avLst/>
                    </a:prstGeom>
                    <a:noFill/>
                    <a:ln>
                      <a:noFill/>
                    </a:ln>
                  </pic:spPr>
                </pic:pic>
              </a:graphicData>
            </a:graphic>
          </wp:inline>
        </w:drawing>
      </w:r>
    </w:p>
    <w:p>
      <w:pPr>
        <w:pStyle w:val="2"/>
        <w:spacing w:line="240" w:lineRule="auto"/>
        <w:ind w:firstLine="0" w:firstLineChars="0"/>
        <w:jc w:val="center"/>
      </w:pPr>
      <w:r>
        <w:drawing>
          <wp:inline distT="0" distB="0" distL="0" distR="0">
            <wp:extent cx="5308600" cy="8013065"/>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11485" cy="8017845"/>
                    </a:xfrm>
                    <a:prstGeom prst="rect">
                      <a:avLst/>
                    </a:prstGeom>
                    <a:noFill/>
                    <a:ln>
                      <a:noFill/>
                    </a:ln>
                  </pic:spPr>
                </pic:pic>
              </a:graphicData>
            </a:graphic>
          </wp:inline>
        </w:drawing>
      </w:r>
    </w:p>
    <w:p>
      <w:pPr>
        <w:pStyle w:val="2"/>
        <w:spacing w:line="240" w:lineRule="auto"/>
        <w:ind w:firstLine="0" w:firstLineChars="0"/>
        <w:jc w:val="center"/>
      </w:pPr>
      <w:r>
        <w:drawing>
          <wp:inline distT="0" distB="0" distL="0" distR="0">
            <wp:extent cx="5353050" cy="81032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54937" cy="8106220"/>
                    </a:xfrm>
                    <a:prstGeom prst="rect">
                      <a:avLst/>
                    </a:prstGeom>
                    <a:noFill/>
                    <a:ln>
                      <a:noFill/>
                    </a:ln>
                  </pic:spPr>
                </pic:pic>
              </a:graphicData>
            </a:graphic>
          </wp:inline>
        </w:drawing>
      </w:r>
    </w:p>
    <w:p>
      <w:pPr>
        <w:pStyle w:val="2"/>
        <w:spacing w:line="240" w:lineRule="auto"/>
        <w:ind w:firstLine="0" w:firstLineChars="0"/>
        <w:jc w:val="center"/>
      </w:pPr>
      <w:r>
        <w:drawing>
          <wp:inline distT="0" distB="0" distL="0" distR="0">
            <wp:extent cx="5384800" cy="815530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89091" cy="8161986"/>
                    </a:xfrm>
                    <a:prstGeom prst="rect">
                      <a:avLst/>
                    </a:prstGeom>
                    <a:noFill/>
                    <a:ln>
                      <a:noFill/>
                    </a:ln>
                  </pic:spPr>
                </pic:pic>
              </a:graphicData>
            </a:graphic>
          </wp:inline>
        </w:drawing>
      </w:r>
    </w:p>
    <w:p>
      <w:pPr>
        <w:pStyle w:val="2"/>
        <w:spacing w:line="240" w:lineRule="auto"/>
        <w:ind w:firstLine="0" w:firstLineChars="0"/>
        <w:jc w:val="center"/>
      </w:pPr>
      <w:r>
        <w:drawing>
          <wp:inline distT="0" distB="0" distL="0" distR="0">
            <wp:extent cx="5350510" cy="81000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50510" cy="8100060"/>
                    </a:xfrm>
                    <a:prstGeom prst="rect">
                      <a:avLst/>
                    </a:prstGeom>
                    <a:noFill/>
                    <a:ln>
                      <a:noFill/>
                    </a:ln>
                  </pic:spPr>
                </pic:pic>
              </a:graphicData>
            </a:graphic>
          </wp:inline>
        </w:drawing>
      </w:r>
    </w:p>
    <w:sectPr>
      <w:pgSz w:w="11906" w:h="16838"/>
      <w:pgMar w:top="1984" w:right="1587" w:bottom="2098" w:left="1474" w:header="851" w:footer="1134" w:gutter="0"/>
      <w:cols w:space="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方正仿宋简体">
    <w:altName w:val="方正仿宋_GBK"/>
    <w:panose1 w:val="00000000000000000000"/>
    <w:charset w:val="86"/>
    <w:family w:val="auto"/>
    <w:pitch w:val="default"/>
    <w:sig w:usb0="00000000" w:usb1="00000000" w:usb2="00000012"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舒体">
    <w:altName w:val="华文中宋"/>
    <w:panose1 w:val="02010601030101010101"/>
    <w:charset w:val="86"/>
    <w:family w:val="auto"/>
    <w:pitch w:val="default"/>
    <w:sig w:usb0="00000000" w:usb1="00000000" w:usb2="00000000" w:usb3="00000000" w:csb0="00040000" w:csb1="00000000"/>
  </w:font>
  <w:font w:name="等线">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t xml:space="preserve">— </w:t>
                          </w:r>
                          <w:r>
                            <w:fldChar w:fldCharType="begin"/>
                          </w:r>
                          <w:r>
                            <w:instrText xml:space="preserve"> PAGE  \* MERGEFORMAT </w:instrText>
                          </w:r>
                          <w:r>
                            <w:fldChar w:fldCharType="separate"/>
                          </w:r>
                          <w:r>
                            <w:t>30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Y9gwLAIAAFU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K9j2DAsAgAAVQQAAA4AAAAAAAAAAQAgAAAANQEAAGRy&#10;cy9lMm9Eb2MueG1sUEsFBgAAAAAGAAYAWQEAANMFAAAAAA==&#10;">
              <v:fill on="f" focussize="0,0"/>
              <v:stroke on="f" weight="0.5pt"/>
              <v:imagedata o:title=""/>
              <o:lock v:ext="edit" aspectratio="f"/>
              <v:textbox inset="0mm,0mm,0mm,0mm" style="mso-fit-shape-to-text:t;">
                <w:txbxContent>
                  <w:p>
                    <w:pPr>
                      <w:pStyle w:val="16"/>
                      <w:ind w:firstLine="360"/>
                    </w:pPr>
                    <w:r>
                      <w:t xml:space="preserve">— </w:t>
                    </w:r>
                    <w:r>
                      <w:fldChar w:fldCharType="begin"/>
                    </w:r>
                    <w:r>
                      <w:instrText xml:space="preserve"> PAGE  \* MERGEFORMAT </w:instrText>
                    </w:r>
                    <w:r>
                      <w:fldChar w:fldCharType="separate"/>
                    </w:r>
                    <w:r>
                      <w:t>30</w:t>
                    </w:r>
                    <w:r>
                      <w:fldChar w:fldCharType="end"/>
                    </w:r>
                    <w:r>
                      <w:t xml:space="preserve"> —</w:t>
                    </w:r>
                  </w:p>
                </w:txbxContent>
              </v:textbox>
            </v:shape>
          </w:pict>
        </mc:Fallback>
      </mc:AlternateContent>
    </w: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1NjdlZTkzOGVlNTUxMzA5MDYxMmQyM2U2ODlmNDgifQ=="/>
  </w:docVars>
  <w:rsids>
    <w:rsidRoot w:val="00222530"/>
    <w:rsid w:val="00001354"/>
    <w:rsid w:val="000019CC"/>
    <w:rsid w:val="00003A9C"/>
    <w:rsid w:val="000042A1"/>
    <w:rsid w:val="00004DB3"/>
    <w:rsid w:val="00004EA7"/>
    <w:rsid w:val="00005043"/>
    <w:rsid w:val="000061E1"/>
    <w:rsid w:val="00007338"/>
    <w:rsid w:val="000077ED"/>
    <w:rsid w:val="0000783E"/>
    <w:rsid w:val="0001078D"/>
    <w:rsid w:val="00011340"/>
    <w:rsid w:val="00013EFF"/>
    <w:rsid w:val="000145F9"/>
    <w:rsid w:val="00014B84"/>
    <w:rsid w:val="000160AF"/>
    <w:rsid w:val="000168FD"/>
    <w:rsid w:val="00016FEC"/>
    <w:rsid w:val="00017692"/>
    <w:rsid w:val="00017C95"/>
    <w:rsid w:val="000204F0"/>
    <w:rsid w:val="0002095E"/>
    <w:rsid w:val="00020A38"/>
    <w:rsid w:val="00020C22"/>
    <w:rsid w:val="000229D0"/>
    <w:rsid w:val="0002342D"/>
    <w:rsid w:val="00023F8F"/>
    <w:rsid w:val="0002418C"/>
    <w:rsid w:val="00024B99"/>
    <w:rsid w:val="00027B54"/>
    <w:rsid w:val="000312D5"/>
    <w:rsid w:val="00031CE0"/>
    <w:rsid w:val="00031DA2"/>
    <w:rsid w:val="0003368E"/>
    <w:rsid w:val="00035D68"/>
    <w:rsid w:val="00036254"/>
    <w:rsid w:val="0003670D"/>
    <w:rsid w:val="000412D6"/>
    <w:rsid w:val="000414B0"/>
    <w:rsid w:val="00041627"/>
    <w:rsid w:val="00041BAC"/>
    <w:rsid w:val="00042FCA"/>
    <w:rsid w:val="000439D4"/>
    <w:rsid w:val="000449A3"/>
    <w:rsid w:val="00044FAC"/>
    <w:rsid w:val="00052562"/>
    <w:rsid w:val="000542E5"/>
    <w:rsid w:val="00057D82"/>
    <w:rsid w:val="0006201D"/>
    <w:rsid w:val="00062B5D"/>
    <w:rsid w:val="00063A7F"/>
    <w:rsid w:val="0006467D"/>
    <w:rsid w:val="00064C45"/>
    <w:rsid w:val="00065E42"/>
    <w:rsid w:val="0006685D"/>
    <w:rsid w:val="000669C5"/>
    <w:rsid w:val="00066D23"/>
    <w:rsid w:val="00067A6A"/>
    <w:rsid w:val="00067D84"/>
    <w:rsid w:val="00070604"/>
    <w:rsid w:val="00072E87"/>
    <w:rsid w:val="00074490"/>
    <w:rsid w:val="000760AA"/>
    <w:rsid w:val="000770F1"/>
    <w:rsid w:val="00077274"/>
    <w:rsid w:val="00077546"/>
    <w:rsid w:val="00077A7A"/>
    <w:rsid w:val="000804BF"/>
    <w:rsid w:val="00080F74"/>
    <w:rsid w:val="0008343E"/>
    <w:rsid w:val="00083984"/>
    <w:rsid w:val="0008478D"/>
    <w:rsid w:val="00086C79"/>
    <w:rsid w:val="00086F50"/>
    <w:rsid w:val="00087691"/>
    <w:rsid w:val="00087B92"/>
    <w:rsid w:val="000904E5"/>
    <w:rsid w:val="000919CA"/>
    <w:rsid w:val="00091B4B"/>
    <w:rsid w:val="000920FA"/>
    <w:rsid w:val="0009337A"/>
    <w:rsid w:val="00093810"/>
    <w:rsid w:val="00093A95"/>
    <w:rsid w:val="00094640"/>
    <w:rsid w:val="000953D1"/>
    <w:rsid w:val="00095588"/>
    <w:rsid w:val="00097B44"/>
    <w:rsid w:val="000A2064"/>
    <w:rsid w:val="000A224C"/>
    <w:rsid w:val="000A3309"/>
    <w:rsid w:val="000A4264"/>
    <w:rsid w:val="000A4779"/>
    <w:rsid w:val="000A5CD0"/>
    <w:rsid w:val="000A5D71"/>
    <w:rsid w:val="000A6939"/>
    <w:rsid w:val="000A72C5"/>
    <w:rsid w:val="000A7AE0"/>
    <w:rsid w:val="000B0528"/>
    <w:rsid w:val="000B0D4E"/>
    <w:rsid w:val="000B1393"/>
    <w:rsid w:val="000B2BAA"/>
    <w:rsid w:val="000B3084"/>
    <w:rsid w:val="000B339D"/>
    <w:rsid w:val="000B33D8"/>
    <w:rsid w:val="000B45FA"/>
    <w:rsid w:val="000B47F8"/>
    <w:rsid w:val="000B5885"/>
    <w:rsid w:val="000B58EF"/>
    <w:rsid w:val="000B6284"/>
    <w:rsid w:val="000B6B2D"/>
    <w:rsid w:val="000C0AC6"/>
    <w:rsid w:val="000C17E8"/>
    <w:rsid w:val="000C1911"/>
    <w:rsid w:val="000C1FE1"/>
    <w:rsid w:val="000C35E2"/>
    <w:rsid w:val="000C3606"/>
    <w:rsid w:val="000C43AA"/>
    <w:rsid w:val="000C524C"/>
    <w:rsid w:val="000C54F4"/>
    <w:rsid w:val="000C580D"/>
    <w:rsid w:val="000C6897"/>
    <w:rsid w:val="000C6EB8"/>
    <w:rsid w:val="000C76E2"/>
    <w:rsid w:val="000C7837"/>
    <w:rsid w:val="000C7DBF"/>
    <w:rsid w:val="000C7DDF"/>
    <w:rsid w:val="000D1FC1"/>
    <w:rsid w:val="000D2270"/>
    <w:rsid w:val="000D2692"/>
    <w:rsid w:val="000D303E"/>
    <w:rsid w:val="000D4C55"/>
    <w:rsid w:val="000D5716"/>
    <w:rsid w:val="000E174C"/>
    <w:rsid w:val="000E1F3F"/>
    <w:rsid w:val="000E2133"/>
    <w:rsid w:val="000E301E"/>
    <w:rsid w:val="000E3C0F"/>
    <w:rsid w:val="000E4628"/>
    <w:rsid w:val="000E480E"/>
    <w:rsid w:val="000E4ACD"/>
    <w:rsid w:val="000E5615"/>
    <w:rsid w:val="000E5967"/>
    <w:rsid w:val="000E597B"/>
    <w:rsid w:val="000E6062"/>
    <w:rsid w:val="000E6F1D"/>
    <w:rsid w:val="000F004E"/>
    <w:rsid w:val="000F10C9"/>
    <w:rsid w:val="000F1508"/>
    <w:rsid w:val="000F2F7A"/>
    <w:rsid w:val="000F54DD"/>
    <w:rsid w:val="00100300"/>
    <w:rsid w:val="00100776"/>
    <w:rsid w:val="001007C5"/>
    <w:rsid w:val="0010084A"/>
    <w:rsid w:val="0010133E"/>
    <w:rsid w:val="00102B57"/>
    <w:rsid w:val="00102C07"/>
    <w:rsid w:val="001033E4"/>
    <w:rsid w:val="00103993"/>
    <w:rsid w:val="00103C1F"/>
    <w:rsid w:val="001048DC"/>
    <w:rsid w:val="001048FF"/>
    <w:rsid w:val="00104F30"/>
    <w:rsid w:val="001050D9"/>
    <w:rsid w:val="001056A2"/>
    <w:rsid w:val="00112CA1"/>
    <w:rsid w:val="00116DA0"/>
    <w:rsid w:val="00116F4A"/>
    <w:rsid w:val="00117023"/>
    <w:rsid w:val="00117A51"/>
    <w:rsid w:val="00117BEB"/>
    <w:rsid w:val="001208DE"/>
    <w:rsid w:val="00120CC9"/>
    <w:rsid w:val="001214B3"/>
    <w:rsid w:val="00123543"/>
    <w:rsid w:val="00123D74"/>
    <w:rsid w:val="0012441F"/>
    <w:rsid w:val="001246A3"/>
    <w:rsid w:val="0012633C"/>
    <w:rsid w:val="00126822"/>
    <w:rsid w:val="00126AC1"/>
    <w:rsid w:val="00127F20"/>
    <w:rsid w:val="0013096A"/>
    <w:rsid w:val="0013180E"/>
    <w:rsid w:val="00131F77"/>
    <w:rsid w:val="00136EFD"/>
    <w:rsid w:val="00137F1C"/>
    <w:rsid w:val="00140121"/>
    <w:rsid w:val="001409DC"/>
    <w:rsid w:val="00141135"/>
    <w:rsid w:val="00141DC2"/>
    <w:rsid w:val="00142A87"/>
    <w:rsid w:val="0014380A"/>
    <w:rsid w:val="001442BA"/>
    <w:rsid w:val="00145B8C"/>
    <w:rsid w:val="00145BA1"/>
    <w:rsid w:val="00145FCB"/>
    <w:rsid w:val="001462A3"/>
    <w:rsid w:val="0014784F"/>
    <w:rsid w:val="00153CF5"/>
    <w:rsid w:val="00153DBE"/>
    <w:rsid w:val="00155652"/>
    <w:rsid w:val="00155A4C"/>
    <w:rsid w:val="001564BE"/>
    <w:rsid w:val="00156DFA"/>
    <w:rsid w:val="00157EEA"/>
    <w:rsid w:val="001608A9"/>
    <w:rsid w:val="001611E6"/>
    <w:rsid w:val="00161ED6"/>
    <w:rsid w:val="00162725"/>
    <w:rsid w:val="00162DBD"/>
    <w:rsid w:val="00163227"/>
    <w:rsid w:val="0016334C"/>
    <w:rsid w:val="00163ABF"/>
    <w:rsid w:val="00165EA3"/>
    <w:rsid w:val="00165EB2"/>
    <w:rsid w:val="00165F38"/>
    <w:rsid w:val="00166419"/>
    <w:rsid w:val="001667FC"/>
    <w:rsid w:val="001679DC"/>
    <w:rsid w:val="00170B0E"/>
    <w:rsid w:val="00172400"/>
    <w:rsid w:val="00172B00"/>
    <w:rsid w:val="00172CC9"/>
    <w:rsid w:val="0017517C"/>
    <w:rsid w:val="00176FEF"/>
    <w:rsid w:val="00180EFC"/>
    <w:rsid w:val="0018311D"/>
    <w:rsid w:val="00183B32"/>
    <w:rsid w:val="00184074"/>
    <w:rsid w:val="00186504"/>
    <w:rsid w:val="00186E04"/>
    <w:rsid w:val="00187985"/>
    <w:rsid w:val="00187B71"/>
    <w:rsid w:val="00187EBC"/>
    <w:rsid w:val="00191EDB"/>
    <w:rsid w:val="00192414"/>
    <w:rsid w:val="00192629"/>
    <w:rsid w:val="0019326B"/>
    <w:rsid w:val="00193C93"/>
    <w:rsid w:val="001943A4"/>
    <w:rsid w:val="0019488E"/>
    <w:rsid w:val="00194A0E"/>
    <w:rsid w:val="00195470"/>
    <w:rsid w:val="001A27B1"/>
    <w:rsid w:val="001A34FD"/>
    <w:rsid w:val="001A3F92"/>
    <w:rsid w:val="001A6665"/>
    <w:rsid w:val="001A7D60"/>
    <w:rsid w:val="001A7DD8"/>
    <w:rsid w:val="001B02EA"/>
    <w:rsid w:val="001B16EE"/>
    <w:rsid w:val="001B222E"/>
    <w:rsid w:val="001B3821"/>
    <w:rsid w:val="001B3A98"/>
    <w:rsid w:val="001B4CAF"/>
    <w:rsid w:val="001B7A93"/>
    <w:rsid w:val="001C026B"/>
    <w:rsid w:val="001C0350"/>
    <w:rsid w:val="001C05DA"/>
    <w:rsid w:val="001C09AB"/>
    <w:rsid w:val="001C10DE"/>
    <w:rsid w:val="001C1AAB"/>
    <w:rsid w:val="001C39FA"/>
    <w:rsid w:val="001C3A2B"/>
    <w:rsid w:val="001C3A9C"/>
    <w:rsid w:val="001C6F9A"/>
    <w:rsid w:val="001D0356"/>
    <w:rsid w:val="001D0FEF"/>
    <w:rsid w:val="001D118D"/>
    <w:rsid w:val="001D3C1B"/>
    <w:rsid w:val="001D41DE"/>
    <w:rsid w:val="001D45D0"/>
    <w:rsid w:val="001D5596"/>
    <w:rsid w:val="001D6301"/>
    <w:rsid w:val="001D660D"/>
    <w:rsid w:val="001D6CFA"/>
    <w:rsid w:val="001E08FB"/>
    <w:rsid w:val="001E114D"/>
    <w:rsid w:val="001E2717"/>
    <w:rsid w:val="001E2EB4"/>
    <w:rsid w:val="001E340B"/>
    <w:rsid w:val="001E4C73"/>
    <w:rsid w:val="001E566F"/>
    <w:rsid w:val="001E5709"/>
    <w:rsid w:val="001E60E5"/>
    <w:rsid w:val="001E72C7"/>
    <w:rsid w:val="001F2A4D"/>
    <w:rsid w:val="001F3138"/>
    <w:rsid w:val="001F3469"/>
    <w:rsid w:val="001F3598"/>
    <w:rsid w:val="001F4F58"/>
    <w:rsid w:val="001F5EC4"/>
    <w:rsid w:val="001F7E0D"/>
    <w:rsid w:val="00201CDC"/>
    <w:rsid w:val="00204068"/>
    <w:rsid w:val="0020529C"/>
    <w:rsid w:val="00206380"/>
    <w:rsid w:val="0020638E"/>
    <w:rsid w:val="00207134"/>
    <w:rsid w:val="00207184"/>
    <w:rsid w:val="002106B1"/>
    <w:rsid w:val="002108BF"/>
    <w:rsid w:val="00210B7F"/>
    <w:rsid w:val="0021102B"/>
    <w:rsid w:val="00211654"/>
    <w:rsid w:val="00211AA7"/>
    <w:rsid w:val="00213058"/>
    <w:rsid w:val="002135AD"/>
    <w:rsid w:val="002140A3"/>
    <w:rsid w:val="002147F9"/>
    <w:rsid w:val="00214AA6"/>
    <w:rsid w:val="0021645D"/>
    <w:rsid w:val="00216CFD"/>
    <w:rsid w:val="00216F31"/>
    <w:rsid w:val="00217DCB"/>
    <w:rsid w:val="002204FF"/>
    <w:rsid w:val="00222530"/>
    <w:rsid w:val="00222EE8"/>
    <w:rsid w:val="00222F43"/>
    <w:rsid w:val="00222F93"/>
    <w:rsid w:val="00223BEE"/>
    <w:rsid w:val="0022507E"/>
    <w:rsid w:val="00227CBA"/>
    <w:rsid w:val="00230206"/>
    <w:rsid w:val="002307DA"/>
    <w:rsid w:val="00230889"/>
    <w:rsid w:val="00230A3E"/>
    <w:rsid w:val="002312EB"/>
    <w:rsid w:val="00232D86"/>
    <w:rsid w:val="00234099"/>
    <w:rsid w:val="002356EE"/>
    <w:rsid w:val="00235DDE"/>
    <w:rsid w:val="00236422"/>
    <w:rsid w:val="00236DFE"/>
    <w:rsid w:val="00237AAE"/>
    <w:rsid w:val="00240C58"/>
    <w:rsid w:val="0024222E"/>
    <w:rsid w:val="0024423E"/>
    <w:rsid w:val="002445D2"/>
    <w:rsid w:val="00244639"/>
    <w:rsid w:val="00244BCE"/>
    <w:rsid w:val="00244C6C"/>
    <w:rsid w:val="00245E75"/>
    <w:rsid w:val="00245EBC"/>
    <w:rsid w:val="0024642D"/>
    <w:rsid w:val="00247EEF"/>
    <w:rsid w:val="00250169"/>
    <w:rsid w:val="00251C6C"/>
    <w:rsid w:val="002525D8"/>
    <w:rsid w:val="0025282C"/>
    <w:rsid w:val="00252D60"/>
    <w:rsid w:val="00254052"/>
    <w:rsid w:val="002549E2"/>
    <w:rsid w:val="002559D2"/>
    <w:rsid w:val="00256839"/>
    <w:rsid w:val="00260366"/>
    <w:rsid w:val="00262011"/>
    <w:rsid w:val="00262056"/>
    <w:rsid w:val="0026281A"/>
    <w:rsid w:val="00262B2B"/>
    <w:rsid w:val="002639EB"/>
    <w:rsid w:val="002650B5"/>
    <w:rsid w:val="00265ED2"/>
    <w:rsid w:val="002661A5"/>
    <w:rsid w:val="00266452"/>
    <w:rsid w:val="002677AF"/>
    <w:rsid w:val="0027103D"/>
    <w:rsid w:val="00271057"/>
    <w:rsid w:val="00272167"/>
    <w:rsid w:val="00272384"/>
    <w:rsid w:val="002726DB"/>
    <w:rsid w:val="00272D61"/>
    <w:rsid w:val="00272E14"/>
    <w:rsid w:val="002734D3"/>
    <w:rsid w:val="00274380"/>
    <w:rsid w:val="002743F4"/>
    <w:rsid w:val="00274468"/>
    <w:rsid w:val="00275840"/>
    <w:rsid w:val="00275852"/>
    <w:rsid w:val="00275968"/>
    <w:rsid w:val="00275B31"/>
    <w:rsid w:val="002764D6"/>
    <w:rsid w:val="00276A6D"/>
    <w:rsid w:val="00276D70"/>
    <w:rsid w:val="00277DB8"/>
    <w:rsid w:val="00280E27"/>
    <w:rsid w:val="00280EFC"/>
    <w:rsid w:val="0028179E"/>
    <w:rsid w:val="00281F59"/>
    <w:rsid w:val="00281FFD"/>
    <w:rsid w:val="00282E7D"/>
    <w:rsid w:val="0028319D"/>
    <w:rsid w:val="00284D35"/>
    <w:rsid w:val="002858CD"/>
    <w:rsid w:val="00285E5B"/>
    <w:rsid w:val="002868DE"/>
    <w:rsid w:val="00286A61"/>
    <w:rsid w:val="00286B4D"/>
    <w:rsid w:val="00286C8C"/>
    <w:rsid w:val="002872ED"/>
    <w:rsid w:val="0029047B"/>
    <w:rsid w:val="00290655"/>
    <w:rsid w:val="00290DB9"/>
    <w:rsid w:val="002911CC"/>
    <w:rsid w:val="00291E69"/>
    <w:rsid w:val="0029238C"/>
    <w:rsid w:val="0029298F"/>
    <w:rsid w:val="00295B58"/>
    <w:rsid w:val="00297AE8"/>
    <w:rsid w:val="00297F4F"/>
    <w:rsid w:val="002A086F"/>
    <w:rsid w:val="002A215C"/>
    <w:rsid w:val="002A2540"/>
    <w:rsid w:val="002A28AD"/>
    <w:rsid w:val="002A2BD6"/>
    <w:rsid w:val="002A4782"/>
    <w:rsid w:val="002A53BC"/>
    <w:rsid w:val="002B0863"/>
    <w:rsid w:val="002B0F5C"/>
    <w:rsid w:val="002B112A"/>
    <w:rsid w:val="002B196B"/>
    <w:rsid w:val="002B1D7C"/>
    <w:rsid w:val="002B3CA1"/>
    <w:rsid w:val="002B49D4"/>
    <w:rsid w:val="002B52EC"/>
    <w:rsid w:val="002B67D7"/>
    <w:rsid w:val="002B7C5A"/>
    <w:rsid w:val="002C0618"/>
    <w:rsid w:val="002C0728"/>
    <w:rsid w:val="002C2770"/>
    <w:rsid w:val="002C28E7"/>
    <w:rsid w:val="002C2D0A"/>
    <w:rsid w:val="002C2E28"/>
    <w:rsid w:val="002C3736"/>
    <w:rsid w:val="002C399D"/>
    <w:rsid w:val="002C3C29"/>
    <w:rsid w:val="002C4021"/>
    <w:rsid w:val="002C4F1E"/>
    <w:rsid w:val="002C5ED9"/>
    <w:rsid w:val="002C79E9"/>
    <w:rsid w:val="002C7CB0"/>
    <w:rsid w:val="002D00AE"/>
    <w:rsid w:val="002D1E61"/>
    <w:rsid w:val="002D31E6"/>
    <w:rsid w:val="002D3A48"/>
    <w:rsid w:val="002D43D0"/>
    <w:rsid w:val="002D4F1D"/>
    <w:rsid w:val="002D5BE3"/>
    <w:rsid w:val="002D6434"/>
    <w:rsid w:val="002D7D31"/>
    <w:rsid w:val="002D7E1D"/>
    <w:rsid w:val="002E05FE"/>
    <w:rsid w:val="002E0763"/>
    <w:rsid w:val="002E13F5"/>
    <w:rsid w:val="002E1CD6"/>
    <w:rsid w:val="002E256E"/>
    <w:rsid w:val="002E2A1E"/>
    <w:rsid w:val="002E3794"/>
    <w:rsid w:val="002E4B5D"/>
    <w:rsid w:val="002E4C4C"/>
    <w:rsid w:val="002E4F9D"/>
    <w:rsid w:val="002E647E"/>
    <w:rsid w:val="002F05DD"/>
    <w:rsid w:val="002F1672"/>
    <w:rsid w:val="002F182D"/>
    <w:rsid w:val="002F1FFF"/>
    <w:rsid w:val="002F25D0"/>
    <w:rsid w:val="002F46BA"/>
    <w:rsid w:val="002F4813"/>
    <w:rsid w:val="002F496A"/>
    <w:rsid w:val="002F7721"/>
    <w:rsid w:val="002F7783"/>
    <w:rsid w:val="002F7F81"/>
    <w:rsid w:val="00300209"/>
    <w:rsid w:val="00300D29"/>
    <w:rsid w:val="00302E3A"/>
    <w:rsid w:val="0030305F"/>
    <w:rsid w:val="00303834"/>
    <w:rsid w:val="00304327"/>
    <w:rsid w:val="003101DD"/>
    <w:rsid w:val="00310801"/>
    <w:rsid w:val="00311982"/>
    <w:rsid w:val="00311A29"/>
    <w:rsid w:val="003124E8"/>
    <w:rsid w:val="0031404F"/>
    <w:rsid w:val="0031444C"/>
    <w:rsid w:val="00316B30"/>
    <w:rsid w:val="003175D8"/>
    <w:rsid w:val="00320CB1"/>
    <w:rsid w:val="00324E9E"/>
    <w:rsid w:val="003251F6"/>
    <w:rsid w:val="0032763F"/>
    <w:rsid w:val="00327914"/>
    <w:rsid w:val="0033048D"/>
    <w:rsid w:val="00330696"/>
    <w:rsid w:val="00331126"/>
    <w:rsid w:val="00332549"/>
    <w:rsid w:val="00332A6F"/>
    <w:rsid w:val="0033427F"/>
    <w:rsid w:val="0033644C"/>
    <w:rsid w:val="00337DBB"/>
    <w:rsid w:val="00340628"/>
    <w:rsid w:val="00341616"/>
    <w:rsid w:val="00341BB7"/>
    <w:rsid w:val="0034381B"/>
    <w:rsid w:val="003442F4"/>
    <w:rsid w:val="0034435B"/>
    <w:rsid w:val="00345400"/>
    <w:rsid w:val="00345E65"/>
    <w:rsid w:val="003462AD"/>
    <w:rsid w:val="0034663C"/>
    <w:rsid w:val="00350047"/>
    <w:rsid w:val="00350C9F"/>
    <w:rsid w:val="00352CDD"/>
    <w:rsid w:val="003545F1"/>
    <w:rsid w:val="00354815"/>
    <w:rsid w:val="00354D95"/>
    <w:rsid w:val="0035563F"/>
    <w:rsid w:val="00355E9B"/>
    <w:rsid w:val="00357FF7"/>
    <w:rsid w:val="003602F1"/>
    <w:rsid w:val="003604E7"/>
    <w:rsid w:val="003608D8"/>
    <w:rsid w:val="00360959"/>
    <w:rsid w:val="00361407"/>
    <w:rsid w:val="00362648"/>
    <w:rsid w:val="003628BA"/>
    <w:rsid w:val="00362E4D"/>
    <w:rsid w:val="00362F78"/>
    <w:rsid w:val="00363380"/>
    <w:rsid w:val="00363F3C"/>
    <w:rsid w:val="00365306"/>
    <w:rsid w:val="00365609"/>
    <w:rsid w:val="0036572E"/>
    <w:rsid w:val="00365FEE"/>
    <w:rsid w:val="003660F0"/>
    <w:rsid w:val="003661CD"/>
    <w:rsid w:val="003664FB"/>
    <w:rsid w:val="00367C92"/>
    <w:rsid w:val="003700DB"/>
    <w:rsid w:val="00372D83"/>
    <w:rsid w:val="00373F06"/>
    <w:rsid w:val="00375038"/>
    <w:rsid w:val="0037552C"/>
    <w:rsid w:val="00377452"/>
    <w:rsid w:val="00377856"/>
    <w:rsid w:val="003778D2"/>
    <w:rsid w:val="00381602"/>
    <w:rsid w:val="003821BD"/>
    <w:rsid w:val="00382674"/>
    <w:rsid w:val="00383D1C"/>
    <w:rsid w:val="0038426F"/>
    <w:rsid w:val="00384446"/>
    <w:rsid w:val="00385158"/>
    <w:rsid w:val="00387185"/>
    <w:rsid w:val="003875C0"/>
    <w:rsid w:val="003901B5"/>
    <w:rsid w:val="00391A2D"/>
    <w:rsid w:val="00392578"/>
    <w:rsid w:val="00392583"/>
    <w:rsid w:val="003929B1"/>
    <w:rsid w:val="00392D8D"/>
    <w:rsid w:val="00393246"/>
    <w:rsid w:val="00393CC6"/>
    <w:rsid w:val="00393FAE"/>
    <w:rsid w:val="0039567A"/>
    <w:rsid w:val="00395C1F"/>
    <w:rsid w:val="00396C73"/>
    <w:rsid w:val="003979E6"/>
    <w:rsid w:val="003A19DF"/>
    <w:rsid w:val="003A38FE"/>
    <w:rsid w:val="003A3BD0"/>
    <w:rsid w:val="003A482F"/>
    <w:rsid w:val="003A4E29"/>
    <w:rsid w:val="003A61C8"/>
    <w:rsid w:val="003A6338"/>
    <w:rsid w:val="003A685B"/>
    <w:rsid w:val="003A7155"/>
    <w:rsid w:val="003A72C7"/>
    <w:rsid w:val="003A7618"/>
    <w:rsid w:val="003B0403"/>
    <w:rsid w:val="003B1BA0"/>
    <w:rsid w:val="003B1E76"/>
    <w:rsid w:val="003B23C2"/>
    <w:rsid w:val="003B285F"/>
    <w:rsid w:val="003B33A6"/>
    <w:rsid w:val="003B4930"/>
    <w:rsid w:val="003B4A22"/>
    <w:rsid w:val="003B4CC3"/>
    <w:rsid w:val="003B4F16"/>
    <w:rsid w:val="003B5749"/>
    <w:rsid w:val="003C0F34"/>
    <w:rsid w:val="003C2B8E"/>
    <w:rsid w:val="003C30AC"/>
    <w:rsid w:val="003C4F54"/>
    <w:rsid w:val="003C5CA3"/>
    <w:rsid w:val="003C6D00"/>
    <w:rsid w:val="003C77CA"/>
    <w:rsid w:val="003C794A"/>
    <w:rsid w:val="003C7A65"/>
    <w:rsid w:val="003C7E0E"/>
    <w:rsid w:val="003D009D"/>
    <w:rsid w:val="003D17AF"/>
    <w:rsid w:val="003D1BDC"/>
    <w:rsid w:val="003D2576"/>
    <w:rsid w:val="003D322E"/>
    <w:rsid w:val="003D59B5"/>
    <w:rsid w:val="003D7BAD"/>
    <w:rsid w:val="003D7EDE"/>
    <w:rsid w:val="003E0A78"/>
    <w:rsid w:val="003E0D67"/>
    <w:rsid w:val="003E3A90"/>
    <w:rsid w:val="003E3B6D"/>
    <w:rsid w:val="003E514E"/>
    <w:rsid w:val="003E587E"/>
    <w:rsid w:val="003E5D6F"/>
    <w:rsid w:val="003E7A6B"/>
    <w:rsid w:val="003F06C1"/>
    <w:rsid w:val="003F087F"/>
    <w:rsid w:val="003F0ABB"/>
    <w:rsid w:val="003F1AC7"/>
    <w:rsid w:val="003F225B"/>
    <w:rsid w:val="003F5AAA"/>
    <w:rsid w:val="003F7DB9"/>
    <w:rsid w:val="00400988"/>
    <w:rsid w:val="004011EE"/>
    <w:rsid w:val="00402B6C"/>
    <w:rsid w:val="00402DA7"/>
    <w:rsid w:val="00403C9E"/>
    <w:rsid w:val="0040431D"/>
    <w:rsid w:val="004045E7"/>
    <w:rsid w:val="00404661"/>
    <w:rsid w:val="00406368"/>
    <w:rsid w:val="004114D6"/>
    <w:rsid w:val="00413A4D"/>
    <w:rsid w:val="00413D1D"/>
    <w:rsid w:val="004150DA"/>
    <w:rsid w:val="00417071"/>
    <w:rsid w:val="004177FE"/>
    <w:rsid w:val="004178B4"/>
    <w:rsid w:val="00417A18"/>
    <w:rsid w:val="00420C26"/>
    <w:rsid w:val="004213EE"/>
    <w:rsid w:val="004216F2"/>
    <w:rsid w:val="00423ED3"/>
    <w:rsid w:val="0042696F"/>
    <w:rsid w:val="00427763"/>
    <w:rsid w:val="00427996"/>
    <w:rsid w:val="004309D2"/>
    <w:rsid w:val="004311E2"/>
    <w:rsid w:val="00431F23"/>
    <w:rsid w:val="00432441"/>
    <w:rsid w:val="00433AA3"/>
    <w:rsid w:val="00435968"/>
    <w:rsid w:val="00436B78"/>
    <w:rsid w:val="00437EA1"/>
    <w:rsid w:val="0044137D"/>
    <w:rsid w:val="00443BB2"/>
    <w:rsid w:val="00444DEE"/>
    <w:rsid w:val="00445885"/>
    <w:rsid w:val="00447074"/>
    <w:rsid w:val="00451148"/>
    <w:rsid w:val="00451992"/>
    <w:rsid w:val="00451D13"/>
    <w:rsid w:val="004534BB"/>
    <w:rsid w:val="00455532"/>
    <w:rsid w:val="004556D1"/>
    <w:rsid w:val="00456468"/>
    <w:rsid w:val="00460371"/>
    <w:rsid w:val="00460736"/>
    <w:rsid w:val="00460E3A"/>
    <w:rsid w:val="004611DE"/>
    <w:rsid w:val="00463E09"/>
    <w:rsid w:val="00464715"/>
    <w:rsid w:val="00464C6A"/>
    <w:rsid w:val="00464F0B"/>
    <w:rsid w:val="00465ACE"/>
    <w:rsid w:val="00465AF9"/>
    <w:rsid w:val="00466537"/>
    <w:rsid w:val="00466E56"/>
    <w:rsid w:val="00467291"/>
    <w:rsid w:val="004702F8"/>
    <w:rsid w:val="00471294"/>
    <w:rsid w:val="00473D15"/>
    <w:rsid w:val="00474B30"/>
    <w:rsid w:val="00476143"/>
    <w:rsid w:val="00477B6C"/>
    <w:rsid w:val="0048007A"/>
    <w:rsid w:val="00480FF3"/>
    <w:rsid w:val="0048170C"/>
    <w:rsid w:val="00481A49"/>
    <w:rsid w:val="00482588"/>
    <w:rsid w:val="0048310C"/>
    <w:rsid w:val="004848DB"/>
    <w:rsid w:val="00485C47"/>
    <w:rsid w:val="00487B6D"/>
    <w:rsid w:val="00495063"/>
    <w:rsid w:val="00495084"/>
    <w:rsid w:val="00495B71"/>
    <w:rsid w:val="00496389"/>
    <w:rsid w:val="00497147"/>
    <w:rsid w:val="004973D7"/>
    <w:rsid w:val="004A3B80"/>
    <w:rsid w:val="004A4490"/>
    <w:rsid w:val="004A4D8C"/>
    <w:rsid w:val="004A5507"/>
    <w:rsid w:val="004A592D"/>
    <w:rsid w:val="004A59FC"/>
    <w:rsid w:val="004A6694"/>
    <w:rsid w:val="004A6B95"/>
    <w:rsid w:val="004A6E9B"/>
    <w:rsid w:val="004B00D0"/>
    <w:rsid w:val="004B2E3B"/>
    <w:rsid w:val="004B3293"/>
    <w:rsid w:val="004B3772"/>
    <w:rsid w:val="004B5B47"/>
    <w:rsid w:val="004B702E"/>
    <w:rsid w:val="004C027C"/>
    <w:rsid w:val="004C0EDE"/>
    <w:rsid w:val="004C1799"/>
    <w:rsid w:val="004C1986"/>
    <w:rsid w:val="004C223D"/>
    <w:rsid w:val="004C234F"/>
    <w:rsid w:val="004C2489"/>
    <w:rsid w:val="004C2605"/>
    <w:rsid w:val="004C2CEA"/>
    <w:rsid w:val="004C36A7"/>
    <w:rsid w:val="004C4E93"/>
    <w:rsid w:val="004C5057"/>
    <w:rsid w:val="004C6429"/>
    <w:rsid w:val="004C6A1F"/>
    <w:rsid w:val="004C74FC"/>
    <w:rsid w:val="004C7619"/>
    <w:rsid w:val="004C79BC"/>
    <w:rsid w:val="004C79FA"/>
    <w:rsid w:val="004C7C15"/>
    <w:rsid w:val="004D01A9"/>
    <w:rsid w:val="004D036A"/>
    <w:rsid w:val="004D0603"/>
    <w:rsid w:val="004D157A"/>
    <w:rsid w:val="004D19AC"/>
    <w:rsid w:val="004D1FC1"/>
    <w:rsid w:val="004D33DE"/>
    <w:rsid w:val="004D352F"/>
    <w:rsid w:val="004D3CAA"/>
    <w:rsid w:val="004D3EA2"/>
    <w:rsid w:val="004D4249"/>
    <w:rsid w:val="004D5183"/>
    <w:rsid w:val="004D612D"/>
    <w:rsid w:val="004D6E75"/>
    <w:rsid w:val="004D786E"/>
    <w:rsid w:val="004D7DBC"/>
    <w:rsid w:val="004D7F09"/>
    <w:rsid w:val="004E03AB"/>
    <w:rsid w:val="004E190A"/>
    <w:rsid w:val="004E193D"/>
    <w:rsid w:val="004E214E"/>
    <w:rsid w:val="004E2523"/>
    <w:rsid w:val="004E3A6C"/>
    <w:rsid w:val="004E3C32"/>
    <w:rsid w:val="004E4434"/>
    <w:rsid w:val="004E4BAB"/>
    <w:rsid w:val="004E699D"/>
    <w:rsid w:val="004F0158"/>
    <w:rsid w:val="004F3495"/>
    <w:rsid w:val="004F49F7"/>
    <w:rsid w:val="004F5170"/>
    <w:rsid w:val="004F767A"/>
    <w:rsid w:val="004F78BF"/>
    <w:rsid w:val="004F7F9B"/>
    <w:rsid w:val="00500EBB"/>
    <w:rsid w:val="0050129C"/>
    <w:rsid w:val="00502F06"/>
    <w:rsid w:val="00503DE6"/>
    <w:rsid w:val="005056B0"/>
    <w:rsid w:val="0050641A"/>
    <w:rsid w:val="005068CB"/>
    <w:rsid w:val="00506A8F"/>
    <w:rsid w:val="00506F81"/>
    <w:rsid w:val="00507D93"/>
    <w:rsid w:val="0051197A"/>
    <w:rsid w:val="00511C14"/>
    <w:rsid w:val="005125C9"/>
    <w:rsid w:val="0051494C"/>
    <w:rsid w:val="005172A4"/>
    <w:rsid w:val="00517ADF"/>
    <w:rsid w:val="005203EC"/>
    <w:rsid w:val="005204DD"/>
    <w:rsid w:val="00520F7B"/>
    <w:rsid w:val="0052265D"/>
    <w:rsid w:val="005230B2"/>
    <w:rsid w:val="00523281"/>
    <w:rsid w:val="00523525"/>
    <w:rsid w:val="00524FFC"/>
    <w:rsid w:val="005253D1"/>
    <w:rsid w:val="00525665"/>
    <w:rsid w:val="00526E43"/>
    <w:rsid w:val="0052734F"/>
    <w:rsid w:val="00527352"/>
    <w:rsid w:val="00531BA8"/>
    <w:rsid w:val="005326E1"/>
    <w:rsid w:val="00532BC4"/>
    <w:rsid w:val="005355FE"/>
    <w:rsid w:val="00536084"/>
    <w:rsid w:val="00536381"/>
    <w:rsid w:val="00536F34"/>
    <w:rsid w:val="00537E95"/>
    <w:rsid w:val="00541A3C"/>
    <w:rsid w:val="00542E80"/>
    <w:rsid w:val="0054426A"/>
    <w:rsid w:val="00544A00"/>
    <w:rsid w:val="005457AE"/>
    <w:rsid w:val="00546080"/>
    <w:rsid w:val="00546198"/>
    <w:rsid w:val="00546CD6"/>
    <w:rsid w:val="005502BA"/>
    <w:rsid w:val="00550323"/>
    <w:rsid w:val="005517DC"/>
    <w:rsid w:val="00552B31"/>
    <w:rsid w:val="00552F5E"/>
    <w:rsid w:val="00553883"/>
    <w:rsid w:val="00553ECE"/>
    <w:rsid w:val="00555D23"/>
    <w:rsid w:val="00555F74"/>
    <w:rsid w:val="00556C45"/>
    <w:rsid w:val="00557197"/>
    <w:rsid w:val="005579F0"/>
    <w:rsid w:val="005607DE"/>
    <w:rsid w:val="005636C3"/>
    <w:rsid w:val="00564D6D"/>
    <w:rsid w:val="00566539"/>
    <w:rsid w:val="00567002"/>
    <w:rsid w:val="005676E3"/>
    <w:rsid w:val="005676F3"/>
    <w:rsid w:val="00567A4D"/>
    <w:rsid w:val="0057015C"/>
    <w:rsid w:val="00570512"/>
    <w:rsid w:val="00570E5A"/>
    <w:rsid w:val="00573045"/>
    <w:rsid w:val="005745BC"/>
    <w:rsid w:val="00574D99"/>
    <w:rsid w:val="005752E4"/>
    <w:rsid w:val="00575C5D"/>
    <w:rsid w:val="00575EB7"/>
    <w:rsid w:val="005770F4"/>
    <w:rsid w:val="00577419"/>
    <w:rsid w:val="00580C88"/>
    <w:rsid w:val="00581507"/>
    <w:rsid w:val="00581969"/>
    <w:rsid w:val="005828B8"/>
    <w:rsid w:val="00582CBF"/>
    <w:rsid w:val="0058677A"/>
    <w:rsid w:val="00586F52"/>
    <w:rsid w:val="005879C7"/>
    <w:rsid w:val="00590BDE"/>
    <w:rsid w:val="00591087"/>
    <w:rsid w:val="00592A1B"/>
    <w:rsid w:val="00592EB5"/>
    <w:rsid w:val="00593E1F"/>
    <w:rsid w:val="00595986"/>
    <w:rsid w:val="00596BC0"/>
    <w:rsid w:val="00596DAF"/>
    <w:rsid w:val="005A1190"/>
    <w:rsid w:val="005A2F7B"/>
    <w:rsid w:val="005A4AEC"/>
    <w:rsid w:val="005A4C66"/>
    <w:rsid w:val="005A4FA4"/>
    <w:rsid w:val="005A5D50"/>
    <w:rsid w:val="005A62BA"/>
    <w:rsid w:val="005A67CF"/>
    <w:rsid w:val="005A6CFA"/>
    <w:rsid w:val="005A762F"/>
    <w:rsid w:val="005A7BEB"/>
    <w:rsid w:val="005B0028"/>
    <w:rsid w:val="005B0476"/>
    <w:rsid w:val="005B0968"/>
    <w:rsid w:val="005B1342"/>
    <w:rsid w:val="005B1AC5"/>
    <w:rsid w:val="005B2599"/>
    <w:rsid w:val="005B3264"/>
    <w:rsid w:val="005B6330"/>
    <w:rsid w:val="005B64F7"/>
    <w:rsid w:val="005C2554"/>
    <w:rsid w:val="005C2940"/>
    <w:rsid w:val="005C35CA"/>
    <w:rsid w:val="005C45DF"/>
    <w:rsid w:val="005C5305"/>
    <w:rsid w:val="005C5D3B"/>
    <w:rsid w:val="005C689F"/>
    <w:rsid w:val="005C6C19"/>
    <w:rsid w:val="005C7D7E"/>
    <w:rsid w:val="005D1984"/>
    <w:rsid w:val="005D1E95"/>
    <w:rsid w:val="005D2386"/>
    <w:rsid w:val="005D308F"/>
    <w:rsid w:val="005D54F0"/>
    <w:rsid w:val="005D5E8B"/>
    <w:rsid w:val="005D652B"/>
    <w:rsid w:val="005D7B68"/>
    <w:rsid w:val="005E08A1"/>
    <w:rsid w:val="005E1F18"/>
    <w:rsid w:val="005E3224"/>
    <w:rsid w:val="005E42C0"/>
    <w:rsid w:val="005E446C"/>
    <w:rsid w:val="005E666C"/>
    <w:rsid w:val="005F00E0"/>
    <w:rsid w:val="005F08C8"/>
    <w:rsid w:val="005F29A9"/>
    <w:rsid w:val="005F3E36"/>
    <w:rsid w:val="005F44DC"/>
    <w:rsid w:val="005F75E8"/>
    <w:rsid w:val="006008DB"/>
    <w:rsid w:val="006019DF"/>
    <w:rsid w:val="00602573"/>
    <w:rsid w:val="006029AC"/>
    <w:rsid w:val="0060314D"/>
    <w:rsid w:val="0060378B"/>
    <w:rsid w:val="00603D95"/>
    <w:rsid w:val="0060415A"/>
    <w:rsid w:val="0060539A"/>
    <w:rsid w:val="006074EB"/>
    <w:rsid w:val="00607679"/>
    <w:rsid w:val="006106F6"/>
    <w:rsid w:val="00610C35"/>
    <w:rsid w:val="00611DEE"/>
    <w:rsid w:val="0061272E"/>
    <w:rsid w:val="00613F9E"/>
    <w:rsid w:val="006146E1"/>
    <w:rsid w:val="006148C7"/>
    <w:rsid w:val="006155ED"/>
    <w:rsid w:val="00615CC4"/>
    <w:rsid w:val="00616048"/>
    <w:rsid w:val="006173B1"/>
    <w:rsid w:val="00620A70"/>
    <w:rsid w:val="00622504"/>
    <w:rsid w:val="006234CF"/>
    <w:rsid w:val="006234D8"/>
    <w:rsid w:val="006262F6"/>
    <w:rsid w:val="006267FC"/>
    <w:rsid w:val="00627212"/>
    <w:rsid w:val="006303A6"/>
    <w:rsid w:val="00631514"/>
    <w:rsid w:val="006315AC"/>
    <w:rsid w:val="006319A0"/>
    <w:rsid w:val="00632ED7"/>
    <w:rsid w:val="00633BB6"/>
    <w:rsid w:val="00633FA6"/>
    <w:rsid w:val="00635B2F"/>
    <w:rsid w:val="00635DDE"/>
    <w:rsid w:val="006365A9"/>
    <w:rsid w:val="00636DC5"/>
    <w:rsid w:val="00640D32"/>
    <w:rsid w:val="00641A0E"/>
    <w:rsid w:val="00641F03"/>
    <w:rsid w:val="00643017"/>
    <w:rsid w:val="0064338E"/>
    <w:rsid w:val="00643C24"/>
    <w:rsid w:val="00644BF8"/>
    <w:rsid w:val="00644DBE"/>
    <w:rsid w:val="006452FC"/>
    <w:rsid w:val="00645D96"/>
    <w:rsid w:val="006473F8"/>
    <w:rsid w:val="00647DDA"/>
    <w:rsid w:val="00650187"/>
    <w:rsid w:val="0065135C"/>
    <w:rsid w:val="0065162E"/>
    <w:rsid w:val="00652339"/>
    <w:rsid w:val="00652896"/>
    <w:rsid w:val="00652A97"/>
    <w:rsid w:val="00654FC1"/>
    <w:rsid w:val="00656455"/>
    <w:rsid w:val="006567C6"/>
    <w:rsid w:val="00657E40"/>
    <w:rsid w:val="0066264E"/>
    <w:rsid w:val="00663242"/>
    <w:rsid w:val="00663C93"/>
    <w:rsid w:val="00665A37"/>
    <w:rsid w:val="00665B93"/>
    <w:rsid w:val="00666108"/>
    <w:rsid w:val="00666AFB"/>
    <w:rsid w:val="00666E86"/>
    <w:rsid w:val="00667411"/>
    <w:rsid w:val="0067083A"/>
    <w:rsid w:val="00672392"/>
    <w:rsid w:val="00672393"/>
    <w:rsid w:val="00672B87"/>
    <w:rsid w:val="0067314C"/>
    <w:rsid w:val="00673B3E"/>
    <w:rsid w:val="00674A0E"/>
    <w:rsid w:val="00674AF8"/>
    <w:rsid w:val="00674BD6"/>
    <w:rsid w:val="006753CD"/>
    <w:rsid w:val="0067695C"/>
    <w:rsid w:val="006776CB"/>
    <w:rsid w:val="00677EF6"/>
    <w:rsid w:val="006802D6"/>
    <w:rsid w:val="00681015"/>
    <w:rsid w:val="00681472"/>
    <w:rsid w:val="006820AF"/>
    <w:rsid w:val="0068281F"/>
    <w:rsid w:val="00683809"/>
    <w:rsid w:val="00683E44"/>
    <w:rsid w:val="00686318"/>
    <w:rsid w:val="006877A0"/>
    <w:rsid w:val="00690565"/>
    <w:rsid w:val="006909DA"/>
    <w:rsid w:val="006922EF"/>
    <w:rsid w:val="006937B6"/>
    <w:rsid w:val="0069421C"/>
    <w:rsid w:val="006952EB"/>
    <w:rsid w:val="006963D6"/>
    <w:rsid w:val="0069756E"/>
    <w:rsid w:val="00697E55"/>
    <w:rsid w:val="006A0268"/>
    <w:rsid w:val="006A0CD3"/>
    <w:rsid w:val="006A13BB"/>
    <w:rsid w:val="006A53A7"/>
    <w:rsid w:val="006A558A"/>
    <w:rsid w:val="006A64A8"/>
    <w:rsid w:val="006A64B9"/>
    <w:rsid w:val="006A6A6B"/>
    <w:rsid w:val="006B0598"/>
    <w:rsid w:val="006B0636"/>
    <w:rsid w:val="006B08D4"/>
    <w:rsid w:val="006B190F"/>
    <w:rsid w:val="006B1D5E"/>
    <w:rsid w:val="006B1E8A"/>
    <w:rsid w:val="006B27D0"/>
    <w:rsid w:val="006B351B"/>
    <w:rsid w:val="006B434B"/>
    <w:rsid w:val="006B4357"/>
    <w:rsid w:val="006B4FA6"/>
    <w:rsid w:val="006B6479"/>
    <w:rsid w:val="006B6566"/>
    <w:rsid w:val="006B65B2"/>
    <w:rsid w:val="006B65BC"/>
    <w:rsid w:val="006B715B"/>
    <w:rsid w:val="006B7DDD"/>
    <w:rsid w:val="006C000A"/>
    <w:rsid w:val="006C0579"/>
    <w:rsid w:val="006C1ADE"/>
    <w:rsid w:val="006C2010"/>
    <w:rsid w:val="006C20AF"/>
    <w:rsid w:val="006C2E6C"/>
    <w:rsid w:val="006C38C3"/>
    <w:rsid w:val="006C442B"/>
    <w:rsid w:val="006C4436"/>
    <w:rsid w:val="006C571F"/>
    <w:rsid w:val="006C6ABC"/>
    <w:rsid w:val="006C6B58"/>
    <w:rsid w:val="006C7548"/>
    <w:rsid w:val="006C7C09"/>
    <w:rsid w:val="006D0054"/>
    <w:rsid w:val="006D357C"/>
    <w:rsid w:val="006D3B8B"/>
    <w:rsid w:val="006D3BC2"/>
    <w:rsid w:val="006D521C"/>
    <w:rsid w:val="006D5750"/>
    <w:rsid w:val="006D6A98"/>
    <w:rsid w:val="006E02A9"/>
    <w:rsid w:val="006E0C32"/>
    <w:rsid w:val="006E0E38"/>
    <w:rsid w:val="006E0F46"/>
    <w:rsid w:val="006E3445"/>
    <w:rsid w:val="006E387F"/>
    <w:rsid w:val="006E42FF"/>
    <w:rsid w:val="006E4AB9"/>
    <w:rsid w:val="006E597D"/>
    <w:rsid w:val="006E702B"/>
    <w:rsid w:val="006E728F"/>
    <w:rsid w:val="006E7794"/>
    <w:rsid w:val="006E7B26"/>
    <w:rsid w:val="006E7E6D"/>
    <w:rsid w:val="006F0156"/>
    <w:rsid w:val="006F0177"/>
    <w:rsid w:val="006F04C8"/>
    <w:rsid w:val="006F4165"/>
    <w:rsid w:val="006F41BD"/>
    <w:rsid w:val="006F4217"/>
    <w:rsid w:val="006F4CBB"/>
    <w:rsid w:val="006F4DF9"/>
    <w:rsid w:val="006F4E91"/>
    <w:rsid w:val="006F54B8"/>
    <w:rsid w:val="006F5C3D"/>
    <w:rsid w:val="006F5E89"/>
    <w:rsid w:val="006F74DD"/>
    <w:rsid w:val="006F754A"/>
    <w:rsid w:val="007000E0"/>
    <w:rsid w:val="00700EF2"/>
    <w:rsid w:val="00701661"/>
    <w:rsid w:val="0070224A"/>
    <w:rsid w:val="007025F7"/>
    <w:rsid w:val="007034F0"/>
    <w:rsid w:val="00703658"/>
    <w:rsid w:val="00703A83"/>
    <w:rsid w:val="007044E8"/>
    <w:rsid w:val="00704732"/>
    <w:rsid w:val="007077F6"/>
    <w:rsid w:val="00707968"/>
    <w:rsid w:val="00712879"/>
    <w:rsid w:val="00714499"/>
    <w:rsid w:val="00715B33"/>
    <w:rsid w:val="0071649C"/>
    <w:rsid w:val="00717802"/>
    <w:rsid w:val="00717BCE"/>
    <w:rsid w:val="00720188"/>
    <w:rsid w:val="00720887"/>
    <w:rsid w:val="007208DB"/>
    <w:rsid w:val="00720F12"/>
    <w:rsid w:val="00721E08"/>
    <w:rsid w:val="00722D8D"/>
    <w:rsid w:val="00723E40"/>
    <w:rsid w:val="00724228"/>
    <w:rsid w:val="00724DEC"/>
    <w:rsid w:val="00727009"/>
    <w:rsid w:val="00727DDA"/>
    <w:rsid w:val="00731016"/>
    <w:rsid w:val="00731C98"/>
    <w:rsid w:val="00732763"/>
    <w:rsid w:val="00736D3C"/>
    <w:rsid w:val="007371C9"/>
    <w:rsid w:val="00741C89"/>
    <w:rsid w:val="00742542"/>
    <w:rsid w:val="00742A74"/>
    <w:rsid w:val="00742FAE"/>
    <w:rsid w:val="00743966"/>
    <w:rsid w:val="00743E49"/>
    <w:rsid w:val="007450E0"/>
    <w:rsid w:val="00746797"/>
    <w:rsid w:val="00747BE5"/>
    <w:rsid w:val="00751EA6"/>
    <w:rsid w:val="00752F9F"/>
    <w:rsid w:val="007533F4"/>
    <w:rsid w:val="00754B2E"/>
    <w:rsid w:val="007550E3"/>
    <w:rsid w:val="0075570D"/>
    <w:rsid w:val="00755FA1"/>
    <w:rsid w:val="00760936"/>
    <w:rsid w:val="00760A72"/>
    <w:rsid w:val="00762226"/>
    <w:rsid w:val="00762500"/>
    <w:rsid w:val="007630E6"/>
    <w:rsid w:val="00763907"/>
    <w:rsid w:val="00764205"/>
    <w:rsid w:val="00765BC1"/>
    <w:rsid w:val="00765E76"/>
    <w:rsid w:val="00767B03"/>
    <w:rsid w:val="00767F0C"/>
    <w:rsid w:val="00771089"/>
    <w:rsid w:val="00773249"/>
    <w:rsid w:val="007735BC"/>
    <w:rsid w:val="00773A28"/>
    <w:rsid w:val="007744F7"/>
    <w:rsid w:val="00774686"/>
    <w:rsid w:val="00774FB4"/>
    <w:rsid w:val="007754E9"/>
    <w:rsid w:val="007755FA"/>
    <w:rsid w:val="007764FA"/>
    <w:rsid w:val="00776AE9"/>
    <w:rsid w:val="00776B5D"/>
    <w:rsid w:val="007771A1"/>
    <w:rsid w:val="0078496E"/>
    <w:rsid w:val="007856E0"/>
    <w:rsid w:val="00787094"/>
    <w:rsid w:val="00787825"/>
    <w:rsid w:val="00787A2B"/>
    <w:rsid w:val="00787C2E"/>
    <w:rsid w:val="00787E82"/>
    <w:rsid w:val="00790B5D"/>
    <w:rsid w:val="00790BA5"/>
    <w:rsid w:val="00793A23"/>
    <w:rsid w:val="00793A5F"/>
    <w:rsid w:val="00793CC4"/>
    <w:rsid w:val="00795C50"/>
    <w:rsid w:val="00796F5B"/>
    <w:rsid w:val="00797852"/>
    <w:rsid w:val="007A2F07"/>
    <w:rsid w:val="007A3FE5"/>
    <w:rsid w:val="007A4820"/>
    <w:rsid w:val="007A79B5"/>
    <w:rsid w:val="007B05CE"/>
    <w:rsid w:val="007B1718"/>
    <w:rsid w:val="007B274E"/>
    <w:rsid w:val="007B2F85"/>
    <w:rsid w:val="007B3C20"/>
    <w:rsid w:val="007B4ABB"/>
    <w:rsid w:val="007B6A9D"/>
    <w:rsid w:val="007B6E8F"/>
    <w:rsid w:val="007B74B9"/>
    <w:rsid w:val="007B77E4"/>
    <w:rsid w:val="007C1951"/>
    <w:rsid w:val="007C35EE"/>
    <w:rsid w:val="007C39C9"/>
    <w:rsid w:val="007C40FB"/>
    <w:rsid w:val="007C662C"/>
    <w:rsid w:val="007C70A6"/>
    <w:rsid w:val="007C7568"/>
    <w:rsid w:val="007C7A26"/>
    <w:rsid w:val="007C7CF3"/>
    <w:rsid w:val="007D265F"/>
    <w:rsid w:val="007D4DF1"/>
    <w:rsid w:val="007D52B9"/>
    <w:rsid w:val="007D5E4B"/>
    <w:rsid w:val="007D665D"/>
    <w:rsid w:val="007D697F"/>
    <w:rsid w:val="007D6A0F"/>
    <w:rsid w:val="007E01C4"/>
    <w:rsid w:val="007E0E0C"/>
    <w:rsid w:val="007E19BC"/>
    <w:rsid w:val="007E2375"/>
    <w:rsid w:val="007E355C"/>
    <w:rsid w:val="007E397B"/>
    <w:rsid w:val="007E51C0"/>
    <w:rsid w:val="007E6047"/>
    <w:rsid w:val="007E6141"/>
    <w:rsid w:val="007E6F82"/>
    <w:rsid w:val="007E7775"/>
    <w:rsid w:val="007E7C9E"/>
    <w:rsid w:val="007F12AE"/>
    <w:rsid w:val="007F33F9"/>
    <w:rsid w:val="007F55EA"/>
    <w:rsid w:val="007F589D"/>
    <w:rsid w:val="007F606E"/>
    <w:rsid w:val="00800B19"/>
    <w:rsid w:val="00801ADC"/>
    <w:rsid w:val="0080300D"/>
    <w:rsid w:val="00803965"/>
    <w:rsid w:val="0080437B"/>
    <w:rsid w:val="00804A57"/>
    <w:rsid w:val="00805DA5"/>
    <w:rsid w:val="00805DC4"/>
    <w:rsid w:val="00805E5A"/>
    <w:rsid w:val="008063C1"/>
    <w:rsid w:val="00806CCA"/>
    <w:rsid w:val="00807E85"/>
    <w:rsid w:val="00812D0F"/>
    <w:rsid w:val="00815DA3"/>
    <w:rsid w:val="0081665A"/>
    <w:rsid w:val="00817801"/>
    <w:rsid w:val="00817A23"/>
    <w:rsid w:val="00817EE7"/>
    <w:rsid w:val="008222EE"/>
    <w:rsid w:val="00824323"/>
    <w:rsid w:val="00824D6D"/>
    <w:rsid w:val="00825264"/>
    <w:rsid w:val="00825908"/>
    <w:rsid w:val="00827B01"/>
    <w:rsid w:val="008301FB"/>
    <w:rsid w:val="00830417"/>
    <w:rsid w:val="00831713"/>
    <w:rsid w:val="008327AB"/>
    <w:rsid w:val="00832C56"/>
    <w:rsid w:val="00832CE4"/>
    <w:rsid w:val="0083415C"/>
    <w:rsid w:val="00834623"/>
    <w:rsid w:val="00834CE6"/>
    <w:rsid w:val="00836B69"/>
    <w:rsid w:val="00836C2F"/>
    <w:rsid w:val="0084138B"/>
    <w:rsid w:val="0084171D"/>
    <w:rsid w:val="00841B4C"/>
    <w:rsid w:val="00841DAD"/>
    <w:rsid w:val="00841FE0"/>
    <w:rsid w:val="00842053"/>
    <w:rsid w:val="008438E4"/>
    <w:rsid w:val="0084390D"/>
    <w:rsid w:val="00845303"/>
    <w:rsid w:val="00845722"/>
    <w:rsid w:val="008476B6"/>
    <w:rsid w:val="00847BAE"/>
    <w:rsid w:val="00851195"/>
    <w:rsid w:val="00851C68"/>
    <w:rsid w:val="00852BC8"/>
    <w:rsid w:val="00852C3D"/>
    <w:rsid w:val="00853663"/>
    <w:rsid w:val="008538A0"/>
    <w:rsid w:val="008554A3"/>
    <w:rsid w:val="008555C2"/>
    <w:rsid w:val="008555D4"/>
    <w:rsid w:val="00855780"/>
    <w:rsid w:val="00856439"/>
    <w:rsid w:val="0085648E"/>
    <w:rsid w:val="00863FB9"/>
    <w:rsid w:val="0086428B"/>
    <w:rsid w:val="008646B3"/>
    <w:rsid w:val="00866888"/>
    <w:rsid w:val="00870C01"/>
    <w:rsid w:val="00870D4F"/>
    <w:rsid w:val="008710BA"/>
    <w:rsid w:val="00871987"/>
    <w:rsid w:val="00871FE6"/>
    <w:rsid w:val="00873418"/>
    <w:rsid w:val="008734A6"/>
    <w:rsid w:val="008737C7"/>
    <w:rsid w:val="00874445"/>
    <w:rsid w:val="00874674"/>
    <w:rsid w:val="00875B69"/>
    <w:rsid w:val="008762B4"/>
    <w:rsid w:val="00876473"/>
    <w:rsid w:val="008773CA"/>
    <w:rsid w:val="00882230"/>
    <w:rsid w:val="0088223F"/>
    <w:rsid w:val="00882B04"/>
    <w:rsid w:val="00883F15"/>
    <w:rsid w:val="008842D8"/>
    <w:rsid w:val="00884CB1"/>
    <w:rsid w:val="00885156"/>
    <w:rsid w:val="00885183"/>
    <w:rsid w:val="00885380"/>
    <w:rsid w:val="00885BD7"/>
    <w:rsid w:val="0088622B"/>
    <w:rsid w:val="00886A5B"/>
    <w:rsid w:val="00886B0A"/>
    <w:rsid w:val="0089048A"/>
    <w:rsid w:val="00890912"/>
    <w:rsid w:val="008911CF"/>
    <w:rsid w:val="00891780"/>
    <w:rsid w:val="00892652"/>
    <w:rsid w:val="00892901"/>
    <w:rsid w:val="00893A95"/>
    <w:rsid w:val="008947D8"/>
    <w:rsid w:val="008952B5"/>
    <w:rsid w:val="0089635D"/>
    <w:rsid w:val="00896CDB"/>
    <w:rsid w:val="00897C9A"/>
    <w:rsid w:val="008A07D3"/>
    <w:rsid w:val="008A1177"/>
    <w:rsid w:val="008A185B"/>
    <w:rsid w:val="008A2C50"/>
    <w:rsid w:val="008A3648"/>
    <w:rsid w:val="008A4258"/>
    <w:rsid w:val="008A444F"/>
    <w:rsid w:val="008A5AB8"/>
    <w:rsid w:val="008A7049"/>
    <w:rsid w:val="008B515C"/>
    <w:rsid w:val="008B728C"/>
    <w:rsid w:val="008B7A02"/>
    <w:rsid w:val="008C000E"/>
    <w:rsid w:val="008C02C8"/>
    <w:rsid w:val="008C054E"/>
    <w:rsid w:val="008C1082"/>
    <w:rsid w:val="008C1136"/>
    <w:rsid w:val="008C1223"/>
    <w:rsid w:val="008C22CC"/>
    <w:rsid w:val="008C3C2D"/>
    <w:rsid w:val="008C4638"/>
    <w:rsid w:val="008C4961"/>
    <w:rsid w:val="008C6207"/>
    <w:rsid w:val="008C62BB"/>
    <w:rsid w:val="008C6F14"/>
    <w:rsid w:val="008C7499"/>
    <w:rsid w:val="008D2393"/>
    <w:rsid w:val="008D26F2"/>
    <w:rsid w:val="008D2705"/>
    <w:rsid w:val="008D2E2A"/>
    <w:rsid w:val="008D78CA"/>
    <w:rsid w:val="008D7D5D"/>
    <w:rsid w:val="008E0BBD"/>
    <w:rsid w:val="008E2AD3"/>
    <w:rsid w:val="008E356E"/>
    <w:rsid w:val="008E36FC"/>
    <w:rsid w:val="008E3EB0"/>
    <w:rsid w:val="008E4C6D"/>
    <w:rsid w:val="008E565C"/>
    <w:rsid w:val="008E6ABE"/>
    <w:rsid w:val="008F12A3"/>
    <w:rsid w:val="008F2399"/>
    <w:rsid w:val="008F2E35"/>
    <w:rsid w:val="008F3ABD"/>
    <w:rsid w:val="008F3D3F"/>
    <w:rsid w:val="008F41EC"/>
    <w:rsid w:val="008F4240"/>
    <w:rsid w:val="008F6029"/>
    <w:rsid w:val="00900139"/>
    <w:rsid w:val="009007B6"/>
    <w:rsid w:val="00903C64"/>
    <w:rsid w:val="009040E8"/>
    <w:rsid w:val="0090426C"/>
    <w:rsid w:val="0090467B"/>
    <w:rsid w:val="009046C1"/>
    <w:rsid w:val="00905027"/>
    <w:rsid w:val="00906033"/>
    <w:rsid w:val="00906A0C"/>
    <w:rsid w:val="00907784"/>
    <w:rsid w:val="00907CB6"/>
    <w:rsid w:val="00907E75"/>
    <w:rsid w:val="00910EE6"/>
    <w:rsid w:val="00911089"/>
    <w:rsid w:val="00911B19"/>
    <w:rsid w:val="00911F48"/>
    <w:rsid w:val="00912760"/>
    <w:rsid w:val="00912D2A"/>
    <w:rsid w:val="00914EC9"/>
    <w:rsid w:val="009201B6"/>
    <w:rsid w:val="00921089"/>
    <w:rsid w:val="009229CB"/>
    <w:rsid w:val="00923472"/>
    <w:rsid w:val="009237C9"/>
    <w:rsid w:val="00923BE9"/>
    <w:rsid w:val="00923D1E"/>
    <w:rsid w:val="00923D28"/>
    <w:rsid w:val="00924BEE"/>
    <w:rsid w:val="009258BE"/>
    <w:rsid w:val="00926F58"/>
    <w:rsid w:val="00927852"/>
    <w:rsid w:val="009329A1"/>
    <w:rsid w:val="009401D0"/>
    <w:rsid w:val="00941BE0"/>
    <w:rsid w:val="0094439D"/>
    <w:rsid w:val="009474E6"/>
    <w:rsid w:val="009476BC"/>
    <w:rsid w:val="009525F4"/>
    <w:rsid w:val="00954155"/>
    <w:rsid w:val="009545FF"/>
    <w:rsid w:val="00956BB8"/>
    <w:rsid w:val="00960727"/>
    <w:rsid w:val="00960F63"/>
    <w:rsid w:val="009619F4"/>
    <w:rsid w:val="00961C34"/>
    <w:rsid w:val="00962493"/>
    <w:rsid w:val="00962746"/>
    <w:rsid w:val="009628E4"/>
    <w:rsid w:val="00962C4D"/>
    <w:rsid w:val="00962D0E"/>
    <w:rsid w:val="00962F04"/>
    <w:rsid w:val="00963022"/>
    <w:rsid w:val="00963368"/>
    <w:rsid w:val="009636E1"/>
    <w:rsid w:val="00963B23"/>
    <w:rsid w:val="00964B87"/>
    <w:rsid w:val="00966564"/>
    <w:rsid w:val="00966D50"/>
    <w:rsid w:val="00966DC9"/>
    <w:rsid w:val="00967BA5"/>
    <w:rsid w:val="0097044A"/>
    <w:rsid w:val="009732FB"/>
    <w:rsid w:val="0097370D"/>
    <w:rsid w:val="009747D9"/>
    <w:rsid w:val="0097499E"/>
    <w:rsid w:val="00974C2F"/>
    <w:rsid w:val="00975972"/>
    <w:rsid w:val="00976BA7"/>
    <w:rsid w:val="009773E2"/>
    <w:rsid w:val="0098048B"/>
    <w:rsid w:val="009811C8"/>
    <w:rsid w:val="009815CB"/>
    <w:rsid w:val="00981B55"/>
    <w:rsid w:val="00982AEE"/>
    <w:rsid w:val="0098392B"/>
    <w:rsid w:val="00983FFC"/>
    <w:rsid w:val="00984C6F"/>
    <w:rsid w:val="00985EB7"/>
    <w:rsid w:val="009860D7"/>
    <w:rsid w:val="00986ABE"/>
    <w:rsid w:val="00987331"/>
    <w:rsid w:val="00987EC4"/>
    <w:rsid w:val="009902F5"/>
    <w:rsid w:val="0099037F"/>
    <w:rsid w:val="0099144C"/>
    <w:rsid w:val="009918A7"/>
    <w:rsid w:val="0099268E"/>
    <w:rsid w:val="00992C99"/>
    <w:rsid w:val="00994862"/>
    <w:rsid w:val="0099535E"/>
    <w:rsid w:val="0099562A"/>
    <w:rsid w:val="009A202C"/>
    <w:rsid w:val="009A27D0"/>
    <w:rsid w:val="009A2FD8"/>
    <w:rsid w:val="009A3930"/>
    <w:rsid w:val="009A3E83"/>
    <w:rsid w:val="009A45DE"/>
    <w:rsid w:val="009A508B"/>
    <w:rsid w:val="009A6491"/>
    <w:rsid w:val="009A7270"/>
    <w:rsid w:val="009A732F"/>
    <w:rsid w:val="009A753A"/>
    <w:rsid w:val="009B18E4"/>
    <w:rsid w:val="009B24C8"/>
    <w:rsid w:val="009B2A2A"/>
    <w:rsid w:val="009B4956"/>
    <w:rsid w:val="009B6431"/>
    <w:rsid w:val="009B6E21"/>
    <w:rsid w:val="009B745D"/>
    <w:rsid w:val="009C0725"/>
    <w:rsid w:val="009C1052"/>
    <w:rsid w:val="009C1A78"/>
    <w:rsid w:val="009C2F51"/>
    <w:rsid w:val="009C3FA8"/>
    <w:rsid w:val="009C438D"/>
    <w:rsid w:val="009C5648"/>
    <w:rsid w:val="009C6408"/>
    <w:rsid w:val="009C6B2F"/>
    <w:rsid w:val="009D4637"/>
    <w:rsid w:val="009D57F2"/>
    <w:rsid w:val="009D6A18"/>
    <w:rsid w:val="009D6A55"/>
    <w:rsid w:val="009D7473"/>
    <w:rsid w:val="009D7A5C"/>
    <w:rsid w:val="009E076C"/>
    <w:rsid w:val="009E147B"/>
    <w:rsid w:val="009E173D"/>
    <w:rsid w:val="009E1ABE"/>
    <w:rsid w:val="009E3166"/>
    <w:rsid w:val="009E4A70"/>
    <w:rsid w:val="009E58C5"/>
    <w:rsid w:val="009E59AF"/>
    <w:rsid w:val="009E5C42"/>
    <w:rsid w:val="009E6B03"/>
    <w:rsid w:val="009E6BA3"/>
    <w:rsid w:val="009E7289"/>
    <w:rsid w:val="009F03E5"/>
    <w:rsid w:val="009F05E9"/>
    <w:rsid w:val="009F1A28"/>
    <w:rsid w:val="009F431B"/>
    <w:rsid w:val="009F47C4"/>
    <w:rsid w:val="009F5B24"/>
    <w:rsid w:val="009F6090"/>
    <w:rsid w:val="009F7007"/>
    <w:rsid w:val="00A00844"/>
    <w:rsid w:val="00A01266"/>
    <w:rsid w:val="00A01AA1"/>
    <w:rsid w:val="00A02E3E"/>
    <w:rsid w:val="00A03352"/>
    <w:rsid w:val="00A0445F"/>
    <w:rsid w:val="00A04565"/>
    <w:rsid w:val="00A068E1"/>
    <w:rsid w:val="00A0741F"/>
    <w:rsid w:val="00A1088D"/>
    <w:rsid w:val="00A10CA6"/>
    <w:rsid w:val="00A118FF"/>
    <w:rsid w:val="00A119BE"/>
    <w:rsid w:val="00A12B02"/>
    <w:rsid w:val="00A14E77"/>
    <w:rsid w:val="00A152D0"/>
    <w:rsid w:val="00A152F7"/>
    <w:rsid w:val="00A15CFD"/>
    <w:rsid w:val="00A15FF4"/>
    <w:rsid w:val="00A16C02"/>
    <w:rsid w:val="00A16DB0"/>
    <w:rsid w:val="00A17722"/>
    <w:rsid w:val="00A17D94"/>
    <w:rsid w:val="00A224BE"/>
    <w:rsid w:val="00A23CF6"/>
    <w:rsid w:val="00A259D2"/>
    <w:rsid w:val="00A25E11"/>
    <w:rsid w:val="00A27E21"/>
    <w:rsid w:val="00A3005E"/>
    <w:rsid w:val="00A30EFF"/>
    <w:rsid w:val="00A3350C"/>
    <w:rsid w:val="00A33B8F"/>
    <w:rsid w:val="00A36B95"/>
    <w:rsid w:val="00A37FE0"/>
    <w:rsid w:val="00A401C3"/>
    <w:rsid w:val="00A4030C"/>
    <w:rsid w:val="00A406A0"/>
    <w:rsid w:val="00A40800"/>
    <w:rsid w:val="00A4173F"/>
    <w:rsid w:val="00A41950"/>
    <w:rsid w:val="00A41B4D"/>
    <w:rsid w:val="00A42252"/>
    <w:rsid w:val="00A42691"/>
    <w:rsid w:val="00A42A4B"/>
    <w:rsid w:val="00A43606"/>
    <w:rsid w:val="00A438C0"/>
    <w:rsid w:val="00A43C05"/>
    <w:rsid w:val="00A44412"/>
    <w:rsid w:val="00A45659"/>
    <w:rsid w:val="00A45A11"/>
    <w:rsid w:val="00A462B2"/>
    <w:rsid w:val="00A46F50"/>
    <w:rsid w:val="00A4708C"/>
    <w:rsid w:val="00A47555"/>
    <w:rsid w:val="00A47BD0"/>
    <w:rsid w:val="00A50000"/>
    <w:rsid w:val="00A5118A"/>
    <w:rsid w:val="00A53A04"/>
    <w:rsid w:val="00A5546E"/>
    <w:rsid w:val="00A554BD"/>
    <w:rsid w:val="00A55BC2"/>
    <w:rsid w:val="00A56F77"/>
    <w:rsid w:val="00A60AC4"/>
    <w:rsid w:val="00A6108E"/>
    <w:rsid w:val="00A6363F"/>
    <w:rsid w:val="00A65B92"/>
    <w:rsid w:val="00A65E6C"/>
    <w:rsid w:val="00A6651D"/>
    <w:rsid w:val="00A66878"/>
    <w:rsid w:val="00A706B7"/>
    <w:rsid w:val="00A72002"/>
    <w:rsid w:val="00A742AB"/>
    <w:rsid w:val="00A81D8B"/>
    <w:rsid w:val="00A82A96"/>
    <w:rsid w:val="00A835A6"/>
    <w:rsid w:val="00A8405F"/>
    <w:rsid w:val="00A8534F"/>
    <w:rsid w:val="00A8554B"/>
    <w:rsid w:val="00A864E1"/>
    <w:rsid w:val="00A90431"/>
    <w:rsid w:val="00A919A9"/>
    <w:rsid w:val="00A93828"/>
    <w:rsid w:val="00A93D9B"/>
    <w:rsid w:val="00A94940"/>
    <w:rsid w:val="00A95CC3"/>
    <w:rsid w:val="00A97793"/>
    <w:rsid w:val="00AA04EF"/>
    <w:rsid w:val="00AA1837"/>
    <w:rsid w:val="00AA2774"/>
    <w:rsid w:val="00AA3B0D"/>
    <w:rsid w:val="00AA3E6B"/>
    <w:rsid w:val="00AA4B55"/>
    <w:rsid w:val="00AA4D3D"/>
    <w:rsid w:val="00AA5F3F"/>
    <w:rsid w:val="00AA7374"/>
    <w:rsid w:val="00AA750C"/>
    <w:rsid w:val="00AB0281"/>
    <w:rsid w:val="00AB060F"/>
    <w:rsid w:val="00AB0D75"/>
    <w:rsid w:val="00AB1C43"/>
    <w:rsid w:val="00AB2313"/>
    <w:rsid w:val="00AB29DC"/>
    <w:rsid w:val="00AB354B"/>
    <w:rsid w:val="00AB4166"/>
    <w:rsid w:val="00AB4D5A"/>
    <w:rsid w:val="00AB663F"/>
    <w:rsid w:val="00AC0289"/>
    <w:rsid w:val="00AC02D4"/>
    <w:rsid w:val="00AC0C7A"/>
    <w:rsid w:val="00AC153D"/>
    <w:rsid w:val="00AC1CEE"/>
    <w:rsid w:val="00AC2434"/>
    <w:rsid w:val="00AC24EE"/>
    <w:rsid w:val="00AC39E9"/>
    <w:rsid w:val="00AC45C3"/>
    <w:rsid w:val="00AC4D5D"/>
    <w:rsid w:val="00AD0174"/>
    <w:rsid w:val="00AD0B77"/>
    <w:rsid w:val="00AD194E"/>
    <w:rsid w:val="00AD1B5A"/>
    <w:rsid w:val="00AD243B"/>
    <w:rsid w:val="00AD3936"/>
    <w:rsid w:val="00AD52D9"/>
    <w:rsid w:val="00AD5E0A"/>
    <w:rsid w:val="00AD66BA"/>
    <w:rsid w:val="00AE12DD"/>
    <w:rsid w:val="00AE154E"/>
    <w:rsid w:val="00AE29E3"/>
    <w:rsid w:val="00AE2B62"/>
    <w:rsid w:val="00AE4683"/>
    <w:rsid w:val="00AE47FC"/>
    <w:rsid w:val="00AE4821"/>
    <w:rsid w:val="00AE521F"/>
    <w:rsid w:val="00AE531E"/>
    <w:rsid w:val="00AE791B"/>
    <w:rsid w:val="00AE7EC2"/>
    <w:rsid w:val="00AF0232"/>
    <w:rsid w:val="00AF0E04"/>
    <w:rsid w:val="00AF0F99"/>
    <w:rsid w:val="00AF116F"/>
    <w:rsid w:val="00AF11E1"/>
    <w:rsid w:val="00AF36D2"/>
    <w:rsid w:val="00AF516B"/>
    <w:rsid w:val="00AF6102"/>
    <w:rsid w:val="00AF6E4B"/>
    <w:rsid w:val="00AF7FF8"/>
    <w:rsid w:val="00B00A12"/>
    <w:rsid w:val="00B00E0A"/>
    <w:rsid w:val="00B0133E"/>
    <w:rsid w:val="00B0560E"/>
    <w:rsid w:val="00B0562D"/>
    <w:rsid w:val="00B10277"/>
    <w:rsid w:val="00B103A8"/>
    <w:rsid w:val="00B10591"/>
    <w:rsid w:val="00B11468"/>
    <w:rsid w:val="00B12065"/>
    <w:rsid w:val="00B12C16"/>
    <w:rsid w:val="00B132ED"/>
    <w:rsid w:val="00B135B3"/>
    <w:rsid w:val="00B13798"/>
    <w:rsid w:val="00B13A3A"/>
    <w:rsid w:val="00B15B6F"/>
    <w:rsid w:val="00B175B3"/>
    <w:rsid w:val="00B1770A"/>
    <w:rsid w:val="00B177C3"/>
    <w:rsid w:val="00B20337"/>
    <w:rsid w:val="00B222C8"/>
    <w:rsid w:val="00B22CE4"/>
    <w:rsid w:val="00B22DD6"/>
    <w:rsid w:val="00B23861"/>
    <w:rsid w:val="00B23E2C"/>
    <w:rsid w:val="00B241E0"/>
    <w:rsid w:val="00B244CC"/>
    <w:rsid w:val="00B2598C"/>
    <w:rsid w:val="00B26749"/>
    <w:rsid w:val="00B27F89"/>
    <w:rsid w:val="00B304E2"/>
    <w:rsid w:val="00B31F15"/>
    <w:rsid w:val="00B31F27"/>
    <w:rsid w:val="00B347A9"/>
    <w:rsid w:val="00B349A0"/>
    <w:rsid w:val="00B35E57"/>
    <w:rsid w:val="00B36E18"/>
    <w:rsid w:val="00B4001F"/>
    <w:rsid w:val="00B4033D"/>
    <w:rsid w:val="00B42E61"/>
    <w:rsid w:val="00B4310E"/>
    <w:rsid w:val="00B448AF"/>
    <w:rsid w:val="00B44B4D"/>
    <w:rsid w:val="00B454B0"/>
    <w:rsid w:val="00B45717"/>
    <w:rsid w:val="00B460D4"/>
    <w:rsid w:val="00B4714A"/>
    <w:rsid w:val="00B47219"/>
    <w:rsid w:val="00B47F71"/>
    <w:rsid w:val="00B50B22"/>
    <w:rsid w:val="00B51220"/>
    <w:rsid w:val="00B512BE"/>
    <w:rsid w:val="00B516A4"/>
    <w:rsid w:val="00B51A9B"/>
    <w:rsid w:val="00B53634"/>
    <w:rsid w:val="00B54840"/>
    <w:rsid w:val="00B55B39"/>
    <w:rsid w:val="00B55F99"/>
    <w:rsid w:val="00B5613C"/>
    <w:rsid w:val="00B57850"/>
    <w:rsid w:val="00B60BB7"/>
    <w:rsid w:val="00B62A40"/>
    <w:rsid w:val="00B64E82"/>
    <w:rsid w:val="00B6525E"/>
    <w:rsid w:val="00B655C6"/>
    <w:rsid w:val="00B659D4"/>
    <w:rsid w:val="00B65BD6"/>
    <w:rsid w:val="00B66216"/>
    <w:rsid w:val="00B663AA"/>
    <w:rsid w:val="00B6648D"/>
    <w:rsid w:val="00B664BE"/>
    <w:rsid w:val="00B66C05"/>
    <w:rsid w:val="00B70233"/>
    <w:rsid w:val="00B717F5"/>
    <w:rsid w:val="00B72936"/>
    <w:rsid w:val="00B72D22"/>
    <w:rsid w:val="00B72D55"/>
    <w:rsid w:val="00B73EFB"/>
    <w:rsid w:val="00B7440D"/>
    <w:rsid w:val="00B75DA2"/>
    <w:rsid w:val="00B76DBD"/>
    <w:rsid w:val="00B77872"/>
    <w:rsid w:val="00B77F2D"/>
    <w:rsid w:val="00B80EF8"/>
    <w:rsid w:val="00B8148F"/>
    <w:rsid w:val="00B81640"/>
    <w:rsid w:val="00B82B28"/>
    <w:rsid w:val="00B83666"/>
    <w:rsid w:val="00B8392C"/>
    <w:rsid w:val="00B8426F"/>
    <w:rsid w:val="00B84C55"/>
    <w:rsid w:val="00B866C8"/>
    <w:rsid w:val="00B86DD1"/>
    <w:rsid w:val="00B872C0"/>
    <w:rsid w:val="00B93E37"/>
    <w:rsid w:val="00B94A8B"/>
    <w:rsid w:val="00B95436"/>
    <w:rsid w:val="00B95C47"/>
    <w:rsid w:val="00B967E0"/>
    <w:rsid w:val="00B97950"/>
    <w:rsid w:val="00BA0024"/>
    <w:rsid w:val="00BA02AF"/>
    <w:rsid w:val="00BA0AAA"/>
    <w:rsid w:val="00BA0C16"/>
    <w:rsid w:val="00BA2641"/>
    <w:rsid w:val="00BA3639"/>
    <w:rsid w:val="00BA5258"/>
    <w:rsid w:val="00BA6251"/>
    <w:rsid w:val="00BA6A00"/>
    <w:rsid w:val="00BA7C5D"/>
    <w:rsid w:val="00BA7CA9"/>
    <w:rsid w:val="00BB1131"/>
    <w:rsid w:val="00BB128C"/>
    <w:rsid w:val="00BB2143"/>
    <w:rsid w:val="00BB4A46"/>
    <w:rsid w:val="00BB4FAD"/>
    <w:rsid w:val="00BB50A5"/>
    <w:rsid w:val="00BB6E8E"/>
    <w:rsid w:val="00BB77BE"/>
    <w:rsid w:val="00BC1C2F"/>
    <w:rsid w:val="00BC33A6"/>
    <w:rsid w:val="00BC37F0"/>
    <w:rsid w:val="00BC3917"/>
    <w:rsid w:val="00BC4A57"/>
    <w:rsid w:val="00BC6A52"/>
    <w:rsid w:val="00BC6A9C"/>
    <w:rsid w:val="00BC7E1E"/>
    <w:rsid w:val="00BD0D0A"/>
    <w:rsid w:val="00BD2F76"/>
    <w:rsid w:val="00BD3E58"/>
    <w:rsid w:val="00BD45D8"/>
    <w:rsid w:val="00BD4A7B"/>
    <w:rsid w:val="00BD54DF"/>
    <w:rsid w:val="00BD5532"/>
    <w:rsid w:val="00BD5A2D"/>
    <w:rsid w:val="00BD5D4D"/>
    <w:rsid w:val="00BD5DA4"/>
    <w:rsid w:val="00BD714A"/>
    <w:rsid w:val="00BD7515"/>
    <w:rsid w:val="00BE004E"/>
    <w:rsid w:val="00BE1CD1"/>
    <w:rsid w:val="00BE1FCE"/>
    <w:rsid w:val="00BE281D"/>
    <w:rsid w:val="00BE2D54"/>
    <w:rsid w:val="00BE3387"/>
    <w:rsid w:val="00BE42DD"/>
    <w:rsid w:val="00BE6A01"/>
    <w:rsid w:val="00BE6D98"/>
    <w:rsid w:val="00BE7298"/>
    <w:rsid w:val="00BF211B"/>
    <w:rsid w:val="00BF2846"/>
    <w:rsid w:val="00BF2E77"/>
    <w:rsid w:val="00BF37DA"/>
    <w:rsid w:val="00BF496D"/>
    <w:rsid w:val="00BF76E3"/>
    <w:rsid w:val="00C00901"/>
    <w:rsid w:val="00C00AA7"/>
    <w:rsid w:val="00C01ADC"/>
    <w:rsid w:val="00C02EF8"/>
    <w:rsid w:val="00C03100"/>
    <w:rsid w:val="00C035B7"/>
    <w:rsid w:val="00C03D3F"/>
    <w:rsid w:val="00C04685"/>
    <w:rsid w:val="00C04D8A"/>
    <w:rsid w:val="00C05325"/>
    <w:rsid w:val="00C0573D"/>
    <w:rsid w:val="00C057DB"/>
    <w:rsid w:val="00C05A3A"/>
    <w:rsid w:val="00C06257"/>
    <w:rsid w:val="00C06D70"/>
    <w:rsid w:val="00C076DB"/>
    <w:rsid w:val="00C07ACE"/>
    <w:rsid w:val="00C101DB"/>
    <w:rsid w:val="00C1083F"/>
    <w:rsid w:val="00C109B8"/>
    <w:rsid w:val="00C10A92"/>
    <w:rsid w:val="00C1174A"/>
    <w:rsid w:val="00C12D74"/>
    <w:rsid w:val="00C12FD1"/>
    <w:rsid w:val="00C138FC"/>
    <w:rsid w:val="00C15112"/>
    <w:rsid w:val="00C17646"/>
    <w:rsid w:val="00C20466"/>
    <w:rsid w:val="00C205BD"/>
    <w:rsid w:val="00C218F9"/>
    <w:rsid w:val="00C221A0"/>
    <w:rsid w:val="00C2287A"/>
    <w:rsid w:val="00C23B1D"/>
    <w:rsid w:val="00C244C9"/>
    <w:rsid w:val="00C27239"/>
    <w:rsid w:val="00C27861"/>
    <w:rsid w:val="00C30574"/>
    <w:rsid w:val="00C306CD"/>
    <w:rsid w:val="00C3117B"/>
    <w:rsid w:val="00C3234D"/>
    <w:rsid w:val="00C326F0"/>
    <w:rsid w:val="00C32CAC"/>
    <w:rsid w:val="00C33D79"/>
    <w:rsid w:val="00C341DD"/>
    <w:rsid w:val="00C3443F"/>
    <w:rsid w:val="00C345BD"/>
    <w:rsid w:val="00C35A12"/>
    <w:rsid w:val="00C364AF"/>
    <w:rsid w:val="00C371F6"/>
    <w:rsid w:val="00C37924"/>
    <w:rsid w:val="00C37B7A"/>
    <w:rsid w:val="00C41468"/>
    <w:rsid w:val="00C42479"/>
    <w:rsid w:val="00C424A9"/>
    <w:rsid w:val="00C439B0"/>
    <w:rsid w:val="00C440D7"/>
    <w:rsid w:val="00C447F2"/>
    <w:rsid w:val="00C44887"/>
    <w:rsid w:val="00C44EC4"/>
    <w:rsid w:val="00C450DD"/>
    <w:rsid w:val="00C458DF"/>
    <w:rsid w:val="00C45B8D"/>
    <w:rsid w:val="00C461C9"/>
    <w:rsid w:val="00C462B2"/>
    <w:rsid w:val="00C463E0"/>
    <w:rsid w:val="00C465BE"/>
    <w:rsid w:val="00C47976"/>
    <w:rsid w:val="00C47D85"/>
    <w:rsid w:val="00C5019A"/>
    <w:rsid w:val="00C50685"/>
    <w:rsid w:val="00C51381"/>
    <w:rsid w:val="00C534CC"/>
    <w:rsid w:val="00C5511F"/>
    <w:rsid w:val="00C559A5"/>
    <w:rsid w:val="00C56715"/>
    <w:rsid w:val="00C56B9C"/>
    <w:rsid w:val="00C6102D"/>
    <w:rsid w:val="00C610D4"/>
    <w:rsid w:val="00C633B6"/>
    <w:rsid w:val="00C6346E"/>
    <w:rsid w:val="00C64370"/>
    <w:rsid w:val="00C647F6"/>
    <w:rsid w:val="00C6480F"/>
    <w:rsid w:val="00C65CF9"/>
    <w:rsid w:val="00C67060"/>
    <w:rsid w:val="00C714EF"/>
    <w:rsid w:val="00C725CA"/>
    <w:rsid w:val="00C7512A"/>
    <w:rsid w:val="00C75D0B"/>
    <w:rsid w:val="00C76F16"/>
    <w:rsid w:val="00C77613"/>
    <w:rsid w:val="00C80013"/>
    <w:rsid w:val="00C80572"/>
    <w:rsid w:val="00C8111A"/>
    <w:rsid w:val="00C81717"/>
    <w:rsid w:val="00C8271A"/>
    <w:rsid w:val="00C839DE"/>
    <w:rsid w:val="00C83BB3"/>
    <w:rsid w:val="00C851CE"/>
    <w:rsid w:val="00C852FE"/>
    <w:rsid w:val="00C8594A"/>
    <w:rsid w:val="00C86126"/>
    <w:rsid w:val="00C8681C"/>
    <w:rsid w:val="00C87B2D"/>
    <w:rsid w:val="00C90F42"/>
    <w:rsid w:val="00C91365"/>
    <w:rsid w:val="00C913DF"/>
    <w:rsid w:val="00C917D4"/>
    <w:rsid w:val="00C92B07"/>
    <w:rsid w:val="00C93ACC"/>
    <w:rsid w:val="00C96658"/>
    <w:rsid w:val="00C969EE"/>
    <w:rsid w:val="00C97722"/>
    <w:rsid w:val="00C97DA7"/>
    <w:rsid w:val="00CA097B"/>
    <w:rsid w:val="00CA0A10"/>
    <w:rsid w:val="00CA0D3E"/>
    <w:rsid w:val="00CA2071"/>
    <w:rsid w:val="00CA2C42"/>
    <w:rsid w:val="00CA329E"/>
    <w:rsid w:val="00CA3427"/>
    <w:rsid w:val="00CA4B06"/>
    <w:rsid w:val="00CA4FEC"/>
    <w:rsid w:val="00CA5852"/>
    <w:rsid w:val="00CA6600"/>
    <w:rsid w:val="00CA6F15"/>
    <w:rsid w:val="00CA763B"/>
    <w:rsid w:val="00CA7ED0"/>
    <w:rsid w:val="00CB0FF7"/>
    <w:rsid w:val="00CB2349"/>
    <w:rsid w:val="00CB23BB"/>
    <w:rsid w:val="00CB53AB"/>
    <w:rsid w:val="00CB5F74"/>
    <w:rsid w:val="00CB711A"/>
    <w:rsid w:val="00CC1401"/>
    <w:rsid w:val="00CC1B1B"/>
    <w:rsid w:val="00CC1CF0"/>
    <w:rsid w:val="00CC3769"/>
    <w:rsid w:val="00CC4255"/>
    <w:rsid w:val="00CC435A"/>
    <w:rsid w:val="00CC4BB1"/>
    <w:rsid w:val="00CD02D8"/>
    <w:rsid w:val="00CD0547"/>
    <w:rsid w:val="00CD16FF"/>
    <w:rsid w:val="00CD30B4"/>
    <w:rsid w:val="00CD4807"/>
    <w:rsid w:val="00CD55ED"/>
    <w:rsid w:val="00CD5637"/>
    <w:rsid w:val="00CD57E5"/>
    <w:rsid w:val="00CD5BAD"/>
    <w:rsid w:val="00CD6B8A"/>
    <w:rsid w:val="00CD7726"/>
    <w:rsid w:val="00CE036F"/>
    <w:rsid w:val="00CE0469"/>
    <w:rsid w:val="00CE326A"/>
    <w:rsid w:val="00CE42E8"/>
    <w:rsid w:val="00CE4ADF"/>
    <w:rsid w:val="00CE5072"/>
    <w:rsid w:val="00CE57F6"/>
    <w:rsid w:val="00CE6A92"/>
    <w:rsid w:val="00CE7366"/>
    <w:rsid w:val="00CE739D"/>
    <w:rsid w:val="00CF0AFD"/>
    <w:rsid w:val="00CF0EE3"/>
    <w:rsid w:val="00CF1279"/>
    <w:rsid w:val="00CF42B3"/>
    <w:rsid w:val="00CF49A0"/>
    <w:rsid w:val="00CF4D44"/>
    <w:rsid w:val="00CF5BAC"/>
    <w:rsid w:val="00CF6611"/>
    <w:rsid w:val="00CF6BEB"/>
    <w:rsid w:val="00CF73BF"/>
    <w:rsid w:val="00CF7C46"/>
    <w:rsid w:val="00D0098D"/>
    <w:rsid w:val="00D00D52"/>
    <w:rsid w:val="00D01305"/>
    <w:rsid w:val="00D01B1A"/>
    <w:rsid w:val="00D01DD2"/>
    <w:rsid w:val="00D027C9"/>
    <w:rsid w:val="00D02C90"/>
    <w:rsid w:val="00D0340D"/>
    <w:rsid w:val="00D03709"/>
    <w:rsid w:val="00D04E90"/>
    <w:rsid w:val="00D05236"/>
    <w:rsid w:val="00D05325"/>
    <w:rsid w:val="00D05EF3"/>
    <w:rsid w:val="00D073DB"/>
    <w:rsid w:val="00D07587"/>
    <w:rsid w:val="00D100BA"/>
    <w:rsid w:val="00D106B1"/>
    <w:rsid w:val="00D10FDE"/>
    <w:rsid w:val="00D12ADD"/>
    <w:rsid w:val="00D13227"/>
    <w:rsid w:val="00D1428C"/>
    <w:rsid w:val="00D155FA"/>
    <w:rsid w:val="00D15931"/>
    <w:rsid w:val="00D15A49"/>
    <w:rsid w:val="00D162A2"/>
    <w:rsid w:val="00D20646"/>
    <w:rsid w:val="00D219EE"/>
    <w:rsid w:val="00D21B05"/>
    <w:rsid w:val="00D223D1"/>
    <w:rsid w:val="00D2262E"/>
    <w:rsid w:val="00D22733"/>
    <w:rsid w:val="00D236E6"/>
    <w:rsid w:val="00D241B3"/>
    <w:rsid w:val="00D24282"/>
    <w:rsid w:val="00D24E85"/>
    <w:rsid w:val="00D24EC2"/>
    <w:rsid w:val="00D26EDC"/>
    <w:rsid w:val="00D2741D"/>
    <w:rsid w:val="00D313FC"/>
    <w:rsid w:val="00D32C5F"/>
    <w:rsid w:val="00D34831"/>
    <w:rsid w:val="00D368E9"/>
    <w:rsid w:val="00D370E6"/>
    <w:rsid w:val="00D37B06"/>
    <w:rsid w:val="00D4054A"/>
    <w:rsid w:val="00D40627"/>
    <w:rsid w:val="00D40A12"/>
    <w:rsid w:val="00D41926"/>
    <w:rsid w:val="00D4272C"/>
    <w:rsid w:val="00D42BE7"/>
    <w:rsid w:val="00D4304B"/>
    <w:rsid w:val="00D43BAA"/>
    <w:rsid w:val="00D43EA4"/>
    <w:rsid w:val="00D44527"/>
    <w:rsid w:val="00D46663"/>
    <w:rsid w:val="00D46C16"/>
    <w:rsid w:val="00D5012E"/>
    <w:rsid w:val="00D508C1"/>
    <w:rsid w:val="00D51A9D"/>
    <w:rsid w:val="00D5350D"/>
    <w:rsid w:val="00D54A93"/>
    <w:rsid w:val="00D54D68"/>
    <w:rsid w:val="00D55725"/>
    <w:rsid w:val="00D56671"/>
    <w:rsid w:val="00D56EB6"/>
    <w:rsid w:val="00D57543"/>
    <w:rsid w:val="00D57632"/>
    <w:rsid w:val="00D63464"/>
    <w:rsid w:val="00D64B8F"/>
    <w:rsid w:val="00D6759C"/>
    <w:rsid w:val="00D675DC"/>
    <w:rsid w:val="00D7049A"/>
    <w:rsid w:val="00D70764"/>
    <w:rsid w:val="00D70B5F"/>
    <w:rsid w:val="00D727BC"/>
    <w:rsid w:val="00D72DC9"/>
    <w:rsid w:val="00D75904"/>
    <w:rsid w:val="00D75A15"/>
    <w:rsid w:val="00D77041"/>
    <w:rsid w:val="00D84342"/>
    <w:rsid w:val="00D845CD"/>
    <w:rsid w:val="00D856D5"/>
    <w:rsid w:val="00D87201"/>
    <w:rsid w:val="00D903DC"/>
    <w:rsid w:val="00D90E66"/>
    <w:rsid w:val="00D93513"/>
    <w:rsid w:val="00D94BB2"/>
    <w:rsid w:val="00D95703"/>
    <w:rsid w:val="00D9775B"/>
    <w:rsid w:val="00DA16CE"/>
    <w:rsid w:val="00DA2790"/>
    <w:rsid w:val="00DA3F03"/>
    <w:rsid w:val="00DB2221"/>
    <w:rsid w:val="00DB2963"/>
    <w:rsid w:val="00DB2E2E"/>
    <w:rsid w:val="00DB3FA7"/>
    <w:rsid w:val="00DB408E"/>
    <w:rsid w:val="00DB47DD"/>
    <w:rsid w:val="00DB4DCF"/>
    <w:rsid w:val="00DB621E"/>
    <w:rsid w:val="00DB75EB"/>
    <w:rsid w:val="00DB7875"/>
    <w:rsid w:val="00DB7AF6"/>
    <w:rsid w:val="00DB7B5D"/>
    <w:rsid w:val="00DB7B87"/>
    <w:rsid w:val="00DC0716"/>
    <w:rsid w:val="00DC0783"/>
    <w:rsid w:val="00DC0832"/>
    <w:rsid w:val="00DC0C5B"/>
    <w:rsid w:val="00DC10BE"/>
    <w:rsid w:val="00DC27A7"/>
    <w:rsid w:val="00DC3F1B"/>
    <w:rsid w:val="00DC50DE"/>
    <w:rsid w:val="00DC5C6E"/>
    <w:rsid w:val="00DC6F46"/>
    <w:rsid w:val="00DC760B"/>
    <w:rsid w:val="00DD0076"/>
    <w:rsid w:val="00DD048E"/>
    <w:rsid w:val="00DD091B"/>
    <w:rsid w:val="00DD126C"/>
    <w:rsid w:val="00DD25FD"/>
    <w:rsid w:val="00DD37E8"/>
    <w:rsid w:val="00DD4829"/>
    <w:rsid w:val="00DD498A"/>
    <w:rsid w:val="00DD52A0"/>
    <w:rsid w:val="00DD5A48"/>
    <w:rsid w:val="00DD7416"/>
    <w:rsid w:val="00DD77B8"/>
    <w:rsid w:val="00DE01C9"/>
    <w:rsid w:val="00DE1CA8"/>
    <w:rsid w:val="00DE247A"/>
    <w:rsid w:val="00DE2CEF"/>
    <w:rsid w:val="00DE47C0"/>
    <w:rsid w:val="00DE5917"/>
    <w:rsid w:val="00DE5BD9"/>
    <w:rsid w:val="00DE5CC5"/>
    <w:rsid w:val="00DE637F"/>
    <w:rsid w:val="00DE6C38"/>
    <w:rsid w:val="00DF0044"/>
    <w:rsid w:val="00DF0209"/>
    <w:rsid w:val="00DF2073"/>
    <w:rsid w:val="00DF3E6C"/>
    <w:rsid w:val="00DF4BA1"/>
    <w:rsid w:val="00DF4D71"/>
    <w:rsid w:val="00DF6415"/>
    <w:rsid w:val="00DF6926"/>
    <w:rsid w:val="00DF7409"/>
    <w:rsid w:val="00DF766C"/>
    <w:rsid w:val="00DF7D87"/>
    <w:rsid w:val="00E00393"/>
    <w:rsid w:val="00E00BB7"/>
    <w:rsid w:val="00E03A0E"/>
    <w:rsid w:val="00E03E2B"/>
    <w:rsid w:val="00E03E80"/>
    <w:rsid w:val="00E06313"/>
    <w:rsid w:val="00E1035D"/>
    <w:rsid w:val="00E12826"/>
    <w:rsid w:val="00E132FD"/>
    <w:rsid w:val="00E13C25"/>
    <w:rsid w:val="00E14272"/>
    <w:rsid w:val="00E151B2"/>
    <w:rsid w:val="00E1568A"/>
    <w:rsid w:val="00E15DF5"/>
    <w:rsid w:val="00E16090"/>
    <w:rsid w:val="00E165F2"/>
    <w:rsid w:val="00E175E4"/>
    <w:rsid w:val="00E208D8"/>
    <w:rsid w:val="00E2148C"/>
    <w:rsid w:val="00E219B8"/>
    <w:rsid w:val="00E22494"/>
    <w:rsid w:val="00E2490C"/>
    <w:rsid w:val="00E25E14"/>
    <w:rsid w:val="00E26F7E"/>
    <w:rsid w:val="00E275E2"/>
    <w:rsid w:val="00E27A5A"/>
    <w:rsid w:val="00E27C25"/>
    <w:rsid w:val="00E27DB9"/>
    <w:rsid w:val="00E31D3C"/>
    <w:rsid w:val="00E330AD"/>
    <w:rsid w:val="00E33AA3"/>
    <w:rsid w:val="00E34039"/>
    <w:rsid w:val="00E3535C"/>
    <w:rsid w:val="00E3770E"/>
    <w:rsid w:val="00E4147C"/>
    <w:rsid w:val="00E42895"/>
    <w:rsid w:val="00E4329B"/>
    <w:rsid w:val="00E45BC3"/>
    <w:rsid w:val="00E46426"/>
    <w:rsid w:val="00E46C6E"/>
    <w:rsid w:val="00E46F86"/>
    <w:rsid w:val="00E47554"/>
    <w:rsid w:val="00E5132E"/>
    <w:rsid w:val="00E53B7A"/>
    <w:rsid w:val="00E53D41"/>
    <w:rsid w:val="00E5408B"/>
    <w:rsid w:val="00E546C0"/>
    <w:rsid w:val="00E55BC6"/>
    <w:rsid w:val="00E55E67"/>
    <w:rsid w:val="00E562E6"/>
    <w:rsid w:val="00E56D3E"/>
    <w:rsid w:val="00E57004"/>
    <w:rsid w:val="00E57DC4"/>
    <w:rsid w:val="00E57DCC"/>
    <w:rsid w:val="00E60043"/>
    <w:rsid w:val="00E60CD5"/>
    <w:rsid w:val="00E61657"/>
    <w:rsid w:val="00E62641"/>
    <w:rsid w:val="00E65503"/>
    <w:rsid w:val="00E65D9F"/>
    <w:rsid w:val="00E670C7"/>
    <w:rsid w:val="00E67330"/>
    <w:rsid w:val="00E71082"/>
    <w:rsid w:val="00E71D05"/>
    <w:rsid w:val="00E7208C"/>
    <w:rsid w:val="00E720F3"/>
    <w:rsid w:val="00E73C98"/>
    <w:rsid w:val="00E74018"/>
    <w:rsid w:val="00E741B4"/>
    <w:rsid w:val="00E75982"/>
    <w:rsid w:val="00E764D5"/>
    <w:rsid w:val="00E769E4"/>
    <w:rsid w:val="00E76E9D"/>
    <w:rsid w:val="00E77906"/>
    <w:rsid w:val="00E802EE"/>
    <w:rsid w:val="00E80E4C"/>
    <w:rsid w:val="00E81F26"/>
    <w:rsid w:val="00E85297"/>
    <w:rsid w:val="00E873A6"/>
    <w:rsid w:val="00E914EF"/>
    <w:rsid w:val="00E919EF"/>
    <w:rsid w:val="00E92168"/>
    <w:rsid w:val="00E9297C"/>
    <w:rsid w:val="00E92B34"/>
    <w:rsid w:val="00E93296"/>
    <w:rsid w:val="00E939BD"/>
    <w:rsid w:val="00E93C86"/>
    <w:rsid w:val="00E940F0"/>
    <w:rsid w:val="00E94DC0"/>
    <w:rsid w:val="00E950FF"/>
    <w:rsid w:val="00E95102"/>
    <w:rsid w:val="00E952C2"/>
    <w:rsid w:val="00E9581D"/>
    <w:rsid w:val="00E965C9"/>
    <w:rsid w:val="00E96657"/>
    <w:rsid w:val="00E97E95"/>
    <w:rsid w:val="00EA22CC"/>
    <w:rsid w:val="00EA32A9"/>
    <w:rsid w:val="00EA4B40"/>
    <w:rsid w:val="00EA5E14"/>
    <w:rsid w:val="00EA6435"/>
    <w:rsid w:val="00EA75B5"/>
    <w:rsid w:val="00EB067E"/>
    <w:rsid w:val="00EB0B2D"/>
    <w:rsid w:val="00EB1775"/>
    <w:rsid w:val="00EB1F52"/>
    <w:rsid w:val="00EB2C19"/>
    <w:rsid w:val="00EB55CF"/>
    <w:rsid w:val="00EB6CF5"/>
    <w:rsid w:val="00EB702A"/>
    <w:rsid w:val="00EB7EFB"/>
    <w:rsid w:val="00EC0BB4"/>
    <w:rsid w:val="00EC2008"/>
    <w:rsid w:val="00EC2737"/>
    <w:rsid w:val="00EC352B"/>
    <w:rsid w:val="00EC3661"/>
    <w:rsid w:val="00EC3B7D"/>
    <w:rsid w:val="00EC4031"/>
    <w:rsid w:val="00EC48FD"/>
    <w:rsid w:val="00EC5DDC"/>
    <w:rsid w:val="00EC626F"/>
    <w:rsid w:val="00EC682D"/>
    <w:rsid w:val="00ED0B08"/>
    <w:rsid w:val="00ED0B65"/>
    <w:rsid w:val="00ED1922"/>
    <w:rsid w:val="00ED19AC"/>
    <w:rsid w:val="00ED2F2C"/>
    <w:rsid w:val="00ED31AA"/>
    <w:rsid w:val="00ED3B6D"/>
    <w:rsid w:val="00ED3FD7"/>
    <w:rsid w:val="00ED47C4"/>
    <w:rsid w:val="00ED49EF"/>
    <w:rsid w:val="00ED76E9"/>
    <w:rsid w:val="00ED77DC"/>
    <w:rsid w:val="00ED7F15"/>
    <w:rsid w:val="00EE05EC"/>
    <w:rsid w:val="00EE0A9B"/>
    <w:rsid w:val="00EE1044"/>
    <w:rsid w:val="00EE2A1C"/>
    <w:rsid w:val="00EE2C76"/>
    <w:rsid w:val="00EE3B9A"/>
    <w:rsid w:val="00EE422E"/>
    <w:rsid w:val="00EE478E"/>
    <w:rsid w:val="00EE51F6"/>
    <w:rsid w:val="00EE7FE7"/>
    <w:rsid w:val="00EF032D"/>
    <w:rsid w:val="00EF0A18"/>
    <w:rsid w:val="00EF4456"/>
    <w:rsid w:val="00EF5AF3"/>
    <w:rsid w:val="00EF5C21"/>
    <w:rsid w:val="00EF7A95"/>
    <w:rsid w:val="00F00356"/>
    <w:rsid w:val="00F0047C"/>
    <w:rsid w:val="00F0054E"/>
    <w:rsid w:val="00F01701"/>
    <w:rsid w:val="00F0282D"/>
    <w:rsid w:val="00F050FA"/>
    <w:rsid w:val="00F07ACD"/>
    <w:rsid w:val="00F07DB9"/>
    <w:rsid w:val="00F10306"/>
    <w:rsid w:val="00F10875"/>
    <w:rsid w:val="00F10B59"/>
    <w:rsid w:val="00F10BFB"/>
    <w:rsid w:val="00F1269A"/>
    <w:rsid w:val="00F13719"/>
    <w:rsid w:val="00F21640"/>
    <w:rsid w:val="00F227C9"/>
    <w:rsid w:val="00F22E5B"/>
    <w:rsid w:val="00F24B06"/>
    <w:rsid w:val="00F24C9D"/>
    <w:rsid w:val="00F259B0"/>
    <w:rsid w:val="00F2628F"/>
    <w:rsid w:val="00F26AE8"/>
    <w:rsid w:val="00F273C5"/>
    <w:rsid w:val="00F27E4F"/>
    <w:rsid w:val="00F30D0C"/>
    <w:rsid w:val="00F3180E"/>
    <w:rsid w:val="00F33C47"/>
    <w:rsid w:val="00F340D0"/>
    <w:rsid w:val="00F341E9"/>
    <w:rsid w:val="00F351B2"/>
    <w:rsid w:val="00F376FA"/>
    <w:rsid w:val="00F377DD"/>
    <w:rsid w:val="00F37AC8"/>
    <w:rsid w:val="00F37C84"/>
    <w:rsid w:val="00F37E30"/>
    <w:rsid w:val="00F4036F"/>
    <w:rsid w:val="00F41C4A"/>
    <w:rsid w:val="00F4210A"/>
    <w:rsid w:val="00F42A21"/>
    <w:rsid w:val="00F438BA"/>
    <w:rsid w:val="00F44706"/>
    <w:rsid w:val="00F45727"/>
    <w:rsid w:val="00F457C1"/>
    <w:rsid w:val="00F459C3"/>
    <w:rsid w:val="00F46222"/>
    <w:rsid w:val="00F46EEA"/>
    <w:rsid w:val="00F47331"/>
    <w:rsid w:val="00F50C12"/>
    <w:rsid w:val="00F50D30"/>
    <w:rsid w:val="00F531CA"/>
    <w:rsid w:val="00F53D09"/>
    <w:rsid w:val="00F5478F"/>
    <w:rsid w:val="00F54AA4"/>
    <w:rsid w:val="00F54CE6"/>
    <w:rsid w:val="00F553B8"/>
    <w:rsid w:val="00F570C7"/>
    <w:rsid w:val="00F574DF"/>
    <w:rsid w:val="00F635C6"/>
    <w:rsid w:val="00F6482A"/>
    <w:rsid w:val="00F651CE"/>
    <w:rsid w:val="00F67112"/>
    <w:rsid w:val="00F67D9A"/>
    <w:rsid w:val="00F703C0"/>
    <w:rsid w:val="00F72AF4"/>
    <w:rsid w:val="00F72DBE"/>
    <w:rsid w:val="00F730B9"/>
    <w:rsid w:val="00F746A4"/>
    <w:rsid w:val="00F747F8"/>
    <w:rsid w:val="00F74AD4"/>
    <w:rsid w:val="00F75416"/>
    <w:rsid w:val="00F77938"/>
    <w:rsid w:val="00F82708"/>
    <w:rsid w:val="00F82A3B"/>
    <w:rsid w:val="00F83FD9"/>
    <w:rsid w:val="00F8594C"/>
    <w:rsid w:val="00F860BB"/>
    <w:rsid w:val="00F87C60"/>
    <w:rsid w:val="00F9041F"/>
    <w:rsid w:val="00F9137E"/>
    <w:rsid w:val="00F91F1B"/>
    <w:rsid w:val="00F920BB"/>
    <w:rsid w:val="00F92F72"/>
    <w:rsid w:val="00F94EBF"/>
    <w:rsid w:val="00F96177"/>
    <w:rsid w:val="00F9656B"/>
    <w:rsid w:val="00F97D7A"/>
    <w:rsid w:val="00FA0D40"/>
    <w:rsid w:val="00FA0E90"/>
    <w:rsid w:val="00FA1130"/>
    <w:rsid w:val="00FA2CBD"/>
    <w:rsid w:val="00FA305B"/>
    <w:rsid w:val="00FA6268"/>
    <w:rsid w:val="00FA62AE"/>
    <w:rsid w:val="00FA670C"/>
    <w:rsid w:val="00FA7248"/>
    <w:rsid w:val="00FA74F8"/>
    <w:rsid w:val="00FA778F"/>
    <w:rsid w:val="00FB0510"/>
    <w:rsid w:val="00FB104C"/>
    <w:rsid w:val="00FB115A"/>
    <w:rsid w:val="00FB1D18"/>
    <w:rsid w:val="00FB1FAA"/>
    <w:rsid w:val="00FB3246"/>
    <w:rsid w:val="00FB5365"/>
    <w:rsid w:val="00FB5431"/>
    <w:rsid w:val="00FB60F7"/>
    <w:rsid w:val="00FB7344"/>
    <w:rsid w:val="00FC0406"/>
    <w:rsid w:val="00FC10E7"/>
    <w:rsid w:val="00FC144F"/>
    <w:rsid w:val="00FC191E"/>
    <w:rsid w:val="00FC1A17"/>
    <w:rsid w:val="00FC35A8"/>
    <w:rsid w:val="00FC366D"/>
    <w:rsid w:val="00FC5239"/>
    <w:rsid w:val="00FC6030"/>
    <w:rsid w:val="00FC6BE7"/>
    <w:rsid w:val="00FC6D98"/>
    <w:rsid w:val="00FC7136"/>
    <w:rsid w:val="00FD0476"/>
    <w:rsid w:val="00FD14D9"/>
    <w:rsid w:val="00FD193E"/>
    <w:rsid w:val="00FD313F"/>
    <w:rsid w:val="00FD3241"/>
    <w:rsid w:val="00FD3D1A"/>
    <w:rsid w:val="00FD4705"/>
    <w:rsid w:val="00FD5D8F"/>
    <w:rsid w:val="00FD5E09"/>
    <w:rsid w:val="00FD5F2D"/>
    <w:rsid w:val="00FD6C8C"/>
    <w:rsid w:val="00FD6DC9"/>
    <w:rsid w:val="00FE129A"/>
    <w:rsid w:val="00FE1479"/>
    <w:rsid w:val="00FE3EA9"/>
    <w:rsid w:val="00FE45BC"/>
    <w:rsid w:val="00FE6689"/>
    <w:rsid w:val="00FE7145"/>
    <w:rsid w:val="00FE7F6A"/>
    <w:rsid w:val="00FF19C4"/>
    <w:rsid w:val="00FF4109"/>
    <w:rsid w:val="00FF4DD0"/>
    <w:rsid w:val="00FF4E30"/>
    <w:rsid w:val="00FF6EAF"/>
    <w:rsid w:val="00FF70EF"/>
    <w:rsid w:val="013E2359"/>
    <w:rsid w:val="016A7465"/>
    <w:rsid w:val="02D66691"/>
    <w:rsid w:val="035F31F9"/>
    <w:rsid w:val="055E7F93"/>
    <w:rsid w:val="06333B7A"/>
    <w:rsid w:val="06377A89"/>
    <w:rsid w:val="078C0F72"/>
    <w:rsid w:val="07E92F28"/>
    <w:rsid w:val="084C6E90"/>
    <w:rsid w:val="08C619D9"/>
    <w:rsid w:val="0A1207FF"/>
    <w:rsid w:val="0B7B140D"/>
    <w:rsid w:val="0CBC72AB"/>
    <w:rsid w:val="0D2A4026"/>
    <w:rsid w:val="0DA35E8C"/>
    <w:rsid w:val="0E17685A"/>
    <w:rsid w:val="0EA1564F"/>
    <w:rsid w:val="0F6365C0"/>
    <w:rsid w:val="10A143B0"/>
    <w:rsid w:val="10AC2CC4"/>
    <w:rsid w:val="10D21576"/>
    <w:rsid w:val="10F701AD"/>
    <w:rsid w:val="111552C7"/>
    <w:rsid w:val="1165600F"/>
    <w:rsid w:val="11C94A8C"/>
    <w:rsid w:val="12483364"/>
    <w:rsid w:val="124972FE"/>
    <w:rsid w:val="127653AE"/>
    <w:rsid w:val="128B0DA3"/>
    <w:rsid w:val="13B741D2"/>
    <w:rsid w:val="13D77E02"/>
    <w:rsid w:val="15081122"/>
    <w:rsid w:val="15BE5CB6"/>
    <w:rsid w:val="15EA35F0"/>
    <w:rsid w:val="16656E64"/>
    <w:rsid w:val="167C7FD8"/>
    <w:rsid w:val="17677043"/>
    <w:rsid w:val="17AC6DCC"/>
    <w:rsid w:val="17C5172A"/>
    <w:rsid w:val="17FB569E"/>
    <w:rsid w:val="18C331A9"/>
    <w:rsid w:val="19DE6BBF"/>
    <w:rsid w:val="1AC83764"/>
    <w:rsid w:val="1B1233C7"/>
    <w:rsid w:val="1BA173AE"/>
    <w:rsid w:val="1C6D27D4"/>
    <w:rsid w:val="1C8957E6"/>
    <w:rsid w:val="1D6860DA"/>
    <w:rsid w:val="1E297F29"/>
    <w:rsid w:val="1E6A4D43"/>
    <w:rsid w:val="1E78207D"/>
    <w:rsid w:val="1F17063B"/>
    <w:rsid w:val="1F490F6C"/>
    <w:rsid w:val="1FD53BF4"/>
    <w:rsid w:val="20F418B9"/>
    <w:rsid w:val="21184C91"/>
    <w:rsid w:val="21A14EE3"/>
    <w:rsid w:val="233D561A"/>
    <w:rsid w:val="23B00C27"/>
    <w:rsid w:val="24267EF7"/>
    <w:rsid w:val="243D70A6"/>
    <w:rsid w:val="24AB60AB"/>
    <w:rsid w:val="24B61928"/>
    <w:rsid w:val="25900230"/>
    <w:rsid w:val="27097C0A"/>
    <w:rsid w:val="27CA1078"/>
    <w:rsid w:val="281857E4"/>
    <w:rsid w:val="285B1C74"/>
    <w:rsid w:val="29A31BF4"/>
    <w:rsid w:val="29B70BFE"/>
    <w:rsid w:val="2AC3566A"/>
    <w:rsid w:val="2C75371F"/>
    <w:rsid w:val="2D945258"/>
    <w:rsid w:val="2E0A6BA0"/>
    <w:rsid w:val="2EC91F2D"/>
    <w:rsid w:val="2F044993"/>
    <w:rsid w:val="2F8B5974"/>
    <w:rsid w:val="2F9470E4"/>
    <w:rsid w:val="30193E04"/>
    <w:rsid w:val="32921605"/>
    <w:rsid w:val="35385E67"/>
    <w:rsid w:val="362B1D36"/>
    <w:rsid w:val="36E35CFA"/>
    <w:rsid w:val="3789475E"/>
    <w:rsid w:val="37E7389C"/>
    <w:rsid w:val="37F92572"/>
    <w:rsid w:val="38205E7C"/>
    <w:rsid w:val="38426584"/>
    <w:rsid w:val="385C43EE"/>
    <w:rsid w:val="3922519F"/>
    <w:rsid w:val="39593018"/>
    <w:rsid w:val="39915FF8"/>
    <w:rsid w:val="39DE7BF9"/>
    <w:rsid w:val="3A754D24"/>
    <w:rsid w:val="3CD779E2"/>
    <w:rsid w:val="3D737A22"/>
    <w:rsid w:val="3E082725"/>
    <w:rsid w:val="3E363920"/>
    <w:rsid w:val="3EF643A5"/>
    <w:rsid w:val="3FBD10BC"/>
    <w:rsid w:val="40FB794F"/>
    <w:rsid w:val="418D414B"/>
    <w:rsid w:val="42687749"/>
    <w:rsid w:val="42712592"/>
    <w:rsid w:val="44E80FE1"/>
    <w:rsid w:val="46840221"/>
    <w:rsid w:val="484E277B"/>
    <w:rsid w:val="487E068B"/>
    <w:rsid w:val="48946AA2"/>
    <w:rsid w:val="489A0E01"/>
    <w:rsid w:val="49FD28F4"/>
    <w:rsid w:val="4BAD4D31"/>
    <w:rsid w:val="4BF31607"/>
    <w:rsid w:val="4C1A0638"/>
    <w:rsid w:val="4C4E04A6"/>
    <w:rsid w:val="4CBA1328"/>
    <w:rsid w:val="4E335BBD"/>
    <w:rsid w:val="4E5567AF"/>
    <w:rsid w:val="4F46503E"/>
    <w:rsid w:val="4F4C0E82"/>
    <w:rsid w:val="514E311F"/>
    <w:rsid w:val="51A21D1E"/>
    <w:rsid w:val="531F5909"/>
    <w:rsid w:val="565F4DEF"/>
    <w:rsid w:val="567F3531"/>
    <w:rsid w:val="574446B6"/>
    <w:rsid w:val="577666C1"/>
    <w:rsid w:val="57AD4437"/>
    <w:rsid w:val="57BC0105"/>
    <w:rsid w:val="58BE55FD"/>
    <w:rsid w:val="590C35AD"/>
    <w:rsid w:val="5917257E"/>
    <w:rsid w:val="59BB6F1D"/>
    <w:rsid w:val="5A122FDA"/>
    <w:rsid w:val="5ACA725C"/>
    <w:rsid w:val="5ADA39FB"/>
    <w:rsid w:val="5B2C7247"/>
    <w:rsid w:val="5B5A2D8E"/>
    <w:rsid w:val="5BF32F5F"/>
    <w:rsid w:val="5CBB469B"/>
    <w:rsid w:val="5CD02603"/>
    <w:rsid w:val="5CED5C47"/>
    <w:rsid w:val="5D85087D"/>
    <w:rsid w:val="5DE96A9C"/>
    <w:rsid w:val="5E3F5656"/>
    <w:rsid w:val="5F0831BF"/>
    <w:rsid w:val="5F1B5443"/>
    <w:rsid w:val="5F914E0B"/>
    <w:rsid w:val="60AD5257"/>
    <w:rsid w:val="61082A4E"/>
    <w:rsid w:val="61120AA1"/>
    <w:rsid w:val="61FB14B7"/>
    <w:rsid w:val="62CD2DB4"/>
    <w:rsid w:val="639E6FFF"/>
    <w:rsid w:val="66A173BD"/>
    <w:rsid w:val="672E195E"/>
    <w:rsid w:val="680378F8"/>
    <w:rsid w:val="6833440E"/>
    <w:rsid w:val="68FF0280"/>
    <w:rsid w:val="69A73E0D"/>
    <w:rsid w:val="6BFE0BAA"/>
    <w:rsid w:val="6C1C0E64"/>
    <w:rsid w:val="6DC8652B"/>
    <w:rsid w:val="6E007FCC"/>
    <w:rsid w:val="6EA55ED0"/>
    <w:rsid w:val="6EBB3B41"/>
    <w:rsid w:val="6ED236EE"/>
    <w:rsid w:val="6F91116B"/>
    <w:rsid w:val="7049380A"/>
    <w:rsid w:val="70ED049E"/>
    <w:rsid w:val="714C233B"/>
    <w:rsid w:val="72711862"/>
    <w:rsid w:val="72C56514"/>
    <w:rsid w:val="74105279"/>
    <w:rsid w:val="746A41DA"/>
    <w:rsid w:val="74737296"/>
    <w:rsid w:val="753F592D"/>
    <w:rsid w:val="75B4272A"/>
    <w:rsid w:val="75DF1F63"/>
    <w:rsid w:val="768E7479"/>
    <w:rsid w:val="76F62845"/>
    <w:rsid w:val="784E6EFD"/>
    <w:rsid w:val="78FC54C5"/>
    <w:rsid w:val="792D27DD"/>
    <w:rsid w:val="79D47102"/>
    <w:rsid w:val="7B2E0071"/>
    <w:rsid w:val="7B583C02"/>
    <w:rsid w:val="7B832385"/>
    <w:rsid w:val="7C0C4D44"/>
    <w:rsid w:val="7C260BF0"/>
    <w:rsid w:val="7E0E3466"/>
    <w:rsid w:val="7E840EDF"/>
    <w:rsid w:val="7EF781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36"/>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7"/>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next w:val="1"/>
    <w:link w:val="39"/>
    <w:unhideWhenUsed/>
    <w:qFormat/>
    <w:uiPriority w:val="9"/>
    <w:pPr>
      <w:keepNext/>
      <w:keepLines/>
      <w:spacing w:before="120" w:after="120" w:line="400" w:lineRule="exact"/>
      <w:ind w:firstLine="200" w:firstLineChars="200"/>
      <w:outlineLvl w:val="2"/>
    </w:pPr>
    <w:rPr>
      <w:rFonts w:ascii="Times New Roman" w:hAnsi="Times New Roman" w:eastAsia="仿宋" w:cstheme="minorBidi"/>
      <w:b/>
      <w:bCs/>
      <w:kern w:val="2"/>
      <w:sz w:val="32"/>
      <w:szCs w:val="32"/>
      <w:lang w:val="en-US" w:eastAsia="zh-CN" w:bidi="ar-SA"/>
    </w:rPr>
  </w:style>
  <w:style w:type="paragraph" w:styleId="6">
    <w:name w:val="heading 4"/>
    <w:basedOn w:val="1"/>
    <w:next w:val="1"/>
    <w:link w:val="43"/>
    <w:unhideWhenUsed/>
    <w:qFormat/>
    <w:uiPriority w:val="9"/>
    <w:pPr>
      <w:keepNext/>
      <w:keepLines/>
      <w:spacing w:before="120" w:after="120"/>
      <w:ind w:firstLine="0" w:firstLineChars="0"/>
      <w:outlineLvl w:val="3"/>
    </w:pPr>
    <w:rPr>
      <w:rFonts w:cstheme="majorBidi"/>
      <w:b/>
      <w:bCs/>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9"/>
    <w:qFormat/>
    <w:uiPriority w:val="99"/>
    <w:rPr>
      <w:rFonts w:ascii="宋体" w:hAnsi="Courier New" w:eastAsia="宋体" w:cs="宋体"/>
      <w:sz w:val="21"/>
      <w:szCs w:val="21"/>
    </w:rPr>
  </w:style>
  <w:style w:type="paragraph" w:styleId="7">
    <w:name w:val="table of authorities"/>
    <w:basedOn w:val="1"/>
    <w:next w:val="1"/>
    <w:qFormat/>
    <w:uiPriority w:val="99"/>
    <w:pPr>
      <w:spacing w:before="100" w:beforeAutospacing="1" w:after="100" w:afterAutospacing="1" w:line="580" w:lineRule="exact"/>
      <w:ind w:left="200" w:leftChars="200"/>
    </w:pPr>
    <w:rPr>
      <w:rFonts w:eastAsia="仿宋_GB2312" w:asciiTheme="minorHAnsi" w:hAnsiTheme="minorHAnsi"/>
    </w:rPr>
  </w:style>
  <w:style w:type="paragraph" w:styleId="8">
    <w:name w:val="annotation text"/>
    <w:basedOn w:val="1"/>
    <w:link w:val="45"/>
    <w:unhideWhenUsed/>
    <w:qFormat/>
    <w:uiPriority w:val="99"/>
    <w:pPr>
      <w:jc w:val="left"/>
    </w:pPr>
  </w:style>
  <w:style w:type="paragraph" w:styleId="9">
    <w:name w:val="Salutation"/>
    <w:basedOn w:val="1"/>
    <w:next w:val="1"/>
    <w:link w:val="49"/>
    <w:qFormat/>
    <w:uiPriority w:val="0"/>
    <w:pPr>
      <w:spacing w:line="540" w:lineRule="exact"/>
    </w:pPr>
    <w:rPr>
      <w:rFonts w:eastAsia="仿宋_GB2312" w:asciiTheme="minorHAnsi" w:hAnsiTheme="minorHAnsi"/>
      <w:spacing w:val="-2"/>
      <w:szCs w:val="20"/>
    </w:rPr>
  </w:style>
  <w:style w:type="paragraph" w:styleId="10">
    <w:name w:val="Body Text 3"/>
    <w:basedOn w:val="1"/>
    <w:qFormat/>
    <w:uiPriority w:val="99"/>
    <w:pPr>
      <w:widowControl/>
      <w:jc w:val="center"/>
    </w:pPr>
    <w:rPr>
      <w:sz w:val="10"/>
    </w:rPr>
  </w:style>
  <w:style w:type="paragraph" w:styleId="11">
    <w:name w:val="Body Text"/>
    <w:basedOn w:val="1"/>
    <w:next w:val="1"/>
    <w:link w:val="47"/>
    <w:qFormat/>
    <w:uiPriority w:val="0"/>
    <w:pPr>
      <w:spacing w:after="120" w:line="240" w:lineRule="auto"/>
      <w:ind w:firstLine="0" w:firstLineChars="0"/>
      <w:jc w:val="center"/>
    </w:pPr>
    <w:rPr>
      <w:rFonts w:cs="Times New Roman"/>
      <w:sz w:val="24"/>
      <w:szCs w:val="21"/>
    </w:rPr>
  </w:style>
  <w:style w:type="paragraph" w:styleId="12">
    <w:name w:val="Body Text Indent"/>
    <w:basedOn w:val="1"/>
    <w:link w:val="71"/>
    <w:semiHidden/>
    <w:unhideWhenUsed/>
    <w:qFormat/>
    <w:uiPriority w:val="99"/>
    <w:pPr>
      <w:spacing w:after="120"/>
      <w:ind w:left="420" w:leftChars="200"/>
    </w:pPr>
  </w:style>
  <w:style w:type="paragraph" w:styleId="13">
    <w:name w:val="toc 3"/>
    <w:basedOn w:val="1"/>
    <w:next w:val="1"/>
    <w:unhideWhenUsed/>
    <w:qFormat/>
    <w:uiPriority w:val="39"/>
    <w:pPr>
      <w:ind w:left="840" w:leftChars="400"/>
    </w:pPr>
  </w:style>
  <w:style w:type="paragraph" w:styleId="14">
    <w:name w:val="Date"/>
    <w:basedOn w:val="1"/>
    <w:next w:val="1"/>
    <w:link w:val="51"/>
    <w:semiHidden/>
    <w:unhideWhenUsed/>
    <w:qFormat/>
    <w:uiPriority w:val="99"/>
    <w:pPr>
      <w:ind w:left="100" w:leftChars="2500"/>
    </w:pPr>
  </w:style>
  <w:style w:type="paragraph" w:styleId="15">
    <w:name w:val="Balloon Text"/>
    <w:basedOn w:val="1"/>
    <w:link w:val="52"/>
    <w:semiHidden/>
    <w:unhideWhenUsed/>
    <w:qFormat/>
    <w:uiPriority w:val="99"/>
    <w:pPr>
      <w:spacing w:line="240" w:lineRule="auto"/>
    </w:pPr>
    <w:rPr>
      <w:sz w:val="18"/>
      <w:szCs w:val="18"/>
    </w:rPr>
  </w:style>
  <w:style w:type="paragraph" w:styleId="16">
    <w:name w:val="footer"/>
    <w:basedOn w:val="1"/>
    <w:link w:val="35"/>
    <w:unhideWhenUsed/>
    <w:qFormat/>
    <w:uiPriority w:val="99"/>
    <w:pPr>
      <w:tabs>
        <w:tab w:val="center" w:pos="4153"/>
        <w:tab w:val="right" w:pos="8306"/>
      </w:tabs>
      <w:snapToGrid w:val="0"/>
      <w:jc w:val="left"/>
    </w:pPr>
    <w:rPr>
      <w:sz w:val="18"/>
      <w:szCs w:val="18"/>
    </w:rPr>
  </w:style>
  <w:style w:type="paragraph" w:styleId="17">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line="500" w:lineRule="exact"/>
      <w:ind w:firstLine="0" w:firstLineChars="0"/>
      <w:jc w:val="left"/>
    </w:pPr>
    <w:rPr>
      <w:rFonts w:eastAsia="黑体"/>
      <w:bCs/>
    </w:rPr>
  </w:style>
  <w:style w:type="paragraph" w:styleId="19">
    <w:name w:val="table of figures"/>
    <w:basedOn w:val="1"/>
    <w:next w:val="1"/>
    <w:unhideWhenUsed/>
    <w:qFormat/>
    <w:uiPriority w:val="0"/>
    <w:pPr>
      <w:ind w:left="720" w:hanging="720"/>
    </w:pPr>
    <w:rPr>
      <w:rFonts w:ascii="宋体" w:hAnsi="宋体" w:eastAsia="黑体"/>
      <w:smallCaps/>
      <w:sz w:val="20"/>
      <w:szCs w:val="20"/>
    </w:rPr>
  </w:style>
  <w:style w:type="paragraph" w:styleId="20">
    <w:name w:val="toc 2"/>
    <w:basedOn w:val="1"/>
    <w:next w:val="1"/>
    <w:unhideWhenUsed/>
    <w:qFormat/>
    <w:uiPriority w:val="39"/>
    <w:pPr>
      <w:spacing w:line="500" w:lineRule="exact"/>
      <w:jc w:val="left"/>
    </w:pPr>
    <w:rPr>
      <w:rFonts w:eastAsia="楷体"/>
    </w:rPr>
  </w:style>
  <w:style w:type="paragraph" w:styleId="21">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2">
    <w:name w:val="Title"/>
    <w:basedOn w:val="1"/>
    <w:next w:val="1"/>
    <w:link w:val="38"/>
    <w:qFormat/>
    <w:uiPriority w:val="10"/>
    <w:pPr>
      <w:spacing w:before="240" w:after="240"/>
      <w:jc w:val="center"/>
      <w:outlineLvl w:val="0"/>
    </w:pPr>
    <w:rPr>
      <w:rFonts w:eastAsia="楷体" w:asciiTheme="majorHAnsi" w:hAnsiTheme="majorHAnsi" w:cstheme="majorBidi"/>
      <w:b/>
      <w:bCs/>
      <w:szCs w:val="32"/>
    </w:rPr>
  </w:style>
  <w:style w:type="paragraph" w:styleId="23">
    <w:name w:val="annotation subject"/>
    <w:basedOn w:val="8"/>
    <w:next w:val="8"/>
    <w:link w:val="46"/>
    <w:semiHidden/>
    <w:unhideWhenUsed/>
    <w:qFormat/>
    <w:uiPriority w:val="99"/>
    <w:rPr>
      <w:b/>
      <w:bCs/>
    </w:rPr>
  </w:style>
  <w:style w:type="paragraph" w:styleId="24">
    <w:name w:val="Body Text First Indent 2"/>
    <w:basedOn w:val="12"/>
    <w:next w:val="1"/>
    <w:link w:val="72"/>
    <w:qFormat/>
    <w:uiPriority w:val="0"/>
    <w:pPr>
      <w:spacing w:line="240" w:lineRule="auto"/>
      <w:ind w:firstLine="420"/>
    </w:pPr>
    <w:rPr>
      <w:rFonts w:ascii="Calibri" w:hAnsi="Calibri" w:eastAsia="宋体" w:cs="Times New Roman"/>
      <w:sz w:val="21"/>
      <w:szCs w:val="24"/>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FollowedHyperlink"/>
    <w:basedOn w:val="27"/>
    <w:semiHidden/>
    <w:unhideWhenUsed/>
    <w:qFormat/>
    <w:uiPriority w:val="99"/>
    <w:rPr>
      <w:color w:val="800080"/>
      <w:u w:val="single"/>
    </w:rPr>
  </w:style>
  <w:style w:type="character" w:styleId="29">
    <w:name w:val="Emphasis"/>
    <w:basedOn w:val="27"/>
    <w:qFormat/>
    <w:uiPriority w:val="20"/>
    <w:rPr>
      <w:i/>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styleId="31">
    <w:name w:val="annotation reference"/>
    <w:basedOn w:val="27"/>
    <w:semiHidden/>
    <w:unhideWhenUsed/>
    <w:qFormat/>
    <w:uiPriority w:val="99"/>
    <w:rPr>
      <w:sz w:val="21"/>
      <w:szCs w:val="21"/>
    </w:rPr>
  </w:style>
  <w:style w:type="paragraph" w:customStyle="1" w:styleId="32">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3">
    <w:name w:val="Heading2"/>
    <w:basedOn w:val="1"/>
    <w:next w:val="1"/>
    <w:qFormat/>
    <w:uiPriority w:val="0"/>
    <w:pPr>
      <w:keepNext/>
      <w:keepLines/>
      <w:spacing w:before="260" w:after="260" w:line="415" w:lineRule="auto"/>
    </w:pPr>
    <w:rPr>
      <w:rFonts w:ascii="Arial" w:hAnsi="Arial" w:eastAsia="黑体"/>
      <w:b/>
    </w:rPr>
  </w:style>
  <w:style w:type="character" w:customStyle="1" w:styleId="34">
    <w:name w:val="页眉 字符"/>
    <w:basedOn w:val="27"/>
    <w:link w:val="17"/>
    <w:qFormat/>
    <w:uiPriority w:val="99"/>
    <w:rPr>
      <w:sz w:val="18"/>
      <w:szCs w:val="18"/>
    </w:rPr>
  </w:style>
  <w:style w:type="character" w:customStyle="1" w:styleId="35">
    <w:name w:val="页脚 字符"/>
    <w:basedOn w:val="27"/>
    <w:link w:val="16"/>
    <w:qFormat/>
    <w:uiPriority w:val="99"/>
    <w:rPr>
      <w:sz w:val="18"/>
      <w:szCs w:val="18"/>
    </w:rPr>
  </w:style>
  <w:style w:type="character" w:customStyle="1" w:styleId="36">
    <w:name w:val="标题 1 字符"/>
    <w:basedOn w:val="27"/>
    <w:link w:val="3"/>
    <w:qFormat/>
    <w:uiPriority w:val="9"/>
    <w:rPr>
      <w:rFonts w:eastAsia="黑体" w:cstheme="minorBidi"/>
      <w:bCs/>
      <w:kern w:val="44"/>
      <w:sz w:val="32"/>
      <w:szCs w:val="44"/>
    </w:rPr>
  </w:style>
  <w:style w:type="character" w:customStyle="1" w:styleId="37">
    <w:name w:val="标题 2 字符"/>
    <w:basedOn w:val="27"/>
    <w:link w:val="4"/>
    <w:qFormat/>
    <w:uiPriority w:val="9"/>
    <w:rPr>
      <w:rFonts w:eastAsia="楷体" w:cstheme="majorBidi"/>
      <w:bCs/>
      <w:kern w:val="2"/>
      <w:sz w:val="32"/>
      <w:szCs w:val="32"/>
    </w:rPr>
  </w:style>
  <w:style w:type="character" w:customStyle="1" w:styleId="38">
    <w:name w:val="标题 字符"/>
    <w:basedOn w:val="27"/>
    <w:link w:val="22"/>
    <w:qFormat/>
    <w:uiPriority w:val="10"/>
    <w:rPr>
      <w:rFonts w:eastAsia="楷体" w:asciiTheme="majorHAnsi" w:hAnsiTheme="majorHAnsi" w:cstheme="majorBidi"/>
      <w:b/>
      <w:bCs/>
      <w:sz w:val="32"/>
      <w:szCs w:val="32"/>
    </w:rPr>
  </w:style>
  <w:style w:type="character" w:customStyle="1" w:styleId="39">
    <w:name w:val="标题 3 字符"/>
    <w:basedOn w:val="27"/>
    <w:link w:val="5"/>
    <w:qFormat/>
    <w:uiPriority w:val="9"/>
    <w:rPr>
      <w:rFonts w:eastAsia="仿宋" w:cstheme="minorBidi"/>
      <w:b/>
      <w:bCs/>
      <w:kern w:val="2"/>
      <w:sz w:val="32"/>
      <w:szCs w:val="32"/>
    </w:rPr>
  </w:style>
  <w:style w:type="character" w:customStyle="1" w:styleId="40">
    <w:name w:val="不明显强调1"/>
    <w:basedOn w:val="27"/>
    <w:qFormat/>
    <w:uiPriority w:val="19"/>
    <w:rPr>
      <w:i/>
      <w:iCs/>
      <w:color w:val="404040" w:themeColor="text1" w:themeTint="BF"/>
      <w14:textFill>
        <w14:solidFill>
          <w14:schemeClr w14:val="tx1">
            <w14:lumMod w14:val="75000"/>
            <w14:lumOff w14:val="25000"/>
          </w14:schemeClr>
        </w14:solidFill>
      </w14:textFill>
    </w:rPr>
  </w:style>
  <w:style w:type="paragraph" w:customStyle="1" w:styleId="41">
    <w:name w:val="公文主体"/>
    <w:basedOn w:val="1"/>
    <w:link w:val="42"/>
    <w:qFormat/>
    <w:uiPriority w:val="0"/>
    <w:pPr>
      <w:spacing w:line="580" w:lineRule="exact"/>
    </w:pPr>
    <w:rPr>
      <w:rFonts w:eastAsia="仿宋_GB2312" w:cs="Times New Roman"/>
      <w:szCs w:val="24"/>
    </w:rPr>
  </w:style>
  <w:style w:type="character" w:customStyle="1" w:styleId="42">
    <w:name w:val="公文主体 Char"/>
    <w:link w:val="41"/>
    <w:qFormat/>
    <w:uiPriority w:val="0"/>
    <w:rPr>
      <w:rFonts w:ascii="Times New Roman" w:hAnsi="Times New Roman" w:eastAsia="仿宋_GB2312" w:cs="Times New Roman"/>
      <w:sz w:val="32"/>
      <w:szCs w:val="24"/>
    </w:rPr>
  </w:style>
  <w:style w:type="character" w:customStyle="1" w:styleId="43">
    <w:name w:val="标题 4 字符"/>
    <w:basedOn w:val="27"/>
    <w:link w:val="6"/>
    <w:qFormat/>
    <w:uiPriority w:val="9"/>
    <w:rPr>
      <w:rFonts w:ascii="Times New Roman" w:hAnsi="Times New Roman" w:eastAsia="仿宋" w:cstheme="majorBidi"/>
      <w:b/>
      <w:bCs/>
      <w:sz w:val="32"/>
      <w:szCs w:val="28"/>
    </w:rPr>
  </w:style>
  <w:style w:type="paragraph" w:customStyle="1" w:styleId="44">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597" w:themeColor="accent1" w:themeShade="BF"/>
      <w:kern w:val="0"/>
      <w:szCs w:val="32"/>
    </w:rPr>
  </w:style>
  <w:style w:type="character" w:customStyle="1" w:styleId="45">
    <w:name w:val="批注文字 字符"/>
    <w:basedOn w:val="27"/>
    <w:link w:val="8"/>
    <w:qFormat/>
    <w:uiPriority w:val="99"/>
    <w:rPr>
      <w:rFonts w:ascii="Times New Roman" w:hAnsi="Times New Roman" w:eastAsia="仿宋"/>
      <w:sz w:val="32"/>
    </w:rPr>
  </w:style>
  <w:style w:type="character" w:customStyle="1" w:styleId="46">
    <w:name w:val="批注主题 字符"/>
    <w:basedOn w:val="45"/>
    <w:link w:val="23"/>
    <w:semiHidden/>
    <w:qFormat/>
    <w:uiPriority w:val="99"/>
    <w:rPr>
      <w:rFonts w:ascii="Times New Roman" w:hAnsi="Times New Roman" w:eastAsia="仿宋"/>
      <w:b/>
      <w:bCs/>
      <w:sz w:val="32"/>
    </w:rPr>
  </w:style>
  <w:style w:type="character" w:customStyle="1" w:styleId="47">
    <w:name w:val="正文文本 字符"/>
    <w:basedOn w:val="27"/>
    <w:link w:val="11"/>
    <w:qFormat/>
    <w:uiPriority w:val="0"/>
    <w:rPr>
      <w:rFonts w:eastAsia="仿宋"/>
      <w:kern w:val="2"/>
      <w:sz w:val="24"/>
      <w:szCs w:val="21"/>
    </w:rPr>
  </w:style>
  <w:style w:type="paragraph" w:customStyle="1" w:styleId="48">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9">
    <w:name w:val="称呼 字符"/>
    <w:basedOn w:val="27"/>
    <w:link w:val="9"/>
    <w:qFormat/>
    <w:uiPriority w:val="0"/>
    <w:rPr>
      <w:rFonts w:eastAsia="仿宋_GB2312"/>
      <w:spacing w:val="-2"/>
      <w:sz w:val="32"/>
      <w:szCs w:val="20"/>
    </w:rPr>
  </w:style>
  <w:style w:type="table" w:customStyle="1" w:styleId="50">
    <w:name w:val="网格型1"/>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1">
    <w:name w:val="日期 字符"/>
    <w:basedOn w:val="27"/>
    <w:link w:val="14"/>
    <w:semiHidden/>
    <w:qFormat/>
    <w:uiPriority w:val="99"/>
    <w:rPr>
      <w:rFonts w:ascii="Times New Roman" w:hAnsi="Times New Roman" w:eastAsia="仿宋"/>
      <w:sz w:val="32"/>
    </w:rPr>
  </w:style>
  <w:style w:type="character" w:customStyle="1" w:styleId="52">
    <w:name w:val="批注框文本 字符"/>
    <w:basedOn w:val="27"/>
    <w:link w:val="15"/>
    <w:semiHidden/>
    <w:qFormat/>
    <w:uiPriority w:val="99"/>
    <w:rPr>
      <w:rFonts w:ascii="Times New Roman" w:hAnsi="Times New Roman" w:eastAsia="仿宋"/>
      <w:sz w:val="18"/>
      <w:szCs w:val="18"/>
    </w:rPr>
  </w:style>
  <w:style w:type="paragraph" w:styleId="53">
    <w:name w:val="List Paragraph"/>
    <w:basedOn w:val="1"/>
    <w:qFormat/>
    <w:uiPriority w:val="34"/>
    <w:pPr>
      <w:ind w:firstLine="420"/>
    </w:pPr>
  </w:style>
  <w:style w:type="paragraph" w:customStyle="1" w:styleId="54">
    <w:name w:val="带缩进正文"/>
    <w:basedOn w:val="1"/>
    <w:qFormat/>
    <w:uiPriority w:val="0"/>
    <w:pPr>
      <w:spacing w:line="560" w:lineRule="exact"/>
      <w:ind w:firstLine="640"/>
    </w:pPr>
    <w:rPr>
      <w:rFonts w:ascii="仿宋" w:cs="Times New Roman"/>
      <w:szCs w:val="28"/>
    </w:rPr>
  </w:style>
  <w:style w:type="table" w:customStyle="1" w:styleId="55">
    <w:name w:val="网格型1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7">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2">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3">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4">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5">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6">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8">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9">
    <w:name w:val="纯文本 字符"/>
    <w:basedOn w:val="27"/>
    <w:link w:val="2"/>
    <w:qFormat/>
    <w:uiPriority w:val="99"/>
    <w:rPr>
      <w:rFonts w:ascii="宋体" w:hAnsi="Courier New" w:cs="宋体"/>
      <w:kern w:val="2"/>
      <w:sz w:val="21"/>
      <w:szCs w:val="21"/>
    </w:rPr>
  </w:style>
  <w:style w:type="character" w:customStyle="1" w:styleId="70">
    <w:name w:val="font51"/>
    <w:basedOn w:val="27"/>
    <w:qFormat/>
    <w:uiPriority w:val="0"/>
    <w:rPr>
      <w:rFonts w:hint="eastAsia" w:ascii="方正仿宋简体" w:hAnsi="方正仿宋简体" w:eastAsia="方正仿宋简体" w:cs="方正仿宋简体"/>
      <w:color w:val="000000"/>
      <w:sz w:val="22"/>
      <w:szCs w:val="22"/>
      <w:u w:val="none"/>
    </w:rPr>
  </w:style>
  <w:style w:type="character" w:customStyle="1" w:styleId="71">
    <w:name w:val="正文文本缩进 字符"/>
    <w:basedOn w:val="27"/>
    <w:link w:val="12"/>
    <w:semiHidden/>
    <w:qFormat/>
    <w:uiPriority w:val="99"/>
    <w:rPr>
      <w:rFonts w:eastAsia="仿宋" w:cstheme="minorBidi"/>
      <w:kern w:val="2"/>
      <w:sz w:val="32"/>
      <w:szCs w:val="22"/>
    </w:rPr>
  </w:style>
  <w:style w:type="character" w:customStyle="1" w:styleId="72">
    <w:name w:val="正文文本首行缩进 2 字符"/>
    <w:basedOn w:val="71"/>
    <w:link w:val="24"/>
    <w:qFormat/>
    <w:uiPriority w:val="0"/>
    <w:rPr>
      <w:rFonts w:ascii="Calibri" w:hAnsi="Calibri" w:eastAsia="仿宋" w:cstheme="minorBidi"/>
      <w:kern w:val="2"/>
      <w:sz w:val="21"/>
      <w:szCs w:val="24"/>
    </w:rPr>
  </w:style>
  <w:style w:type="character" w:customStyle="1" w:styleId="73">
    <w:name w:val="未处理的提及1"/>
    <w:basedOn w:val="27"/>
    <w:semiHidden/>
    <w:unhideWhenUsed/>
    <w:qFormat/>
    <w:uiPriority w:val="99"/>
    <w:rPr>
      <w:color w:val="605E5C"/>
      <w:shd w:val="clear" w:color="auto" w:fill="E1DFDD"/>
    </w:rPr>
  </w:style>
  <w:style w:type="paragraph" w:customStyle="1" w:styleId="74">
    <w:name w:val="正文2"/>
    <w:basedOn w:val="1"/>
    <w:next w:val="1"/>
    <w:qFormat/>
    <w:uiPriority w:val="0"/>
    <w:rPr>
      <w:rFonts w:ascii="Calibri" w:hAnsi="Calibri"/>
    </w:rPr>
  </w:style>
  <w:style w:type="table" w:customStyle="1" w:styleId="75">
    <w:name w:val="网格型2"/>
    <w:basedOn w:val="25"/>
    <w:qFormat/>
    <w:uiPriority w:val="59"/>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NormalCharacter"/>
    <w:semiHidden/>
    <w:qFormat/>
    <w:uiPriority w:val="0"/>
  </w:style>
  <w:style w:type="character" w:customStyle="1" w:styleId="77">
    <w:name w:val="font31"/>
    <w:basedOn w:val="2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2064C6-818C-44B7-A9D3-B504D6DCEE89}">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20790</Words>
  <Characters>21509</Characters>
  <Lines>171</Lines>
  <Paragraphs>48</Paragraphs>
  <TotalTime>2</TotalTime>
  <ScaleCrop>false</ScaleCrop>
  <LinksUpToDate>false</LinksUpToDate>
  <CharactersWithSpaces>21567</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2022-06-27T13:05:00Z</dcterms:created>
  <dc:creator>h lp</dc:creator>
  <cp:lastModifiedBy>csak</cp:lastModifiedBy>
  <cp:lastPrinted>2022-06-27T13:06:00Z</cp:lastPrinted>
  <dcterms:modified xsi:type="dcterms:W3CDTF">2025-06-23T13:53:31Z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BE15EE2CD0326E4CA1EB5868734FE3FF</vt:lpwstr>
  </property>
</Properties>
</file>