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color w:val="FF0000"/>
          <w:sz w:val="44"/>
          <w:szCs w:val="44"/>
        </w:rPr>
      </w:pPr>
      <w:r>
        <w:rPr>
          <w:rFonts w:ascii="Times New Roman" w:hAnsi="Times New Roman" w:eastAsia="方正小标宋简体" w:cs="Times New Roman"/>
          <w:sz w:val="44"/>
          <w:szCs w:val="44"/>
        </w:rPr>
        <w:t>遂宁市</w:t>
      </w:r>
      <w:r>
        <w:rPr>
          <w:rFonts w:hint="eastAsia" w:ascii="Times New Roman" w:hAnsi="Times New Roman" w:eastAsia="方正小标宋简体" w:cs="Times New Roman"/>
          <w:sz w:val="44"/>
          <w:szCs w:val="44"/>
        </w:rPr>
        <w:t>船山区</w:t>
      </w:r>
      <w:r>
        <w:rPr>
          <w:rFonts w:ascii="Times New Roman" w:hAnsi="Times New Roman" w:eastAsia="方正小标宋简体" w:cs="Times New Roman"/>
          <w:sz w:val="44"/>
          <w:szCs w:val="44"/>
        </w:rPr>
        <w:t>烟草制品零售点</w:t>
      </w:r>
      <w:r>
        <w:rPr>
          <w:rFonts w:hint="eastAsia" w:ascii="Times New Roman" w:hAnsi="Times New Roman" w:eastAsia="方正小标宋简体" w:cs="Times New Roman"/>
          <w:sz w:val="44"/>
          <w:szCs w:val="44"/>
        </w:rPr>
        <w:t>合理</w:t>
      </w:r>
      <w:r>
        <w:rPr>
          <w:rFonts w:ascii="Times New Roman" w:hAnsi="Times New Roman" w:eastAsia="方正小标宋简体" w:cs="Times New Roman"/>
          <w:sz w:val="44"/>
          <w:szCs w:val="44"/>
        </w:rPr>
        <w:t>布局规</w:t>
      </w:r>
      <w:r>
        <w:rPr>
          <w:rFonts w:hint="eastAsia" w:ascii="Times New Roman" w:hAnsi="Times New Roman" w:eastAsia="方正小标宋简体" w:cs="Times New Roman"/>
          <w:sz w:val="44"/>
          <w:szCs w:val="44"/>
        </w:rPr>
        <w:t>定</w:t>
      </w:r>
    </w:p>
    <w:p>
      <w:pPr>
        <w:widowControl/>
        <w:shd w:val="clear" w:color="auto" w:fill="FFFFFF"/>
        <w:spacing w:line="600" w:lineRule="exact"/>
        <w:ind w:firstLine="640" w:firstLineChars="200"/>
        <w:jc w:val="center"/>
        <w:rPr>
          <w:rFonts w:ascii="Times New Roman" w:hAnsi="Times New Roman" w:eastAsia="方正黑体" w:cs="Times New Roman"/>
          <w:color w:val="333333"/>
          <w:kern w:val="0"/>
          <w:sz w:val="32"/>
          <w:szCs w:val="32"/>
        </w:rPr>
      </w:pPr>
      <w:r>
        <w:rPr>
          <w:rFonts w:ascii="Times New Roman" w:hAnsi="Times New Roman" w:eastAsia="方正黑体" w:cs="Times New Roman"/>
          <w:color w:val="333333"/>
          <w:kern w:val="0"/>
          <w:sz w:val="32"/>
          <w:szCs w:val="32"/>
        </w:rPr>
        <w:t>第一章  总  则</w:t>
      </w:r>
    </w:p>
    <w:p>
      <w:pPr>
        <w:spacing w:line="600" w:lineRule="exact"/>
        <w:ind w:firstLine="640" w:firstLineChars="200"/>
        <w:rPr>
          <w:rFonts w:ascii="仿宋" w:hAnsi="仿宋" w:eastAsia="仿宋" w:cs="仿宋"/>
          <w:color w:val="212529"/>
          <w:kern w:val="0"/>
          <w:sz w:val="32"/>
          <w:szCs w:val="32"/>
          <w:shd w:val="clear" w:color="auto" w:fill="FFFFFF"/>
        </w:rPr>
      </w:pPr>
      <w:bookmarkStart w:id="0" w:name="OLE_LINK51"/>
      <w:bookmarkStart w:id="1" w:name="OLE_LINK52"/>
      <w:r>
        <w:rPr>
          <w:rFonts w:ascii="黑体" w:hAnsi="黑体" w:eastAsia="黑体" w:cs="仿宋"/>
          <w:color w:val="212529"/>
          <w:kern w:val="0"/>
          <w:sz w:val="32"/>
          <w:szCs w:val="32"/>
          <w:shd w:val="clear" w:color="auto" w:fill="FFFFFF"/>
        </w:rPr>
        <w:t>第一条</w:t>
      </w:r>
      <w:bookmarkEnd w:id="0"/>
      <w:bookmarkEnd w:id="1"/>
      <w:r>
        <w:rPr>
          <w:rFonts w:hint="eastAsia" w:ascii="仿宋" w:hAnsi="仿宋" w:eastAsia="仿宋" w:cs="仿宋"/>
          <w:color w:val="212529"/>
          <w:kern w:val="0"/>
          <w:sz w:val="32"/>
          <w:szCs w:val="32"/>
          <w:shd w:val="clear" w:color="auto" w:fill="FFFFFF"/>
        </w:rPr>
        <w:t xml:space="preserve">  为加强烟草专卖零售许可证管理，切实履行控烟履约责任义务，保护未成年人身心健康，适度满足烟草消费需求，合理配置许可资源，避免市场无序竞争，维护国家利益和消费者利益，</w:t>
      </w:r>
      <w:r>
        <w:rPr>
          <w:rFonts w:ascii="仿宋" w:hAnsi="仿宋" w:eastAsia="仿宋" w:cs="仿宋"/>
          <w:color w:val="212529"/>
          <w:kern w:val="0"/>
          <w:sz w:val="32"/>
          <w:szCs w:val="32"/>
          <w:shd w:val="clear" w:color="auto" w:fill="FFFFFF"/>
        </w:rPr>
        <w:t>根据《中华人民共和国行政许可法》、《中华人民共和国未成年人保护法》、《中华人民共和国烟草专卖法》及其《实施条例》、《烟草专卖许可证管理办法》及其《实施细则》等法律、法规和规章及相关规定，结合</w:t>
      </w:r>
      <w:r>
        <w:rPr>
          <w:rFonts w:hint="eastAsia" w:ascii="仿宋" w:hAnsi="仿宋" w:eastAsia="仿宋" w:cs="仿宋"/>
          <w:color w:val="212529"/>
          <w:kern w:val="0"/>
          <w:sz w:val="32"/>
          <w:szCs w:val="32"/>
          <w:shd w:val="clear" w:color="auto" w:fill="FFFFFF"/>
        </w:rPr>
        <w:t>遂宁市船山区</w:t>
      </w:r>
      <w:r>
        <w:rPr>
          <w:rFonts w:ascii="仿宋" w:hAnsi="仿宋" w:eastAsia="仿宋" w:cs="仿宋"/>
          <w:color w:val="212529"/>
          <w:kern w:val="0"/>
          <w:sz w:val="32"/>
          <w:szCs w:val="32"/>
          <w:shd w:val="clear" w:color="auto" w:fill="FFFFFF"/>
        </w:rPr>
        <w:t>实际，制定本规划。</w:t>
      </w:r>
    </w:p>
    <w:p>
      <w:pPr>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第二条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w:t>
      </w:r>
      <w:r>
        <w:rPr>
          <w:rFonts w:hint="eastAsia" w:ascii="仿宋" w:hAnsi="仿宋" w:eastAsia="仿宋" w:cs="仿宋"/>
          <w:color w:val="212529"/>
          <w:kern w:val="0"/>
          <w:sz w:val="32"/>
          <w:szCs w:val="32"/>
          <w:shd w:val="clear" w:color="auto" w:fill="FFFFFF"/>
        </w:rPr>
        <w:t>规划</w:t>
      </w:r>
      <w:r>
        <w:rPr>
          <w:rFonts w:ascii="仿宋" w:hAnsi="仿宋" w:eastAsia="仿宋" w:cs="仿宋"/>
          <w:color w:val="212529"/>
          <w:kern w:val="0"/>
          <w:sz w:val="32"/>
          <w:szCs w:val="32"/>
          <w:shd w:val="clear" w:color="auto" w:fill="FFFFFF"/>
        </w:rPr>
        <w:t>所称烟草制品零售点（以下称零售点）是指依法取得烟草专卖零售许可证的公民、法人及其他组织从事烟草制品零售业务的与住所相独立的固定经营场所。</w:t>
      </w:r>
    </w:p>
    <w:p>
      <w:pPr>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第三条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w:t>
      </w:r>
      <w:r>
        <w:rPr>
          <w:rFonts w:hint="eastAsia" w:ascii="仿宋" w:hAnsi="仿宋" w:eastAsia="仿宋" w:cs="仿宋"/>
          <w:color w:val="212529"/>
          <w:kern w:val="0"/>
          <w:sz w:val="32"/>
          <w:szCs w:val="32"/>
          <w:shd w:val="clear" w:color="auto" w:fill="FFFFFF"/>
        </w:rPr>
        <w:t>规划</w:t>
      </w:r>
      <w:r>
        <w:rPr>
          <w:rFonts w:ascii="仿宋" w:hAnsi="仿宋" w:eastAsia="仿宋" w:cs="仿宋"/>
          <w:color w:val="212529"/>
          <w:kern w:val="0"/>
          <w:sz w:val="32"/>
          <w:szCs w:val="32"/>
          <w:shd w:val="clear" w:color="auto" w:fill="FFFFFF"/>
        </w:rPr>
        <w:t>适用于</w:t>
      </w:r>
      <w:r>
        <w:rPr>
          <w:rFonts w:hint="eastAsia" w:ascii="仿宋" w:hAnsi="仿宋" w:eastAsia="仿宋" w:cs="仿宋"/>
          <w:color w:val="212529"/>
          <w:kern w:val="0"/>
          <w:sz w:val="32"/>
          <w:szCs w:val="32"/>
          <w:shd w:val="clear" w:color="auto" w:fill="FFFFFF"/>
        </w:rPr>
        <w:t>遂宁市船山区</w:t>
      </w:r>
      <w:r>
        <w:rPr>
          <w:rFonts w:ascii="仿宋" w:hAnsi="仿宋" w:eastAsia="仿宋" w:cs="仿宋"/>
          <w:color w:val="212529"/>
          <w:kern w:val="0"/>
          <w:sz w:val="32"/>
          <w:szCs w:val="32"/>
          <w:shd w:val="clear" w:color="auto" w:fill="FFFFFF"/>
        </w:rPr>
        <w:t>烟草专卖局管辖区域内烟草制品（不含电子烟）零售点的布局管理。</w:t>
      </w:r>
    </w:p>
    <w:p>
      <w:pPr>
        <w:spacing w:line="600" w:lineRule="exact"/>
        <w:ind w:firstLine="640" w:firstLineChars="200"/>
        <w:rPr>
          <w:rFonts w:ascii="Times New Roman" w:hAnsi="Times New Roman" w:eastAsia="方正仿宋" w:cs="Times New Roman"/>
          <w:sz w:val="32"/>
          <w:szCs w:val="32"/>
        </w:rPr>
      </w:pPr>
      <w:r>
        <w:rPr>
          <w:rFonts w:ascii="黑体" w:hAnsi="黑体" w:eastAsia="黑体" w:cs="仿宋"/>
          <w:color w:val="212529"/>
          <w:kern w:val="0"/>
          <w:sz w:val="32"/>
          <w:szCs w:val="32"/>
          <w:shd w:val="clear" w:color="auto" w:fill="FFFFFF"/>
        </w:rPr>
        <w:t>第四条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本零售点布局规划遵循依法行政、科学规划、服务社会、均衡发展</w:t>
      </w:r>
      <w:r>
        <w:rPr>
          <w:rFonts w:hint="eastAsia" w:ascii="仿宋" w:hAnsi="仿宋" w:eastAsia="仿宋" w:cs="仿宋"/>
          <w:color w:val="212529"/>
          <w:kern w:val="0"/>
          <w:sz w:val="32"/>
          <w:szCs w:val="32"/>
          <w:shd w:val="clear" w:color="auto" w:fill="FFFFFF"/>
        </w:rPr>
        <w:t>、动态评估</w:t>
      </w:r>
      <w:r>
        <w:rPr>
          <w:rFonts w:ascii="仿宋" w:hAnsi="仿宋" w:eastAsia="仿宋" w:cs="仿宋"/>
          <w:color w:val="212529"/>
          <w:kern w:val="0"/>
          <w:sz w:val="32"/>
          <w:szCs w:val="32"/>
          <w:shd w:val="clear" w:color="auto" w:fill="FFFFFF"/>
        </w:rPr>
        <w:t>原则，根据辖区人口分布、交通状况、经济发展水平和消费能力等要素确定零售点布局。</w:t>
      </w:r>
    </w:p>
    <w:p>
      <w:pPr>
        <w:widowControl/>
        <w:shd w:val="clear" w:color="auto" w:fill="FFFFFF"/>
        <w:spacing w:line="600" w:lineRule="exact"/>
        <w:ind w:firstLine="640" w:firstLineChars="200"/>
        <w:jc w:val="center"/>
        <w:rPr>
          <w:rFonts w:ascii="Times New Roman" w:hAnsi="Times New Roman" w:eastAsia="方正黑体" w:cs="Times New Roman"/>
          <w:color w:val="333333"/>
          <w:kern w:val="0"/>
          <w:sz w:val="32"/>
          <w:szCs w:val="32"/>
        </w:rPr>
      </w:pPr>
      <w:r>
        <w:rPr>
          <w:rFonts w:ascii="Times New Roman" w:hAnsi="Times New Roman" w:eastAsia="方正黑体" w:cs="Times New Roman"/>
          <w:color w:val="333333"/>
          <w:kern w:val="0"/>
          <w:sz w:val="32"/>
          <w:szCs w:val="32"/>
        </w:rPr>
        <w:t>第二章</w:t>
      </w:r>
      <w:r>
        <w:rPr>
          <w:rFonts w:hint="eastAsia" w:ascii="Times New Roman" w:hAnsi="Times New Roman" w:eastAsia="方正黑体" w:cs="Times New Roman"/>
          <w:color w:val="333333"/>
          <w:kern w:val="0"/>
          <w:sz w:val="32"/>
          <w:szCs w:val="32"/>
        </w:rPr>
        <w:t xml:space="preserve">  </w:t>
      </w:r>
      <w:r>
        <w:rPr>
          <w:rFonts w:ascii="Times New Roman" w:hAnsi="Times New Roman" w:eastAsia="方正黑体" w:cs="Times New Roman"/>
          <w:color w:val="333333"/>
          <w:kern w:val="0"/>
          <w:sz w:val="32"/>
          <w:szCs w:val="32"/>
        </w:rPr>
        <w:t>布局标准</w:t>
      </w:r>
    </w:p>
    <w:p>
      <w:pPr>
        <w:widowControl/>
        <w:numPr>
          <w:ilvl w:val="0"/>
          <w:numId w:val="1"/>
        </w:numPr>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仿宋" w:hAnsi="仿宋" w:eastAsia="仿宋"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根据辖区规划、经济发展、市场成熟度、人口数量、区域功能和交通便利等因素，将辖区划分为饱和区、发展区和特殊区域，采取“总量控制”、“间距控制”</w:t>
      </w:r>
      <w:r>
        <w:rPr>
          <w:rFonts w:hint="eastAsia" w:ascii="仿宋" w:hAnsi="仿宋" w:eastAsia="仿宋" w:cs="仿宋"/>
          <w:color w:val="212529"/>
          <w:kern w:val="0"/>
          <w:sz w:val="32"/>
          <w:szCs w:val="32"/>
          <w:shd w:val="clear" w:color="auto" w:fill="FFFFFF"/>
        </w:rPr>
        <w:t>、</w:t>
      </w:r>
      <w:r>
        <w:rPr>
          <w:rFonts w:ascii="仿宋" w:hAnsi="仿宋" w:eastAsia="仿宋" w:cs="仿宋"/>
          <w:color w:val="212529"/>
          <w:kern w:val="0"/>
          <w:sz w:val="32"/>
          <w:szCs w:val="32"/>
          <w:shd w:val="clear" w:color="auto" w:fill="FFFFFF"/>
        </w:rPr>
        <w:t>“总量+间距”</w:t>
      </w:r>
      <w:r>
        <w:rPr>
          <w:rFonts w:hint="eastAsia" w:ascii="仿宋" w:hAnsi="仿宋" w:eastAsia="仿宋" w:cs="仿宋"/>
          <w:color w:val="212529"/>
          <w:kern w:val="0"/>
          <w:sz w:val="32"/>
          <w:szCs w:val="32"/>
          <w:shd w:val="clear" w:color="auto" w:fill="FFFFFF"/>
        </w:rPr>
        <w:t>三</w:t>
      </w:r>
      <w:r>
        <w:rPr>
          <w:rFonts w:ascii="仿宋" w:hAnsi="仿宋" w:eastAsia="仿宋" w:cs="仿宋"/>
          <w:color w:val="212529"/>
          <w:kern w:val="0"/>
          <w:sz w:val="32"/>
          <w:szCs w:val="32"/>
          <w:shd w:val="clear" w:color="auto" w:fill="FFFFFF"/>
        </w:rPr>
        <w:t>种控制类型</w:t>
      </w:r>
      <w:r>
        <w:rPr>
          <w:rFonts w:hint="eastAsia" w:ascii="仿宋" w:hAnsi="仿宋" w:eastAsia="仿宋" w:cs="仿宋"/>
          <w:color w:val="212529"/>
          <w:kern w:val="0"/>
          <w:sz w:val="32"/>
          <w:szCs w:val="32"/>
          <w:shd w:val="clear" w:color="auto" w:fill="FFFFFF"/>
        </w:rPr>
        <w:t>。具体设置详见附件1：《遂宁市船山区烟草制品零售点合理布局</w:t>
      </w:r>
      <w:r>
        <w:rPr>
          <w:rFonts w:hint="eastAsia" w:ascii="仿宋" w:hAnsi="仿宋" w:eastAsia="仿宋" w:cs="仿宋"/>
          <w:color w:val="212529"/>
          <w:kern w:val="0"/>
          <w:sz w:val="32"/>
          <w:szCs w:val="32"/>
          <w:shd w:val="clear" w:color="auto" w:fill="FFFFFF"/>
          <w:lang w:val="en-US" w:eastAsia="zh-CN"/>
        </w:rPr>
        <w:t>规定</w:t>
      </w:r>
      <w:r>
        <w:rPr>
          <w:rFonts w:hint="eastAsia" w:ascii="仿宋" w:hAnsi="仿宋" w:eastAsia="仿宋" w:cs="仿宋"/>
          <w:color w:val="212529"/>
          <w:kern w:val="0"/>
          <w:sz w:val="32"/>
          <w:szCs w:val="32"/>
          <w:shd w:val="clear" w:color="auto" w:fill="FFFFFF"/>
        </w:rPr>
        <w:t>区域设置明细》，下称《明细》。</w:t>
      </w:r>
    </w:p>
    <w:p>
      <w:pPr>
        <w:adjustRightInd w:val="0"/>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w:t>
      </w:r>
      <w:r>
        <w:rPr>
          <w:rFonts w:hint="eastAsia" w:ascii="黑体" w:hAnsi="黑体" w:eastAsia="黑体" w:cs="仿宋"/>
          <w:color w:val="212529"/>
          <w:kern w:val="0"/>
          <w:sz w:val="32"/>
          <w:szCs w:val="32"/>
          <w:shd w:val="clear" w:color="auto" w:fill="FFFFFF"/>
        </w:rPr>
        <w:t>六</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对相对封闭、主要满足场所内部特定消费需求的经营场所，按照特殊区域单独管理</w:t>
      </w:r>
      <w:r>
        <w:rPr>
          <w:rFonts w:hint="eastAsia" w:ascii="仿宋" w:hAnsi="仿宋" w:eastAsia="仿宋" w:cs="仿宋"/>
          <w:color w:val="212529"/>
          <w:kern w:val="0"/>
          <w:sz w:val="32"/>
          <w:szCs w:val="32"/>
          <w:shd w:val="clear" w:color="auto" w:fill="FFFFFF"/>
        </w:rPr>
        <w:t>。《明细》中已列明的特殊区域布局单元，按《明细》相关标准执行，《明细》中未列明的特殊区域，不受所在布局单元总量限制，</w:t>
      </w:r>
      <w:r>
        <w:rPr>
          <w:rFonts w:ascii="仿宋" w:hAnsi="仿宋" w:eastAsia="仿宋" w:cs="仿宋"/>
          <w:color w:val="212529"/>
          <w:kern w:val="0"/>
          <w:sz w:val="32"/>
          <w:szCs w:val="32"/>
          <w:shd w:val="clear" w:color="auto" w:fill="FFFFFF"/>
        </w:rPr>
        <w:t>相关标准如下：</w:t>
      </w:r>
    </w:p>
    <w:p>
      <w:pPr>
        <w:widowControl/>
        <w:shd w:val="clear" w:color="auto" w:fill="FFFFFF"/>
        <w:spacing w:line="600" w:lineRule="exact"/>
        <w:ind w:firstLine="640" w:firstLineChars="200"/>
        <w:rPr>
          <w:rFonts w:ascii="仿宋" w:hAnsi="仿宋" w:eastAsia="仿宋" w:cs="仿宋"/>
          <w:color w:val="FF0000"/>
          <w:kern w:val="0"/>
          <w:sz w:val="32"/>
          <w:szCs w:val="32"/>
          <w:shd w:val="clear" w:color="auto" w:fill="FFFFFF"/>
        </w:rPr>
      </w:pPr>
      <w:r>
        <w:rPr>
          <w:rFonts w:ascii="仿宋" w:hAnsi="仿宋" w:eastAsia="仿宋" w:cs="仿宋"/>
          <w:color w:val="212529"/>
          <w:kern w:val="0"/>
          <w:sz w:val="32"/>
          <w:szCs w:val="32"/>
          <w:shd w:val="clear" w:color="auto" w:fill="FFFFFF"/>
        </w:rPr>
        <w:t>（一）封闭式小区内部。</w:t>
      </w:r>
      <w:r>
        <w:rPr>
          <w:rFonts w:hint="eastAsia" w:ascii="仿宋" w:hAnsi="仿宋" w:eastAsia="仿宋" w:cs="仿宋"/>
          <w:color w:val="212529"/>
          <w:kern w:val="0"/>
          <w:sz w:val="32"/>
          <w:szCs w:val="32"/>
          <w:shd w:val="clear" w:color="auto" w:fill="FFFFFF"/>
        </w:rPr>
        <w:t>封闭式住宅小区出入口50米范围内临街商铺已发放零售许可证的，小区内部不再新设置烟草制品零售点。出入口认定及</w:t>
      </w:r>
      <w:bookmarkStart w:id="2" w:name="OLE_LINK3"/>
      <w:r>
        <w:rPr>
          <w:rFonts w:hint="eastAsia" w:ascii="仿宋" w:hAnsi="仿宋" w:eastAsia="仿宋" w:cs="仿宋"/>
          <w:color w:val="212529"/>
          <w:kern w:val="0"/>
          <w:sz w:val="32"/>
          <w:szCs w:val="32"/>
          <w:shd w:val="clear" w:color="auto" w:fill="FFFFFF"/>
        </w:rPr>
        <w:t>间距测量标准参照《船山区烟草制品零售点经营场所间距测量标准》相关规定执行</w:t>
      </w:r>
      <w:bookmarkEnd w:id="2"/>
      <w:r>
        <w:rPr>
          <w:rFonts w:hint="eastAsia" w:ascii="仿宋" w:hAnsi="仿宋" w:eastAsia="仿宋" w:cs="仿宋"/>
          <w:color w:val="212529"/>
          <w:kern w:val="0"/>
          <w:sz w:val="32"/>
          <w:szCs w:val="32"/>
          <w:shd w:val="clear" w:color="auto" w:fill="FFFFFF"/>
        </w:rPr>
        <w:t>。对于出入口50米范围内临街商铺无烟草制品零售点的封闭式小区，小区内部每有500户可设置1个零售点，最多不超过2个。</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（二）</w:t>
      </w:r>
      <w:r>
        <w:rPr>
          <w:rFonts w:hint="eastAsia" w:ascii="仿宋" w:hAnsi="仿宋" w:eastAsia="仿宋" w:cs="仿宋"/>
          <w:color w:val="212529"/>
          <w:kern w:val="0"/>
          <w:sz w:val="32"/>
          <w:szCs w:val="32"/>
          <w:shd w:val="clear" w:color="auto" w:fill="FFFFFF"/>
        </w:rPr>
        <w:t>综合性商贸、农贸市场等市场内部零售点设置详见《明细》，未罗列的综合性商贸、农贸市场，以已有零售点数量为核定总量。对于新建的封闭式农贸市场、综合批发市场等市场内部，经营商户在</w:t>
      </w:r>
      <w:r>
        <w:rPr>
          <w:rFonts w:ascii="仿宋" w:hAnsi="仿宋" w:eastAsia="仿宋" w:cs="仿宋"/>
          <w:color w:val="212529"/>
          <w:kern w:val="0"/>
          <w:sz w:val="32"/>
          <w:szCs w:val="32"/>
          <w:shd w:val="clear" w:color="auto" w:fill="FFFFFF"/>
        </w:rPr>
        <w:t>300</w:t>
      </w:r>
      <w:r>
        <w:rPr>
          <w:rFonts w:hint="eastAsia" w:ascii="仿宋" w:hAnsi="仿宋" w:eastAsia="仿宋" w:cs="仿宋"/>
          <w:color w:val="212529"/>
          <w:kern w:val="0"/>
          <w:sz w:val="32"/>
          <w:szCs w:val="32"/>
          <w:shd w:val="clear" w:color="auto" w:fill="FFFFFF"/>
        </w:rPr>
        <w:t>户及以上的可设置</w:t>
      </w:r>
      <w:r>
        <w:rPr>
          <w:rFonts w:ascii="仿宋" w:hAnsi="仿宋" w:eastAsia="仿宋" w:cs="仿宋"/>
          <w:color w:val="212529"/>
          <w:kern w:val="0"/>
          <w:sz w:val="32"/>
          <w:szCs w:val="32"/>
          <w:shd w:val="clear" w:color="auto" w:fill="FFFFFF"/>
        </w:rPr>
        <w:t>1</w:t>
      </w:r>
      <w:r>
        <w:rPr>
          <w:rFonts w:hint="eastAsia" w:ascii="仿宋" w:hAnsi="仿宋" w:eastAsia="仿宋" w:cs="仿宋"/>
          <w:color w:val="212529"/>
          <w:kern w:val="0"/>
          <w:sz w:val="32"/>
          <w:szCs w:val="32"/>
          <w:shd w:val="clear" w:color="auto" w:fill="FFFFFF"/>
        </w:rPr>
        <w:t>个零售点，每增加3</w:t>
      </w:r>
      <w:r>
        <w:rPr>
          <w:rFonts w:ascii="仿宋" w:hAnsi="仿宋" w:eastAsia="仿宋" w:cs="仿宋"/>
          <w:color w:val="212529"/>
          <w:kern w:val="0"/>
          <w:sz w:val="32"/>
          <w:szCs w:val="32"/>
          <w:shd w:val="clear" w:color="auto" w:fill="FFFFFF"/>
        </w:rPr>
        <w:t>00</w:t>
      </w:r>
      <w:r>
        <w:rPr>
          <w:rFonts w:hint="eastAsia" w:ascii="仿宋" w:hAnsi="仿宋" w:eastAsia="仿宋" w:cs="仿宋"/>
          <w:color w:val="212529"/>
          <w:kern w:val="0"/>
          <w:sz w:val="32"/>
          <w:szCs w:val="32"/>
          <w:shd w:val="clear" w:color="auto" w:fill="FFFFFF"/>
        </w:rPr>
        <w:t>户经营商户可增设</w:t>
      </w:r>
      <w:r>
        <w:rPr>
          <w:rFonts w:ascii="仿宋" w:hAnsi="仿宋" w:eastAsia="仿宋" w:cs="仿宋"/>
          <w:color w:val="212529"/>
          <w:kern w:val="0"/>
          <w:sz w:val="32"/>
          <w:szCs w:val="32"/>
          <w:shd w:val="clear" w:color="auto" w:fill="FFFFFF"/>
        </w:rPr>
        <w:t>1</w:t>
      </w:r>
      <w:r>
        <w:rPr>
          <w:rFonts w:hint="eastAsia" w:ascii="仿宋" w:hAnsi="仿宋" w:eastAsia="仿宋" w:cs="仿宋"/>
          <w:color w:val="212529"/>
          <w:kern w:val="0"/>
          <w:sz w:val="32"/>
          <w:szCs w:val="32"/>
          <w:shd w:val="clear" w:color="auto" w:fill="FFFFFF"/>
        </w:rPr>
        <w:t>个零售点，最多可设置2个。</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（三）</w:t>
      </w:r>
      <w:r>
        <w:rPr>
          <w:rFonts w:hint="eastAsia" w:ascii="仿宋" w:hAnsi="仿宋" w:eastAsia="仿宋" w:cs="仿宋"/>
          <w:color w:val="212529"/>
          <w:kern w:val="0"/>
          <w:sz w:val="32"/>
          <w:szCs w:val="32"/>
          <w:shd w:val="clear" w:color="auto" w:fill="FFFFFF"/>
        </w:rPr>
        <w:t>城市商业综合体内部仅设置</w:t>
      </w:r>
      <w:r>
        <w:rPr>
          <w:rFonts w:ascii="仿宋" w:hAnsi="仿宋" w:eastAsia="仿宋" w:cs="仿宋"/>
          <w:color w:val="212529"/>
          <w:kern w:val="0"/>
          <w:sz w:val="32"/>
          <w:szCs w:val="32"/>
          <w:shd w:val="clear" w:color="auto" w:fill="FFFFFF"/>
        </w:rPr>
        <w:t>1</w:t>
      </w:r>
      <w:r>
        <w:rPr>
          <w:rFonts w:hint="eastAsia" w:ascii="仿宋" w:hAnsi="仿宋" w:eastAsia="仿宋" w:cs="仿宋"/>
          <w:color w:val="212529"/>
          <w:kern w:val="0"/>
          <w:sz w:val="32"/>
          <w:szCs w:val="32"/>
          <w:shd w:val="clear" w:color="auto" w:fill="FFFFFF"/>
        </w:rPr>
        <w:t>个零售点，对于商场内部经营面积在2000平方米及以上的超市，可以增设1个零售点，间距不低于30米。</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（四）</w:t>
      </w:r>
      <w:r>
        <w:rPr>
          <w:rFonts w:hint="eastAsia" w:ascii="仿宋" w:hAnsi="仿宋" w:eastAsia="仿宋" w:cs="仿宋"/>
          <w:color w:val="212529"/>
          <w:kern w:val="0"/>
          <w:sz w:val="32"/>
          <w:szCs w:val="32"/>
          <w:shd w:val="clear" w:color="auto" w:fill="FFFFFF"/>
        </w:rPr>
        <w:t>机场、火车站、汽车站内（候机室、候车室）等人员集散点可</w:t>
      </w:r>
      <w:bookmarkStart w:id="3" w:name="OLE_LINK21"/>
      <w:bookmarkStart w:id="4" w:name="OLE_LINK22"/>
      <w:r>
        <w:rPr>
          <w:rFonts w:hint="eastAsia" w:ascii="仿宋" w:hAnsi="仿宋" w:eastAsia="仿宋" w:cs="仿宋"/>
          <w:color w:val="212529"/>
          <w:kern w:val="0"/>
          <w:sz w:val="32"/>
          <w:szCs w:val="32"/>
          <w:shd w:val="clear" w:color="auto" w:fill="FFFFFF"/>
        </w:rPr>
        <w:t>设置</w:t>
      </w:r>
      <w:r>
        <w:rPr>
          <w:rFonts w:ascii="仿宋" w:hAnsi="仿宋" w:eastAsia="仿宋" w:cs="仿宋"/>
          <w:color w:val="212529"/>
          <w:kern w:val="0"/>
          <w:sz w:val="32"/>
          <w:szCs w:val="32"/>
          <w:shd w:val="clear" w:color="auto" w:fill="FFFFFF"/>
        </w:rPr>
        <w:t>1</w:t>
      </w:r>
      <w:r>
        <w:rPr>
          <w:rFonts w:hint="eastAsia" w:ascii="仿宋" w:hAnsi="仿宋" w:eastAsia="仿宋" w:cs="仿宋"/>
          <w:color w:val="212529"/>
          <w:kern w:val="0"/>
          <w:sz w:val="32"/>
          <w:szCs w:val="32"/>
          <w:shd w:val="clear" w:color="auto" w:fill="FFFFFF"/>
        </w:rPr>
        <w:t>个零售点</w:t>
      </w:r>
      <w:bookmarkEnd w:id="3"/>
      <w:bookmarkEnd w:id="4"/>
      <w:r>
        <w:rPr>
          <w:rFonts w:hint="eastAsia" w:ascii="仿宋" w:hAnsi="仿宋" w:eastAsia="仿宋" w:cs="仿宋"/>
          <w:color w:val="212529"/>
          <w:kern w:val="0"/>
          <w:sz w:val="32"/>
          <w:szCs w:val="32"/>
          <w:shd w:val="clear" w:color="auto" w:fill="FFFFFF"/>
        </w:rPr>
        <w:t>。</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（五）高等院校各校区正式投入使用后同一校区可设置1个零售点，在校人员数量达到3000人的可增设1个零售点，之后每增加3000人的同一校区可增设1个零售点，最多不超过3个</w:t>
      </w:r>
      <w:r>
        <w:rPr>
          <w:rFonts w:hint="eastAsia" w:ascii="仿宋" w:hAnsi="仿宋" w:eastAsia="仿宋" w:cs="仿宋"/>
          <w:color w:val="212529"/>
          <w:kern w:val="0"/>
          <w:sz w:val="32"/>
          <w:szCs w:val="32"/>
          <w:shd w:val="clear" w:color="auto" w:fill="FFFFFF"/>
        </w:rPr>
        <w:t>。</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（六）</w:t>
      </w:r>
      <w:r>
        <w:rPr>
          <w:rFonts w:hint="eastAsia" w:ascii="仿宋" w:hAnsi="仿宋" w:eastAsia="仿宋" w:cs="仿宋"/>
          <w:color w:val="212529"/>
          <w:kern w:val="0"/>
          <w:sz w:val="32"/>
          <w:szCs w:val="32"/>
          <w:shd w:val="clear" w:color="auto" w:fill="FFFFFF"/>
        </w:rPr>
        <w:t>旅游景区或县级以上重点打造文旅区域内的旅客服务点或便利店等，可以设置1个零售点。</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（七）</w:t>
      </w:r>
      <w:r>
        <w:rPr>
          <w:rFonts w:hint="eastAsia" w:ascii="仿宋" w:hAnsi="仿宋" w:eastAsia="仿宋" w:cs="仿宋"/>
          <w:color w:val="212529"/>
          <w:kern w:val="0"/>
          <w:sz w:val="32"/>
          <w:szCs w:val="32"/>
          <w:shd w:val="clear" w:color="auto" w:fill="FFFFFF"/>
        </w:rPr>
        <w:t>拟申请从事烟草制品零售业务的经营场所位于高速公路服务区加油站或便利店的，同一服务区单侧可设置1个零售点。</w:t>
      </w:r>
    </w:p>
    <w:p>
      <w:pPr>
        <w:adjustRightInd w:val="0"/>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（八）</w:t>
      </w:r>
      <w:r>
        <w:rPr>
          <w:rFonts w:hint="eastAsia" w:ascii="仿宋" w:hAnsi="仿宋" w:eastAsia="仿宋" w:cs="仿宋"/>
          <w:color w:val="212529"/>
          <w:kern w:val="0"/>
          <w:sz w:val="32"/>
          <w:szCs w:val="32"/>
          <w:shd w:val="clear" w:color="auto" w:fill="FFFFFF"/>
        </w:rPr>
        <w:t>人数达到500人以上的</w:t>
      </w:r>
      <w:r>
        <w:rPr>
          <w:rFonts w:ascii="仿宋" w:hAnsi="仿宋" w:eastAsia="仿宋" w:cs="仿宋"/>
          <w:color w:val="212529"/>
          <w:kern w:val="0"/>
          <w:sz w:val="32"/>
          <w:szCs w:val="32"/>
          <w:shd w:val="clear" w:color="auto" w:fill="FFFFFF"/>
        </w:rPr>
        <w:t>综合性厂区</w:t>
      </w:r>
      <w:r>
        <w:rPr>
          <w:rFonts w:hint="eastAsia" w:ascii="仿宋" w:hAnsi="仿宋" w:eastAsia="仿宋" w:cs="仿宋"/>
          <w:color w:val="212529"/>
          <w:kern w:val="0"/>
          <w:sz w:val="32"/>
          <w:szCs w:val="32"/>
          <w:shd w:val="clear" w:color="auto" w:fill="FFFFFF"/>
        </w:rPr>
        <w:t>，在其</w:t>
      </w:r>
      <w:r>
        <w:rPr>
          <w:rFonts w:ascii="仿宋" w:hAnsi="仿宋" w:eastAsia="仿宋" w:cs="仿宋"/>
          <w:color w:val="212529"/>
          <w:kern w:val="0"/>
          <w:sz w:val="32"/>
          <w:szCs w:val="32"/>
          <w:shd w:val="clear" w:color="auto" w:fill="FFFFFF"/>
        </w:rPr>
        <w:t>配套生活区可以设置</w:t>
      </w:r>
      <w:r>
        <w:rPr>
          <w:rFonts w:hint="eastAsia" w:ascii="仿宋" w:hAnsi="仿宋" w:eastAsia="仿宋" w:cs="仿宋"/>
          <w:color w:val="212529"/>
          <w:kern w:val="0"/>
          <w:sz w:val="32"/>
          <w:szCs w:val="32"/>
          <w:shd w:val="clear" w:color="auto" w:fill="FFFFFF"/>
        </w:rPr>
        <w:t>1个</w:t>
      </w:r>
      <w:r>
        <w:rPr>
          <w:rFonts w:ascii="仿宋" w:hAnsi="仿宋" w:eastAsia="仿宋" w:cs="仿宋"/>
          <w:color w:val="212529"/>
          <w:kern w:val="0"/>
          <w:sz w:val="32"/>
          <w:szCs w:val="32"/>
          <w:shd w:val="clear" w:color="auto" w:fill="FFFFFF"/>
        </w:rPr>
        <w:t>零售点</w:t>
      </w:r>
      <w:r>
        <w:rPr>
          <w:rFonts w:hint="eastAsia" w:ascii="仿宋" w:hAnsi="仿宋" w:eastAsia="仿宋" w:cs="仿宋"/>
          <w:color w:val="212529"/>
          <w:kern w:val="0"/>
          <w:sz w:val="32"/>
          <w:szCs w:val="32"/>
          <w:shd w:val="clear" w:color="auto" w:fill="FFFFFF"/>
        </w:rPr>
        <w:t>。</w:t>
      </w:r>
    </w:p>
    <w:p>
      <w:pPr>
        <w:adjustRightInd w:val="0"/>
        <w:spacing w:line="600" w:lineRule="exact"/>
        <w:ind w:firstLine="640" w:firstLineChars="200"/>
        <w:rPr>
          <w:rFonts w:ascii="仿宋" w:hAnsi="仿宋" w:eastAsia="仿宋" w:cs="仿宋"/>
          <w:color w:val="212529"/>
          <w:kern w:val="0"/>
          <w:sz w:val="32"/>
          <w:szCs w:val="32"/>
          <w:shd w:val="clear" w:color="auto" w:fill="FFFFFF"/>
        </w:rPr>
      </w:pPr>
      <w:r>
        <w:rPr>
          <w:rFonts w:hint="eastAsia" w:ascii="黑体" w:hAnsi="黑体" w:eastAsia="黑体" w:cs="仿宋"/>
          <w:color w:val="212529"/>
          <w:kern w:val="0"/>
          <w:sz w:val="32"/>
          <w:szCs w:val="32"/>
          <w:shd w:val="clear" w:color="auto" w:fill="FFFFFF"/>
        </w:rPr>
        <w:t xml:space="preserve">第七条 </w:t>
      </w:r>
      <w:r>
        <w:rPr>
          <w:rFonts w:hint="eastAsia" w:ascii="仿宋" w:hAnsi="仿宋" w:eastAsia="仿宋"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开放式的住宅楼、</w:t>
      </w:r>
      <w:r>
        <w:rPr>
          <w:rFonts w:hint="eastAsia" w:ascii="仿宋" w:hAnsi="仿宋" w:eastAsia="仿宋" w:cs="仿宋"/>
          <w:color w:val="212529"/>
          <w:kern w:val="0"/>
          <w:sz w:val="32"/>
          <w:szCs w:val="32"/>
          <w:shd w:val="clear" w:color="auto" w:fill="FFFFFF"/>
        </w:rPr>
        <w:t>商业用房</w:t>
      </w:r>
      <w:r>
        <w:rPr>
          <w:rFonts w:ascii="仿宋" w:hAnsi="仿宋" w:eastAsia="仿宋" w:cs="仿宋"/>
          <w:color w:val="212529"/>
          <w:kern w:val="0"/>
          <w:sz w:val="32"/>
          <w:szCs w:val="32"/>
          <w:shd w:val="clear" w:color="auto" w:fill="FFFFFF"/>
        </w:rPr>
        <w:t>、公寓底层的临街门店按所在</w:t>
      </w:r>
      <w:r>
        <w:rPr>
          <w:rFonts w:hint="eastAsia" w:ascii="仿宋" w:hAnsi="仿宋" w:eastAsia="仿宋" w:cs="仿宋"/>
          <w:color w:val="212529"/>
          <w:kern w:val="0"/>
          <w:sz w:val="32"/>
          <w:szCs w:val="32"/>
          <w:shd w:val="clear" w:color="auto" w:fill="FFFFFF"/>
        </w:rPr>
        <w:t>布局单元</w:t>
      </w:r>
      <w:r>
        <w:rPr>
          <w:rFonts w:ascii="仿宋" w:hAnsi="仿宋" w:eastAsia="仿宋" w:cs="仿宋"/>
          <w:color w:val="212529"/>
          <w:kern w:val="0"/>
          <w:sz w:val="32"/>
          <w:szCs w:val="32"/>
          <w:shd w:val="clear" w:color="auto" w:fill="FFFFFF"/>
        </w:rPr>
        <w:t>总量和距离</w:t>
      </w:r>
      <w:r>
        <w:rPr>
          <w:rFonts w:hint="eastAsia" w:ascii="仿宋" w:hAnsi="仿宋" w:eastAsia="仿宋" w:cs="仿宋"/>
          <w:color w:val="212529"/>
          <w:kern w:val="0"/>
          <w:sz w:val="32"/>
          <w:szCs w:val="32"/>
          <w:shd w:val="clear" w:color="auto" w:fill="FFFFFF"/>
        </w:rPr>
        <w:t>标准</w:t>
      </w:r>
      <w:r>
        <w:rPr>
          <w:rFonts w:ascii="仿宋" w:hAnsi="仿宋" w:eastAsia="仿宋" w:cs="仿宋"/>
          <w:color w:val="212529"/>
          <w:kern w:val="0"/>
          <w:sz w:val="32"/>
          <w:szCs w:val="32"/>
          <w:shd w:val="clear" w:color="auto" w:fill="FFFFFF"/>
        </w:rPr>
        <w:t>进行</w:t>
      </w:r>
      <w:r>
        <w:rPr>
          <w:rFonts w:hint="eastAsia" w:ascii="仿宋" w:hAnsi="仿宋" w:eastAsia="仿宋" w:cs="仿宋"/>
          <w:color w:val="212529"/>
          <w:kern w:val="0"/>
          <w:sz w:val="32"/>
          <w:szCs w:val="32"/>
          <w:shd w:val="clear" w:color="auto" w:fill="FFFFFF"/>
        </w:rPr>
        <w:t>核定</w:t>
      </w:r>
      <w:r>
        <w:rPr>
          <w:rFonts w:ascii="仿宋" w:hAnsi="仿宋" w:eastAsia="仿宋" w:cs="仿宋"/>
          <w:color w:val="212529"/>
          <w:kern w:val="0"/>
          <w:sz w:val="32"/>
          <w:szCs w:val="32"/>
          <w:shd w:val="clear" w:color="auto" w:fill="FFFFFF"/>
        </w:rPr>
        <w:t>。</w:t>
      </w:r>
      <w:r>
        <w:rPr>
          <w:rFonts w:hint="eastAsia" w:ascii="仿宋" w:hAnsi="仿宋" w:eastAsia="仿宋" w:cs="仿宋"/>
          <w:color w:val="212529"/>
          <w:kern w:val="0"/>
          <w:sz w:val="32"/>
          <w:szCs w:val="32"/>
          <w:shd w:val="clear" w:color="auto" w:fill="FFFFFF"/>
        </w:rPr>
        <w:t>商业用房</w:t>
      </w:r>
      <w:r>
        <w:rPr>
          <w:rFonts w:ascii="仿宋" w:hAnsi="仿宋" w:eastAsia="仿宋" w:cs="仿宋"/>
          <w:color w:val="212529"/>
          <w:kern w:val="0"/>
          <w:sz w:val="32"/>
          <w:szCs w:val="32"/>
          <w:shd w:val="clear" w:color="auto" w:fill="FFFFFF"/>
        </w:rPr>
        <w:t>除底层临街门店外，每层楼最多设</w:t>
      </w:r>
      <w:r>
        <w:rPr>
          <w:rFonts w:hint="eastAsia" w:ascii="仿宋" w:hAnsi="仿宋" w:eastAsia="仿宋" w:cs="仿宋"/>
          <w:color w:val="212529"/>
          <w:kern w:val="0"/>
          <w:sz w:val="32"/>
          <w:szCs w:val="32"/>
          <w:shd w:val="clear" w:color="auto" w:fill="FFFFFF"/>
        </w:rPr>
        <w:t>置1个零售点</w:t>
      </w:r>
      <w:r>
        <w:rPr>
          <w:rFonts w:ascii="仿宋" w:hAnsi="仿宋" w:eastAsia="仿宋" w:cs="仿宋"/>
          <w:color w:val="212529"/>
          <w:kern w:val="0"/>
          <w:sz w:val="32"/>
          <w:szCs w:val="32"/>
          <w:shd w:val="clear" w:color="auto" w:fill="FFFFFF"/>
        </w:rPr>
        <w:t>，非底层累计</w:t>
      </w:r>
      <w:r>
        <w:rPr>
          <w:rFonts w:hint="eastAsia" w:ascii="仿宋" w:hAnsi="仿宋" w:eastAsia="仿宋" w:cs="仿宋"/>
          <w:color w:val="212529"/>
          <w:kern w:val="0"/>
          <w:sz w:val="32"/>
          <w:szCs w:val="32"/>
          <w:shd w:val="clear" w:color="auto" w:fill="FFFFFF"/>
        </w:rPr>
        <w:t>设置</w:t>
      </w:r>
      <w:r>
        <w:rPr>
          <w:rFonts w:ascii="仿宋" w:hAnsi="仿宋" w:eastAsia="仿宋" w:cs="仿宋"/>
          <w:color w:val="212529"/>
          <w:kern w:val="0"/>
          <w:sz w:val="32"/>
          <w:szCs w:val="32"/>
          <w:shd w:val="clear" w:color="auto" w:fill="FFFFFF"/>
        </w:rPr>
        <w:t>不超</w:t>
      </w:r>
      <w:r>
        <w:rPr>
          <w:rFonts w:hint="eastAsia" w:ascii="仿宋" w:hAnsi="仿宋" w:eastAsia="仿宋" w:cs="仿宋"/>
          <w:color w:val="212529"/>
          <w:kern w:val="0"/>
          <w:sz w:val="32"/>
          <w:szCs w:val="32"/>
          <w:shd w:val="clear" w:color="auto" w:fill="FFFFFF"/>
        </w:rPr>
        <w:t>过</w:t>
      </w:r>
      <w:r>
        <w:rPr>
          <w:rFonts w:ascii="仿宋" w:hAnsi="仿宋" w:eastAsia="仿宋" w:cs="仿宋"/>
          <w:color w:val="212529"/>
          <w:kern w:val="0"/>
          <w:sz w:val="32"/>
          <w:szCs w:val="32"/>
          <w:shd w:val="clear" w:color="auto" w:fill="FFFFFF"/>
        </w:rPr>
        <w:t>2</w:t>
      </w:r>
      <w:r>
        <w:rPr>
          <w:rFonts w:hint="eastAsia" w:ascii="仿宋" w:hAnsi="仿宋" w:eastAsia="仿宋" w:cs="仿宋"/>
          <w:color w:val="212529"/>
          <w:kern w:val="0"/>
          <w:sz w:val="32"/>
          <w:szCs w:val="32"/>
          <w:shd w:val="clear" w:color="auto" w:fill="FFFFFF"/>
        </w:rPr>
        <w:t>个零售点</w:t>
      </w:r>
      <w:r>
        <w:rPr>
          <w:rFonts w:ascii="仿宋" w:hAnsi="仿宋" w:eastAsia="仿宋" w:cs="仿宋"/>
          <w:color w:val="212529"/>
          <w:kern w:val="0"/>
          <w:sz w:val="32"/>
          <w:szCs w:val="32"/>
          <w:shd w:val="clear" w:color="auto" w:fill="FFFFFF"/>
        </w:rPr>
        <w:t>；住宅、公寓除底层临街门店外，其余楼层不予</w:t>
      </w:r>
      <w:r>
        <w:rPr>
          <w:rFonts w:hint="eastAsia" w:ascii="仿宋" w:hAnsi="仿宋" w:eastAsia="仿宋" w:cs="仿宋"/>
          <w:color w:val="212529"/>
          <w:kern w:val="0"/>
          <w:sz w:val="32"/>
          <w:szCs w:val="32"/>
          <w:shd w:val="clear" w:color="auto" w:fill="FFFFFF"/>
        </w:rPr>
        <w:t>设置零售点</w:t>
      </w:r>
      <w:r>
        <w:rPr>
          <w:rFonts w:ascii="仿宋" w:hAnsi="仿宋" w:eastAsia="仿宋" w:cs="仿宋"/>
          <w:color w:val="212529"/>
          <w:kern w:val="0"/>
          <w:sz w:val="32"/>
          <w:szCs w:val="32"/>
          <w:shd w:val="clear" w:color="auto" w:fill="FFFFFF"/>
        </w:rPr>
        <w:t>。</w:t>
      </w:r>
    </w:p>
    <w:p>
      <w:pPr>
        <w:spacing w:line="600" w:lineRule="exact"/>
        <w:ind w:firstLine="640" w:firstLineChars="200"/>
        <w:rPr>
          <w:rFonts w:ascii="仿宋" w:hAnsi="仿宋" w:eastAsia="仿宋" w:cs="仿宋"/>
          <w:color w:val="212529"/>
          <w:kern w:val="0"/>
          <w:sz w:val="32"/>
          <w:szCs w:val="32"/>
          <w:shd w:val="clear" w:color="auto" w:fill="FFFFFF"/>
        </w:rPr>
      </w:pPr>
      <w:r>
        <w:rPr>
          <w:rFonts w:hint="eastAsia" w:ascii="黑体" w:hAnsi="黑体" w:eastAsia="黑体" w:cs="仿宋"/>
          <w:color w:val="212529"/>
          <w:kern w:val="0"/>
          <w:sz w:val="32"/>
          <w:szCs w:val="32"/>
          <w:shd w:val="clear" w:color="auto" w:fill="FFFFFF"/>
        </w:rPr>
        <w:t xml:space="preserve">第八条 </w:t>
      </w:r>
      <w:r>
        <w:rPr>
          <w:rFonts w:hint="eastAsia" w:ascii="仿宋" w:hAnsi="仿宋" w:eastAsia="仿宋" w:cs="仿宋"/>
          <w:color w:val="212529"/>
          <w:kern w:val="0"/>
          <w:sz w:val="32"/>
          <w:szCs w:val="32"/>
          <w:shd w:val="clear" w:color="auto" w:fill="FFFFFF"/>
        </w:rPr>
        <w:t xml:space="preserve"> 拟申请从事烟草制品零售业务的经营地址位于不同布局单元交界区域时，总量按照营业执照登记地址所在所有布局单元核定，间距标准按照参照的所有零售点所在布局单元间距标准执行。</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黑体" w:hAnsi="黑体" w:eastAsia="黑体" w:cs="仿宋"/>
          <w:color w:val="212529"/>
          <w:kern w:val="0"/>
          <w:sz w:val="32"/>
          <w:szCs w:val="32"/>
          <w:shd w:val="clear" w:color="auto" w:fill="FFFFFF"/>
        </w:rPr>
        <w:t xml:space="preserve">第九条  </w:t>
      </w:r>
      <w:r>
        <w:rPr>
          <w:rFonts w:ascii="仿宋" w:hAnsi="仿宋" w:eastAsia="仿宋" w:cs="仿宋"/>
          <w:color w:val="212529"/>
          <w:kern w:val="0"/>
          <w:sz w:val="32"/>
          <w:szCs w:val="32"/>
          <w:shd w:val="clear" w:color="auto" w:fill="FFFFFF"/>
        </w:rPr>
        <w:t>每个行政村</w:t>
      </w:r>
      <w:r>
        <w:rPr>
          <w:rFonts w:hint="eastAsia" w:ascii="仿宋" w:hAnsi="仿宋" w:eastAsia="仿宋" w:cs="仿宋"/>
          <w:color w:val="212529"/>
          <w:kern w:val="0"/>
          <w:sz w:val="32"/>
          <w:szCs w:val="32"/>
          <w:shd w:val="clear" w:color="auto" w:fill="FFFFFF"/>
        </w:rPr>
        <w:t>最多</w:t>
      </w:r>
      <w:r>
        <w:rPr>
          <w:rFonts w:ascii="仿宋" w:hAnsi="仿宋" w:eastAsia="仿宋" w:cs="仿宋"/>
          <w:color w:val="212529"/>
          <w:kern w:val="0"/>
          <w:sz w:val="32"/>
          <w:szCs w:val="32"/>
          <w:shd w:val="clear" w:color="auto" w:fill="FFFFFF"/>
        </w:rPr>
        <w:t>设置1个零售点</w:t>
      </w:r>
      <w:r>
        <w:rPr>
          <w:rFonts w:hint="eastAsia" w:ascii="仿宋" w:hAnsi="仿宋" w:eastAsia="仿宋" w:cs="仿宋"/>
          <w:color w:val="212529"/>
          <w:kern w:val="0"/>
          <w:sz w:val="32"/>
          <w:szCs w:val="32"/>
          <w:shd w:val="clear" w:color="auto" w:fill="FFFFFF"/>
        </w:rPr>
        <w:t>，具体布局情况详见《明细》。按照城市规划建设要求，对于城乡结合部、行政村部分区域已建成街道或社区</w:t>
      </w:r>
      <w:r>
        <w:rPr>
          <w:rFonts w:ascii="仿宋" w:hAnsi="仿宋" w:eastAsia="仿宋" w:cs="仿宋"/>
          <w:color w:val="212529"/>
          <w:kern w:val="0"/>
          <w:sz w:val="32"/>
          <w:szCs w:val="32"/>
          <w:shd w:val="clear" w:color="auto" w:fill="FFFFFF"/>
        </w:rPr>
        <w:t>（包括扶贫异地搬迁、拆迁安置等政府集中修建的房屋）</w:t>
      </w:r>
      <w:r>
        <w:rPr>
          <w:rFonts w:hint="eastAsia" w:ascii="仿宋" w:hAnsi="仿宋" w:eastAsia="仿宋" w:cs="仿宋"/>
          <w:color w:val="212529"/>
          <w:kern w:val="0"/>
          <w:sz w:val="32"/>
          <w:szCs w:val="32"/>
          <w:shd w:val="clear" w:color="auto" w:fill="FFFFFF"/>
        </w:rPr>
        <w:t>的，小区内部达500户以上的在小区临街商铺</w:t>
      </w:r>
      <w:r>
        <w:rPr>
          <w:rFonts w:ascii="仿宋" w:hAnsi="仿宋" w:eastAsia="仿宋" w:cs="仿宋"/>
          <w:color w:val="212529"/>
          <w:kern w:val="0"/>
          <w:sz w:val="32"/>
          <w:szCs w:val="32"/>
          <w:shd w:val="clear" w:color="auto" w:fill="FFFFFF"/>
        </w:rPr>
        <w:t>可</w:t>
      </w:r>
      <w:r>
        <w:rPr>
          <w:rFonts w:hint="eastAsia" w:ascii="仿宋" w:hAnsi="仿宋" w:eastAsia="仿宋" w:cs="仿宋"/>
          <w:color w:val="212529"/>
          <w:kern w:val="0"/>
          <w:sz w:val="32"/>
          <w:szCs w:val="32"/>
          <w:shd w:val="clear" w:color="auto" w:fill="FFFFFF"/>
        </w:rPr>
        <w:t>增设</w:t>
      </w:r>
      <w:r>
        <w:rPr>
          <w:rFonts w:ascii="仿宋" w:hAnsi="仿宋" w:eastAsia="仿宋" w:cs="仿宋"/>
          <w:color w:val="212529"/>
          <w:kern w:val="0"/>
          <w:sz w:val="32"/>
          <w:szCs w:val="32"/>
          <w:shd w:val="clear" w:color="auto" w:fill="FFFFFF"/>
        </w:rPr>
        <w:t>1个零售点，</w:t>
      </w:r>
      <w:r>
        <w:rPr>
          <w:rFonts w:hint="eastAsia" w:ascii="仿宋" w:hAnsi="仿宋" w:eastAsia="仿宋" w:cs="仿宋"/>
          <w:color w:val="212529"/>
          <w:kern w:val="0"/>
          <w:sz w:val="32"/>
          <w:szCs w:val="32"/>
          <w:shd w:val="clear" w:color="auto" w:fill="FFFFFF"/>
        </w:rPr>
        <w:t>每增加500户可在小区临街商铺再增设1个零售点，最多增设2个零售点。</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黑体" w:hAnsi="黑体" w:eastAsia="黑体" w:cs="仿宋"/>
          <w:color w:val="212529"/>
          <w:kern w:val="0"/>
          <w:sz w:val="32"/>
          <w:szCs w:val="32"/>
          <w:shd w:val="clear" w:color="auto" w:fill="FFFFFF"/>
        </w:rPr>
        <w:t xml:space="preserve">第十条  </w:t>
      </w:r>
      <w:r>
        <w:rPr>
          <w:rFonts w:hint="eastAsia" w:ascii="仿宋" w:hAnsi="仿宋" w:eastAsia="仿宋" w:cs="仿宋"/>
          <w:color w:val="212529"/>
          <w:kern w:val="0"/>
          <w:sz w:val="32"/>
          <w:szCs w:val="32"/>
          <w:shd w:val="clear" w:color="auto" w:fill="FFFFFF"/>
        </w:rPr>
        <w:t>针对未纳入零售点布局单元的区域，零售点间距参照与其相邻的其他布局单元最长间距标准的200%设置零售点。</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Times New Roman"/>
          <w:sz w:val="32"/>
          <w:szCs w:val="32"/>
        </w:rPr>
        <w:t>第</w:t>
      </w:r>
      <w:r>
        <w:rPr>
          <w:rFonts w:hint="eastAsia" w:ascii="黑体" w:hAnsi="黑体" w:eastAsia="黑体" w:cs="Times New Roman"/>
          <w:sz w:val="32"/>
          <w:szCs w:val="32"/>
        </w:rPr>
        <w:t>十一</w:t>
      </w:r>
      <w:r>
        <w:rPr>
          <w:rFonts w:ascii="黑体" w:hAnsi="黑体" w:eastAsia="黑体" w:cs="Times New Roman"/>
          <w:sz w:val="32"/>
          <w:szCs w:val="32"/>
        </w:rPr>
        <w:t>条</w:t>
      </w:r>
      <w:r>
        <w:rPr>
          <w:rFonts w:hint="eastAsia" w:ascii="仿宋" w:hAnsi="仿宋" w:eastAsia="仿宋" w:cs="仿宋"/>
          <w:color w:val="212529"/>
          <w:kern w:val="0"/>
          <w:sz w:val="32"/>
          <w:szCs w:val="32"/>
          <w:shd w:val="clear" w:color="auto" w:fill="FFFFFF"/>
        </w:rPr>
        <w:t xml:space="preserve">  对于娱乐服务类和其他类等业态【包括不限于餐饮娱乐住宿、咖啡厅、酒吧、KTV、会所、棋牌室、球类场所、健身场所、电影院、美容美发、化妆美甲、按摩推拿、药妆医械、五金建材、建筑装潢、中西药店、宠物店、办公用品、文化体育用品、音像制品、家电家具、通信器材、通信业务服务、网吧、金融证券、彩票店、钟表眼镜、仪器仪表、饰品珠宝、修理修配、寄递配送、物流企业、洗涤护理、服装首饰、鞋帽箱包、针纺织品、广告设计、花卉殡葬、中介服务、寄卖典当、奢侈品店、古董店、汽车相关(维修、销售、美容等)、照相馆、成人用品店等专业性较强的经营场所】，以当前存量作为核定总量，间距标准按照不低于所在区域间距500%设置。</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Times New Roman"/>
          <w:sz w:val="32"/>
          <w:szCs w:val="32"/>
        </w:rPr>
        <w:t>第</w:t>
      </w:r>
      <w:r>
        <w:rPr>
          <w:rFonts w:hint="eastAsia" w:ascii="黑体" w:hAnsi="黑体" w:eastAsia="黑体" w:cs="Times New Roman"/>
          <w:sz w:val="32"/>
          <w:szCs w:val="32"/>
        </w:rPr>
        <w:t>十二</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仿宋" w:hAnsi="仿宋" w:eastAsia="仿宋" w:cs="仿宋"/>
          <w:color w:val="212529"/>
          <w:kern w:val="0"/>
          <w:sz w:val="32"/>
          <w:szCs w:val="32"/>
          <w:shd w:val="clear" w:color="auto" w:fill="FFFFFF"/>
        </w:rPr>
        <w:t>符合以下情形的，可根据实际情况在间距或总量标准的基础上适当放宽申办条件：</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（一）营业面积超过</w:t>
      </w:r>
      <w:r>
        <w:rPr>
          <w:rFonts w:hint="eastAsia" w:ascii="仿宋" w:hAnsi="仿宋" w:eastAsia="仿宋" w:cs="仿宋"/>
          <w:color w:val="212529"/>
          <w:kern w:val="0"/>
          <w:sz w:val="32"/>
          <w:szCs w:val="32"/>
          <w:shd w:val="clear" w:color="auto" w:fill="FFFFFF"/>
        </w:rPr>
        <w:t>600</w:t>
      </w:r>
      <w:r>
        <w:rPr>
          <w:rFonts w:ascii="仿宋" w:hAnsi="仿宋" w:eastAsia="仿宋" w:cs="仿宋"/>
          <w:color w:val="212529"/>
          <w:kern w:val="0"/>
          <w:sz w:val="32"/>
          <w:szCs w:val="32"/>
          <w:shd w:val="clear" w:color="auto" w:fill="FFFFFF"/>
        </w:rPr>
        <w:t>平方米</w:t>
      </w:r>
      <w:r>
        <w:rPr>
          <w:rFonts w:ascii="仿宋" w:hAnsi="仿宋" w:eastAsia="仿宋" w:cs="仿宋"/>
          <w:kern w:val="0"/>
          <w:sz w:val="32"/>
          <w:szCs w:val="32"/>
          <w:shd w:val="clear" w:color="auto" w:fill="FFFFFF"/>
        </w:rPr>
        <w:t>且</w:t>
      </w:r>
      <w:r>
        <w:rPr>
          <w:rFonts w:hint="eastAsia" w:ascii="仿宋" w:hAnsi="仿宋" w:eastAsia="仿宋" w:cs="仿宋"/>
          <w:color w:val="212529"/>
          <w:kern w:val="0"/>
          <w:sz w:val="32"/>
          <w:szCs w:val="32"/>
          <w:shd w:val="clear" w:color="auto" w:fill="FFFFFF"/>
        </w:rPr>
        <w:t>经营场所位于临街底层</w:t>
      </w:r>
      <w:r>
        <w:rPr>
          <w:rFonts w:ascii="仿宋" w:hAnsi="仿宋" w:eastAsia="仿宋" w:cs="仿宋"/>
          <w:color w:val="212529"/>
          <w:kern w:val="0"/>
          <w:sz w:val="32"/>
          <w:szCs w:val="32"/>
          <w:shd w:val="clear" w:color="auto" w:fill="FFFFFF"/>
        </w:rPr>
        <w:t>的超市、商场内部，在符合所在布局单元零售点</w:t>
      </w:r>
      <w:r>
        <w:rPr>
          <w:rFonts w:hint="eastAsia" w:ascii="仿宋" w:hAnsi="仿宋" w:eastAsia="仿宋" w:cs="仿宋"/>
          <w:color w:val="212529"/>
          <w:kern w:val="0"/>
          <w:sz w:val="32"/>
          <w:szCs w:val="32"/>
          <w:shd w:val="clear" w:color="auto" w:fill="FFFFFF"/>
        </w:rPr>
        <w:t>核定</w:t>
      </w:r>
      <w:r>
        <w:rPr>
          <w:rFonts w:ascii="仿宋" w:hAnsi="仿宋" w:eastAsia="仿宋" w:cs="仿宋"/>
          <w:color w:val="212529"/>
          <w:kern w:val="0"/>
          <w:sz w:val="32"/>
          <w:szCs w:val="32"/>
          <w:shd w:val="clear" w:color="auto" w:fill="FFFFFF"/>
        </w:rPr>
        <w:t>总量的基础上，间距标准可放宽至所在布局单元间距标准的</w:t>
      </w:r>
      <w:r>
        <w:rPr>
          <w:rFonts w:hint="eastAsia" w:ascii="仿宋" w:hAnsi="仿宋" w:eastAsia="仿宋" w:cs="仿宋"/>
          <w:color w:val="212529"/>
          <w:kern w:val="0"/>
          <w:sz w:val="32"/>
          <w:szCs w:val="32"/>
          <w:shd w:val="clear" w:color="auto" w:fill="FFFFFF"/>
        </w:rPr>
        <w:t>7</w:t>
      </w:r>
      <w:r>
        <w:rPr>
          <w:rFonts w:ascii="仿宋" w:hAnsi="仿宋" w:eastAsia="仿宋" w:cs="仿宋"/>
          <w:color w:val="212529"/>
          <w:kern w:val="0"/>
          <w:sz w:val="32"/>
          <w:szCs w:val="32"/>
          <w:shd w:val="clear" w:color="auto" w:fill="FFFFFF"/>
        </w:rPr>
        <w:t>0%执行。</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二）因道路规划、城市建设等客观因素（含新建中小学、幼儿园或进出通道口改变）造成无法在核定经营地址继续经营的零售点，在许可证有效期限内持证人可以申请变更到原发证机关辖区内其他地址经营。因该种情况申请变更经营地址的，受变更后单元总量限制，间距标准可放宽至拟变更布局单元间距标准的</w:t>
      </w:r>
      <w:r>
        <w:rPr>
          <w:rFonts w:hint="eastAsia" w:ascii="仿宋" w:hAnsi="仿宋" w:eastAsia="仿宋" w:cs="仿宋"/>
          <w:color w:val="212529"/>
          <w:kern w:val="0"/>
          <w:sz w:val="32"/>
          <w:szCs w:val="32"/>
          <w:shd w:val="clear" w:color="auto" w:fill="FFFFFF"/>
        </w:rPr>
        <w:t>7</w:t>
      </w:r>
      <w:r>
        <w:rPr>
          <w:rFonts w:ascii="仿宋" w:hAnsi="仿宋" w:eastAsia="仿宋" w:cs="仿宋"/>
          <w:color w:val="212529"/>
          <w:kern w:val="0"/>
          <w:sz w:val="32"/>
          <w:szCs w:val="32"/>
          <w:shd w:val="clear" w:color="auto" w:fill="FFFFFF"/>
        </w:rPr>
        <w:t>0%。</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（三）</w:t>
      </w:r>
      <w:r>
        <w:rPr>
          <w:rFonts w:hint="eastAsia" w:ascii="仿宋" w:hAnsi="仿宋" w:eastAsia="仿宋" w:cs="仿宋"/>
          <w:color w:val="212529"/>
          <w:kern w:val="0"/>
          <w:sz w:val="32"/>
          <w:szCs w:val="32"/>
          <w:shd w:val="clear" w:color="auto" w:fill="FFFFFF"/>
        </w:rPr>
        <w:t>申请人为烈属的（包含父母、配偶、子女或其他应当被认定的人员），不受经营地址所在布局单元总量控制，间距标准可放宽至所在布局单元间距标准的50%。</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（四）残疾人士提出申请新办烟草专卖零售许可证的，在符合所在布局单元零售点</w:t>
      </w:r>
      <w:r>
        <w:rPr>
          <w:rFonts w:hint="eastAsia" w:ascii="仿宋" w:hAnsi="仿宋" w:eastAsia="仿宋" w:cs="仿宋"/>
          <w:color w:val="212529"/>
          <w:kern w:val="0"/>
          <w:sz w:val="32"/>
          <w:szCs w:val="32"/>
          <w:shd w:val="clear" w:color="auto" w:fill="FFFFFF"/>
        </w:rPr>
        <w:t>核定</w:t>
      </w:r>
      <w:r>
        <w:rPr>
          <w:rFonts w:ascii="仿宋" w:hAnsi="仿宋" w:eastAsia="仿宋" w:cs="仿宋"/>
          <w:color w:val="212529"/>
          <w:kern w:val="0"/>
          <w:sz w:val="32"/>
          <w:szCs w:val="32"/>
          <w:shd w:val="clear" w:color="auto" w:fill="FFFFFF"/>
        </w:rPr>
        <w:t>总量的基础上，间距标准可放宽至所在布局单元间距标准的70%-90%执行</w:t>
      </w:r>
      <w:r>
        <w:rPr>
          <w:rFonts w:hint="eastAsia" w:ascii="仿宋" w:hAnsi="仿宋" w:eastAsia="仿宋" w:cs="仿宋"/>
          <w:color w:val="212529"/>
          <w:kern w:val="0"/>
          <w:sz w:val="32"/>
          <w:szCs w:val="32"/>
          <w:shd w:val="clear" w:color="auto" w:fill="FFFFFF"/>
        </w:rPr>
        <w:t>，相关残疾类型、残疾等级与放宽标准如下：</w:t>
      </w:r>
    </w:p>
    <w:tbl>
      <w:tblPr>
        <w:tblStyle w:val="6"/>
        <w:tblW w:w="729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95"/>
        <w:gridCol w:w="2675"/>
        <w:gridCol w:w="26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4" w:hRule="atLeast"/>
          <w:jc w:val="center"/>
        </w:trPr>
        <w:tc>
          <w:tcPr>
            <w:tcW w:w="1995" w:type="dxa"/>
            <w:vAlign w:val="bottom"/>
          </w:tcPr>
          <w:p>
            <w:pPr>
              <w:widowControl/>
              <w:spacing w:line="60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残疾类型</w:t>
            </w:r>
          </w:p>
        </w:tc>
        <w:tc>
          <w:tcPr>
            <w:tcW w:w="2675" w:type="dxa"/>
            <w:vAlign w:val="bottom"/>
          </w:tcPr>
          <w:p>
            <w:pPr>
              <w:widowControl/>
              <w:spacing w:line="60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等级</w:t>
            </w:r>
          </w:p>
        </w:tc>
        <w:tc>
          <w:tcPr>
            <w:tcW w:w="2629" w:type="dxa"/>
            <w:vAlign w:val="bottom"/>
          </w:tcPr>
          <w:p>
            <w:pPr>
              <w:widowControl/>
              <w:spacing w:line="60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间距放款标准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restart"/>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视力残疾</w:t>
            </w: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一级盲</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continue"/>
            <w:vAlign w:val="center"/>
          </w:tcPr>
          <w:p>
            <w:pPr>
              <w:widowControl/>
              <w:jc w:val="center"/>
              <w:textAlignment w:val="center"/>
              <w:rPr>
                <w:rFonts w:ascii="仿宋" w:hAnsi="仿宋" w:eastAsia="仿宋" w:cs="仿宋"/>
                <w:color w:val="212529"/>
                <w:kern w:val="0"/>
                <w:sz w:val="24"/>
                <w:szCs w:val="24"/>
                <w:shd w:val="clear" w:color="auto" w:fill="FFFFFF"/>
              </w:rPr>
            </w:pP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二级盲</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restart"/>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听力残疾</w:t>
            </w: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一级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continue"/>
            <w:vAlign w:val="center"/>
          </w:tcPr>
          <w:p>
            <w:pPr>
              <w:widowControl/>
              <w:jc w:val="center"/>
              <w:textAlignment w:val="center"/>
              <w:rPr>
                <w:rFonts w:ascii="仿宋" w:hAnsi="仿宋" w:eastAsia="仿宋" w:cs="仿宋"/>
                <w:color w:val="212529"/>
                <w:kern w:val="0"/>
                <w:sz w:val="24"/>
                <w:szCs w:val="24"/>
                <w:shd w:val="clear" w:color="auto" w:fill="FFFFFF"/>
              </w:rPr>
            </w:pP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二级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continue"/>
            <w:vAlign w:val="center"/>
          </w:tcPr>
          <w:p>
            <w:pPr>
              <w:widowControl/>
              <w:jc w:val="center"/>
              <w:textAlignment w:val="center"/>
              <w:rPr>
                <w:rFonts w:ascii="仿宋" w:hAnsi="仿宋" w:eastAsia="仿宋" w:cs="仿宋"/>
                <w:color w:val="212529"/>
                <w:kern w:val="0"/>
                <w:sz w:val="24"/>
                <w:szCs w:val="24"/>
                <w:shd w:val="clear" w:color="auto" w:fill="FFFFFF"/>
              </w:rPr>
            </w:pP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三级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bookmarkStart w:id="5" w:name="OLE_LINK1"/>
            <w:r>
              <w:rPr>
                <w:rFonts w:ascii="仿宋" w:hAnsi="仿宋" w:eastAsia="仿宋" w:cs="仿宋"/>
                <w:color w:val="212529"/>
                <w:kern w:val="0"/>
                <w:sz w:val="24"/>
                <w:szCs w:val="24"/>
                <w:shd w:val="clear" w:color="auto" w:fill="FFFFFF"/>
              </w:rPr>
              <w:t>90%</w:t>
            </w:r>
            <w:bookmarkEnd w:id="5"/>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restart"/>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语言残疾</w:t>
            </w: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一级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continue"/>
            <w:vAlign w:val="center"/>
          </w:tcPr>
          <w:p>
            <w:pPr>
              <w:widowControl/>
              <w:jc w:val="center"/>
              <w:textAlignment w:val="center"/>
              <w:rPr>
                <w:rFonts w:ascii="仿宋" w:hAnsi="仿宋" w:eastAsia="仿宋" w:cs="仿宋"/>
                <w:color w:val="212529"/>
                <w:kern w:val="0"/>
                <w:sz w:val="24"/>
                <w:szCs w:val="24"/>
                <w:shd w:val="clear" w:color="auto" w:fill="FFFFFF"/>
              </w:rPr>
            </w:pP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二级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continue"/>
            <w:vAlign w:val="center"/>
          </w:tcPr>
          <w:p>
            <w:pPr>
              <w:widowControl/>
              <w:jc w:val="center"/>
              <w:textAlignment w:val="center"/>
              <w:rPr>
                <w:rFonts w:ascii="仿宋" w:hAnsi="仿宋" w:eastAsia="仿宋" w:cs="仿宋"/>
                <w:color w:val="212529"/>
                <w:kern w:val="0"/>
                <w:sz w:val="24"/>
                <w:szCs w:val="24"/>
                <w:shd w:val="clear" w:color="auto" w:fill="FFFFFF"/>
              </w:rPr>
            </w:pP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三级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restart"/>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肢体残疾</w:t>
            </w: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重度</w:t>
            </w:r>
            <w:r>
              <w:rPr>
                <w:rFonts w:hint="eastAsia" w:ascii="仿宋" w:hAnsi="仿宋" w:eastAsia="仿宋" w:cs="仿宋"/>
                <w:color w:val="212529"/>
                <w:kern w:val="0"/>
                <w:sz w:val="24"/>
                <w:szCs w:val="24"/>
                <w:shd w:val="clear" w:color="auto" w:fill="FFFFFF"/>
              </w:rPr>
              <w:t>（一级）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0" w:hRule="atLeast"/>
          <w:jc w:val="center"/>
        </w:trPr>
        <w:tc>
          <w:tcPr>
            <w:tcW w:w="1995" w:type="dxa"/>
            <w:vMerge w:val="continue"/>
            <w:vAlign w:val="center"/>
          </w:tcPr>
          <w:p>
            <w:pPr>
              <w:widowControl/>
              <w:jc w:val="center"/>
              <w:textAlignment w:val="center"/>
              <w:rPr>
                <w:rFonts w:ascii="仿宋" w:hAnsi="仿宋" w:eastAsia="仿宋" w:cs="仿宋"/>
                <w:color w:val="212529"/>
                <w:kern w:val="0"/>
                <w:sz w:val="24"/>
                <w:szCs w:val="24"/>
                <w:shd w:val="clear" w:color="auto" w:fill="FFFFFF"/>
              </w:rPr>
            </w:pPr>
          </w:p>
        </w:tc>
        <w:tc>
          <w:tcPr>
            <w:tcW w:w="2675"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中度</w:t>
            </w:r>
            <w:r>
              <w:rPr>
                <w:rFonts w:hint="eastAsia" w:ascii="仿宋" w:hAnsi="仿宋" w:eastAsia="仿宋" w:cs="仿宋"/>
                <w:color w:val="212529"/>
                <w:kern w:val="0"/>
                <w:sz w:val="24"/>
                <w:szCs w:val="24"/>
                <w:shd w:val="clear" w:color="auto" w:fill="FFFFFF"/>
              </w:rPr>
              <w:t>（二级）</w:t>
            </w:r>
          </w:p>
        </w:tc>
        <w:tc>
          <w:tcPr>
            <w:tcW w:w="2629" w:type="dxa"/>
            <w:vAlign w:val="center"/>
          </w:tcPr>
          <w:p>
            <w:pPr>
              <w:widowControl/>
              <w:jc w:val="center"/>
              <w:textAlignment w:val="center"/>
              <w:rPr>
                <w:rFonts w:ascii="仿宋" w:hAnsi="仿宋" w:eastAsia="仿宋" w:cs="仿宋"/>
                <w:color w:val="212529"/>
                <w:kern w:val="0"/>
                <w:sz w:val="24"/>
                <w:szCs w:val="24"/>
                <w:shd w:val="clear" w:color="auto" w:fill="FFFFFF"/>
              </w:rPr>
            </w:pPr>
            <w:r>
              <w:rPr>
                <w:rFonts w:ascii="仿宋" w:hAnsi="仿宋" w:eastAsia="仿宋" w:cs="仿宋"/>
                <w:color w:val="212529"/>
                <w:kern w:val="0"/>
                <w:sz w:val="24"/>
                <w:szCs w:val="24"/>
                <w:shd w:val="clear" w:color="auto" w:fill="FFFFFF"/>
              </w:rPr>
              <w:t>80%</w:t>
            </w:r>
          </w:p>
        </w:tc>
      </w:tr>
    </w:tbl>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（五）烈士家属、残疾人等特殊群体，申请人在放宽申办条件时应同时具备以下条件：</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1.申请人具备完全民事行为能力；</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2.</w:t>
      </w:r>
      <w:r>
        <w:rPr>
          <w:rFonts w:hint="eastAsia" w:ascii="仿宋" w:hAnsi="仿宋" w:eastAsia="仿宋" w:cs="仿宋"/>
          <w:color w:val="212529"/>
          <w:kern w:val="0"/>
          <w:sz w:val="32"/>
          <w:szCs w:val="32"/>
          <w:shd w:val="clear" w:color="auto" w:fill="FFFFFF"/>
        </w:rPr>
        <w:t>仅限</w:t>
      </w:r>
      <w:r>
        <w:rPr>
          <w:rFonts w:ascii="仿宋" w:hAnsi="仿宋" w:eastAsia="仿宋" w:cs="仿宋"/>
          <w:color w:val="212529"/>
          <w:kern w:val="0"/>
          <w:sz w:val="32"/>
          <w:szCs w:val="32"/>
          <w:shd w:val="clear" w:color="auto" w:fill="FFFFFF"/>
        </w:rPr>
        <w:t>本人自主经营；</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3.</w:t>
      </w:r>
      <w:r>
        <w:rPr>
          <w:rFonts w:hint="eastAsia" w:ascii="仿宋" w:hAnsi="仿宋" w:eastAsia="仿宋" w:cs="仿宋"/>
          <w:color w:val="212529"/>
          <w:kern w:val="0"/>
          <w:sz w:val="32"/>
          <w:szCs w:val="32"/>
          <w:shd w:val="clear" w:color="auto" w:fill="FFFFFF"/>
        </w:rPr>
        <w:t>在遂宁市辖区内</w:t>
      </w:r>
      <w:r>
        <w:rPr>
          <w:rFonts w:ascii="仿宋" w:hAnsi="仿宋" w:eastAsia="仿宋" w:cs="仿宋"/>
          <w:color w:val="212529"/>
          <w:kern w:val="0"/>
          <w:sz w:val="32"/>
          <w:szCs w:val="32"/>
          <w:shd w:val="clear" w:color="auto" w:fill="FFFFFF"/>
        </w:rPr>
        <w:t>放宽次数为一次；</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4.持有县级</w:t>
      </w:r>
      <w:r>
        <w:rPr>
          <w:rFonts w:hint="eastAsia" w:ascii="仿宋" w:hAnsi="仿宋" w:eastAsia="仿宋" w:cs="仿宋"/>
          <w:color w:val="212529"/>
          <w:kern w:val="0"/>
          <w:sz w:val="32"/>
          <w:szCs w:val="32"/>
          <w:shd w:val="clear" w:color="auto" w:fill="FFFFFF"/>
        </w:rPr>
        <w:t>人民</w:t>
      </w:r>
      <w:r>
        <w:rPr>
          <w:rFonts w:ascii="仿宋" w:hAnsi="仿宋" w:eastAsia="仿宋" w:cs="仿宋"/>
          <w:color w:val="212529"/>
          <w:kern w:val="0"/>
          <w:sz w:val="32"/>
          <w:szCs w:val="32"/>
          <w:shd w:val="clear" w:color="auto" w:fill="FFFFFF"/>
        </w:rPr>
        <w:t>政府及以上有关部门发放的有效证书、证明文件。</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w:t>
      </w:r>
      <w:r>
        <w:rPr>
          <w:rFonts w:hint="eastAsia" w:ascii="仿宋" w:hAnsi="仿宋" w:eastAsia="仿宋" w:cs="仿宋"/>
          <w:color w:val="212529"/>
          <w:kern w:val="0"/>
          <w:sz w:val="32"/>
          <w:szCs w:val="32"/>
          <w:shd w:val="clear" w:color="auto" w:fill="FFFFFF"/>
        </w:rPr>
        <w:t>六</w:t>
      </w:r>
      <w:r>
        <w:rPr>
          <w:rFonts w:ascii="仿宋" w:hAnsi="仿宋" w:eastAsia="仿宋" w:cs="仿宋"/>
          <w:color w:val="212529"/>
          <w:kern w:val="0"/>
          <w:sz w:val="32"/>
          <w:szCs w:val="32"/>
          <w:shd w:val="clear" w:color="auto" w:fill="FFFFFF"/>
        </w:rPr>
        <w:t>）</w:t>
      </w:r>
      <w:r>
        <w:rPr>
          <w:rFonts w:hint="eastAsia" w:ascii="仿宋" w:hAnsi="仿宋" w:eastAsia="仿宋" w:cs="仿宋"/>
          <w:color w:val="212529"/>
          <w:kern w:val="0"/>
          <w:sz w:val="32"/>
          <w:szCs w:val="32"/>
          <w:shd w:val="clear" w:color="auto" w:fill="FFFFFF"/>
        </w:rPr>
        <w:t>因道路规划、城市建设等客观因素（含新建中小学、幼儿园或进出通道口改变）造成无法在核定经营地址继续经营的零售点，持证人通过注销新办或者申请变更到原发证机关辖区内其他地址经营的，在相关客观原因消除后一年内，经营主体无涉烟违法违规记录，在改变的许可证注销同时，以原经营地址提出新办申请的，可缩短距离限制5</w:t>
      </w:r>
      <w:r>
        <w:rPr>
          <w:rFonts w:ascii="仿宋" w:hAnsi="仿宋" w:eastAsia="仿宋" w:cs="仿宋"/>
          <w:color w:val="212529"/>
          <w:kern w:val="0"/>
          <w:sz w:val="32"/>
          <w:szCs w:val="32"/>
          <w:shd w:val="clear" w:color="auto" w:fill="FFFFFF"/>
        </w:rPr>
        <w:t>0%</w:t>
      </w:r>
      <w:r>
        <w:rPr>
          <w:rFonts w:hint="eastAsia" w:ascii="仿宋" w:hAnsi="仿宋" w:eastAsia="仿宋" w:cs="仿宋"/>
          <w:color w:val="212529"/>
          <w:kern w:val="0"/>
          <w:sz w:val="32"/>
          <w:szCs w:val="32"/>
          <w:shd w:val="clear" w:color="auto" w:fill="FFFFFF"/>
        </w:rPr>
        <w:t>以内予以办理。</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仿宋" w:hAnsi="仿宋" w:eastAsia="仿宋" w:cs="仿宋"/>
          <w:color w:val="212529"/>
          <w:kern w:val="0"/>
          <w:sz w:val="32"/>
          <w:szCs w:val="32"/>
          <w:shd w:val="clear" w:color="auto" w:fill="FFFFFF"/>
        </w:rPr>
        <w:t>（七）</w:t>
      </w:r>
      <w:r>
        <w:rPr>
          <w:rFonts w:ascii="仿宋" w:hAnsi="仿宋" w:eastAsia="仿宋" w:cs="仿宋"/>
          <w:color w:val="212529"/>
          <w:kern w:val="0"/>
          <w:sz w:val="32"/>
          <w:szCs w:val="32"/>
          <w:shd w:val="clear" w:color="auto" w:fill="FFFFFF"/>
        </w:rPr>
        <w:t>持有烟草专卖零售许可证的国有企业，按照国家关于发展混合所有制经济的要求，经国家有关部门批准为国有控股的混合所有制企业的，可以重新申领烟草专卖零售许可证的，不受辖区合理布局规定总量和距离限制。</w:t>
      </w:r>
    </w:p>
    <w:p>
      <w:pPr>
        <w:widowControl/>
        <w:shd w:val="clear" w:color="auto" w:fill="FFFFFF"/>
        <w:adjustRightInd/>
        <w:spacing w:line="600" w:lineRule="exact"/>
        <w:ind w:firstLine="640" w:firstLineChars="200"/>
        <w:rPr>
          <w:rFonts w:ascii="Times New Roman" w:hAnsi="Times New Roman" w:eastAsia="方正仿宋" w:cs="Times New Roman"/>
          <w:color w:val="FF0000"/>
          <w:sz w:val="32"/>
        </w:rPr>
      </w:pPr>
      <w:r>
        <w:rPr>
          <w:rFonts w:ascii="仿宋" w:hAnsi="仿宋" w:eastAsia="仿宋" w:cs="仿宋"/>
          <w:color w:val="212529"/>
          <w:kern w:val="0"/>
          <w:sz w:val="32"/>
          <w:szCs w:val="32"/>
          <w:shd w:val="clear" w:color="auto" w:fill="FFFFFF"/>
        </w:rPr>
        <w:t>（八）</w:t>
      </w:r>
      <w:r>
        <w:rPr>
          <w:rFonts w:hint="eastAsia" w:ascii="仿宋" w:hAnsi="仿宋" w:eastAsia="仿宋" w:cs="仿宋"/>
          <w:color w:val="212529"/>
          <w:kern w:val="0"/>
          <w:sz w:val="32"/>
          <w:szCs w:val="32"/>
          <w:shd w:val="clear" w:color="auto" w:fill="FFFFFF"/>
        </w:rPr>
        <w:t>对于适用放宽情形，同时受总量控制的，不得突破总量上限。对于同时符合两种或两种以上放宽情形的，适用其放宽幅度较高的规定，放宽幅度不得累计。</w:t>
      </w:r>
    </w:p>
    <w:p>
      <w:pPr>
        <w:widowControl/>
        <w:shd w:val="clear" w:color="auto" w:fill="FFFFFF"/>
        <w:spacing w:line="600" w:lineRule="exact"/>
        <w:ind w:firstLine="640" w:firstLineChars="200"/>
        <w:jc w:val="center"/>
        <w:rPr>
          <w:rFonts w:ascii="Times New Roman" w:hAnsi="Times New Roman" w:eastAsia="方正黑体" w:cs="Times New Roman"/>
          <w:color w:val="333333"/>
          <w:kern w:val="0"/>
          <w:sz w:val="32"/>
          <w:szCs w:val="32"/>
        </w:rPr>
      </w:pPr>
      <w:r>
        <w:rPr>
          <w:rFonts w:ascii="Times New Roman" w:hAnsi="Times New Roman" w:eastAsia="方正黑体" w:cs="Times New Roman"/>
          <w:color w:val="333333"/>
          <w:kern w:val="0"/>
          <w:sz w:val="32"/>
          <w:szCs w:val="32"/>
        </w:rPr>
        <w:t>第三章 不予许可的情形</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Times New Roman"/>
          <w:sz w:val="32"/>
          <w:szCs w:val="32"/>
        </w:rPr>
        <w:t>第</w:t>
      </w:r>
      <w:r>
        <w:rPr>
          <w:rFonts w:hint="eastAsia" w:ascii="黑体" w:hAnsi="黑体" w:eastAsia="黑体" w:cs="Times New Roman"/>
          <w:sz w:val="32"/>
          <w:szCs w:val="32"/>
        </w:rPr>
        <w:t>十三</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仿宋" w:hAnsi="仿宋" w:eastAsia="仿宋" w:cs="仿宋"/>
          <w:color w:val="212529"/>
          <w:kern w:val="0"/>
          <w:sz w:val="32"/>
          <w:szCs w:val="32"/>
          <w:shd w:val="clear" w:color="auto" w:fill="FFFFFF"/>
        </w:rPr>
        <w:t>有下列情形之一的，禁止设置烟草制品零售点：</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仿宋" w:hAnsi="仿宋" w:eastAsia="仿宋" w:cs="仿宋"/>
          <w:color w:val="212529"/>
          <w:kern w:val="0"/>
          <w:sz w:val="32"/>
          <w:szCs w:val="32"/>
          <w:shd w:val="clear" w:color="auto" w:fill="FFFFFF"/>
        </w:rPr>
        <w:t>（一）申请主体资格方面</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1.申请人为无民事行为能力人或限制民事行为能力人；</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2.外商投资的商业企业或者个体工商户，或者外商投资的商业企业或者个体工商户以特许、吸纳加盟店及其他再投资等形式变相从事烟草专卖品经营业务的不予发证（内资企业或者个体工商户租赁外商投资企业经营场所的不适用此条）</w:t>
      </w:r>
      <w:r>
        <w:rPr>
          <w:rFonts w:hint="eastAsia" w:ascii="仿宋" w:hAnsi="仿宋" w:eastAsia="仿宋" w:cs="仿宋"/>
          <w:color w:val="212529"/>
          <w:kern w:val="0"/>
          <w:sz w:val="32"/>
          <w:szCs w:val="32"/>
          <w:shd w:val="clear" w:color="auto" w:fill="FFFFFF"/>
        </w:rPr>
        <w:t>；</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3.申请人被取消从事烟草专卖业务资格不满三年的；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4.因申请人隐瞒有关情况或者提供虚假材料，烟草专卖行政主管部门作出不予受理或者不予发证决定后，申请人一年内再次提出申请的；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5.申请人以欺骗、贿赂等不正当手段取得的烟草专卖许可证被撤销后，三年内再次提出申请的；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6.未领取烟草专卖零售许可证经营烟草专卖品业务，并且一年内被执法机关处罚两次以上</w:t>
      </w:r>
      <w:r>
        <w:rPr>
          <w:rFonts w:hint="eastAsia" w:ascii="仿宋" w:hAnsi="仿宋" w:eastAsia="仿宋" w:cs="仿宋"/>
          <w:color w:val="212529"/>
          <w:kern w:val="0"/>
          <w:sz w:val="32"/>
          <w:szCs w:val="32"/>
          <w:shd w:val="clear" w:color="auto" w:fill="FFFFFF"/>
        </w:rPr>
        <w:t>（包含两次）</w:t>
      </w:r>
      <w:r>
        <w:rPr>
          <w:rFonts w:ascii="仿宋" w:hAnsi="仿宋" w:eastAsia="仿宋" w:cs="仿宋"/>
          <w:color w:val="212529"/>
          <w:kern w:val="0"/>
          <w:sz w:val="32"/>
          <w:szCs w:val="32"/>
          <w:shd w:val="clear" w:color="auto" w:fill="FFFFFF"/>
        </w:rPr>
        <w:t>，在三年内申请领取烟草专卖零售许可证的</w:t>
      </w:r>
      <w:r>
        <w:rPr>
          <w:rFonts w:hint="eastAsia" w:ascii="仿宋" w:hAnsi="仿宋" w:eastAsia="仿宋" w:cs="仿宋"/>
          <w:color w:val="212529"/>
          <w:kern w:val="0"/>
          <w:sz w:val="32"/>
          <w:szCs w:val="32"/>
          <w:shd w:val="clear" w:color="auto" w:fill="FFFFFF"/>
        </w:rPr>
        <w:t>；</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7.未领取烟草专卖零售许可证经营烟草专卖品业务被追究刑事责任，在三年内申请领取烟草专卖零售许可证的</w:t>
      </w:r>
      <w:r>
        <w:rPr>
          <w:rFonts w:hint="eastAsia" w:ascii="仿宋" w:hAnsi="仿宋" w:eastAsia="仿宋" w:cs="仿宋"/>
          <w:color w:val="212529"/>
          <w:kern w:val="0"/>
          <w:sz w:val="32"/>
          <w:szCs w:val="32"/>
          <w:shd w:val="clear" w:color="auto" w:fill="FFFFFF"/>
        </w:rPr>
        <w:t>。</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（二）经营场所方面</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1.申请人无固定经营场所的：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“固定经营场所”是指申请设立零售点的经营场所应由砖、木、钢、土、混等材料建成，形成可封闭且不可移动空间的合法建筑。</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无固定经营场所”是指临时建筑、简易搭盖等具有流动性和季节性的摊、点、车、棚、简易板房、活动板房等。爱心亭、书报亭等相对固定场所，且能出具政府主管部门占道经营许可或其他准予经营证明的，视为具备固定经营场所，许可证有效期限参照政府主管部门规划期限执行。</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经营场所条件：经营场所地址应与营业执照上核定的经营场所地址相一致；有与住所相独立的固定经营场所，有指向明确并唯一的门牌、地址或者方位表述。</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bookmarkStart w:id="6" w:name="_Hlk174707839"/>
      <w:r>
        <w:rPr>
          <w:rFonts w:ascii="仿宋" w:hAnsi="仿宋" w:eastAsia="仿宋" w:cs="仿宋"/>
          <w:color w:val="212529"/>
          <w:kern w:val="0"/>
          <w:sz w:val="32"/>
          <w:szCs w:val="32"/>
          <w:shd w:val="clear" w:color="auto" w:fill="FFFFFF"/>
        </w:rPr>
        <w:t>申请人申请办证的经营场所位于新建小区的，</w:t>
      </w:r>
      <w:r>
        <w:rPr>
          <w:rFonts w:hint="eastAsia" w:ascii="仿宋" w:hAnsi="仿宋" w:eastAsia="仿宋" w:cs="仿宋"/>
          <w:color w:val="212529"/>
          <w:kern w:val="0"/>
          <w:sz w:val="32"/>
          <w:szCs w:val="32"/>
          <w:shd w:val="clear" w:color="auto" w:fill="FFFFFF"/>
        </w:rPr>
        <w:t>发证机关</w:t>
      </w:r>
      <w:r>
        <w:rPr>
          <w:rFonts w:ascii="仿宋" w:hAnsi="仿宋" w:eastAsia="仿宋" w:cs="仿宋"/>
          <w:color w:val="212529"/>
          <w:kern w:val="0"/>
          <w:sz w:val="32"/>
          <w:szCs w:val="32"/>
          <w:shd w:val="clear" w:color="auto" w:fill="FFFFFF"/>
        </w:rPr>
        <w:t>应严格核查该经营场所所属建筑物是否取得竣工验收</w:t>
      </w:r>
      <w:r>
        <w:rPr>
          <w:rFonts w:hint="eastAsia" w:ascii="仿宋" w:hAnsi="仿宋" w:eastAsia="仿宋" w:cs="仿宋"/>
          <w:color w:val="212529"/>
          <w:kern w:val="0"/>
          <w:sz w:val="32"/>
          <w:szCs w:val="32"/>
          <w:shd w:val="clear" w:color="auto" w:fill="FFFFFF"/>
        </w:rPr>
        <w:t>报告且交付使用，或是否取得</w:t>
      </w:r>
      <w:r>
        <w:rPr>
          <w:rFonts w:ascii="仿宋" w:hAnsi="仿宋" w:eastAsia="仿宋" w:cs="仿宋"/>
          <w:color w:val="212529"/>
          <w:kern w:val="0"/>
          <w:sz w:val="32"/>
          <w:szCs w:val="32"/>
          <w:shd w:val="clear" w:color="auto" w:fill="FFFFFF"/>
        </w:rPr>
        <w:t>房产证等权属证明，确保</w:t>
      </w:r>
      <w:r>
        <w:rPr>
          <w:rFonts w:hint="eastAsia" w:ascii="仿宋" w:hAnsi="仿宋" w:eastAsia="仿宋" w:cs="仿宋"/>
          <w:color w:val="212529"/>
          <w:kern w:val="0"/>
          <w:sz w:val="32"/>
          <w:szCs w:val="32"/>
          <w:shd w:val="clear" w:color="auto" w:fill="FFFFFF"/>
        </w:rPr>
        <w:t>位于</w:t>
      </w:r>
      <w:r>
        <w:rPr>
          <w:rFonts w:ascii="仿宋" w:hAnsi="仿宋" w:eastAsia="仿宋" w:cs="仿宋"/>
          <w:color w:val="212529"/>
          <w:kern w:val="0"/>
          <w:sz w:val="32"/>
          <w:szCs w:val="32"/>
          <w:shd w:val="clear" w:color="auto" w:fill="FFFFFF"/>
        </w:rPr>
        <w:t>新建小区</w:t>
      </w:r>
      <w:r>
        <w:rPr>
          <w:rFonts w:hint="eastAsia" w:ascii="仿宋" w:hAnsi="仿宋" w:eastAsia="仿宋" w:cs="仿宋"/>
          <w:color w:val="212529"/>
          <w:kern w:val="0"/>
          <w:sz w:val="32"/>
          <w:szCs w:val="32"/>
          <w:shd w:val="clear" w:color="auto" w:fill="FFFFFF"/>
        </w:rPr>
        <w:t>的申请地址属固定且</w:t>
      </w:r>
      <w:r>
        <w:rPr>
          <w:rFonts w:ascii="仿宋" w:hAnsi="仿宋" w:eastAsia="仿宋" w:cs="仿宋"/>
          <w:color w:val="212529"/>
          <w:kern w:val="0"/>
          <w:sz w:val="32"/>
          <w:szCs w:val="32"/>
          <w:shd w:val="clear" w:color="auto" w:fill="FFFFFF"/>
        </w:rPr>
        <w:t>适宜经营卷烟的经营场所。</w:t>
      </w:r>
    </w:p>
    <w:bookmarkEnd w:id="6"/>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2.申请人经营场所与住所不相独立的；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“与住所相独立”是指经营场所与生活区域相独立，面向公众经营。</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与住所不相独立”是指从事烟草制品销售、储存的经营场所与居住场所或他人的经营场所，从空间上无法分离和断开，从物理特性上无实体墙隔离且无明确的区域界线，包括但不限于住宅公寓（经依法审批改为经营用途的除外）、办公场所、仓库、生活住所的车库、地下室、储藏室以及地面二层及以上等未对消费者全开放的场所等。</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3.同一经营场所已经办理了仍在有效期内的烟草专卖零售许可证的；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bookmarkStart w:id="7" w:name="_Hlk174707912"/>
      <w:r>
        <w:rPr>
          <w:rFonts w:hint="eastAsia" w:ascii="仿宋" w:hAnsi="仿宋" w:eastAsia="仿宋" w:cs="仿宋"/>
          <w:color w:val="212529"/>
          <w:kern w:val="0"/>
          <w:sz w:val="32"/>
          <w:szCs w:val="32"/>
          <w:shd w:val="clear" w:color="auto" w:fill="FFFFFF"/>
        </w:rPr>
        <w:t>4.经营场所基于安全因素不适宜经营卷烟的不予发证，包括但不限主营业务为</w:t>
      </w:r>
      <w:r>
        <w:rPr>
          <w:rFonts w:ascii="仿宋" w:hAnsi="仿宋" w:eastAsia="仿宋" w:cs="仿宋"/>
          <w:color w:val="212529"/>
          <w:kern w:val="0"/>
          <w:sz w:val="32"/>
          <w:szCs w:val="32"/>
          <w:shd w:val="clear" w:color="auto" w:fill="FFFFFF"/>
        </w:rPr>
        <w:t>化工、农药、油漆、鞭炮等有毒有害</w:t>
      </w:r>
      <w:r>
        <w:rPr>
          <w:rFonts w:hint="eastAsia" w:ascii="仿宋" w:hAnsi="仿宋" w:eastAsia="仿宋" w:cs="仿宋"/>
          <w:color w:val="212529"/>
          <w:kern w:val="0"/>
          <w:sz w:val="32"/>
          <w:szCs w:val="32"/>
          <w:shd w:val="clear" w:color="auto" w:fill="FFFFFF"/>
        </w:rPr>
        <w:t>、</w:t>
      </w:r>
      <w:r>
        <w:rPr>
          <w:rFonts w:ascii="仿宋" w:hAnsi="仿宋" w:eastAsia="仿宋" w:cs="仿宋"/>
          <w:color w:val="212529"/>
          <w:kern w:val="0"/>
          <w:sz w:val="32"/>
          <w:szCs w:val="32"/>
          <w:shd w:val="clear" w:color="auto" w:fill="FFFFFF"/>
        </w:rPr>
        <w:t>易燃易爆</w:t>
      </w:r>
      <w:r>
        <w:rPr>
          <w:rFonts w:hint="eastAsia" w:ascii="仿宋" w:hAnsi="仿宋" w:eastAsia="仿宋" w:cs="仿宋"/>
          <w:color w:val="212529"/>
          <w:kern w:val="0"/>
          <w:sz w:val="32"/>
          <w:szCs w:val="32"/>
          <w:shd w:val="clear" w:color="auto" w:fill="FFFFFF"/>
        </w:rPr>
        <w:t>、或易挥发有毒有害气体的场所，具备安全保障措施的加油站便利店除外。</w:t>
      </w:r>
      <w:bookmarkEnd w:id="7"/>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（三）经营模式方面</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1.利用自动售货机或者其他自动售货形式，销售或者变相销售烟草制品的；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仿宋" w:hAnsi="仿宋" w:eastAsia="仿宋" w:cs="仿宋"/>
          <w:color w:val="212529"/>
          <w:kern w:val="0"/>
          <w:sz w:val="32"/>
          <w:szCs w:val="32"/>
          <w:shd w:val="clear" w:color="auto" w:fill="FFFFFF"/>
        </w:rPr>
        <w:t>2.通过信息网络销售烟草专卖品的；</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bookmarkStart w:id="8" w:name="OLE_LINK54"/>
      <w:r>
        <w:rPr>
          <w:rFonts w:hint="eastAsia" w:ascii="仿宋" w:hAnsi="仿宋" w:eastAsia="仿宋" w:cs="仿宋"/>
          <w:color w:val="212529"/>
          <w:kern w:val="0"/>
          <w:sz w:val="32"/>
          <w:szCs w:val="32"/>
          <w:shd w:val="clear" w:color="auto" w:fill="FFFFFF"/>
        </w:rPr>
        <w:t>（四）</w:t>
      </w:r>
      <w:r>
        <w:rPr>
          <w:rFonts w:ascii="仿宋" w:hAnsi="仿宋" w:eastAsia="仿宋" w:cs="仿宋"/>
          <w:color w:val="212529"/>
          <w:kern w:val="0"/>
          <w:sz w:val="32"/>
          <w:szCs w:val="32"/>
          <w:shd w:val="clear" w:color="auto" w:fill="FFFFFF"/>
        </w:rPr>
        <w:t>特殊区域</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仿宋" w:hAnsi="仿宋" w:eastAsia="仿宋" w:cs="仿宋"/>
          <w:color w:val="212529"/>
          <w:kern w:val="0"/>
          <w:sz w:val="32"/>
          <w:szCs w:val="32"/>
          <w:shd w:val="clear" w:color="auto" w:fill="FFFFFF"/>
        </w:rPr>
        <w:t>1.</w:t>
      </w:r>
      <w:r>
        <w:rPr>
          <w:rFonts w:ascii="仿宋" w:hAnsi="仿宋" w:eastAsia="仿宋" w:cs="仿宋"/>
          <w:color w:val="212529"/>
          <w:kern w:val="0"/>
          <w:sz w:val="32"/>
          <w:szCs w:val="32"/>
          <w:shd w:val="clear" w:color="auto" w:fill="FFFFFF"/>
        </w:rPr>
        <w:t>中小学校、幼儿园内部以及中小学校、幼儿园进出口正中心50米范围内不予发证；</w:t>
      </w:r>
      <w:r>
        <w:rPr>
          <w:rFonts w:hint="eastAsia" w:ascii="仿宋" w:hAnsi="仿宋" w:eastAsia="仿宋" w:cs="仿宋"/>
          <w:color w:val="212529"/>
          <w:kern w:val="0"/>
          <w:sz w:val="32"/>
          <w:szCs w:val="32"/>
          <w:shd w:val="clear" w:color="auto" w:fill="FFFFFF"/>
        </w:rPr>
        <w:t>进出口包括正门、侧门、员工通道、货物通道、消防通道、应急通道、垃圾通道、停车场通道等行人、车辆能够自由出入的通道。其中50米范围以中小学、幼儿园进出口中心点为基准，与拟办经营场所出入口所在面最近边界的直线距离。</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仿宋" w:hAnsi="仿宋" w:eastAsia="仿宋" w:cs="仿宋"/>
          <w:color w:val="212529"/>
          <w:kern w:val="0"/>
          <w:sz w:val="32"/>
          <w:szCs w:val="32"/>
          <w:shd w:val="clear" w:color="auto" w:fill="FFFFFF"/>
        </w:rPr>
        <w:t>2.</w:t>
      </w:r>
      <w:r>
        <w:rPr>
          <w:rFonts w:ascii="仿宋" w:hAnsi="仿宋" w:eastAsia="仿宋" w:cs="仿宋"/>
          <w:color w:val="212529"/>
          <w:kern w:val="0"/>
          <w:sz w:val="32"/>
          <w:szCs w:val="32"/>
          <w:shd w:val="clear" w:color="auto" w:fill="FFFFFF"/>
        </w:rPr>
        <w:t>无人超市、</w:t>
      </w:r>
      <w:r>
        <w:rPr>
          <w:rFonts w:hint="eastAsia" w:ascii="仿宋" w:hAnsi="仿宋" w:eastAsia="仿宋" w:cs="仿宋"/>
          <w:color w:val="212529"/>
          <w:kern w:val="0"/>
          <w:sz w:val="32"/>
          <w:szCs w:val="32"/>
          <w:shd w:val="clear" w:color="auto" w:fill="FFFFFF"/>
        </w:rPr>
        <w:t>诊所、</w:t>
      </w:r>
      <w:r>
        <w:rPr>
          <w:rFonts w:ascii="仿宋" w:hAnsi="仿宋" w:eastAsia="仿宋" w:cs="仿宋"/>
          <w:color w:val="212529"/>
          <w:kern w:val="0"/>
          <w:sz w:val="32"/>
          <w:szCs w:val="32"/>
          <w:shd w:val="clear" w:color="auto" w:fill="FFFFFF"/>
        </w:rPr>
        <w:t>医院内部及党政机关内部不予发证。</w:t>
      </w:r>
    </w:p>
    <w:bookmarkEnd w:id="8"/>
    <w:p>
      <w:pPr>
        <w:widowControl/>
        <w:shd w:val="clear" w:color="auto" w:fill="FFFFFF"/>
        <w:spacing w:line="600" w:lineRule="exact"/>
        <w:ind w:firstLine="640" w:firstLineChars="200"/>
        <w:jc w:val="center"/>
        <w:rPr>
          <w:rFonts w:ascii="Times New Roman" w:hAnsi="Times New Roman" w:eastAsia="方正黑体" w:cs="Times New Roman"/>
          <w:color w:val="333333"/>
          <w:kern w:val="0"/>
          <w:sz w:val="32"/>
          <w:szCs w:val="32"/>
        </w:rPr>
      </w:pPr>
      <w:r>
        <w:rPr>
          <w:rFonts w:ascii="Times New Roman" w:hAnsi="Times New Roman" w:eastAsia="方正黑体" w:cs="Times New Roman"/>
          <w:color w:val="333333"/>
          <w:kern w:val="0"/>
          <w:sz w:val="32"/>
          <w:szCs w:val="32"/>
        </w:rPr>
        <w:t>第四章</w:t>
      </w:r>
      <w:r>
        <w:rPr>
          <w:rFonts w:hint="eastAsia" w:ascii="Times New Roman" w:hAnsi="Times New Roman" w:eastAsia="方正黑体" w:cs="Times New Roman"/>
          <w:color w:val="333333"/>
          <w:kern w:val="0"/>
          <w:sz w:val="32"/>
          <w:szCs w:val="32"/>
        </w:rPr>
        <w:t xml:space="preserve"> </w:t>
      </w:r>
      <w:r>
        <w:rPr>
          <w:rFonts w:ascii="Times New Roman" w:hAnsi="Times New Roman" w:eastAsia="方正黑体" w:cs="Times New Roman"/>
          <w:color w:val="333333"/>
          <w:kern w:val="0"/>
          <w:sz w:val="32"/>
          <w:szCs w:val="32"/>
        </w:rPr>
        <w:t> 附</w:t>
      </w:r>
      <w:r>
        <w:rPr>
          <w:rFonts w:hint="eastAsia" w:ascii="Times New Roman" w:hAnsi="Times New Roman" w:eastAsia="方正黑体" w:cs="Times New Roman"/>
          <w:color w:val="333333"/>
          <w:kern w:val="0"/>
          <w:sz w:val="32"/>
          <w:szCs w:val="32"/>
        </w:rPr>
        <w:t xml:space="preserve">  </w:t>
      </w:r>
      <w:r>
        <w:rPr>
          <w:rFonts w:ascii="Times New Roman" w:hAnsi="Times New Roman" w:eastAsia="方正黑体" w:cs="Times New Roman"/>
          <w:color w:val="333333"/>
          <w:kern w:val="0"/>
          <w:sz w:val="32"/>
          <w:szCs w:val="32"/>
        </w:rPr>
        <w:t>则</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第十</w:t>
      </w:r>
      <w:r>
        <w:rPr>
          <w:rFonts w:hint="eastAsia" w:ascii="黑体" w:hAnsi="黑体" w:eastAsia="黑体" w:cs="仿宋"/>
          <w:color w:val="212529"/>
          <w:kern w:val="0"/>
          <w:sz w:val="32"/>
          <w:szCs w:val="32"/>
          <w:shd w:val="clear" w:color="auto" w:fill="FFFFFF"/>
        </w:rPr>
        <w:t>四</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本规</w:t>
      </w:r>
      <w:r>
        <w:rPr>
          <w:rFonts w:hint="eastAsia" w:ascii="仿宋" w:hAnsi="仿宋" w:eastAsia="仿宋" w:cs="仿宋"/>
          <w:color w:val="212529"/>
          <w:kern w:val="0"/>
          <w:sz w:val="32"/>
          <w:szCs w:val="32"/>
          <w:shd w:val="clear" w:color="auto" w:fill="FFFFFF"/>
          <w:lang w:val="en-US" w:eastAsia="zh-CN"/>
        </w:rPr>
        <w:t>定</w:t>
      </w:r>
      <w:r>
        <w:rPr>
          <w:rFonts w:ascii="仿宋" w:hAnsi="仿宋" w:eastAsia="仿宋" w:cs="仿宋"/>
          <w:color w:val="212529"/>
          <w:kern w:val="0"/>
          <w:sz w:val="32"/>
          <w:szCs w:val="32"/>
          <w:shd w:val="clear" w:color="auto" w:fill="FFFFFF"/>
        </w:rPr>
        <w:t>所称烟草制品零售点具体业态标准按照《中国烟草总公司四川省公司关于全面加强烟草零售客户基础信息管理工作的实施方案》（川烟销〔2023〕1号）中《烟草零售客户业态类型划分标准》进行核定。</w:t>
      </w:r>
      <w:bookmarkStart w:id="9" w:name="_GoBack"/>
      <w:bookmarkEnd w:id="9"/>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第十</w:t>
      </w:r>
      <w:r>
        <w:rPr>
          <w:rFonts w:hint="eastAsia" w:ascii="黑体" w:hAnsi="黑体" w:eastAsia="黑体" w:cs="仿宋"/>
          <w:color w:val="212529"/>
          <w:kern w:val="0"/>
          <w:sz w:val="32"/>
          <w:szCs w:val="32"/>
          <w:shd w:val="clear" w:color="auto" w:fill="FFFFFF"/>
        </w:rPr>
        <w:t>五</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本规划中的“以上”、“以下”、</w:t>
      </w:r>
      <w:r>
        <w:rPr>
          <w:rFonts w:hint="eastAsia" w:ascii="仿宋" w:hAnsi="仿宋" w:eastAsia="仿宋" w:cs="仿宋"/>
          <w:color w:val="212529"/>
          <w:kern w:val="0"/>
          <w:sz w:val="32"/>
          <w:szCs w:val="32"/>
          <w:shd w:val="clear" w:color="auto" w:fill="FFFFFF"/>
        </w:rPr>
        <w:t>“以内”、</w:t>
      </w:r>
      <w:r>
        <w:rPr>
          <w:rFonts w:ascii="仿宋" w:hAnsi="仿宋" w:eastAsia="仿宋" w:cs="仿宋"/>
          <w:color w:val="212529"/>
          <w:kern w:val="0"/>
          <w:sz w:val="32"/>
          <w:szCs w:val="32"/>
          <w:shd w:val="clear" w:color="auto" w:fill="FFFFFF"/>
        </w:rPr>
        <w:t>“不足”、“超过”均包含本级或本数。</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第十</w:t>
      </w:r>
      <w:r>
        <w:rPr>
          <w:rFonts w:hint="eastAsia" w:ascii="黑体" w:hAnsi="黑体" w:eastAsia="黑体" w:cs="仿宋"/>
          <w:color w:val="212529"/>
          <w:kern w:val="0"/>
          <w:sz w:val="32"/>
          <w:szCs w:val="32"/>
          <w:shd w:val="clear" w:color="auto" w:fill="FFFFFF"/>
        </w:rPr>
        <w:t>六</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hint="eastAsia" w:ascii="仿宋" w:hAnsi="仿宋" w:eastAsia="仿宋" w:cs="仿宋"/>
          <w:color w:val="212529"/>
          <w:kern w:val="0"/>
          <w:sz w:val="32"/>
          <w:szCs w:val="32"/>
          <w:shd w:val="clear" w:color="auto" w:fill="FFFFFF"/>
        </w:rPr>
        <w:t>本规划中的中小学，是指普通中小学、特殊教育学校、中等职业学校、专门学校。本规划中的幼儿园，是指教育行政主管部门登记备案的幼儿园。</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第十</w:t>
      </w:r>
      <w:r>
        <w:rPr>
          <w:rFonts w:hint="eastAsia" w:ascii="黑体" w:hAnsi="黑体" w:eastAsia="黑体" w:cs="仿宋"/>
          <w:color w:val="212529"/>
          <w:kern w:val="0"/>
          <w:sz w:val="32"/>
          <w:szCs w:val="32"/>
          <w:shd w:val="clear" w:color="auto" w:fill="FFFFFF"/>
        </w:rPr>
        <w:t>七</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本规划中的“间距”，指新申请方</w:t>
      </w:r>
      <w:r>
        <w:rPr>
          <w:rFonts w:hint="eastAsia" w:ascii="仿宋" w:hAnsi="仿宋" w:eastAsia="仿宋" w:cs="仿宋"/>
          <w:color w:val="212529"/>
          <w:kern w:val="0"/>
          <w:sz w:val="32"/>
          <w:szCs w:val="32"/>
          <w:shd w:val="clear" w:color="auto" w:fill="FFFFFF"/>
        </w:rPr>
        <w:t>出入口</w:t>
      </w:r>
      <w:r>
        <w:rPr>
          <w:rFonts w:ascii="仿宋" w:hAnsi="仿宋" w:eastAsia="仿宋" w:cs="仿宋"/>
          <w:color w:val="212529"/>
          <w:kern w:val="0"/>
          <w:sz w:val="32"/>
          <w:szCs w:val="32"/>
          <w:shd w:val="clear" w:color="auto" w:fill="FFFFFF"/>
        </w:rPr>
        <w:t>与测量参照物</w:t>
      </w:r>
      <w:r>
        <w:rPr>
          <w:rFonts w:hint="eastAsia" w:ascii="仿宋" w:hAnsi="仿宋" w:eastAsia="仿宋" w:cs="仿宋"/>
          <w:color w:val="212529"/>
          <w:kern w:val="0"/>
          <w:sz w:val="32"/>
          <w:szCs w:val="32"/>
          <w:shd w:val="clear" w:color="auto" w:fill="FFFFFF"/>
        </w:rPr>
        <w:t>出入口</w:t>
      </w:r>
      <w:r>
        <w:rPr>
          <w:rFonts w:ascii="仿宋" w:hAnsi="仿宋" w:eastAsia="仿宋" w:cs="仿宋"/>
          <w:color w:val="212529"/>
          <w:kern w:val="0"/>
          <w:sz w:val="32"/>
          <w:szCs w:val="32"/>
          <w:shd w:val="clear" w:color="auto" w:fill="FFFFFF"/>
        </w:rPr>
        <w:t>之间，按“边对边”原则测量的可步行通行最短距离，测量参照物指周边最近的持证零售户。现场核查新申请方与参照物之间的测量以“符合交通法律法规规定，可通行最短距离”为总体原则，具体测量</w:t>
      </w:r>
      <w:r>
        <w:rPr>
          <w:rFonts w:hint="eastAsia" w:ascii="仿宋" w:hAnsi="仿宋" w:eastAsia="仿宋" w:cs="仿宋"/>
          <w:color w:val="212529"/>
          <w:kern w:val="0"/>
          <w:sz w:val="32"/>
          <w:szCs w:val="32"/>
          <w:shd w:val="clear" w:color="auto" w:fill="FFFFFF"/>
        </w:rPr>
        <w:t>标准</w:t>
      </w:r>
      <w:r>
        <w:rPr>
          <w:rFonts w:ascii="仿宋" w:hAnsi="仿宋" w:eastAsia="仿宋" w:cs="仿宋"/>
          <w:color w:val="212529"/>
          <w:kern w:val="0"/>
          <w:sz w:val="32"/>
          <w:szCs w:val="32"/>
          <w:shd w:val="clear" w:color="auto" w:fill="FFFFFF"/>
        </w:rPr>
        <w:t>见</w:t>
      </w:r>
      <w:r>
        <w:rPr>
          <w:rFonts w:hint="eastAsia" w:ascii="仿宋" w:hAnsi="仿宋" w:eastAsia="仿宋" w:cs="仿宋"/>
          <w:color w:val="212529"/>
          <w:kern w:val="0"/>
          <w:sz w:val="32"/>
          <w:szCs w:val="32"/>
          <w:shd w:val="clear" w:color="auto" w:fill="FFFFFF"/>
        </w:rPr>
        <w:t>《遂宁市船山区烟草制品零售点经营场所间距测量标准》</w:t>
      </w:r>
      <w:r>
        <w:rPr>
          <w:rFonts w:ascii="仿宋" w:hAnsi="仿宋" w:eastAsia="仿宋" w:cs="仿宋"/>
          <w:color w:val="212529"/>
          <w:kern w:val="0"/>
          <w:sz w:val="32"/>
          <w:szCs w:val="32"/>
          <w:shd w:val="clear" w:color="auto" w:fill="FFFFFF"/>
        </w:rPr>
        <w:t>。</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第十</w:t>
      </w:r>
      <w:r>
        <w:rPr>
          <w:rFonts w:hint="eastAsia" w:ascii="黑体" w:hAnsi="黑体" w:eastAsia="黑体" w:cs="仿宋"/>
          <w:color w:val="212529"/>
          <w:kern w:val="0"/>
          <w:sz w:val="32"/>
          <w:szCs w:val="32"/>
          <w:shd w:val="clear" w:color="auto" w:fill="FFFFFF"/>
        </w:rPr>
        <w:t>八</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hint="eastAsia" w:ascii="仿宋" w:hAnsi="仿宋" w:eastAsia="仿宋" w:cs="仿宋"/>
          <w:color w:val="212529"/>
          <w:kern w:val="0"/>
          <w:sz w:val="32"/>
          <w:szCs w:val="32"/>
          <w:shd w:val="clear" w:color="auto" w:fill="FFFFFF"/>
        </w:rPr>
        <w:t>对本规划发布前已依法核发的烟草专卖零售许可证，在许可证有效期内不受本规划总量和距离调整的影响（法律、法规、规章规定等有禁止性规定的除外）。</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黑体" w:hAnsi="黑体" w:eastAsia="黑体" w:cs="仿宋"/>
          <w:color w:val="212529"/>
          <w:kern w:val="0"/>
          <w:sz w:val="32"/>
          <w:szCs w:val="32"/>
          <w:shd w:val="clear" w:color="auto" w:fill="FFFFFF"/>
        </w:rPr>
        <w:t xml:space="preserve">第十九条  </w:t>
      </w:r>
      <w:r>
        <w:rPr>
          <w:rFonts w:hint="eastAsia" w:ascii="仿宋" w:hAnsi="仿宋" w:eastAsia="仿宋" w:cs="仿宋"/>
          <w:color w:val="212529"/>
          <w:kern w:val="0"/>
          <w:sz w:val="32"/>
          <w:szCs w:val="32"/>
          <w:shd w:val="clear" w:color="auto" w:fill="FFFFFF"/>
        </w:rPr>
        <w:t>因政府规划导致街道或区域名称变化的，间距、总量标准不变；因政府行政区划变更造成实际行政规划区域与合理布局规划划分区域不符的，按合理布局规划执行。</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hint="eastAsia" w:ascii="黑体" w:hAnsi="黑体" w:eastAsia="黑体" w:cs="仿宋"/>
          <w:color w:val="212529"/>
          <w:kern w:val="0"/>
          <w:sz w:val="32"/>
          <w:szCs w:val="32"/>
          <w:shd w:val="clear" w:color="auto" w:fill="FFFFFF"/>
        </w:rPr>
        <w:t xml:space="preserve">第二十条  </w:t>
      </w:r>
      <w:r>
        <w:rPr>
          <w:rFonts w:hint="eastAsia" w:ascii="仿宋" w:hAnsi="仿宋" w:eastAsia="仿宋" w:cs="仿宋"/>
          <w:color w:val="212529"/>
          <w:kern w:val="0"/>
          <w:sz w:val="32"/>
          <w:szCs w:val="32"/>
          <w:shd w:val="clear" w:color="auto" w:fill="FFFFFF"/>
        </w:rPr>
        <w:t>拟办经营地址若位于规划标准不同区域的交叉区域（汇合处），间距及总量标准按照高标准区域执行。</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第二十一条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本规划由</w:t>
      </w:r>
      <w:r>
        <w:rPr>
          <w:rFonts w:hint="eastAsia" w:ascii="仿宋" w:hAnsi="仿宋" w:eastAsia="仿宋" w:cs="仿宋"/>
          <w:color w:val="212529"/>
          <w:kern w:val="0"/>
          <w:sz w:val="32"/>
          <w:szCs w:val="32"/>
          <w:shd w:val="clear" w:color="auto" w:fill="FFFFFF"/>
        </w:rPr>
        <w:t>遂宁市船山区</w:t>
      </w:r>
      <w:r>
        <w:rPr>
          <w:rFonts w:ascii="仿宋" w:hAnsi="仿宋" w:eastAsia="仿宋" w:cs="仿宋"/>
          <w:color w:val="212529"/>
          <w:kern w:val="0"/>
          <w:sz w:val="32"/>
          <w:szCs w:val="32"/>
          <w:shd w:val="clear" w:color="auto" w:fill="FFFFFF"/>
        </w:rPr>
        <w:t>烟草专卖局负责解释。</w:t>
      </w:r>
    </w:p>
    <w:p>
      <w:pPr>
        <w:widowControl/>
        <w:shd w:val="clear" w:color="auto" w:fill="FFFFFF"/>
        <w:spacing w:line="600" w:lineRule="exact"/>
        <w:ind w:firstLine="640" w:firstLineChars="200"/>
        <w:rPr>
          <w:rFonts w:ascii="仿宋" w:hAnsi="仿宋" w:eastAsia="仿宋" w:cs="仿宋"/>
          <w:color w:val="212529"/>
          <w:kern w:val="0"/>
          <w:sz w:val="32"/>
          <w:szCs w:val="32"/>
          <w:shd w:val="clear" w:color="auto" w:fill="FFFFFF"/>
        </w:rPr>
      </w:pPr>
      <w:r>
        <w:rPr>
          <w:rFonts w:ascii="黑体" w:hAnsi="黑体" w:eastAsia="黑体" w:cs="仿宋"/>
          <w:color w:val="212529"/>
          <w:kern w:val="0"/>
          <w:sz w:val="32"/>
          <w:szCs w:val="32"/>
          <w:shd w:val="clear" w:color="auto" w:fill="FFFFFF"/>
        </w:rPr>
        <w:t>第</w:t>
      </w:r>
      <w:r>
        <w:rPr>
          <w:rFonts w:hint="eastAsia" w:ascii="黑体" w:hAnsi="黑体" w:eastAsia="黑体" w:cs="仿宋"/>
          <w:color w:val="212529"/>
          <w:kern w:val="0"/>
          <w:sz w:val="32"/>
          <w:szCs w:val="32"/>
          <w:shd w:val="clear" w:color="auto" w:fill="FFFFFF"/>
        </w:rPr>
        <w:t>二十二</w:t>
      </w:r>
      <w:r>
        <w:rPr>
          <w:rFonts w:ascii="黑体" w:hAnsi="黑体" w:eastAsia="黑体" w:cs="仿宋"/>
          <w:color w:val="212529"/>
          <w:kern w:val="0"/>
          <w:sz w:val="32"/>
          <w:szCs w:val="32"/>
          <w:shd w:val="clear" w:color="auto" w:fill="FFFFFF"/>
        </w:rPr>
        <w:t>条</w:t>
      </w:r>
      <w:r>
        <w:rPr>
          <w:rFonts w:hint="eastAsia" w:ascii="黑体" w:hAnsi="黑体" w:eastAsia="黑体" w:cs="仿宋"/>
          <w:color w:val="212529"/>
          <w:kern w:val="0"/>
          <w:sz w:val="32"/>
          <w:szCs w:val="32"/>
          <w:shd w:val="clear" w:color="auto" w:fill="FFFFFF"/>
        </w:rPr>
        <w:t xml:space="preserve">  </w:t>
      </w:r>
      <w:r>
        <w:rPr>
          <w:rFonts w:ascii="仿宋" w:hAnsi="仿宋" w:eastAsia="仿宋" w:cs="仿宋"/>
          <w:color w:val="212529"/>
          <w:kern w:val="0"/>
          <w:sz w:val="32"/>
          <w:szCs w:val="32"/>
          <w:shd w:val="clear" w:color="auto" w:fill="FFFFFF"/>
        </w:rPr>
        <w:t>本规划自202</w:t>
      </w:r>
      <w:r>
        <w:rPr>
          <w:rFonts w:hint="eastAsia" w:ascii="仿宋" w:hAnsi="仿宋" w:eastAsia="仿宋" w:cs="仿宋"/>
          <w:color w:val="212529"/>
          <w:kern w:val="0"/>
          <w:sz w:val="32"/>
          <w:szCs w:val="32"/>
          <w:shd w:val="clear" w:color="auto" w:fill="FFFFFF"/>
        </w:rPr>
        <w:t>5</w:t>
      </w:r>
      <w:r>
        <w:rPr>
          <w:rFonts w:ascii="仿宋" w:hAnsi="仿宋" w:eastAsia="仿宋" w:cs="仿宋"/>
          <w:color w:val="212529"/>
          <w:kern w:val="0"/>
          <w:sz w:val="32"/>
          <w:szCs w:val="32"/>
          <w:shd w:val="clear" w:color="auto" w:fill="FFFFFF"/>
        </w:rPr>
        <w:t>年</w:t>
      </w:r>
      <w:r>
        <w:rPr>
          <w:rFonts w:hint="eastAsia" w:ascii="仿宋" w:hAnsi="仿宋" w:eastAsia="仿宋" w:cs="仿宋"/>
          <w:color w:val="212529"/>
          <w:kern w:val="0"/>
          <w:sz w:val="32"/>
          <w:szCs w:val="32"/>
          <w:shd w:val="clear" w:color="auto" w:fill="FFFFFF"/>
        </w:rPr>
        <w:t>XX</w:t>
      </w:r>
      <w:r>
        <w:rPr>
          <w:rFonts w:ascii="仿宋" w:hAnsi="仿宋" w:eastAsia="仿宋" w:cs="仿宋"/>
          <w:color w:val="212529"/>
          <w:kern w:val="0"/>
          <w:sz w:val="32"/>
          <w:szCs w:val="32"/>
          <w:shd w:val="clear" w:color="auto" w:fill="FFFFFF"/>
        </w:rPr>
        <w:t>月</w:t>
      </w:r>
      <w:r>
        <w:rPr>
          <w:rFonts w:hint="eastAsia" w:ascii="仿宋" w:hAnsi="仿宋" w:eastAsia="仿宋" w:cs="仿宋"/>
          <w:color w:val="212529"/>
          <w:kern w:val="0"/>
          <w:sz w:val="32"/>
          <w:szCs w:val="32"/>
          <w:shd w:val="clear" w:color="auto" w:fill="FFFFFF"/>
        </w:rPr>
        <w:t>XX</w:t>
      </w:r>
      <w:r>
        <w:rPr>
          <w:rFonts w:ascii="仿宋" w:hAnsi="仿宋" w:eastAsia="仿宋" w:cs="仿宋"/>
          <w:color w:val="212529"/>
          <w:kern w:val="0"/>
          <w:sz w:val="32"/>
          <w:szCs w:val="32"/>
          <w:shd w:val="clear" w:color="auto" w:fill="FFFFFF"/>
        </w:rPr>
        <w:t>日起实施，有效期</w:t>
      </w:r>
      <w:r>
        <w:rPr>
          <w:rFonts w:hint="eastAsia" w:ascii="仿宋" w:hAnsi="仿宋" w:eastAsia="仿宋" w:cs="仿宋"/>
          <w:color w:val="212529"/>
          <w:kern w:val="0"/>
          <w:sz w:val="32"/>
          <w:szCs w:val="32"/>
          <w:shd w:val="clear" w:color="auto" w:fill="FFFFFF"/>
        </w:rPr>
        <w:t>5</w:t>
      </w:r>
      <w:r>
        <w:rPr>
          <w:rFonts w:ascii="仿宋" w:hAnsi="仿宋" w:eastAsia="仿宋" w:cs="仿宋"/>
          <w:color w:val="212529"/>
          <w:kern w:val="0"/>
          <w:sz w:val="32"/>
          <w:szCs w:val="32"/>
          <w:shd w:val="clear" w:color="auto" w:fill="FFFFFF"/>
        </w:rPr>
        <w:t>年。</w:t>
      </w:r>
    </w:p>
    <w:sectPr>
      <w:footerReference r:id="rId3" w:type="default"/>
      <w:pgSz w:w="11906" w:h="16838"/>
      <w:pgMar w:top="2098" w:right="1474" w:bottom="1985" w:left="1588" w:header="850"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EE75A-8D77-4A2B-920A-A67D0DF0FD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0751E94-0320-4867-8FAC-B792A6457796}"/>
  </w:font>
  <w:font w:name="方正黑体">
    <w:altName w:val="Arial Unicode MS"/>
    <w:panose1 w:val="00000000000000000000"/>
    <w:charset w:val="86"/>
    <w:family w:val="script"/>
    <w:pitch w:val="default"/>
    <w:sig w:usb0="00000000" w:usb1="00000000" w:usb2="00000010" w:usb3="00000000" w:csb0="00040000" w:csb1="00000000"/>
    <w:embedRegular r:id="rId3" w:fontKey="{232D6670-D1DC-43C5-95A4-3446EB3FF4FA}"/>
  </w:font>
  <w:font w:name="仿宋">
    <w:panose1 w:val="02010609060101010101"/>
    <w:charset w:val="86"/>
    <w:family w:val="modern"/>
    <w:pitch w:val="default"/>
    <w:sig w:usb0="800002BF" w:usb1="38CF7CFA" w:usb2="00000016" w:usb3="00000000" w:csb0="00040001" w:csb1="00000000"/>
    <w:embedRegular r:id="rId4" w:fontKey="{A1501B9D-6292-4F67-9851-B6B9F144093C}"/>
  </w:font>
  <w:font w:name="方正仿宋">
    <w:altName w:val="Arial Unicode MS"/>
    <w:panose1 w:val="00000000000000000000"/>
    <w:charset w:val="86"/>
    <w:family w:val="script"/>
    <w:pitch w:val="default"/>
    <w:sig w:usb0="00000000" w:usb1="00000000" w:usb2="00000010" w:usb3="00000000" w:csb0="00040000" w:csb1="00000000"/>
    <w:embedRegular r:id="rId5" w:fontKey="{387DCA3D-A260-430B-AC4C-AA570246BC4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fldChar w:fldCharType="begin"/>
    </w:r>
    <w:r>
      <w:rPr>
        <w:rFonts w:ascii="Times New Roman" w:hAnsi="Times New Roman" w:cs="Times New Roman"/>
        <w:sz w:val="28"/>
      </w:rPr>
      <w:instrText xml:space="preserve"> PAGE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4EB64"/>
    <w:multiLevelType w:val="singleLevel"/>
    <w:tmpl w:val="6424EB64"/>
    <w:lvl w:ilvl="0" w:tentative="0">
      <w:start w:val="5"/>
      <w:numFmt w:val="chineseCounting"/>
      <w:suff w:val="space"/>
      <w:lvlText w:val="第%1条"/>
      <w:lvlJc w:val="left"/>
      <w:rPr>
        <w:rFonts w:hint="eastAsia" w:ascii="黑体" w:hAns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1MTBkZjAzNDg4NTJhMzEyOTE3NzViNTIwY2JkZjgifQ=="/>
  </w:docVars>
  <w:rsids>
    <w:rsidRoot w:val="009E19CE"/>
    <w:rsid w:val="00001B36"/>
    <w:rsid w:val="000040B8"/>
    <w:rsid w:val="00022FE0"/>
    <w:rsid w:val="00023AD8"/>
    <w:rsid w:val="000252E2"/>
    <w:rsid w:val="0002662B"/>
    <w:rsid w:val="000276DE"/>
    <w:rsid w:val="00032A9A"/>
    <w:rsid w:val="00033362"/>
    <w:rsid w:val="00043581"/>
    <w:rsid w:val="0004513B"/>
    <w:rsid w:val="0004686F"/>
    <w:rsid w:val="00050885"/>
    <w:rsid w:val="0005349F"/>
    <w:rsid w:val="00055D82"/>
    <w:rsid w:val="00060A27"/>
    <w:rsid w:val="00061E3D"/>
    <w:rsid w:val="00062940"/>
    <w:rsid w:val="00067573"/>
    <w:rsid w:val="00073042"/>
    <w:rsid w:val="00074653"/>
    <w:rsid w:val="00075725"/>
    <w:rsid w:val="00077816"/>
    <w:rsid w:val="000810D0"/>
    <w:rsid w:val="000932D8"/>
    <w:rsid w:val="00096A4A"/>
    <w:rsid w:val="000974F9"/>
    <w:rsid w:val="000A20FA"/>
    <w:rsid w:val="000A2CDD"/>
    <w:rsid w:val="000A7D6C"/>
    <w:rsid w:val="000B10FE"/>
    <w:rsid w:val="000B1344"/>
    <w:rsid w:val="000B269B"/>
    <w:rsid w:val="000B2B4D"/>
    <w:rsid w:val="000C23CE"/>
    <w:rsid w:val="000D1836"/>
    <w:rsid w:val="000D1A02"/>
    <w:rsid w:val="000D3BBB"/>
    <w:rsid w:val="000E0796"/>
    <w:rsid w:val="000E1AD6"/>
    <w:rsid w:val="000E4717"/>
    <w:rsid w:val="000E52C3"/>
    <w:rsid w:val="000E7181"/>
    <w:rsid w:val="000F1E7F"/>
    <w:rsid w:val="000F6162"/>
    <w:rsid w:val="0010022B"/>
    <w:rsid w:val="00104E24"/>
    <w:rsid w:val="0010586A"/>
    <w:rsid w:val="00105A38"/>
    <w:rsid w:val="001114FC"/>
    <w:rsid w:val="00113D66"/>
    <w:rsid w:val="00120D9E"/>
    <w:rsid w:val="001233AB"/>
    <w:rsid w:val="00126A9D"/>
    <w:rsid w:val="00126EF8"/>
    <w:rsid w:val="00134DA2"/>
    <w:rsid w:val="0014104C"/>
    <w:rsid w:val="0014413D"/>
    <w:rsid w:val="001626DE"/>
    <w:rsid w:val="0016441E"/>
    <w:rsid w:val="0017406D"/>
    <w:rsid w:val="00175E9B"/>
    <w:rsid w:val="001903C2"/>
    <w:rsid w:val="00190B7B"/>
    <w:rsid w:val="0019767F"/>
    <w:rsid w:val="001977BB"/>
    <w:rsid w:val="00197A81"/>
    <w:rsid w:val="001A09F5"/>
    <w:rsid w:val="001A0B35"/>
    <w:rsid w:val="001B18B2"/>
    <w:rsid w:val="001B5D64"/>
    <w:rsid w:val="001C4A21"/>
    <w:rsid w:val="001D36A9"/>
    <w:rsid w:val="001D52F2"/>
    <w:rsid w:val="001E0176"/>
    <w:rsid w:val="001E155D"/>
    <w:rsid w:val="001E1B95"/>
    <w:rsid w:val="001E2527"/>
    <w:rsid w:val="001E4715"/>
    <w:rsid w:val="001E5B89"/>
    <w:rsid w:val="001F1B84"/>
    <w:rsid w:val="001F6BF8"/>
    <w:rsid w:val="00203E08"/>
    <w:rsid w:val="00204F48"/>
    <w:rsid w:val="002054C6"/>
    <w:rsid w:val="00210A3E"/>
    <w:rsid w:val="0021330C"/>
    <w:rsid w:val="0021630C"/>
    <w:rsid w:val="00216DE4"/>
    <w:rsid w:val="00217D0C"/>
    <w:rsid w:val="00220CB3"/>
    <w:rsid w:val="00225A8C"/>
    <w:rsid w:val="0023639B"/>
    <w:rsid w:val="0023787A"/>
    <w:rsid w:val="00241868"/>
    <w:rsid w:val="00241990"/>
    <w:rsid w:val="002448F1"/>
    <w:rsid w:val="00262588"/>
    <w:rsid w:val="002648E3"/>
    <w:rsid w:val="002712A4"/>
    <w:rsid w:val="00274D0E"/>
    <w:rsid w:val="00275015"/>
    <w:rsid w:val="00281F74"/>
    <w:rsid w:val="00283560"/>
    <w:rsid w:val="00297090"/>
    <w:rsid w:val="00297AFF"/>
    <w:rsid w:val="002A4F00"/>
    <w:rsid w:val="002A5F70"/>
    <w:rsid w:val="002B1BE3"/>
    <w:rsid w:val="002C4E19"/>
    <w:rsid w:val="002C63A0"/>
    <w:rsid w:val="002C7D41"/>
    <w:rsid w:val="002D1700"/>
    <w:rsid w:val="002D19BC"/>
    <w:rsid w:val="002D442E"/>
    <w:rsid w:val="002D7C56"/>
    <w:rsid w:val="002E3A49"/>
    <w:rsid w:val="002F3CE3"/>
    <w:rsid w:val="002F4020"/>
    <w:rsid w:val="002F61A1"/>
    <w:rsid w:val="003070CB"/>
    <w:rsid w:val="00314810"/>
    <w:rsid w:val="00315968"/>
    <w:rsid w:val="00323A8C"/>
    <w:rsid w:val="00326232"/>
    <w:rsid w:val="00337542"/>
    <w:rsid w:val="003409B3"/>
    <w:rsid w:val="003464D4"/>
    <w:rsid w:val="003545A4"/>
    <w:rsid w:val="003555BB"/>
    <w:rsid w:val="00357AE5"/>
    <w:rsid w:val="00361A31"/>
    <w:rsid w:val="00363E59"/>
    <w:rsid w:val="00374720"/>
    <w:rsid w:val="003865FD"/>
    <w:rsid w:val="0038731A"/>
    <w:rsid w:val="00387913"/>
    <w:rsid w:val="003909AB"/>
    <w:rsid w:val="00391361"/>
    <w:rsid w:val="003A2724"/>
    <w:rsid w:val="003B22FF"/>
    <w:rsid w:val="003B5499"/>
    <w:rsid w:val="003B6214"/>
    <w:rsid w:val="003C03B9"/>
    <w:rsid w:val="003C06E0"/>
    <w:rsid w:val="003C7A9F"/>
    <w:rsid w:val="003E2AFC"/>
    <w:rsid w:val="003E2C95"/>
    <w:rsid w:val="003E6789"/>
    <w:rsid w:val="003E7E5C"/>
    <w:rsid w:val="00403970"/>
    <w:rsid w:val="0042299D"/>
    <w:rsid w:val="00423A76"/>
    <w:rsid w:val="004268AC"/>
    <w:rsid w:val="00432B46"/>
    <w:rsid w:val="004348AB"/>
    <w:rsid w:val="00441F11"/>
    <w:rsid w:val="00443E6F"/>
    <w:rsid w:val="00446507"/>
    <w:rsid w:val="004553FC"/>
    <w:rsid w:val="004618E9"/>
    <w:rsid w:val="00464B35"/>
    <w:rsid w:val="00472802"/>
    <w:rsid w:val="00476AE5"/>
    <w:rsid w:val="00476B52"/>
    <w:rsid w:val="004806FC"/>
    <w:rsid w:val="004830C6"/>
    <w:rsid w:val="00492669"/>
    <w:rsid w:val="00493D40"/>
    <w:rsid w:val="00493EC7"/>
    <w:rsid w:val="004A28A9"/>
    <w:rsid w:val="004A4720"/>
    <w:rsid w:val="004B4C46"/>
    <w:rsid w:val="004C5E79"/>
    <w:rsid w:val="004C7537"/>
    <w:rsid w:val="004D1B34"/>
    <w:rsid w:val="004D3076"/>
    <w:rsid w:val="004D3A68"/>
    <w:rsid w:val="004D4D78"/>
    <w:rsid w:val="004D6F9A"/>
    <w:rsid w:val="004D745C"/>
    <w:rsid w:val="004F3A1C"/>
    <w:rsid w:val="004F4A3B"/>
    <w:rsid w:val="00502E9D"/>
    <w:rsid w:val="00504DD6"/>
    <w:rsid w:val="005103DA"/>
    <w:rsid w:val="00510A48"/>
    <w:rsid w:val="005128B8"/>
    <w:rsid w:val="00512A3C"/>
    <w:rsid w:val="00514516"/>
    <w:rsid w:val="005159EB"/>
    <w:rsid w:val="00524B62"/>
    <w:rsid w:val="00533EC6"/>
    <w:rsid w:val="00537D84"/>
    <w:rsid w:val="005404ED"/>
    <w:rsid w:val="00541152"/>
    <w:rsid w:val="0055274F"/>
    <w:rsid w:val="00554ED6"/>
    <w:rsid w:val="0055669B"/>
    <w:rsid w:val="005566D4"/>
    <w:rsid w:val="0056120D"/>
    <w:rsid w:val="00563982"/>
    <w:rsid w:val="00564AAB"/>
    <w:rsid w:val="005704DD"/>
    <w:rsid w:val="005767E3"/>
    <w:rsid w:val="0058454A"/>
    <w:rsid w:val="005931BB"/>
    <w:rsid w:val="00596ABF"/>
    <w:rsid w:val="005A0992"/>
    <w:rsid w:val="005A19A4"/>
    <w:rsid w:val="005A605E"/>
    <w:rsid w:val="005B0471"/>
    <w:rsid w:val="005B2F2A"/>
    <w:rsid w:val="005B442F"/>
    <w:rsid w:val="005B584A"/>
    <w:rsid w:val="005B5C48"/>
    <w:rsid w:val="005C31F8"/>
    <w:rsid w:val="005C3325"/>
    <w:rsid w:val="005C5A46"/>
    <w:rsid w:val="005C5BF3"/>
    <w:rsid w:val="005E2DCE"/>
    <w:rsid w:val="005E30BE"/>
    <w:rsid w:val="005F04C1"/>
    <w:rsid w:val="005F093B"/>
    <w:rsid w:val="005F10D2"/>
    <w:rsid w:val="005F5E34"/>
    <w:rsid w:val="005F6F9F"/>
    <w:rsid w:val="0060205A"/>
    <w:rsid w:val="00603B66"/>
    <w:rsid w:val="00613CCD"/>
    <w:rsid w:val="00627D11"/>
    <w:rsid w:val="00630FB7"/>
    <w:rsid w:val="006317CC"/>
    <w:rsid w:val="00631AB4"/>
    <w:rsid w:val="006344F6"/>
    <w:rsid w:val="00637F23"/>
    <w:rsid w:val="00641FB0"/>
    <w:rsid w:val="0064344C"/>
    <w:rsid w:val="00643AC0"/>
    <w:rsid w:val="00645314"/>
    <w:rsid w:val="00650478"/>
    <w:rsid w:val="00654FC0"/>
    <w:rsid w:val="00656BC7"/>
    <w:rsid w:val="00660845"/>
    <w:rsid w:val="0067126D"/>
    <w:rsid w:val="00672EDE"/>
    <w:rsid w:val="00675CA7"/>
    <w:rsid w:val="00676767"/>
    <w:rsid w:val="00681C22"/>
    <w:rsid w:val="00684125"/>
    <w:rsid w:val="00691ADC"/>
    <w:rsid w:val="00692986"/>
    <w:rsid w:val="006930E0"/>
    <w:rsid w:val="006932E8"/>
    <w:rsid w:val="006A1250"/>
    <w:rsid w:val="006A1DE9"/>
    <w:rsid w:val="006A2C72"/>
    <w:rsid w:val="006A36FA"/>
    <w:rsid w:val="006A579F"/>
    <w:rsid w:val="006B31E2"/>
    <w:rsid w:val="006C27B1"/>
    <w:rsid w:val="006D1C83"/>
    <w:rsid w:val="006D2201"/>
    <w:rsid w:val="006E449B"/>
    <w:rsid w:val="006E4F0F"/>
    <w:rsid w:val="006E75BC"/>
    <w:rsid w:val="006F28DE"/>
    <w:rsid w:val="006F2E6C"/>
    <w:rsid w:val="006F434C"/>
    <w:rsid w:val="006F58B8"/>
    <w:rsid w:val="00720F71"/>
    <w:rsid w:val="00721819"/>
    <w:rsid w:val="007222AD"/>
    <w:rsid w:val="007225BB"/>
    <w:rsid w:val="00724995"/>
    <w:rsid w:val="007328B9"/>
    <w:rsid w:val="0073294B"/>
    <w:rsid w:val="007333BD"/>
    <w:rsid w:val="00733F83"/>
    <w:rsid w:val="007346BD"/>
    <w:rsid w:val="00745E83"/>
    <w:rsid w:val="007461F4"/>
    <w:rsid w:val="0075396C"/>
    <w:rsid w:val="00764409"/>
    <w:rsid w:val="00767F57"/>
    <w:rsid w:val="00775AC9"/>
    <w:rsid w:val="00775EB2"/>
    <w:rsid w:val="007842B4"/>
    <w:rsid w:val="0078605D"/>
    <w:rsid w:val="00787CB7"/>
    <w:rsid w:val="00790D21"/>
    <w:rsid w:val="00793698"/>
    <w:rsid w:val="007962F1"/>
    <w:rsid w:val="007A07BE"/>
    <w:rsid w:val="007A1953"/>
    <w:rsid w:val="007A1EE2"/>
    <w:rsid w:val="007A3D2A"/>
    <w:rsid w:val="007A40CC"/>
    <w:rsid w:val="007A6165"/>
    <w:rsid w:val="007A7DEA"/>
    <w:rsid w:val="007B44A5"/>
    <w:rsid w:val="007B5E6F"/>
    <w:rsid w:val="007C0CFA"/>
    <w:rsid w:val="007C5F10"/>
    <w:rsid w:val="007D0131"/>
    <w:rsid w:val="007D32C4"/>
    <w:rsid w:val="007D6B81"/>
    <w:rsid w:val="007E0394"/>
    <w:rsid w:val="007E0B0A"/>
    <w:rsid w:val="007E16B7"/>
    <w:rsid w:val="007E1F6E"/>
    <w:rsid w:val="007F4B85"/>
    <w:rsid w:val="007F4F26"/>
    <w:rsid w:val="007F567E"/>
    <w:rsid w:val="007F5A32"/>
    <w:rsid w:val="00802C84"/>
    <w:rsid w:val="00803BB9"/>
    <w:rsid w:val="00805FA8"/>
    <w:rsid w:val="00815F56"/>
    <w:rsid w:val="008212E2"/>
    <w:rsid w:val="00826312"/>
    <w:rsid w:val="00834256"/>
    <w:rsid w:val="00835858"/>
    <w:rsid w:val="008408BF"/>
    <w:rsid w:val="00843B0C"/>
    <w:rsid w:val="008475DD"/>
    <w:rsid w:val="0085342A"/>
    <w:rsid w:val="0085352E"/>
    <w:rsid w:val="00853BEF"/>
    <w:rsid w:val="008553E2"/>
    <w:rsid w:val="00856D29"/>
    <w:rsid w:val="008579A4"/>
    <w:rsid w:val="00857F01"/>
    <w:rsid w:val="0086066C"/>
    <w:rsid w:val="00866DA5"/>
    <w:rsid w:val="00874130"/>
    <w:rsid w:val="00883A33"/>
    <w:rsid w:val="00892F83"/>
    <w:rsid w:val="0089581C"/>
    <w:rsid w:val="008A1ED8"/>
    <w:rsid w:val="008A46EB"/>
    <w:rsid w:val="008A4D1E"/>
    <w:rsid w:val="008A5409"/>
    <w:rsid w:val="008A77C0"/>
    <w:rsid w:val="008B46F8"/>
    <w:rsid w:val="008B61F4"/>
    <w:rsid w:val="008B6210"/>
    <w:rsid w:val="008B7519"/>
    <w:rsid w:val="008B7ADD"/>
    <w:rsid w:val="008C34FC"/>
    <w:rsid w:val="008D75FC"/>
    <w:rsid w:val="008E77EB"/>
    <w:rsid w:val="008F0AA7"/>
    <w:rsid w:val="008F12C8"/>
    <w:rsid w:val="008F1709"/>
    <w:rsid w:val="008F4EBB"/>
    <w:rsid w:val="008F623D"/>
    <w:rsid w:val="008F6520"/>
    <w:rsid w:val="008F7AD0"/>
    <w:rsid w:val="008F7E28"/>
    <w:rsid w:val="00906678"/>
    <w:rsid w:val="00910B42"/>
    <w:rsid w:val="009115AB"/>
    <w:rsid w:val="00912A4C"/>
    <w:rsid w:val="00914FF3"/>
    <w:rsid w:val="0091581F"/>
    <w:rsid w:val="00915B8B"/>
    <w:rsid w:val="00920157"/>
    <w:rsid w:val="00927310"/>
    <w:rsid w:val="0093024D"/>
    <w:rsid w:val="00933EA3"/>
    <w:rsid w:val="009345F9"/>
    <w:rsid w:val="00942042"/>
    <w:rsid w:val="00945F27"/>
    <w:rsid w:val="009475DA"/>
    <w:rsid w:val="00953FB6"/>
    <w:rsid w:val="009628F1"/>
    <w:rsid w:val="009655D5"/>
    <w:rsid w:val="00965B89"/>
    <w:rsid w:val="00966E3A"/>
    <w:rsid w:val="0097295C"/>
    <w:rsid w:val="00974EAB"/>
    <w:rsid w:val="00983D55"/>
    <w:rsid w:val="00992692"/>
    <w:rsid w:val="00996A8D"/>
    <w:rsid w:val="009A04A8"/>
    <w:rsid w:val="009A2E4D"/>
    <w:rsid w:val="009A370F"/>
    <w:rsid w:val="009B065C"/>
    <w:rsid w:val="009B2739"/>
    <w:rsid w:val="009C39E2"/>
    <w:rsid w:val="009C4AD3"/>
    <w:rsid w:val="009D71A0"/>
    <w:rsid w:val="009E19CE"/>
    <w:rsid w:val="009E26B9"/>
    <w:rsid w:val="009F30AD"/>
    <w:rsid w:val="009F4536"/>
    <w:rsid w:val="009F55B9"/>
    <w:rsid w:val="00A0491D"/>
    <w:rsid w:val="00A10A62"/>
    <w:rsid w:val="00A11311"/>
    <w:rsid w:val="00A15FA7"/>
    <w:rsid w:val="00A21BC6"/>
    <w:rsid w:val="00A2652B"/>
    <w:rsid w:val="00A33E4B"/>
    <w:rsid w:val="00A36B64"/>
    <w:rsid w:val="00A4291B"/>
    <w:rsid w:val="00A448F8"/>
    <w:rsid w:val="00A458E0"/>
    <w:rsid w:val="00A61CA3"/>
    <w:rsid w:val="00A634F3"/>
    <w:rsid w:val="00A67BA3"/>
    <w:rsid w:val="00A74706"/>
    <w:rsid w:val="00A7605A"/>
    <w:rsid w:val="00A87052"/>
    <w:rsid w:val="00A9043E"/>
    <w:rsid w:val="00A96861"/>
    <w:rsid w:val="00AA2571"/>
    <w:rsid w:val="00AB0CB1"/>
    <w:rsid w:val="00AB0D1A"/>
    <w:rsid w:val="00AC003D"/>
    <w:rsid w:val="00AC6FB0"/>
    <w:rsid w:val="00AD6DC9"/>
    <w:rsid w:val="00AE1B61"/>
    <w:rsid w:val="00AE1FAE"/>
    <w:rsid w:val="00AE24C6"/>
    <w:rsid w:val="00AE330A"/>
    <w:rsid w:val="00AE351E"/>
    <w:rsid w:val="00AE5203"/>
    <w:rsid w:val="00AF54B4"/>
    <w:rsid w:val="00B02065"/>
    <w:rsid w:val="00B05D50"/>
    <w:rsid w:val="00B1054B"/>
    <w:rsid w:val="00B10A2B"/>
    <w:rsid w:val="00B23E8C"/>
    <w:rsid w:val="00B275EF"/>
    <w:rsid w:val="00B33D47"/>
    <w:rsid w:val="00B41A98"/>
    <w:rsid w:val="00B54BB1"/>
    <w:rsid w:val="00B66BDE"/>
    <w:rsid w:val="00B73751"/>
    <w:rsid w:val="00B74B1C"/>
    <w:rsid w:val="00B7722E"/>
    <w:rsid w:val="00B8421E"/>
    <w:rsid w:val="00B84552"/>
    <w:rsid w:val="00B86201"/>
    <w:rsid w:val="00B8696B"/>
    <w:rsid w:val="00B963AB"/>
    <w:rsid w:val="00B96BC1"/>
    <w:rsid w:val="00BA0165"/>
    <w:rsid w:val="00BA0362"/>
    <w:rsid w:val="00BA46DE"/>
    <w:rsid w:val="00BB5E71"/>
    <w:rsid w:val="00BC1214"/>
    <w:rsid w:val="00BD141E"/>
    <w:rsid w:val="00BD3BFE"/>
    <w:rsid w:val="00BE2D3C"/>
    <w:rsid w:val="00BF0271"/>
    <w:rsid w:val="00BF5BD2"/>
    <w:rsid w:val="00BF651D"/>
    <w:rsid w:val="00C008DF"/>
    <w:rsid w:val="00C010C8"/>
    <w:rsid w:val="00C028A6"/>
    <w:rsid w:val="00C11026"/>
    <w:rsid w:val="00C13D23"/>
    <w:rsid w:val="00C16FB3"/>
    <w:rsid w:val="00C210E5"/>
    <w:rsid w:val="00C23ABB"/>
    <w:rsid w:val="00C25763"/>
    <w:rsid w:val="00C269A3"/>
    <w:rsid w:val="00C27253"/>
    <w:rsid w:val="00C30F4F"/>
    <w:rsid w:val="00C36DBF"/>
    <w:rsid w:val="00C37C32"/>
    <w:rsid w:val="00C42E10"/>
    <w:rsid w:val="00C436DE"/>
    <w:rsid w:val="00C46DD4"/>
    <w:rsid w:val="00C51602"/>
    <w:rsid w:val="00C51818"/>
    <w:rsid w:val="00C55A5B"/>
    <w:rsid w:val="00C56CFE"/>
    <w:rsid w:val="00C72560"/>
    <w:rsid w:val="00C741D4"/>
    <w:rsid w:val="00C7546F"/>
    <w:rsid w:val="00C7655F"/>
    <w:rsid w:val="00C8182E"/>
    <w:rsid w:val="00C94766"/>
    <w:rsid w:val="00C94D31"/>
    <w:rsid w:val="00C95226"/>
    <w:rsid w:val="00C967ED"/>
    <w:rsid w:val="00CA0A8D"/>
    <w:rsid w:val="00CA3E77"/>
    <w:rsid w:val="00CB3121"/>
    <w:rsid w:val="00CB5872"/>
    <w:rsid w:val="00CC128E"/>
    <w:rsid w:val="00CC3007"/>
    <w:rsid w:val="00CC4368"/>
    <w:rsid w:val="00CD2928"/>
    <w:rsid w:val="00CD2D8C"/>
    <w:rsid w:val="00CD74E7"/>
    <w:rsid w:val="00CD7962"/>
    <w:rsid w:val="00CE2EFA"/>
    <w:rsid w:val="00CE5A53"/>
    <w:rsid w:val="00CE6E86"/>
    <w:rsid w:val="00CF0390"/>
    <w:rsid w:val="00D07C1F"/>
    <w:rsid w:val="00D101CA"/>
    <w:rsid w:val="00D10CDC"/>
    <w:rsid w:val="00D15F29"/>
    <w:rsid w:val="00D216D7"/>
    <w:rsid w:val="00D23636"/>
    <w:rsid w:val="00D23B54"/>
    <w:rsid w:val="00D24F86"/>
    <w:rsid w:val="00D31E34"/>
    <w:rsid w:val="00D322E7"/>
    <w:rsid w:val="00D3536A"/>
    <w:rsid w:val="00D35A00"/>
    <w:rsid w:val="00D42523"/>
    <w:rsid w:val="00D47297"/>
    <w:rsid w:val="00D47D7F"/>
    <w:rsid w:val="00D528AC"/>
    <w:rsid w:val="00D52D97"/>
    <w:rsid w:val="00D5303D"/>
    <w:rsid w:val="00D55154"/>
    <w:rsid w:val="00D57A31"/>
    <w:rsid w:val="00D67EE8"/>
    <w:rsid w:val="00D70B73"/>
    <w:rsid w:val="00D71C6E"/>
    <w:rsid w:val="00D75E7B"/>
    <w:rsid w:val="00D76916"/>
    <w:rsid w:val="00D76FED"/>
    <w:rsid w:val="00D81F45"/>
    <w:rsid w:val="00D92E08"/>
    <w:rsid w:val="00D95CF1"/>
    <w:rsid w:val="00DA1DEC"/>
    <w:rsid w:val="00DA49E5"/>
    <w:rsid w:val="00DA5061"/>
    <w:rsid w:val="00DA72E7"/>
    <w:rsid w:val="00DA773B"/>
    <w:rsid w:val="00DB1A03"/>
    <w:rsid w:val="00DB5599"/>
    <w:rsid w:val="00DB61A2"/>
    <w:rsid w:val="00DB6C13"/>
    <w:rsid w:val="00DB6C2D"/>
    <w:rsid w:val="00DC5EA8"/>
    <w:rsid w:val="00DC62D4"/>
    <w:rsid w:val="00DD1A5D"/>
    <w:rsid w:val="00DE20D2"/>
    <w:rsid w:val="00DE5972"/>
    <w:rsid w:val="00DF697A"/>
    <w:rsid w:val="00E00F13"/>
    <w:rsid w:val="00E02A0E"/>
    <w:rsid w:val="00E05288"/>
    <w:rsid w:val="00E066FA"/>
    <w:rsid w:val="00E1029D"/>
    <w:rsid w:val="00E10D00"/>
    <w:rsid w:val="00E15AEF"/>
    <w:rsid w:val="00E17A90"/>
    <w:rsid w:val="00E200F1"/>
    <w:rsid w:val="00E21D53"/>
    <w:rsid w:val="00E246FA"/>
    <w:rsid w:val="00E24A6B"/>
    <w:rsid w:val="00E351A2"/>
    <w:rsid w:val="00E36FFF"/>
    <w:rsid w:val="00E37ED5"/>
    <w:rsid w:val="00E40D65"/>
    <w:rsid w:val="00E42014"/>
    <w:rsid w:val="00E438E9"/>
    <w:rsid w:val="00E44966"/>
    <w:rsid w:val="00E52EFF"/>
    <w:rsid w:val="00E5421E"/>
    <w:rsid w:val="00E54B00"/>
    <w:rsid w:val="00E57E99"/>
    <w:rsid w:val="00E60195"/>
    <w:rsid w:val="00E62FF6"/>
    <w:rsid w:val="00E633CA"/>
    <w:rsid w:val="00E63697"/>
    <w:rsid w:val="00E63BC3"/>
    <w:rsid w:val="00E65501"/>
    <w:rsid w:val="00E7395D"/>
    <w:rsid w:val="00E764E7"/>
    <w:rsid w:val="00E766C4"/>
    <w:rsid w:val="00E7681D"/>
    <w:rsid w:val="00E76C48"/>
    <w:rsid w:val="00E77A60"/>
    <w:rsid w:val="00E91874"/>
    <w:rsid w:val="00E955A9"/>
    <w:rsid w:val="00E9669C"/>
    <w:rsid w:val="00E97E66"/>
    <w:rsid w:val="00EA036E"/>
    <w:rsid w:val="00EA2CB4"/>
    <w:rsid w:val="00EA3A79"/>
    <w:rsid w:val="00EA4329"/>
    <w:rsid w:val="00EA7CD6"/>
    <w:rsid w:val="00EB5BD7"/>
    <w:rsid w:val="00EC05AE"/>
    <w:rsid w:val="00EC2535"/>
    <w:rsid w:val="00EC31FC"/>
    <w:rsid w:val="00EC708F"/>
    <w:rsid w:val="00ED5760"/>
    <w:rsid w:val="00EE164C"/>
    <w:rsid w:val="00EE1EC4"/>
    <w:rsid w:val="00EE69EE"/>
    <w:rsid w:val="00EF0E2D"/>
    <w:rsid w:val="00EF3E56"/>
    <w:rsid w:val="00EF5C68"/>
    <w:rsid w:val="00F01511"/>
    <w:rsid w:val="00F042CB"/>
    <w:rsid w:val="00F12284"/>
    <w:rsid w:val="00F126BD"/>
    <w:rsid w:val="00F14791"/>
    <w:rsid w:val="00F147DD"/>
    <w:rsid w:val="00F16E4B"/>
    <w:rsid w:val="00F17A61"/>
    <w:rsid w:val="00F21F38"/>
    <w:rsid w:val="00F311AE"/>
    <w:rsid w:val="00F31332"/>
    <w:rsid w:val="00F31FA2"/>
    <w:rsid w:val="00F32D19"/>
    <w:rsid w:val="00F34914"/>
    <w:rsid w:val="00F36C35"/>
    <w:rsid w:val="00F3707F"/>
    <w:rsid w:val="00F37F5B"/>
    <w:rsid w:val="00F451A1"/>
    <w:rsid w:val="00F451F0"/>
    <w:rsid w:val="00F45BAC"/>
    <w:rsid w:val="00F5693E"/>
    <w:rsid w:val="00F569C2"/>
    <w:rsid w:val="00F6231F"/>
    <w:rsid w:val="00F7018D"/>
    <w:rsid w:val="00F70247"/>
    <w:rsid w:val="00F74913"/>
    <w:rsid w:val="00F74A7E"/>
    <w:rsid w:val="00F76203"/>
    <w:rsid w:val="00F77FE0"/>
    <w:rsid w:val="00F8276A"/>
    <w:rsid w:val="00F83E3A"/>
    <w:rsid w:val="00F84FCB"/>
    <w:rsid w:val="00F8500B"/>
    <w:rsid w:val="00F93339"/>
    <w:rsid w:val="00F95D95"/>
    <w:rsid w:val="00F97B6C"/>
    <w:rsid w:val="00FA1260"/>
    <w:rsid w:val="00FB0796"/>
    <w:rsid w:val="00FB09E2"/>
    <w:rsid w:val="00FC4335"/>
    <w:rsid w:val="00FD1354"/>
    <w:rsid w:val="00FD1987"/>
    <w:rsid w:val="00FE2E42"/>
    <w:rsid w:val="00FE4633"/>
    <w:rsid w:val="00FF50F3"/>
    <w:rsid w:val="00FF6B07"/>
    <w:rsid w:val="0DEC0073"/>
    <w:rsid w:val="0E903DF5"/>
    <w:rsid w:val="136A4CE7"/>
    <w:rsid w:val="20353779"/>
    <w:rsid w:val="22205764"/>
    <w:rsid w:val="2BA95732"/>
    <w:rsid w:val="2BF61CD7"/>
    <w:rsid w:val="2C2D1D71"/>
    <w:rsid w:val="2CD71767"/>
    <w:rsid w:val="3EE85B66"/>
    <w:rsid w:val="429F2D3C"/>
    <w:rsid w:val="4B9B7A16"/>
    <w:rsid w:val="4CB92D66"/>
    <w:rsid w:val="553A670F"/>
    <w:rsid w:val="55805F3E"/>
    <w:rsid w:val="57FF78B2"/>
    <w:rsid w:val="5C7E26CE"/>
    <w:rsid w:val="65C07C91"/>
    <w:rsid w:val="6AF711CA"/>
    <w:rsid w:val="6D25067C"/>
    <w:rsid w:val="6EF90E1F"/>
    <w:rsid w:val="70810BBD"/>
    <w:rsid w:val="8BBF0539"/>
    <w:rsid w:val="CFEF82B6"/>
    <w:rsid w:val="DDC7A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41"/>
    <w:basedOn w:val="7"/>
    <w:qFormat/>
    <w:uiPriority w:val="0"/>
    <w:rPr>
      <w:rFonts w:hint="eastAsia" w:ascii="宋体" w:hAnsi="宋体" w:eastAsia="宋体" w:cs="宋体"/>
      <w:color w:val="0D0D0D"/>
      <w:sz w:val="21"/>
      <w:szCs w:val="21"/>
      <w:u w:val="none"/>
    </w:rPr>
  </w:style>
  <w:style w:type="character" w:customStyle="1" w:styleId="12">
    <w:name w:val="font51"/>
    <w:basedOn w:val="7"/>
    <w:qFormat/>
    <w:uiPriority w:val="0"/>
    <w:rPr>
      <w:rFonts w:ascii="Calibri" w:hAnsi="Calibri" w:cs="Calibri"/>
      <w:color w:val="0D0D0D"/>
      <w:sz w:val="21"/>
      <w:szCs w:val="21"/>
      <w:u w:val="none"/>
    </w:rPr>
  </w:style>
  <w:style w:type="character" w:customStyle="1" w:styleId="13">
    <w:name w:val="批注框文本 Char"/>
    <w:basedOn w:val="7"/>
    <w:link w:val="2"/>
    <w:semiHidden/>
    <w:qFormat/>
    <w:uiPriority w:val="99"/>
    <w:rPr>
      <w:rFonts w:asciiTheme="minorHAnsi" w:hAnsiTheme="minorHAnsi" w:eastAsiaTheme="minorEastAsia" w:cstheme="minorBidi"/>
      <w:kern w:val="2"/>
      <w:sz w:val="18"/>
      <w:szCs w:val="18"/>
    </w:rPr>
  </w:style>
  <w:style w:type="paragraph" w:customStyle="1" w:styleId="14">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781</Words>
  <Characters>4454</Characters>
  <Lines>37</Lines>
  <Paragraphs>10</Paragraphs>
  <TotalTime>85</TotalTime>
  <ScaleCrop>false</ScaleCrop>
  <LinksUpToDate>false</LinksUpToDate>
  <CharactersWithSpaces>5225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2025-03-20T12:51:00Z</dcterms:created>
  <dc:creator>ZMK 210</dc:creator>
  <cp:lastModifiedBy>那熊当时就猫了</cp:lastModifiedBy>
  <dcterms:modified xsi:type="dcterms:W3CDTF">2025-04-02T08:49:29Z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7CE3D9A91D9241C2B4DD480410383492_12</vt:lpwstr>
  </property>
</Properties>
</file>