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szCs w:val="21"/>
        </w:rPr>
      </w:pPr>
      <w:bookmarkStart w:id="0"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9"/>
        <w:rPr>
          <w:rFonts w:ascii="方正小标宋简体" w:hAnsi="方正小标宋简体" w:eastAsia="方正小标宋简体" w:cs="方正小标宋简体"/>
          <w:sz w:val="72"/>
          <w:szCs w:val="72"/>
        </w:rPr>
      </w:pPr>
      <w:bookmarkStart w:id="1" w:name="_Toc15378441"/>
      <w:bookmarkStart w:id="2" w:name="_Toc15377193"/>
      <w:bookmarkStart w:id="3" w:name="_Toc15396597"/>
      <w:bookmarkStart w:id="4" w:name="_Toc15377425"/>
      <w:bookmarkStart w:id="5" w:name="_Toc1539647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25091"/>
      <w:bookmarkStart w:id="8" w:name="_Toc12319"/>
      <w:bookmarkStart w:id="9" w:name="_Toc15378442"/>
      <w:bookmarkStart w:id="10" w:name="_Toc15377426"/>
      <w:bookmarkStart w:id="11" w:name="_Toc15396598"/>
      <w:bookmarkStart w:id="12" w:name="_Toc15377194"/>
      <w:r>
        <w:rPr>
          <w:rFonts w:hint="eastAsia" w:ascii="方正小标宋简体" w:hAnsi="方正小标宋简体" w:eastAsia="方正小标宋简体" w:cs="方正小标宋简体"/>
          <w:sz w:val="72"/>
          <w:szCs w:val="72"/>
        </w:rPr>
        <w:t>四川省</w:t>
      </w:r>
      <w:bookmarkStart w:id="13" w:name="_Toc15306268"/>
      <w:r>
        <w:rPr>
          <w:rFonts w:hint="eastAsia" w:ascii="方正小标宋简体" w:hAnsi="宋体" w:eastAsia="方正小标宋简体"/>
          <w:color w:val="000000"/>
          <w:sz w:val="72"/>
          <w:szCs w:val="72"/>
        </w:rPr>
        <w:t>遂宁市船山区城乡居民社会养老保险事业管理局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bookmarkEnd w:id="12"/>
      <w:bookmarkEnd w:id="13"/>
    </w:p>
    <w:p>
      <w:pPr>
        <w:widowControl/>
        <w:adjustRightInd w:val="0"/>
        <w:snapToGrid w:val="0"/>
        <w:spacing w:line="440" w:lineRule="exact"/>
        <w:ind w:firstLine="1980" w:firstLineChars="550"/>
        <w:jc w:val="left"/>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44"/>
          <w:szCs w:val="44"/>
          <w:lang w:val="en-US" w:eastAsia="zh-CN" w:bidi="ar-SA"/>
        </w:rPr>
        <w:id w:val="147475511"/>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sz w:val="21"/>
              <w:lang w:val="en-US" w:eastAsia="zh-CN"/>
            </w:rPr>
          </w:pPr>
          <w:bookmarkStart w:id="14" w:name="_Toc15396599"/>
          <w:bookmarkStart w:id="15" w:name="_Toc15377196"/>
          <w:bookmarkStart w:id="16" w:name="_Toc5221"/>
          <w:r>
            <w:rPr>
              <w:rFonts w:ascii="宋体" w:hAnsi="宋体" w:eastAsia="宋体"/>
              <w:sz w:val="44"/>
              <w:szCs w:val="44"/>
            </w:rPr>
            <w:t>目录</w:t>
          </w:r>
          <w:r>
            <w:rPr>
              <w:rFonts w:hint="eastAsia" w:ascii="宋体" w:hAnsi="宋体" w:eastAsia="宋体"/>
              <w:sz w:val="21"/>
              <w:lang w:val="en-US" w:eastAsia="zh-CN"/>
            </w:rPr>
            <w:t xml:space="preserve">   </w:t>
          </w:r>
        </w:p>
        <w:p>
          <w:pPr>
            <w:pStyle w:val="2"/>
            <w:rPr>
              <w:rFonts w:hint="default"/>
              <w:lang w:val="en-US" w:eastAsia="zh-CN"/>
            </w:rPr>
          </w:pPr>
          <w:r>
            <w:rPr>
              <w:rFonts w:hint="eastAsia" w:ascii="宋体" w:hAnsi="宋体" w:eastAsia="宋体"/>
              <w:sz w:val="21"/>
              <w:lang w:val="en-US" w:eastAsia="zh-CN"/>
            </w:rPr>
            <w:t xml:space="preserve">                                         公开时间：2024年9月11日</w:t>
          </w:r>
        </w:p>
        <w:p>
          <w:pPr>
            <w:pStyle w:val="2"/>
          </w:pPr>
        </w:p>
        <w:p>
          <w:pPr>
            <w:pStyle w:val="10"/>
            <w:tabs>
              <w:tab w:val="right" w:leader="dot" w:pos="8306"/>
            </w:tabs>
            <w:rPr>
              <w:b/>
            </w:rPr>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黑体" w:hAnsi="黑体" w:eastAsia="黑体"/>
              <w:b/>
            </w:rPr>
            <w:fldChar w:fldCharType="begin"/>
          </w:r>
          <w:r>
            <w:rPr>
              <w:rFonts w:hint="eastAsia" w:ascii="黑体" w:hAnsi="黑体" w:eastAsia="黑体"/>
              <w:b/>
            </w:rPr>
            <w:instrText xml:space="preserve"> HYPERLINK \l _Toc12319 </w:instrText>
          </w:r>
          <w:r>
            <w:rPr>
              <w:rFonts w:hint="eastAsia" w:ascii="黑体" w:hAnsi="黑体" w:eastAsia="黑体"/>
              <w:b/>
            </w:rPr>
            <w:fldChar w:fldCharType="separate"/>
          </w:r>
          <w:r>
            <w:rPr>
              <w:rFonts w:hint="eastAsia" w:ascii="方正小标宋简体" w:hAnsi="方正小标宋简体" w:eastAsia="方正小标宋简体" w:cs="方正小标宋简体"/>
              <w:b/>
              <w:szCs w:val="72"/>
            </w:rPr>
            <w:t>四川省</w:t>
          </w:r>
          <w:r>
            <w:rPr>
              <w:rFonts w:hint="eastAsia" w:ascii="方正小标宋简体" w:hAnsi="宋体" w:eastAsia="方正小标宋简体"/>
              <w:b/>
              <w:szCs w:val="72"/>
            </w:rPr>
            <w:t>遂宁市船山区城乡居民社会养老保险事业管理局</w:t>
          </w:r>
          <w:r>
            <w:rPr>
              <w:rFonts w:hint="eastAsia" w:ascii="方正小标宋简体" w:hAnsi="方正小标宋简体" w:eastAsia="方正小标宋简体" w:cs="方正小标宋简体"/>
              <w:b/>
              <w:szCs w:val="72"/>
            </w:rPr>
            <w:t>单位决算</w:t>
          </w:r>
          <w:r>
            <w:rPr>
              <w:b/>
            </w:rPr>
            <w:tab/>
          </w:r>
          <w:r>
            <w:rPr>
              <w:b/>
            </w:rPr>
            <w:fldChar w:fldCharType="begin"/>
          </w:r>
          <w:r>
            <w:rPr>
              <w:b/>
            </w:rPr>
            <w:instrText xml:space="preserve"> PAGEREF _Toc12319 \h </w:instrText>
          </w:r>
          <w:r>
            <w:rPr>
              <w:b/>
            </w:rPr>
            <w:fldChar w:fldCharType="separate"/>
          </w:r>
          <w:r>
            <w:rPr>
              <w:b/>
            </w:rPr>
            <w:t>1</w:t>
          </w:r>
          <w:r>
            <w:rPr>
              <w:b/>
            </w:rPr>
            <w:fldChar w:fldCharType="end"/>
          </w:r>
          <w:r>
            <w:rPr>
              <w:rFonts w:hint="eastAsia" w:ascii="黑体" w:hAnsi="黑体" w:eastAsia="黑体"/>
              <w:b/>
            </w:rPr>
            <w:fldChar w:fldCharType="end"/>
          </w:r>
        </w:p>
        <w:p>
          <w:pPr>
            <w:pStyle w:val="1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_Toc20277 </w:instrText>
          </w:r>
          <w:r>
            <w:rPr>
              <w:rFonts w:hint="eastAsia" w:ascii="黑体" w:hAnsi="黑体" w:eastAsia="黑体"/>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_Toc20277 \h </w:instrText>
          </w:r>
          <w:r>
            <w:rPr>
              <w:b/>
            </w:rPr>
            <w:fldChar w:fldCharType="separate"/>
          </w:r>
          <w:r>
            <w:rPr>
              <w:b/>
            </w:rPr>
            <w:t>1</w:t>
          </w:r>
          <w:r>
            <w:rPr>
              <w:b/>
            </w:rPr>
            <w:fldChar w:fldCharType="end"/>
          </w:r>
          <w:r>
            <w:rPr>
              <w:rFonts w:hint="eastAsia" w:ascii="黑体" w:hAnsi="黑体" w:eastAsia="黑体"/>
              <w:b/>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_Toc31152 </w:instrText>
          </w:r>
          <w:r>
            <w:rPr>
              <w:rFonts w:hint="eastAsia" w:ascii="黑体" w:hAnsi="黑体" w:eastAsia="黑体"/>
            </w:rPr>
            <w:fldChar w:fldCharType="separate"/>
          </w:r>
          <w:r>
            <w:rPr>
              <w:rFonts w:hint="eastAsia" w:ascii="黑体" w:hAnsi="黑体" w:eastAsia="黑体"/>
              <w:bCs/>
            </w:rPr>
            <w:t xml:space="preserve">一、 </w:t>
          </w:r>
          <w:r>
            <w:rPr>
              <w:rFonts w:hint="eastAsia" w:ascii="黑体" w:hAnsi="黑体" w:eastAsia="黑体"/>
              <w:bCs w:val="0"/>
              <w:highlight w:val="none"/>
            </w:rPr>
            <w:t>主要职责</w:t>
          </w:r>
          <w:r>
            <w:tab/>
          </w:r>
          <w:r>
            <w:fldChar w:fldCharType="begin"/>
          </w:r>
          <w:r>
            <w:instrText xml:space="preserve"> PAGEREF _Toc31152 \h </w:instrText>
          </w:r>
          <w:r>
            <w:fldChar w:fldCharType="separate"/>
          </w:r>
          <w:r>
            <w:t>1</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_Toc12599 </w:instrText>
          </w:r>
          <w:r>
            <w:rPr>
              <w:rFonts w:hint="eastAsia" w:ascii="黑体" w:hAnsi="黑体" w:eastAsia="黑体"/>
            </w:rPr>
            <w:fldChar w:fldCharType="separate"/>
          </w:r>
          <w:r>
            <w:rPr>
              <w:rFonts w:hint="eastAsia"/>
              <w:bCs/>
            </w:rPr>
            <w:t xml:space="preserve">二、 </w:t>
          </w:r>
          <w:r>
            <w:rPr>
              <w:rFonts w:hint="eastAsia" w:ascii="黑体" w:hAnsi="黑体" w:eastAsia="黑体"/>
              <w:highlight w:val="none"/>
            </w:rPr>
            <w:t>机构设置</w:t>
          </w:r>
          <w:r>
            <w:tab/>
          </w:r>
          <w:r>
            <w:fldChar w:fldCharType="begin"/>
          </w:r>
          <w:r>
            <w:instrText xml:space="preserve"> PAGEREF _Toc12599 \h </w:instrText>
          </w:r>
          <w:r>
            <w:fldChar w:fldCharType="separate"/>
          </w:r>
          <w:r>
            <w:t>1</w:t>
          </w:r>
          <w:r>
            <w:fldChar w:fldCharType="end"/>
          </w:r>
          <w:r>
            <w:rPr>
              <w:rFonts w:hint="eastAsia" w:ascii="黑体" w:hAnsi="黑体" w:eastAsia="黑体"/>
            </w:rPr>
            <w:fldChar w:fldCharType="end"/>
          </w:r>
        </w:p>
        <w:p>
          <w:pPr>
            <w:pStyle w:val="1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_Toc15151 </w:instrText>
          </w:r>
          <w:r>
            <w:rPr>
              <w:rFonts w:hint="eastAsia" w:ascii="黑体" w:hAnsi="黑体" w:eastAsia="黑体"/>
              <w:b/>
            </w:rPr>
            <w:fldChar w:fldCharType="separate"/>
          </w:r>
          <w:r>
            <w:rPr>
              <w:rFonts w:hint="eastAsia" w:ascii="黑体" w:hAnsi="黑体" w:eastAsia="黑体"/>
              <w:b/>
            </w:rPr>
            <w:t>第二部分 20</w:t>
          </w:r>
          <w:r>
            <w:rPr>
              <w:rFonts w:hint="eastAsia" w:ascii="黑体" w:hAnsi="黑体" w:eastAsia="黑体"/>
              <w:b/>
              <w:lang w:val="en-US" w:eastAsia="zh-CN"/>
            </w:rPr>
            <w:t>23</w:t>
          </w:r>
          <w:r>
            <w:rPr>
              <w:rFonts w:hint="eastAsia" w:ascii="黑体" w:hAnsi="黑体" w:eastAsia="黑体"/>
              <w:b/>
            </w:rPr>
            <w:t>年度</w:t>
          </w:r>
          <w:r>
            <w:rPr>
              <w:rFonts w:hint="eastAsia" w:ascii="黑体" w:hAnsi="黑体" w:eastAsia="黑体"/>
              <w:b/>
              <w:bCs/>
            </w:rPr>
            <w:t>单位决算情况说明</w:t>
          </w:r>
          <w:r>
            <w:rPr>
              <w:b/>
            </w:rPr>
            <w:tab/>
          </w:r>
          <w:r>
            <w:rPr>
              <w:b/>
            </w:rPr>
            <w:fldChar w:fldCharType="begin"/>
          </w:r>
          <w:r>
            <w:rPr>
              <w:b/>
            </w:rPr>
            <w:instrText xml:space="preserve"> PAGEREF _Toc15151 \h </w:instrText>
          </w:r>
          <w:r>
            <w:rPr>
              <w:b/>
            </w:rPr>
            <w:fldChar w:fldCharType="separate"/>
          </w:r>
          <w:r>
            <w:rPr>
              <w:b/>
            </w:rPr>
            <w:t>1</w:t>
          </w:r>
          <w:r>
            <w:rPr>
              <w:b/>
            </w:rPr>
            <w:fldChar w:fldCharType="end"/>
          </w:r>
          <w:r>
            <w:rPr>
              <w:rFonts w:hint="eastAsia" w:ascii="黑体" w:hAnsi="黑体" w:eastAsia="黑体"/>
              <w:b/>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_Toc19281 </w:instrText>
          </w:r>
          <w:r>
            <w:rPr>
              <w:rFonts w:hint="eastAsia" w:ascii="黑体" w:hAnsi="黑体" w:eastAsia="黑体"/>
            </w:rPr>
            <w:fldChar w:fldCharType="separate"/>
          </w:r>
          <w:r>
            <w:rPr>
              <w:rFonts w:hint="eastAsia" w:ascii="黑体" w:hAnsi="黑体" w:eastAsia="黑体"/>
              <w:szCs w:val="32"/>
              <w:lang w:eastAsia="zh-CN"/>
            </w:rPr>
            <w:t>一、</w:t>
          </w:r>
          <w:r>
            <w:rPr>
              <w:rFonts w:hint="eastAsia" w:ascii="黑体" w:hAnsi="黑体" w:eastAsia="黑体"/>
              <w:szCs w:val="32"/>
            </w:rPr>
            <w:t>收入支出决算总体情况说明</w:t>
          </w:r>
          <w:r>
            <w:tab/>
          </w:r>
          <w:r>
            <w:fldChar w:fldCharType="begin"/>
          </w:r>
          <w:r>
            <w:instrText xml:space="preserve"> PAGEREF _Toc19281 \h </w:instrText>
          </w:r>
          <w:r>
            <w:fldChar w:fldCharType="separate"/>
          </w:r>
          <w:r>
            <w:t>1</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_Toc4538 </w:instrText>
          </w:r>
          <w:r>
            <w:rPr>
              <w:rFonts w:hint="eastAsia" w:ascii="黑体" w:hAnsi="黑体" w:eastAsia="黑体"/>
            </w:rPr>
            <w:fldChar w:fldCharType="separate"/>
          </w:r>
          <w:r>
            <w:rPr>
              <w:rFonts w:hint="eastAsia" w:ascii="黑体" w:hAnsi="黑体" w:eastAsia="黑体" w:cs="Times New Roman"/>
              <w:kern w:val="2"/>
              <w:szCs w:val="32"/>
              <w:lang w:val="en-US" w:eastAsia="zh-CN" w:bidi="ar-SA"/>
            </w:rPr>
            <w:t>二、收入决算情况说明</w:t>
          </w:r>
          <w:r>
            <w:tab/>
          </w:r>
          <w:r>
            <w:fldChar w:fldCharType="begin"/>
          </w:r>
          <w:r>
            <w:instrText xml:space="preserve"> PAGEREF _Toc4538 \h </w:instrText>
          </w:r>
          <w:r>
            <w:fldChar w:fldCharType="separate"/>
          </w:r>
          <w:r>
            <w:t>2</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_Toc1214 </w:instrText>
          </w:r>
          <w:r>
            <w:rPr>
              <w:rFonts w:hint="eastAsia" w:ascii="黑体" w:hAnsi="黑体" w:eastAsia="黑体"/>
            </w:rPr>
            <w:fldChar w:fldCharType="separate"/>
          </w:r>
          <w:r>
            <w:rPr>
              <w:rFonts w:hint="eastAsia" w:ascii="黑体" w:hAnsi="黑体" w:eastAsia="黑体"/>
              <w:szCs w:val="32"/>
            </w:rPr>
            <w:t>三、支出决算情况说明</w:t>
          </w:r>
          <w:r>
            <w:tab/>
          </w:r>
          <w:r>
            <w:fldChar w:fldCharType="begin"/>
          </w:r>
          <w:r>
            <w:instrText xml:space="preserve"> PAGEREF _Toc1214 \h </w:instrText>
          </w:r>
          <w:r>
            <w:fldChar w:fldCharType="separate"/>
          </w:r>
          <w:r>
            <w:t>3</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_Toc920 </w:instrText>
          </w:r>
          <w:r>
            <w:rPr>
              <w:rFonts w:hint="eastAsia" w:ascii="黑体" w:hAnsi="黑体" w:eastAsia="黑体"/>
            </w:rPr>
            <w:fldChar w:fldCharType="separate"/>
          </w:r>
          <w:r>
            <w:rPr>
              <w:rFonts w:hint="eastAsia" w:ascii="黑体" w:hAnsi="黑体" w:eastAsia="黑体"/>
              <w:szCs w:val="32"/>
            </w:rPr>
            <w:t>四、财政拨款收入支出决算总体情况说明</w:t>
          </w:r>
          <w:r>
            <w:tab/>
          </w:r>
          <w:r>
            <w:fldChar w:fldCharType="begin"/>
          </w:r>
          <w:r>
            <w:instrText xml:space="preserve"> PAGEREF _Toc920 \h </w:instrText>
          </w:r>
          <w:r>
            <w:fldChar w:fldCharType="separate"/>
          </w:r>
          <w:r>
            <w:t>3</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_Toc15045 </w:instrText>
          </w:r>
          <w:r>
            <w:rPr>
              <w:rFonts w:hint="eastAsia" w:ascii="黑体" w:hAnsi="黑体" w:eastAsia="黑体"/>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_Toc15045 \h </w:instrText>
          </w:r>
          <w:r>
            <w:fldChar w:fldCharType="separate"/>
          </w:r>
          <w:r>
            <w:t>4</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_Toc10545 </w:instrText>
          </w:r>
          <w:r>
            <w:rPr>
              <w:rFonts w:hint="eastAsia" w:ascii="黑体" w:hAnsi="黑体" w:eastAsia="黑体"/>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_Toc10545 \h </w:instrText>
          </w:r>
          <w:r>
            <w:fldChar w:fldCharType="separate"/>
          </w:r>
          <w:r>
            <w:t>7</w:t>
          </w:r>
          <w:r>
            <w:fldChar w:fldCharType="end"/>
          </w:r>
          <w:r>
            <w:rPr>
              <w:rFonts w:hint="eastAsia" w:ascii="黑体" w:hAnsi="黑体" w:eastAsia="黑体"/>
            </w:rPr>
            <w:fldChar w:fldCharType="end"/>
          </w:r>
        </w:p>
        <w:p>
          <w:pPr>
            <w:pStyle w:val="11"/>
            <w:tabs>
              <w:tab w:val="right" w:leader="dot" w:pos="8306"/>
            </w:tabs>
            <w:rPr>
              <w:rFonts w:hint="eastAsia" w:ascii="黑体" w:hAnsi="黑体" w:eastAsia="黑体"/>
            </w:rPr>
          </w:pPr>
          <w:r>
            <w:rPr>
              <w:rFonts w:hint="eastAsia" w:ascii="黑体" w:hAnsi="黑体" w:eastAsia="黑体"/>
            </w:rPr>
            <w:fldChar w:fldCharType="begin"/>
          </w:r>
          <w:r>
            <w:rPr>
              <w:rFonts w:hint="eastAsia" w:ascii="黑体" w:hAnsi="黑体" w:eastAsia="黑体"/>
            </w:rPr>
            <w:instrText xml:space="preserve"> HYPERLINK \l _Toc24514 </w:instrText>
          </w:r>
          <w:r>
            <w:rPr>
              <w:rFonts w:hint="eastAsia" w:ascii="黑体" w:hAnsi="黑体" w:eastAsia="黑体"/>
            </w:rP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_Toc24514 \h </w:instrText>
          </w:r>
          <w:r>
            <w:fldChar w:fldCharType="separate"/>
          </w:r>
          <w:r>
            <w:t>7</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_Toc15745 </w:instrText>
          </w:r>
          <w:r>
            <w:rPr>
              <w:rFonts w:hint="eastAsia" w:ascii="黑体" w:hAnsi="黑体" w:eastAsia="黑体"/>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_Toc15745 \h </w:instrText>
          </w:r>
          <w:r>
            <w:fldChar w:fldCharType="separate"/>
          </w:r>
          <w:r>
            <w:t>9</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_Toc19233 </w:instrText>
          </w:r>
          <w:r>
            <w:rPr>
              <w:rFonts w:hint="eastAsia" w:ascii="黑体" w:hAnsi="黑体" w:eastAsia="黑体"/>
            </w:rPr>
            <w:fldChar w:fldCharType="separate"/>
          </w:r>
          <w:r>
            <w:rPr>
              <w:rFonts w:hint="eastAsia" w:ascii="黑体" w:hAnsi="黑体" w:eastAsia="黑体"/>
            </w:rPr>
            <w:t>九、 国有资本经营预算支出决算情况说明</w:t>
          </w:r>
          <w:r>
            <w:tab/>
          </w:r>
          <w:r>
            <w:fldChar w:fldCharType="begin"/>
          </w:r>
          <w:r>
            <w:instrText xml:space="preserve"> PAGEREF _Toc19233 \h </w:instrText>
          </w:r>
          <w:r>
            <w:fldChar w:fldCharType="separate"/>
          </w:r>
          <w:r>
            <w:t>9</w:t>
          </w:r>
          <w:r>
            <w:fldChar w:fldCharType="end"/>
          </w:r>
          <w:r>
            <w:rPr>
              <w:rFonts w:hint="eastAsia" w:ascii="黑体" w:hAnsi="黑体" w:eastAsia="黑体"/>
            </w:rPr>
            <w:fldChar w:fldCharType="end"/>
          </w:r>
        </w:p>
        <w:p>
          <w:pPr>
            <w:pStyle w:val="11"/>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_Toc27674 </w:instrText>
          </w:r>
          <w:r>
            <w:rPr>
              <w:rFonts w:hint="eastAsia" w:ascii="黑体" w:hAnsi="黑体" w:eastAsia="黑体"/>
            </w:rPr>
            <w:fldChar w:fldCharType="separate"/>
          </w:r>
          <w:r>
            <w:rPr>
              <w:rFonts w:hint="eastAsia" w:ascii="黑体" w:hAnsi="黑体" w:eastAsia="黑体"/>
            </w:rPr>
            <w:t>十、 其他重要事项的情况说明</w:t>
          </w:r>
          <w:r>
            <w:tab/>
          </w:r>
          <w:r>
            <w:fldChar w:fldCharType="begin"/>
          </w:r>
          <w:r>
            <w:instrText xml:space="preserve"> PAGEREF _Toc27674 \h </w:instrText>
          </w:r>
          <w:r>
            <w:fldChar w:fldCharType="separate"/>
          </w:r>
          <w:r>
            <w:t>9</w:t>
          </w:r>
          <w:r>
            <w:fldChar w:fldCharType="end"/>
          </w:r>
          <w:r>
            <w:rPr>
              <w:rFonts w:hint="eastAsia" w:ascii="黑体" w:hAnsi="黑体" w:eastAsia="黑体"/>
            </w:rPr>
            <w:fldChar w:fldCharType="end"/>
          </w:r>
        </w:p>
        <w:p>
          <w:pPr>
            <w:pStyle w:val="1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_Toc12369 </w:instrText>
          </w:r>
          <w:r>
            <w:rPr>
              <w:rFonts w:hint="eastAsia" w:ascii="黑体" w:hAnsi="黑体" w:eastAsia="黑体"/>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_Toc12369 \h </w:instrText>
          </w:r>
          <w:r>
            <w:rPr>
              <w:b/>
            </w:rPr>
            <w:fldChar w:fldCharType="separate"/>
          </w:r>
          <w:r>
            <w:rPr>
              <w:b/>
            </w:rPr>
            <w:t>11</w:t>
          </w:r>
          <w:r>
            <w:rPr>
              <w:b/>
            </w:rPr>
            <w:fldChar w:fldCharType="end"/>
          </w:r>
          <w:r>
            <w:rPr>
              <w:rFonts w:hint="eastAsia" w:ascii="黑体" w:hAnsi="黑体" w:eastAsia="黑体"/>
              <w:b/>
            </w:rPr>
            <w:fldChar w:fldCharType="end"/>
          </w:r>
        </w:p>
        <w:p>
          <w:pPr>
            <w:pStyle w:val="1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_Toc17715 </w:instrText>
          </w:r>
          <w:r>
            <w:rPr>
              <w:rFonts w:hint="eastAsia" w:ascii="黑体" w:hAnsi="黑体" w:eastAsia="黑体"/>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_Toc17715 \h </w:instrText>
          </w:r>
          <w:r>
            <w:rPr>
              <w:b/>
            </w:rPr>
            <w:fldChar w:fldCharType="separate"/>
          </w:r>
          <w:r>
            <w:rPr>
              <w:b/>
            </w:rPr>
            <w:t>14</w:t>
          </w:r>
          <w:r>
            <w:rPr>
              <w:b/>
            </w:rPr>
            <w:fldChar w:fldCharType="end"/>
          </w:r>
          <w:r>
            <w:rPr>
              <w:rFonts w:hint="eastAsia" w:ascii="黑体" w:hAnsi="黑体" w:eastAsia="黑体"/>
              <w:b/>
            </w:rPr>
            <w:fldChar w:fldCharType="end"/>
          </w:r>
        </w:p>
        <w:p>
          <w:pPr>
            <w:pStyle w:val="10"/>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_Toc14778 </w:instrText>
          </w:r>
          <w:r>
            <w:rPr>
              <w:rFonts w:hint="eastAsia" w:ascii="黑体" w:hAnsi="黑体" w:eastAsia="黑体"/>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_Toc14778 \h </w:instrText>
          </w:r>
          <w:r>
            <w:rPr>
              <w:b/>
            </w:rPr>
            <w:fldChar w:fldCharType="separate"/>
          </w:r>
          <w:r>
            <w:rPr>
              <w:b/>
            </w:rPr>
            <w:t>32</w:t>
          </w:r>
          <w:r>
            <w:rPr>
              <w:b/>
            </w:rPr>
            <w:fldChar w:fldCharType="end"/>
          </w:r>
          <w:r>
            <w:rPr>
              <w:rFonts w:hint="eastAsia" w:ascii="黑体" w:hAnsi="黑体" w:eastAsia="黑体"/>
              <w:b/>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_Toc11570 </w:instrText>
          </w:r>
          <w:r>
            <w:rPr>
              <w:rFonts w:hint="eastAsia" w:ascii="黑体" w:hAnsi="黑体" w:eastAsia="黑体" w:cs="黑体"/>
              <w:b w:val="0"/>
              <w:bCs w:val="0"/>
            </w:rPr>
            <w:fldChar w:fldCharType="separate"/>
          </w:r>
          <w:r>
            <w:rPr>
              <w:rFonts w:hint="eastAsia" w:ascii="黑体" w:hAnsi="黑体" w:eastAsia="黑体" w:cs="黑体"/>
              <w:b w:val="0"/>
              <w:bCs w:val="0"/>
            </w:rPr>
            <w:t>一、收入支出决算总表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_Toc11570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_Toc11407 </w:instrText>
          </w:r>
          <w:r>
            <w:rPr>
              <w:rFonts w:hint="eastAsia" w:ascii="黑体" w:hAnsi="黑体" w:eastAsia="黑体" w:cs="黑体"/>
              <w:b w:val="0"/>
              <w:bCs w:val="0"/>
            </w:rPr>
            <w:fldChar w:fldCharType="separate"/>
          </w:r>
          <w:r>
            <w:rPr>
              <w:rFonts w:hint="eastAsia" w:ascii="黑体" w:hAnsi="黑体" w:eastAsia="黑体" w:cs="黑体"/>
              <w:b w:val="0"/>
              <w:bCs w:val="0"/>
            </w:rPr>
            <w:t>二、收入决算表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_Toc11407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_Toc31321 </w:instrText>
          </w:r>
          <w:r>
            <w:rPr>
              <w:rFonts w:hint="eastAsia" w:ascii="黑体" w:hAnsi="黑体" w:eastAsia="黑体" w:cs="黑体"/>
              <w:b w:val="0"/>
              <w:bCs w:val="0"/>
            </w:rPr>
            <w:fldChar w:fldCharType="separate"/>
          </w:r>
          <w:r>
            <w:rPr>
              <w:rFonts w:hint="eastAsia" w:ascii="黑体" w:hAnsi="黑体" w:eastAsia="黑体" w:cs="黑体"/>
              <w:b w:val="0"/>
              <w:bCs w:val="0"/>
            </w:rPr>
            <w:t>三、支出决算表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_Toc31321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_Toc25029 </w:instrText>
          </w:r>
          <w:r>
            <w:rPr>
              <w:rFonts w:hint="eastAsia" w:ascii="黑体" w:hAnsi="黑体" w:eastAsia="黑体" w:cs="黑体"/>
              <w:b w:val="0"/>
              <w:bCs w:val="0"/>
            </w:rPr>
            <w:fldChar w:fldCharType="separate"/>
          </w:r>
          <w:r>
            <w:rPr>
              <w:rFonts w:hint="eastAsia" w:ascii="黑体" w:hAnsi="黑体" w:eastAsia="黑体" w:cs="黑体"/>
              <w:b w:val="0"/>
              <w:bCs w:val="0"/>
            </w:rPr>
            <w:t>四、财政拨款收入支出决算总表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_Toc25029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_Toc23512 </w:instrText>
          </w:r>
          <w:r>
            <w:rPr>
              <w:rFonts w:hint="eastAsia" w:ascii="黑体" w:hAnsi="黑体" w:eastAsia="黑体" w:cs="黑体"/>
              <w:b w:val="0"/>
              <w:bCs w:val="0"/>
            </w:rPr>
            <w:fldChar w:fldCharType="separate"/>
          </w:r>
          <w:r>
            <w:rPr>
              <w:rFonts w:hint="eastAsia" w:ascii="黑体" w:hAnsi="黑体" w:eastAsia="黑体" w:cs="黑体"/>
              <w:b w:val="0"/>
              <w:bCs w:val="0"/>
            </w:rPr>
            <w:t>五、财政拨款支出决算明细表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_Toc23512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_Toc13454 </w:instrText>
          </w:r>
          <w:r>
            <w:rPr>
              <w:rFonts w:hint="eastAsia" w:ascii="黑体" w:hAnsi="黑体" w:eastAsia="黑体" w:cs="黑体"/>
              <w:b w:val="0"/>
              <w:bCs w:val="0"/>
            </w:rPr>
            <w:fldChar w:fldCharType="separate"/>
          </w:r>
          <w:r>
            <w:rPr>
              <w:rFonts w:hint="eastAsia" w:ascii="黑体" w:hAnsi="黑体" w:eastAsia="黑体" w:cs="黑体"/>
              <w:b w:val="0"/>
              <w:bCs w:val="0"/>
            </w:rPr>
            <w:t>六、一般公共预算财政拨款支出决算表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_Toc13454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_Toc3532 </w:instrText>
          </w:r>
          <w:r>
            <w:rPr>
              <w:rFonts w:hint="eastAsia" w:ascii="黑体" w:hAnsi="黑体" w:eastAsia="黑体" w:cs="黑体"/>
              <w:b w:val="0"/>
              <w:bCs w:val="0"/>
            </w:rPr>
            <w:fldChar w:fldCharType="separate"/>
          </w:r>
          <w:r>
            <w:rPr>
              <w:rFonts w:hint="eastAsia" w:ascii="黑体" w:hAnsi="黑体" w:eastAsia="黑体" w:cs="黑体"/>
              <w:b w:val="0"/>
              <w:bCs w:val="0"/>
            </w:rPr>
            <w:t>七、一般公共预算财政拨款支出决算明细表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_Toc3532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_Toc28516 </w:instrText>
          </w:r>
          <w:r>
            <w:rPr>
              <w:rFonts w:hint="eastAsia" w:ascii="黑体" w:hAnsi="黑体" w:eastAsia="黑体" w:cs="黑体"/>
              <w:b w:val="0"/>
              <w:bCs w:val="0"/>
            </w:rPr>
            <w:fldChar w:fldCharType="separate"/>
          </w:r>
          <w:r>
            <w:rPr>
              <w:rFonts w:hint="eastAsia" w:ascii="黑体" w:hAnsi="黑体" w:eastAsia="黑体" w:cs="黑体"/>
              <w:b w:val="0"/>
              <w:bCs w:val="0"/>
            </w:rPr>
            <w:t>八、一般公共预算财政拨款基本支出决算表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_Toc28516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_Toc31826 </w:instrText>
          </w:r>
          <w:r>
            <w:rPr>
              <w:rFonts w:hint="eastAsia" w:ascii="黑体" w:hAnsi="黑体" w:eastAsia="黑体" w:cs="黑体"/>
              <w:b w:val="0"/>
              <w:bCs w:val="0"/>
            </w:rPr>
            <w:fldChar w:fldCharType="separate"/>
          </w:r>
          <w:r>
            <w:rPr>
              <w:rFonts w:hint="eastAsia" w:ascii="黑体" w:hAnsi="黑体" w:eastAsia="黑体" w:cs="黑体"/>
              <w:b w:val="0"/>
              <w:bCs w:val="0"/>
            </w:rPr>
            <w:t>九、一般公共预算财政拨款项目支出决算表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_Toc31826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_Toc4945 </w:instrText>
          </w:r>
          <w:r>
            <w:rPr>
              <w:rFonts w:hint="eastAsia" w:ascii="黑体" w:hAnsi="黑体" w:eastAsia="黑体" w:cs="黑体"/>
              <w:b w:val="0"/>
              <w:bCs w:val="0"/>
            </w:rPr>
            <w:fldChar w:fldCharType="separate"/>
          </w:r>
          <w:r>
            <w:rPr>
              <w:rFonts w:hint="eastAsia" w:ascii="黑体" w:hAnsi="黑体" w:eastAsia="黑体" w:cs="黑体"/>
              <w:b w:val="0"/>
              <w:bCs w:val="0"/>
            </w:rPr>
            <w:t>十、政府性基金预算财政拨款收入支出决算表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_Toc4945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_Toc23597 </w:instrText>
          </w:r>
          <w:r>
            <w:rPr>
              <w:rFonts w:hint="eastAsia" w:ascii="黑体" w:hAnsi="黑体" w:eastAsia="黑体" w:cs="黑体"/>
              <w:b w:val="0"/>
              <w:bCs w:val="0"/>
            </w:rPr>
            <w:fldChar w:fldCharType="separate"/>
          </w:r>
          <w:r>
            <w:rPr>
              <w:rFonts w:hint="eastAsia" w:ascii="黑体" w:hAnsi="黑体" w:eastAsia="黑体" w:cs="黑体"/>
              <w:b w:val="0"/>
              <w:bCs w:val="0"/>
            </w:rPr>
            <w:t>十一、国有资本经营预算财政拨款收入支出决算表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_Toc23597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rPr>
              <w:rFonts w:hint="eastAsia" w:ascii="黑体" w:hAnsi="黑体" w:eastAsia="黑体" w:cs="黑体"/>
              <w:b w:val="0"/>
              <w:bCs w:val="0"/>
            </w:rPr>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_Toc17024 </w:instrText>
          </w:r>
          <w:r>
            <w:rPr>
              <w:rFonts w:hint="eastAsia" w:ascii="黑体" w:hAnsi="黑体" w:eastAsia="黑体" w:cs="黑体"/>
              <w:b w:val="0"/>
              <w:bCs w:val="0"/>
            </w:rPr>
            <w:fldChar w:fldCharType="separate"/>
          </w:r>
          <w:r>
            <w:rPr>
              <w:rFonts w:hint="eastAsia" w:ascii="黑体" w:hAnsi="黑体" w:eastAsia="黑体" w:cs="黑体"/>
              <w:b w:val="0"/>
              <w:bCs w:val="0"/>
            </w:rPr>
            <w:t>十二、国有资本经营预算财政拨款支出决算表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_Toc17024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11"/>
            <w:tabs>
              <w:tab w:val="right" w:leader="dot" w:pos="8306"/>
            </w:tabs>
          </w:pPr>
          <w:r>
            <w:rPr>
              <w:rFonts w:hint="eastAsia" w:ascii="黑体" w:hAnsi="黑体" w:eastAsia="黑体" w:cs="黑体"/>
              <w:b w:val="0"/>
              <w:bCs w:val="0"/>
            </w:rPr>
            <w:fldChar w:fldCharType="begin"/>
          </w:r>
          <w:r>
            <w:rPr>
              <w:rFonts w:hint="eastAsia" w:ascii="黑体" w:hAnsi="黑体" w:eastAsia="黑体" w:cs="黑体"/>
              <w:b w:val="0"/>
              <w:bCs w:val="0"/>
            </w:rPr>
            <w:instrText xml:space="preserve"> HYPERLINK \l _Toc19838 </w:instrText>
          </w:r>
          <w:r>
            <w:rPr>
              <w:rFonts w:hint="eastAsia" w:ascii="黑体" w:hAnsi="黑体" w:eastAsia="黑体" w:cs="黑体"/>
              <w:b w:val="0"/>
              <w:bCs w:val="0"/>
            </w:rPr>
            <w:fldChar w:fldCharType="separate"/>
          </w:r>
          <w:r>
            <w:rPr>
              <w:rFonts w:hint="eastAsia" w:ascii="黑体" w:hAnsi="黑体" w:eastAsia="黑体" w:cs="黑体"/>
              <w:b w:val="0"/>
              <w:bCs w:val="0"/>
            </w:rPr>
            <w:t>十三、财政拨款“三公”经费支出决算表</w:t>
          </w:r>
          <w:r>
            <w:rPr>
              <w:rFonts w:hint="eastAsia" w:ascii="黑体" w:hAnsi="黑体" w:eastAsia="黑体" w:cs="黑体"/>
              <w:b w:val="0"/>
              <w:bCs w:val="0"/>
            </w:rPr>
            <w:tab/>
          </w:r>
          <w:r>
            <w:rPr>
              <w:rFonts w:hint="eastAsia" w:ascii="黑体" w:hAnsi="黑体" w:eastAsia="黑体" w:cs="黑体"/>
              <w:b w:val="0"/>
              <w:bCs w:val="0"/>
            </w:rPr>
            <w:fldChar w:fldCharType="begin"/>
          </w:r>
          <w:r>
            <w:rPr>
              <w:rFonts w:hint="eastAsia" w:ascii="黑体" w:hAnsi="黑体" w:eastAsia="黑体" w:cs="黑体"/>
              <w:b w:val="0"/>
              <w:bCs w:val="0"/>
            </w:rPr>
            <w:instrText xml:space="preserve"> PAGEREF _Toc19838 \h </w:instrText>
          </w:r>
          <w:r>
            <w:rPr>
              <w:rFonts w:hint="eastAsia" w:ascii="黑体" w:hAnsi="黑体" w:eastAsia="黑体" w:cs="黑体"/>
              <w:b w:val="0"/>
              <w:bCs w:val="0"/>
            </w:rPr>
            <w:fldChar w:fldCharType="separate"/>
          </w:r>
          <w:r>
            <w:rPr>
              <w:rFonts w:hint="eastAsia" w:ascii="黑体" w:hAnsi="黑体" w:eastAsia="黑体" w:cs="黑体"/>
              <w:b w:val="0"/>
              <w:bCs w:val="0"/>
            </w:rPr>
            <w:t>32</w:t>
          </w:r>
          <w:r>
            <w:rPr>
              <w:rFonts w:hint="eastAsia" w:ascii="黑体" w:hAnsi="黑体" w:eastAsia="黑体" w:cs="黑体"/>
              <w:b w:val="0"/>
              <w:bCs w:val="0"/>
            </w:rPr>
            <w:fldChar w:fldCharType="end"/>
          </w:r>
          <w:r>
            <w:rPr>
              <w:rFonts w:hint="eastAsia" w:ascii="黑体" w:hAnsi="黑体" w:eastAsia="黑体" w:cs="黑体"/>
              <w:b w:val="0"/>
              <w:bCs w:val="0"/>
            </w:rPr>
            <w:fldChar w:fldCharType="end"/>
          </w:r>
        </w:p>
        <w:p>
          <w:pPr>
            <w:pStyle w:val="3"/>
            <w:jc w:val="center"/>
            <w:outlineLvl w:val="9"/>
            <w:rPr>
              <w:rFonts w:hint="eastAsia" w:ascii="黑体" w:hAnsi="黑体" w:eastAsia="黑体" w:cs="Times New Roman"/>
              <w:b/>
              <w:bCs/>
              <w:kern w:val="44"/>
              <w:sz w:val="44"/>
              <w:szCs w:val="44"/>
              <w:lang w:val="en-US" w:eastAsia="zh-CN" w:bidi="ar-SA"/>
            </w:rPr>
          </w:pPr>
          <w:r>
            <w:rPr>
              <w:rFonts w:hint="eastAsia" w:ascii="黑体" w:hAnsi="黑体" w:eastAsia="黑体"/>
              <w:b/>
            </w:rPr>
            <w:fldChar w:fldCharType="end"/>
          </w:r>
        </w:p>
      </w:sdtContent>
    </w:sdt>
    <w:p>
      <w:pPr>
        <w:rPr>
          <w:rFonts w:hint="eastAsia"/>
        </w:rPr>
      </w:pPr>
    </w:p>
    <w:p>
      <w:pPr>
        <w:pStyle w:val="2"/>
        <w:rPr>
          <w:rFonts w:hint="default" w:eastAsia="方正仿宋简体"/>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rFonts w:hint="eastAsia"/>
          <w:lang w:val="en-US" w:eastAsia="zh-CN"/>
        </w:rPr>
        <w:t xml:space="preserve">         </w:t>
      </w:r>
    </w:p>
    <w:p>
      <w:pPr>
        <w:pStyle w:val="3"/>
        <w:jc w:val="center"/>
        <w:rPr>
          <w:rFonts w:ascii="黑体" w:eastAsia="黑体"/>
          <w:sz w:val="32"/>
          <w:szCs w:val="32"/>
        </w:rPr>
      </w:pPr>
      <w:bookmarkStart w:id="17" w:name="_Toc20277"/>
      <w:r>
        <w:rPr>
          <w:rFonts w:hint="eastAsia" w:ascii="黑体" w:hAnsi="黑体" w:eastAsia="黑体"/>
          <w:b w:val="0"/>
        </w:rPr>
        <w:t>第一部分 单位</w:t>
      </w:r>
      <w:r>
        <w:rPr>
          <w:rStyle w:val="12"/>
          <w:rFonts w:hint="eastAsia" w:ascii="黑体" w:hAnsi="黑体" w:eastAsia="黑体"/>
          <w:b w:val="0"/>
          <w:bCs w:val="0"/>
        </w:rPr>
        <w:t>概况</w:t>
      </w:r>
      <w:bookmarkEnd w:id="14"/>
      <w:bookmarkEnd w:id="15"/>
      <w:bookmarkEnd w:id="16"/>
      <w:bookmarkEnd w:id="17"/>
    </w:p>
    <w:p>
      <w:pPr>
        <w:pStyle w:val="4"/>
        <w:numPr>
          <w:ilvl w:val="0"/>
          <w:numId w:val="1"/>
        </w:numPr>
        <w:rPr>
          <w:rStyle w:val="13"/>
          <w:rFonts w:ascii="黑体" w:hAnsi="黑体" w:eastAsia="黑体"/>
          <w:b w:val="0"/>
          <w:bCs w:val="0"/>
          <w:highlight w:val="none"/>
        </w:rPr>
      </w:pPr>
      <w:bookmarkStart w:id="18" w:name="_Toc14493"/>
      <w:bookmarkStart w:id="19" w:name="_Toc31152"/>
      <w:bookmarkStart w:id="20" w:name="_Toc15377197"/>
      <w:bookmarkStart w:id="21" w:name="_Toc15396600"/>
      <w:r>
        <w:rPr>
          <w:rStyle w:val="13"/>
          <w:rFonts w:hint="eastAsia" w:ascii="黑体" w:hAnsi="黑体" w:eastAsia="黑体"/>
          <w:b w:val="0"/>
          <w:bCs w:val="0"/>
          <w:highlight w:val="none"/>
        </w:rPr>
        <w:t>主要职责</w:t>
      </w:r>
      <w:bookmarkEnd w:id="18"/>
      <w:bookmarkEnd w:id="19"/>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Times New Roman"/>
          <w:sz w:val="32"/>
          <w:szCs w:val="32"/>
        </w:rPr>
        <w:t>我单位主要职能为贯彻执行上级有关城乡居民社会养老保险</w:t>
      </w:r>
      <w:r>
        <w:rPr>
          <w:rFonts w:hint="eastAsia" w:ascii="仿宋" w:hAnsi="仿宋" w:eastAsia="仿宋" w:cs="Times New Roman"/>
          <w:sz w:val="32"/>
          <w:szCs w:val="32"/>
          <w:lang w:eastAsia="zh-CN"/>
        </w:rPr>
        <w:t>、被征地农民养老保障</w:t>
      </w:r>
      <w:r>
        <w:rPr>
          <w:rFonts w:hint="eastAsia" w:ascii="仿宋" w:hAnsi="仿宋" w:eastAsia="仿宋" w:cs="Times New Roman"/>
          <w:sz w:val="32"/>
          <w:szCs w:val="32"/>
        </w:rPr>
        <w:t>的方针、政策和规定；负责船山区城乡居民社会</w:t>
      </w:r>
      <w:r>
        <w:rPr>
          <w:rFonts w:hint="eastAsia" w:ascii="仿宋" w:hAnsi="仿宋" w:eastAsia="仿宋" w:cs="Times New Roman"/>
          <w:sz w:val="32"/>
          <w:szCs w:val="32"/>
          <w:lang w:eastAsia="zh-CN"/>
        </w:rPr>
        <w:t>养老</w:t>
      </w:r>
      <w:r>
        <w:rPr>
          <w:rFonts w:hint="eastAsia" w:ascii="仿宋" w:hAnsi="仿宋" w:eastAsia="仿宋" w:cs="Times New Roman"/>
          <w:sz w:val="32"/>
          <w:szCs w:val="32"/>
        </w:rPr>
        <w:t>保险基金的管理与支付</w:t>
      </w:r>
      <w:r>
        <w:rPr>
          <w:rFonts w:hint="eastAsia" w:ascii="仿宋" w:hAnsi="仿宋" w:eastAsia="仿宋" w:cs="Times New Roman"/>
          <w:sz w:val="32"/>
          <w:szCs w:val="32"/>
          <w:lang w:eastAsia="zh-CN"/>
        </w:rPr>
        <w:t>以及被征地农民的基本养老保险代缴、生活补贴发放</w:t>
      </w:r>
      <w:r>
        <w:rPr>
          <w:rFonts w:hint="eastAsia" w:ascii="仿宋" w:hAnsi="仿宋" w:eastAsia="仿宋" w:cs="Times New Roman"/>
          <w:sz w:val="32"/>
          <w:szCs w:val="32"/>
        </w:rPr>
        <w:t>等具体业务；开展</w:t>
      </w:r>
      <w:r>
        <w:rPr>
          <w:rFonts w:hint="eastAsia" w:ascii="仿宋" w:hAnsi="仿宋" w:eastAsia="仿宋" w:cs="Times New Roman"/>
          <w:sz w:val="32"/>
          <w:szCs w:val="32"/>
          <w:lang w:eastAsia="zh-CN"/>
        </w:rPr>
        <w:t>居保</w:t>
      </w:r>
      <w:r>
        <w:rPr>
          <w:rFonts w:hint="eastAsia" w:ascii="仿宋" w:hAnsi="仿宋" w:eastAsia="仿宋" w:cs="Times New Roman"/>
          <w:sz w:val="32"/>
          <w:szCs w:val="32"/>
        </w:rPr>
        <w:t>基金稽核及待遇领取人员生存认证工作；配合</w:t>
      </w:r>
      <w:r>
        <w:rPr>
          <w:rFonts w:hint="eastAsia" w:ascii="仿宋" w:hAnsi="仿宋" w:eastAsia="仿宋" w:cs="Times New Roman"/>
          <w:sz w:val="32"/>
          <w:szCs w:val="32"/>
          <w:lang w:eastAsia="zh-CN"/>
        </w:rPr>
        <w:t>相关</w:t>
      </w:r>
      <w:r>
        <w:rPr>
          <w:rFonts w:hint="eastAsia" w:ascii="仿宋" w:hAnsi="仿宋" w:eastAsia="仿宋" w:cs="Times New Roman"/>
          <w:sz w:val="32"/>
          <w:szCs w:val="32"/>
        </w:rPr>
        <w:t>部门做好</w:t>
      </w:r>
      <w:r>
        <w:rPr>
          <w:rFonts w:hint="eastAsia" w:ascii="仿宋" w:hAnsi="仿宋" w:eastAsia="仿宋" w:cs="Times New Roman"/>
          <w:sz w:val="32"/>
          <w:szCs w:val="32"/>
          <w:lang w:eastAsia="zh-CN"/>
        </w:rPr>
        <w:t>困难群众</w:t>
      </w:r>
      <w:r>
        <w:rPr>
          <w:rFonts w:hint="eastAsia" w:ascii="仿宋" w:hAnsi="仿宋" w:eastAsia="仿宋" w:cs="Times New Roman"/>
          <w:sz w:val="32"/>
          <w:szCs w:val="32"/>
        </w:rPr>
        <w:t>城乡居民养老保险代缴及</w:t>
      </w:r>
      <w:r>
        <w:rPr>
          <w:rFonts w:hint="eastAsia" w:ascii="仿宋" w:hAnsi="仿宋" w:eastAsia="仿宋" w:cs="Times New Roman"/>
          <w:sz w:val="32"/>
          <w:szCs w:val="32"/>
          <w:lang w:eastAsia="zh-CN"/>
        </w:rPr>
        <w:t>退休</w:t>
      </w:r>
      <w:r>
        <w:rPr>
          <w:rFonts w:hint="eastAsia" w:ascii="仿宋" w:hAnsi="仿宋" w:eastAsia="仿宋" w:cs="Times New Roman"/>
          <w:sz w:val="32"/>
          <w:szCs w:val="32"/>
        </w:rPr>
        <w:t>人员管理服务工作</w:t>
      </w:r>
      <w:r>
        <w:rPr>
          <w:rFonts w:hint="eastAsia" w:ascii="仿宋" w:hAnsi="仿宋" w:eastAsia="仿宋" w:cs="Times New Roman"/>
          <w:sz w:val="32"/>
          <w:szCs w:val="32"/>
          <w:lang w:eastAsia="zh-CN"/>
        </w:rPr>
        <w:t>。</w:t>
      </w:r>
    </w:p>
    <w:p>
      <w:pPr>
        <w:pStyle w:val="4"/>
        <w:numPr>
          <w:ilvl w:val="0"/>
          <w:numId w:val="1"/>
        </w:numPr>
        <w:ind w:left="0" w:leftChars="0" w:firstLine="0" w:firstLineChars="0"/>
        <w:rPr>
          <w:highlight w:val="none"/>
        </w:rPr>
      </w:pPr>
      <w:bookmarkStart w:id="22" w:name="_Toc11218"/>
      <w:bookmarkStart w:id="23" w:name="_Toc12599"/>
      <w:r>
        <w:rPr>
          <w:rFonts w:hint="eastAsia" w:ascii="黑体" w:hAnsi="黑体" w:eastAsia="黑体"/>
          <w:b w:val="0"/>
          <w:highlight w:val="none"/>
        </w:rPr>
        <w:t>机构设置</w:t>
      </w:r>
      <w:bookmarkEnd w:id="22"/>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Times New Roman"/>
          <w:bCs/>
          <w:color w:val="000000"/>
          <w:sz w:val="32"/>
          <w:szCs w:val="32"/>
        </w:rPr>
      </w:pPr>
      <w:r>
        <w:rPr>
          <w:rFonts w:hint="eastAsia" w:ascii="仿宋" w:hAnsi="仿宋" w:eastAsia="仿宋" w:cs="Times New Roman"/>
          <w:sz w:val="32"/>
          <w:szCs w:val="32"/>
        </w:rPr>
        <w:t>我单位为公益一类事业单位，下属二级预算单位0个。我单位下设5个内设机构，办公室、稽核内控股、财务统计股、基金征缴股和待遇管理股。</w:t>
      </w:r>
    </w:p>
    <w:bookmarkEnd w:id="20"/>
    <w:bookmarkEnd w:id="21"/>
    <w:p>
      <w:pPr>
        <w:pStyle w:val="3"/>
        <w:ind w:right="440"/>
        <w:jc w:val="center"/>
      </w:pPr>
      <w:bookmarkStart w:id="24" w:name="_Toc15377204"/>
      <w:bookmarkStart w:id="25" w:name="_Toc15396602"/>
      <w:bookmarkStart w:id="26" w:name="_Toc15151"/>
      <w:bookmarkStart w:id="27" w:name="_Toc27521"/>
      <w:r>
        <w:rPr>
          <w:rFonts w:hint="eastAsia" w:ascii="黑体" w:hAnsi="黑体" w:eastAsia="黑体"/>
          <w:b w:val="0"/>
        </w:rPr>
        <w:t>第二部分 20</w:t>
      </w:r>
      <w:r>
        <w:rPr>
          <w:rFonts w:hint="eastAsia" w:ascii="黑体" w:hAnsi="黑体" w:eastAsia="黑体"/>
          <w:b w:val="0"/>
          <w:lang w:val="en-US" w:eastAsia="zh-CN"/>
        </w:rPr>
        <w:t>23</w:t>
      </w:r>
      <w:r>
        <w:rPr>
          <w:rFonts w:hint="eastAsia" w:ascii="黑体" w:hAnsi="黑体" w:eastAsia="黑体"/>
          <w:b w:val="0"/>
        </w:rPr>
        <w:t>年度</w:t>
      </w:r>
      <w:r>
        <w:rPr>
          <w:rStyle w:val="12"/>
          <w:rFonts w:hint="eastAsia" w:ascii="黑体" w:hAnsi="黑体" w:eastAsia="黑体"/>
          <w:b w:val="0"/>
          <w:bCs/>
        </w:rPr>
        <w:t>单位决算情况说明</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sz w:val="32"/>
          <w:szCs w:val="32"/>
        </w:rPr>
      </w:pPr>
      <w:bookmarkStart w:id="28" w:name="_Toc19281"/>
      <w:bookmarkStart w:id="29" w:name="_Toc15377205"/>
      <w:bookmarkStart w:id="30" w:name="_Toc5671"/>
      <w:bookmarkStart w:id="31" w:name="_Toc15396603"/>
      <w:r>
        <w:rPr>
          <w:rFonts w:hint="eastAsia" w:ascii="黑体" w:hAnsi="黑体" w:eastAsia="黑体"/>
          <w:sz w:val="32"/>
          <w:szCs w:val="32"/>
          <w:lang w:eastAsia="zh-CN"/>
        </w:rPr>
        <w:t>一、</w:t>
      </w:r>
      <w:r>
        <w:rPr>
          <w:rFonts w:hint="eastAsia" w:ascii="黑体" w:hAnsi="黑体" w:eastAsia="黑体"/>
          <w:sz w:val="32"/>
          <w:szCs w:val="32"/>
        </w:rPr>
        <w:t>收入支出决算总体情况说明</w:t>
      </w:r>
      <w:bookmarkEnd w:id="28"/>
      <w:bookmarkEnd w:id="29"/>
      <w:bookmarkEnd w:id="30"/>
      <w:bookmarkEnd w:id="31"/>
    </w:p>
    <w:p>
      <w:pPr>
        <w:spacing w:line="600" w:lineRule="exact"/>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389.35</w:t>
      </w:r>
      <w:r>
        <w:rPr>
          <w:rFonts w:hint="eastAsia" w:ascii="仿宋" w:hAnsi="仿宋" w:eastAsia="仿宋"/>
          <w:sz w:val="32"/>
          <w:szCs w:val="32"/>
        </w:rPr>
        <w:t>万元。与202</w:t>
      </w:r>
      <w:r>
        <w:rPr>
          <w:rFonts w:hint="eastAsia" w:ascii="仿宋" w:hAnsi="仿宋" w:eastAsia="仿宋"/>
          <w:sz w:val="32"/>
          <w:szCs w:val="32"/>
          <w:lang w:val="en-US" w:eastAsia="zh-CN"/>
        </w:rPr>
        <w:t>2</w:t>
      </w:r>
      <w:r>
        <w:rPr>
          <w:rFonts w:hint="eastAsia" w:ascii="仿宋" w:hAnsi="仿宋" w:eastAsia="仿宋"/>
          <w:sz w:val="32"/>
          <w:szCs w:val="32"/>
        </w:rPr>
        <w:t>年相比，收、支总计各增加</w:t>
      </w:r>
      <w:r>
        <w:rPr>
          <w:rFonts w:hint="eastAsia" w:ascii="仿宋" w:hAnsi="仿宋" w:eastAsia="仿宋"/>
          <w:sz w:val="32"/>
          <w:szCs w:val="32"/>
          <w:lang w:val="en-US" w:eastAsia="zh-CN"/>
        </w:rPr>
        <w:t>12.97</w:t>
      </w:r>
      <w:r>
        <w:rPr>
          <w:rFonts w:hint="eastAsia" w:ascii="仿宋" w:hAnsi="仿宋" w:eastAsia="仿宋"/>
          <w:sz w:val="32"/>
          <w:szCs w:val="32"/>
        </w:rPr>
        <w:t>万元，增长</w:t>
      </w:r>
      <w:r>
        <w:rPr>
          <w:rFonts w:hint="eastAsia" w:ascii="仿宋" w:hAnsi="仿宋" w:eastAsia="仿宋"/>
          <w:sz w:val="32"/>
          <w:szCs w:val="32"/>
          <w:lang w:val="en-US" w:eastAsia="zh-CN"/>
        </w:rPr>
        <w:t>3.45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highlight w:val="none"/>
        </w:rPr>
        <w:t>主要变动原因是</w:t>
      </w:r>
      <w:r>
        <w:rPr>
          <w:rFonts w:hint="eastAsia" w:ascii="仿宋" w:hAnsi="仿宋" w:eastAsia="仿宋"/>
          <w:sz w:val="32"/>
          <w:szCs w:val="32"/>
          <w:highlight w:val="none"/>
          <w:lang w:val="en-US" w:eastAsia="zh-CN"/>
        </w:rPr>
        <w:t>2023年项目支出中增加了困难群众代缴经费。</w:t>
      </w:r>
    </w:p>
    <w:p>
      <w:pPr>
        <w:pStyle w:val="2"/>
      </w:pPr>
    </w:p>
    <w:p>
      <w:pPr>
        <w:pStyle w:val="2"/>
        <w:ind w:firstLine="0" w:firstLineChars="0"/>
        <w:rPr>
          <w:rFonts w:ascii="仿宋_GB2312" w:eastAsia="仿宋_GB2312"/>
          <w:szCs w:val="32"/>
        </w:rPr>
      </w:pPr>
    </w:p>
    <w:p>
      <w:pPr>
        <w:pStyle w:val="2"/>
        <w:ind w:firstLine="0" w:firstLineChars="0"/>
        <w:rPr>
          <w:rFonts w:hint="eastAsia" w:ascii="仿宋" w:hAnsi="仿宋" w:eastAsia="仿宋_GB2312"/>
          <w:szCs w:val="32"/>
          <w:highlight w:val="green"/>
          <w:lang w:val="en-US" w:eastAsia="zh-CN"/>
        </w:rPr>
      </w:pPr>
      <w:r>
        <w:drawing>
          <wp:anchor distT="0" distB="0" distL="114300" distR="114300" simplePos="0" relativeHeight="251662336" behindDoc="0" locked="0" layoutInCell="1" allowOverlap="1">
            <wp:simplePos x="0" y="0"/>
            <wp:positionH relativeFrom="column">
              <wp:posOffset>271145</wp:posOffset>
            </wp:positionH>
            <wp:positionV relativeFrom="paragraph">
              <wp:posOffset>-8042910</wp:posOffset>
            </wp:positionV>
            <wp:extent cx="4658360" cy="2743200"/>
            <wp:effectExtent l="4445" t="5080" r="23495" b="1397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ind w:left="0" w:leftChars="0" w:firstLine="0" w:firstLineChars="0"/>
        <w:jc w:val="center"/>
        <w:rPr>
          <w:rFonts w:ascii="仿宋_GB2312" w:eastAsia="仿宋_GB2312"/>
          <w:szCs w:val="32"/>
        </w:rPr>
      </w:pPr>
      <w:r>
        <w:rPr>
          <w:rFonts w:hint="eastAsia" w:ascii="仿宋" w:hAnsi="仿宋" w:eastAsia="仿宋"/>
          <w:szCs w:val="32"/>
        </w:rPr>
        <w:t>（图</w:t>
      </w:r>
      <w:r>
        <w:rPr>
          <w:rFonts w:ascii="仿宋" w:hAnsi="仿宋" w:eastAsia="仿宋"/>
          <w:szCs w:val="32"/>
        </w:rPr>
        <w:t>1</w:t>
      </w:r>
      <w:r>
        <w:rPr>
          <w:rFonts w:hint="eastAsia" w:ascii="仿宋" w:hAnsi="仿宋" w:eastAsia="仿宋"/>
          <w:szCs w:val="32"/>
        </w:rPr>
        <w:t>：收、支决算总计变动情况图）（柱状图）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3"/>
          <w:rFonts w:ascii="黑体" w:hAnsi="黑体" w:eastAsia="黑体"/>
          <w:b w:val="0"/>
        </w:rPr>
      </w:pPr>
      <w:bookmarkStart w:id="32" w:name="_Toc15396604"/>
      <w:bookmarkStart w:id="33" w:name="_Toc15377206"/>
      <w:bookmarkStart w:id="34" w:name="_Toc4538"/>
      <w:bookmarkStart w:id="35" w:name="_Toc7891"/>
      <w:r>
        <w:rPr>
          <w:rFonts w:hint="eastAsia" w:ascii="黑体" w:hAnsi="黑体" w:eastAsia="黑体" w:cs="Times New Roman"/>
          <w:kern w:val="2"/>
          <w:sz w:val="32"/>
          <w:szCs w:val="32"/>
          <w:lang w:val="en-US" w:eastAsia="zh-CN" w:bidi="ar-SA"/>
        </w:rPr>
        <w:t>二、收入决算情况说</w:t>
      </w:r>
      <w:bookmarkEnd w:id="32"/>
      <w:bookmarkEnd w:id="33"/>
      <w:r>
        <w:rPr>
          <w:rFonts w:hint="eastAsia" w:ascii="黑体" w:hAnsi="黑体" w:eastAsia="黑体" w:cs="Times New Roman"/>
          <w:kern w:val="2"/>
          <w:sz w:val="32"/>
          <w:szCs w:val="32"/>
          <w:lang w:val="en-US" w:eastAsia="zh-CN" w:bidi="ar-SA"/>
        </w:rPr>
        <w:t>明</w:t>
      </w:r>
      <w:bookmarkEnd w:id="34"/>
      <w:bookmarkEnd w:id="35"/>
    </w:p>
    <w:p>
      <w:pPr>
        <w:spacing w:line="600" w:lineRule="exact"/>
        <w:ind w:firstLine="640" w:firstLineChars="200"/>
        <w:outlineLvl w:val="1"/>
        <w:rPr>
          <w:rFonts w:ascii="仿宋" w:hAnsi="仿宋" w:eastAsia="仿宋"/>
          <w:sz w:val="32"/>
          <w:szCs w:val="32"/>
        </w:rPr>
      </w:pPr>
      <w:bookmarkStart w:id="36" w:name="_Toc5957"/>
      <w:bookmarkStart w:id="37" w:name="_Toc9257"/>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年本年收入合计</w:t>
      </w:r>
      <w:r>
        <w:rPr>
          <w:rFonts w:hint="eastAsia" w:ascii="仿宋" w:hAnsi="仿宋" w:eastAsia="仿宋"/>
          <w:sz w:val="32"/>
          <w:szCs w:val="32"/>
          <w:lang w:val="en-US" w:eastAsia="zh-CN"/>
        </w:rPr>
        <w:t>313.09</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312.14</w:t>
      </w:r>
      <w:r>
        <w:rPr>
          <w:rFonts w:hint="eastAsia" w:ascii="仿宋" w:hAnsi="仿宋" w:eastAsia="仿宋"/>
          <w:sz w:val="32"/>
          <w:szCs w:val="32"/>
        </w:rPr>
        <w:t>万元，占</w:t>
      </w:r>
      <w:r>
        <w:rPr>
          <w:rFonts w:hint="eastAsia" w:ascii="仿宋" w:hAnsi="仿宋" w:eastAsia="仿宋"/>
          <w:sz w:val="32"/>
          <w:szCs w:val="32"/>
          <w:lang w:val="en-US" w:eastAsia="zh-CN"/>
        </w:rPr>
        <w:t>99.70</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其他收入</w:t>
      </w:r>
      <w:r>
        <w:rPr>
          <w:rFonts w:hint="eastAsia" w:ascii="仿宋" w:hAnsi="仿宋" w:eastAsia="仿宋"/>
          <w:sz w:val="32"/>
          <w:szCs w:val="32"/>
          <w:lang w:val="en-US" w:eastAsia="zh-CN"/>
        </w:rPr>
        <w:t>0.95</w:t>
      </w:r>
      <w:r>
        <w:rPr>
          <w:rFonts w:hint="eastAsia" w:ascii="仿宋" w:hAnsi="仿宋" w:eastAsia="仿宋"/>
          <w:sz w:val="32"/>
          <w:szCs w:val="32"/>
        </w:rPr>
        <w:t>万元，占</w:t>
      </w:r>
      <w:r>
        <w:rPr>
          <w:rFonts w:hint="eastAsia" w:ascii="仿宋" w:hAnsi="仿宋" w:eastAsia="仿宋"/>
          <w:sz w:val="32"/>
          <w:szCs w:val="32"/>
          <w:lang w:val="en-US" w:eastAsia="zh-CN"/>
        </w:rPr>
        <w:t>0.30</w:t>
      </w:r>
      <w:r>
        <w:rPr>
          <w:rFonts w:ascii="仿宋" w:hAnsi="仿宋" w:eastAsia="仿宋"/>
          <w:sz w:val="32"/>
          <w:szCs w:val="32"/>
        </w:rPr>
        <w:t>%</w:t>
      </w:r>
      <w:r>
        <w:rPr>
          <w:rFonts w:hint="eastAsia" w:ascii="仿宋" w:hAnsi="仿宋" w:eastAsia="仿宋"/>
          <w:sz w:val="32"/>
          <w:szCs w:val="32"/>
        </w:rPr>
        <w:t>。</w:t>
      </w:r>
      <w:bookmarkEnd w:id="36"/>
      <w:bookmarkEnd w:id="37"/>
    </w:p>
    <w:p>
      <w:pPr>
        <w:spacing w:line="600" w:lineRule="exact"/>
        <w:ind w:firstLine="420" w:firstLineChars="200"/>
        <w:outlineLvl w:val="9"/>
        <w:rPr>
          <w:rFonts w:ascii="仿宋" w:hAnsi="仿宋" w:eastAsia="仿宋"/>
          <w:sz w:val="32"/>
          <w:szCs w:val="32"/>
        </w:rPr>
      </w:pPr>
      <w:r>
        <w:drawing>
          <wp:anchor distT="0" distB="0" distL="114300" distR="114300" simplePos="0" relativeHeight="251663360" behindDoc="1" locked="0" layoutInCell="1" allowOverlap="1">
            <wp:simplePos x="0" y="0"/>
            <wp:positionH relativeFrom="column">
              <wp:posOffset>258445</wp:posOffset>
            </wp:positionH>
            <wp:positionV relativeFrom="paragraph">
              <wp:posOffset>192405</wp:posOffset>
            </wp:positionV>
            <wp:extent cx="4658360" cy="2743200"/>
            <wp:effectExtent l="4445" t="5080" r="23495" b="13970"/>
            <wp:wrapTight wrapText="bothSides">
              <wp:wrapPolygon>
                <wp:start x="-21" y="-40"/>
                <wp:lineTo x="-21" y="21560"/>
                <wp:lineTo x="21532" y="21560"/>
                <wp:lineTo x="21532" y="-40"/>
                <wp:lineTo x="-21" y="-40"/>
              </wp:wrapPolygon>
            </wp:wrapTight>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ind w:firstLine="640"/>
        <w:rPr>
          <w:rFonts w:ascii="仿宋" w:hAnsi="仿宋" w:eastAsia="仿宋"/>
          <w:szCs w:val="32"/>
        </w:rPr>
      </w:pPr>
    </w:p>
    <w:p>
      <w:pPr>
        <w:pStyle w:val="2"/>
        <w:ind w:firstLine="0" w:firstLineChars="0"/>
        <w:rPr>
          <w:rFonts w:ascii="仿宋" w:hAnsi="仿宋" w:eastAsia="仿宋"/>
          <w:szCs w:val="32"/>
        </w:rPr>
      </w:pPr>
    </w:p>
    <w:p>
      <w:pPr>
        <w:pStyle w:val="2"/>
        <w:ind w:firstLine="640"/>
        <w:rPr>
          <w:rFonts w:ascii="仿宋" w:hAnsi="仿宋" w:eastAsia="仿宋"/>
          <w:szCs w:val="32"/>
        </w:rPr>
      </w:pPr>
    </w:p>
    <w:p>
      <w:pPr>
        <w:pStyle w:val="2"/>
        <w:ind w:firstLine="640"/>
        <w:rPr>
          <w:rFonts w:ascii="仿宋" w:hAnsi="仿宋" w:eastAsia="仿宋"/>
          <w:szCs w:val="32"/>
        </w:rPr>
      </w:pPr>
    </w:p>
    <w:p>
      <w:pPr>
        <w:pStyle w:val="2"/>
        <w:ind w:firstLine="640"/>
        <w:rPr>
          <w:rFonts w:ascii="仿宋" w:hAnsi="仿宋" w:eastAsia="仿宋"/>
          <w:szCs w:val="32"/>
        </w:rPr>
      </w:pPr>
    </w:p>
    <w:p>
      <w:pPr>
        <w:pStyle w:val="2"/>
        <w:ind w:firstLine="640"/>
        <w:rPr>
          <w:rFonts w:ascii="仿宋" w:hAnsi="仿宋" w:eastAsia="仿宋"/>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sz w:val="32"/>
          <w:szCs w:val="32"/>
        </w:rPr>
      </w:pPr>
      <w:bookmarkStart w:id="38" w:name="_Toc15396605"/>
      <w:bookmarkStart w:id="39" w:name="_Toc1214"/>
      <w:bookmarkStart w:id="40" w:name="_Toc19079"/>
      <w:bookmarkStart w:id="41" w:name="_Toc15377207"/>
      <w:r>
        <w:rPr>
          <w:rFonts w:hint="eastAsia" w:ascii="黑体" w:hAnsi="黑体" w:eastAsia="黑体"/>
          <w:sz w:val="32"/>
          <w:szCs w:val="32"/>
        </w:rPr>
        <w:t>三、支出决算情况说明</w:t>
      </w:r>
      <w:bookmarkEnd w:id="38"/>
      <w:bookmarkEnd w:id="39"/>
      <w:bookmarkEnd w:id="40"/>
      <w:bookmarkEnd w:id="41"/>
    </w:p>
    <w:p>
      <w:pPr>
        <w:spacing w:line="600" w:lineRule="exact"/>
        <w:ind w:firstLine="640" w:firstLineChars="200"/>
        <w:outlineLvl w:val="1"/>
        <w:rPr>
          <w:rFonts w:hint="eastAsia" w:ascii="仿宋" w:hAnsi="仿宋" w:eastAsia="仿宋"/>
          <w:sz w:val="32"/>
          <w:szCs w:val="32"/>
          <w:lang w:eastAsia="zh-CN"/>
        </w:rPr>
      </w:pPr>
      <w:bookmarkStart w:id="42" w:name="_Toc14075"/>
      <w:bookmarkStart w:id="43" w:name="_Toc26806"/>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年本年支出合计</w:t>
      </w:r>
      <w:r>
        <w:rPr>
          <w:rFonts w:hint="eastAsia" w:ascii="仿宋" w:hAnsi="仿宋" w:eastAsia="仿宋"/>
          <w:color w:val="000000" w:themeColor="text1"/>
          <w:sz w:val="32"/>
          <w:szCs w:val="32"/>
          <w:highlight w:val="none"/>
          <w:lang w:val="en-US" w:eastAsia="zh-CN"/>
          <w14:textFill>
            <w14:solidFill>
              <w14:schemeClr w14:val="tx1"/>
            </w14:solidFill>
          </w14:textFill>
        </w:rPr>
        <w:t>314.59</w:t>
      </w:r>
      <w:r>
        <w:rPr>
          <w:rFonts w:hint="eastAsia" w:ascii="仿宋" w:hAnsi="仿宋" w:eastAsia="仿宋"/>
          <w:sz w:val="32"/>
          <w:szCs w:val="32"/>
        </w:rPr>
        <w:t>万元，其中：基本支出</w:t>
      </w:r>
      <w:r>
        <w:rPr>
          <w:rFonts w:hint="eastAsia" w:ascii="仿宋" w:hAnsi="仿宋" w:eastAsia="仿宋"/>
          <w:sz w:val="32"/>
          <w:szCs w:val="32"/>
          <w:lang w:val="en-US" w:eastAsia="zh-CN"/>
        </w:rPr>
        <w:t>225.26</w:t>
      </w:r>
      <w:r>
        <w:rPr>
          <w:rFonts w:hint="eastAsia" w:ascii="仿宋" w:hAnsi="仿宋" w:eastAsia="仿宋"/>
          <w:sz w:val="32"/>
          <w:szCs w:val="32"/>
        </w:rPr>
        <w:t>万元，占</w:t>
      </w:r>
      <w:r>
        <w:rPr>
          <w:rFonts w:hint="eastAsia" w:ascii="仿宋" w:hAnsi="仿宋" w:eastAsia="仿宋"/>
          <w:sz w:val="32"/>
          <w:szCs w:val="32"/>
          <w:lang w:val="en-US" w:eastAsia="zh-CN"/>
        </w:rPr>
        <w:t>71.60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89.33</w:t>
      </w:r>
      <w:r>
        <w:rPr>
          <w:rFonts w:hint="eastAsia" w:ascii="仿宋" w:hAnsi="仿宋" w:eastAsia="仿宋"/>
          <w:sz w:val="32"/>
          <w:szCs w:val="32"/>
        </w:rPr>
        <w:t>万元，占</w:t>
      </w:r>
      <w:r>
        <w:rPr>
          <w:rFonts w:hint="eastAsia" w:ascii="仿宋" w:hAnsi="仿宋" w:eastAsia="仿宋"/>
          <w:sz w:val="32"/>
          <w:szCs w:val="32"/>
          <w:lang w:val="en-US" w:eastAsia="zh-CN"/>
        </w:rPr>
        <w:t>28.40</w:t>
      </w:r>
      <w:r>
        <w:rPr>
          <w:rFonts w:ascii="仿宋" w:hAnsi="仿宋" w:eastAsia="仿宋"/>
          <w:sz w:val="32"/>
          <w:szCs w:val="32"/>
        </w:rPr>
        <w:t>%</w:t>
      </w:r>
      <w:bookmarkEnd w:id="42"/>
      <w:r>
        <w:rPr>
          <w:rFonts w:hint="eastAsia" w:ascii="仿宋" w:hAnsi="仿宋" w:eastAsia="仿宋"/>
          <w:sz w:val="32"/>
          <w:szCs w:val="32"/>
          <w:lang w:eastAsia="zh-CN"/>
        </w:rPr>
        <w:t>。</w:t>
      </w:r>
      <w:bookmarkEnd w:id="43"/>
    </w:p>
    <w:p>
      <w:pPr>
        <w:pStyle w:val="2"/>
        <w:ind w:left="0" w:leftChars="0" w:firstLine="0" w:firstLineChars="0"/>
        <w:rPr>
          <w:rFonts w:hint="eastAsia" w:ascii="仿宋" w:hAnsi="仿宋" w:eastAsia="仿宋"/>
          <w:szCs w:val="32"/>
        </w:rPr>
      </w:pPr>
      <w:r>
        <w:drawing>
          <wp:anchor distT="0" distB="0" distL="114300" distR="114300" simplePos="0" relativeHeight="251664384" behindDoc="1" locked="0" layoutInCell="1" allowOverlap="1">
            <wp:simplePos x="0" y="0"/>
            <wp:positionH relativeFrom="column">
              <wp:posOffset>391795</wp:posOffset>
            </wp:positionH>
            <wp:positionV relativeFrom="page">
              <wp:posOffset>2752725</wp:posOffset>
            </wp:positionV>
            <wp:extent cx="4739640" cy="2743200"/>
            <wp:effectExtent l="4445" t="4445" r="18415" b="14605"/>
            <wp:wrapThrough wrapText="bothSides">
              <wp:wrapPolygon>
                <wp:start x="-20" y="-35"/>
                <wp:lineTo x="-20" y="21565"/>
                <wp:lineTo x="21510" y="21565"/>
                <wp:lineTo x="21510" y="-35"/>
                <wp:lineTo x="-20" y="-35"/>
              </wp:wrapPolygon>
            </wp:wrapThrough>
            <wp:docPr id="1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ind w:left="0" w:leftChars="0" w:firstLine="0" w:firstLineChars="0"/>
        <w:jc w:val="center"/>
        <w:rPr>
          <w:rFonts w:hint="eastAsia" w:ascii="仿宋" w:hAnsi="仿宋" w:eastAsia="仿宋"/>
          <w:szCs w:val="32"/>
        </w:rPr>
      </w:pPr>
    </w:p>
    <w:p>
      <w:pPr>
        <w:pStyle w:val="2"/>
        <w:ind w:left="0" w:leftChars="0" w:firstLine="0" w:firstLineChars="0"/>
        <w:jc w:val="center"/>
        <w:rPr>
          <w:rFonts w:hint="eastAsia" w:ascii="仿宋" w:hAnsi="仿宋" w:eastAsia="仿宋"/>
          <w:szCs w:val="32"/>
        </w:rPr>
      </w:pPr>
    </w:p>
    <w:p>
      <w:pPr>
        <w:pStyle w:val="2"/>
        <w:ind w:left="0" w:leftChars="0" w:firstLine="0" w:firstLineChars="0"/>
        <w:jc w:val="center"/>
        <w:rPr>
          <w:rFonts w:hint="eastAsia" w:ascii="仿宋" w:hAnsi="仿宋" w:eastAsia="仿宋"/>
          <w:szCs w:val="32"/>
        </w:rPr>
      </w:pPr>
    </w:p>
    <w:p>
      <w:pPr>
        <w:pStyle w:val="2"/>
        <w:ind w:left="0" w:leftChars="0" w:firstLine="0" w:firstLineChars="0"/>
        <w:jc w:val="center"/>
        <w:rPr>
          <w:rFonts w:hint="eastAsia" w:ascii="仿宋" w:hAnsi="仿宋" w:eastAsia="仿宋"/>
          <w:szCs w:val="32"/>
        </w:rPr>
      </w:pPr>
    </w:p>
    <w:p>
      <w:pPr>
        <w:pStyle w:val="2"/>
        <w:ind w:left="0" w:leftChars="0" w:firstLine="0" w:firstLineChars="0"/>
        <w:jc w:val="center"/>
        <w:rPr>
          <w:rFonts w:hint="eastAsia" w:ascii="仿宋" w:hAnsi="仿宋" w:eastAsia="仿宋"/>
          <w:szCs w:val="32"/>
        </w:rPr>
      </w:pPr>
    </w:p>
    <w:p>
      <w:pPr>
        <w:pStyle w:val="2"/>
        <w:ind w:left="0" w:leftChars="0" w:firstLine="0" w:firstLineChars="0"/>
        <w:jc w:val="center"/>
        <w:rPr>
          <w:rFonts w:ascii="黑体" w:hAnsi="黑体" w:eastAsia="黑体"/>
          <w:sz w:val="32"/>
          <w:szCs w:val="32"/>
        </w:rPr>
      </w:pPr>
      <w:r>
        <w:rPr>
          <w:rFonts w:hint="eastAsia" w:ascii="仿宋" w:hAnsi="仿宋" w:eastAsia="仿宋"/>
          <w:szCs w:val="32"/>
        </w:rPr>
        <w:t>（图3：支出决算结构图）（饼状图）</w:t>
      </w:r>
      <w:bookmarkStart w:id="44" w:name="_Toc15396606"/>
      <w:bookmarkStart w:id="45" w:name="_Toc1537720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黑体" w:hAnsi="黑体" w:eastAsia="黑体"/>
          <w:sz w:val="32"/>
          <w:szCs w:val="32"/>
        </w:rPr>
      </w:pPr>
      <w:bookmarkStart w:id="46" w:name="_Toc920"/>
      <w:bookmarkStart w:id="47" w:name="_Toc2791"/>
      <w:r>
        <w:rPr>
          <w:rFonts w:hint="eastAsia" w:ascii="黑体" w:hAnsi="黑体" w:eastAsia="黑体"/>
          <w:sz w:val="32"/>
          <w:szCs w:val="32"/>
        </w:rPr>
        <w:t>四、财政拨款收入支出决算总体情况说明</w:t>
      </w:r>
      <w:bookmarkEnd w:id="44"/>
      <w:bookmarkEnd w:id="45"/>
      <w:bookmarkEnd w:id="46"/>
      <w:bookmarkEnd w:id="47"/>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年财政拨款收、支总计</w:t>
      </w:r>
      <w:r>
        <w:rPr>
          <w:rFonts w:hint="eastAsia" w:ascii="仿宋" w:hAnsi="仿宋" w:eastAsia="仿宋"/>
          <w:color w:val="000000" w:themeColor="text1"/>
          <w:sz w:val="32"/>
          <w:szCs w:val="32"/>
          <w:lang w:val="en-US" w:eastAsia="zh-CN"/>
          <w14:textFill>
            <w14:solidFill>
              <w14:schemeClr w14:val="tx1"/>
            </w14:solidFill>
          </w14:textFill>
        </w:rPr>
        <w:t>312.14</w:t>
      </w:r>
      <w:r>
        <w:rPr>
          <w:rFonts w:hint="eastAsia" w:ascii="仿宋" w:hAnsi="仿宋" w:eastAsia="仿宋"/>
          <w:color w:val="000000" w:themeColor="text1"/>
          <w:sz w:val="32"/>
          <w:szCs w:val="32"/>
          <w14:textFill>
            <w14:solidFill>
              <w14:schemeClr w14:val="tx1"/>
            </w14:solidFill>
          </w14:textFill>
        </w:rPr>
        <w:t>万元。与</w:t>
      </w:r>
      <w:r>
        <w:rPr>
          <w:rFonts w:ascii="仿宋" w:hAnsi="仿宋" w:eastAsia="仿宋"/>
          <w:color w:val="000000" w:themeColor="text1"/>
          <w:sz w:val="32"/>
          <w:szCs w:val="32"/>
          <w14:textFill>
            <w14:solidFill>
              <w14:schemeClr w14:val="tx1"/>
            </w14:solidFill>
          </w14:textFill>
        </w:rPr>
        <w:t>20</w:t>
      </w:r>
      <w:r>
        <w:rPr>
          <w:rFonts w:hint="eastAsia"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年相比，财政拨款收</w:t>
      </w:r>
      <w:r>
        <w:rPr>
          <w:rFonts w:hint="eastAsia" w:ascii="仿宋" w:hAnsi="仿宋" w:eastAsia="仿宋"/>
          <w:color w:val="000000" w:themeColor="text1"/>
          <w:sz w:val="32"/>
          <w:szCs w:val="32"/>
          <w:highlight w:val="none"/>
          <w14:textFill>
            <w14:solidFill>
              <w14:schemeClr w14:val="tx1"/>
            </w14:solidFill>
          </w14:textFill>
        </w:rPr>
        <w:t>、支总计各增加</w:t>
      </w:r>
      <w:r>
        <w:rPr>
          <w:rFonts w:hint="eastAsia" w:ascii="仿宋" w:hAnsi="仿宋" w:eastAsia="仿宋"/>
          <w:color w:val="000000" w:themeColor="text1"/>
          <w:sz w:val="32"/>
          <w:szCs w:val="32"/>
          <w:highlight w:val="none"/>
          <w:lang w:val="en-US" w:eastAsia="zh-CN"/>
          <w14:textFill>
            <w14:solidFill>
              <w14:schemeClr w14:val="tx1"/>
            </w14:solidFill>
          </w14:textFill>
        </w:rPr>
        <w:t>24.46</w:t>
      </w:r>
      <w:r>
        <w:rPr>
          <w:rFonts w:hint="eastAsia" w:ascii="仿宋" w:hAnsi="仿宋" w:eastAsia="仿宋"/>
          <w:color w:val="000000" w:themeColor="text1"/>
          <w:sz w:val="32"/>
          <w:szCs w:val="32"/>
          <w:highlight w:val="none"/>
          <w14:textFill>
            <w14:solidFill>
              <w14:schemeClr w14:val="tx1"/>
            </w14:solidFill>
          </w14:textFill>
        </w:rPr>
        <w:t>万元，增长</w:t>
      </w:r>
      <w:r>
        <w:rPr>
          <w:rFonts w:hint="eastAsia" w:ascii="仿宋" w:hAnsi="仿宋" w:eastAsia="仿宋"/>
          <w:color w:val="000000" w:themeColor="text1"/>
          <w:sz w:val="32"/>
          <w:szCs w:val="32"/>
          <w:highlight w:val="none"/>
          <w:lang w:val="en-US" w:eastAsia="zh-CN"/>
          <w14:textFill>
            <w14:solidFill>
              <w14:schemeClr w14:val="tx1"/>
            </w14:solidFill>
          </w14:textFill>
        </w:rPr>
        <w:t>8.50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sz w:val="32"/>
          <w:szCs w:val="32"/>
          <w:highlight w:val="none"/>
          <w:lang w:val="en-US" w:eastAsia="zh-CN"/>
        </w:rPr>
        <w:t>2023年项目支出中增加了困难群众代缴经费。</w:t>
      </w:r>
    </w:p>
    <w:p>
      <w:pPr>
        <w:spacing w:line="600" w:lineRule="exact"/>
        <w:rPr>
          <w:rFonts w:hint="eastAsia"/>
        </w:rPr>
      </w:pPr>
      <w:r>
        <w:drawing>
          <wp:anchor distT="0" distB="0" distL="114300" distR="114300" simplePos="0" relativeHeight="251665408" behindDoc="1" locked="0" layoutInCell="1" allowOverlap="1">
            <wp:simplePos x="0" y="0"/>
            <wp:positionH relativeFrom="column">
              <wp:posOffset>252095</wp:posOffset>
            </wp:positionH>
            <wp:positionV relativeFrom="paragraph">
              <wp:posOffset>328930</wp:posOffset>
            </wp:positionV>
            <wp:extent cx="4658360" cy="2743200"/>
            <wp:effectExtent l="4445" t="5080" r="23495" b="13970"/>
            <wp:wrapTight wrapText="bothSides">
              <wp:wrapPolygon>
                <wp:start x="-21" y="-40"/>
                <wp:lineTo x="-21" y="21560"/>
                <wp:lineTo x="21532" y="21560"/>
                <wp:lineTo x="21532" y="-40"/>
                <wp:lineTo x="-21" y="-40"/>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rPr>
          <w:rFonts w:hint="eastAsia"/>
        </w:rPr>
      </w:pPr>
    </w:p>
    <w:p>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（图4：财政拨款收支决算总计变动情况）（柱状图）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3"/>
          <w:rFonts w:ascii="黑体" w:hAnsi="黑体" w:eastAsia="黑体"/>
          <w:b w:val="0"/>
        </w:rPr>
      </w:pPr>
      <w:bookmarkStart w:id="48" w:name="_Toc15396607"/>
      <w:bookmarkStart w:id="49" w:name="_Toc23419"/>
      <w:bookmarkStart w:id="50" w:name="_Toc15045"/>
      <w:bookmarkStart w:id="51" w:name="_Toc15377209"/>
      <w:r>
        <w:rPr>
          <w:rFonts w:hint="eastAsia" w:ascii="黑体" w:hAnsi="黑体" w:eastAsia="黑体"/>
          <w:sz w:val="32"/>
          <w:szCs w:val="32"/>
        </w:rPr>
        <w:t>五、</w:t>
      </w:r>
      <w:r>
        <w:rPr>
          <w:rFonts w:hint="eastAsia" w:ascii="黑体" w:hAnsi="黑体" w:eastAsia="黑体"/>
          <w:b/>
          <w:sz w:val="32"/>
          <w:szCs w:val="32"/>
        </w:rPr>
        <w:t>一</w:t>
      </w:r>
      <w:r>
        <w:rPr>
          <w:rStyle w:val="13"/>
          <w:rFonts w:hint="eastAsia" w:ascii="黑体" w:hAns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hAnsi="仿宋" w:eastAsia="仿宋"/>
          <w:b/>
          <w:sz w:val="32"/>
          <w:szCs w:val="32"/>
        </w:rPr>
      </w:pPr>
      <w:bookmarkStart w:id="52" w:name="_Toc15377210"/>
      <w:r>
        <w:rPr>
          <w:rFonts w:hint="eastAsia" w:ascii="仿宋" w:hAnsi="仿宋" w:eastAsia="仿宋"/>
          <w:b/>
          <w:sz w:val="32"/>
          <w:szCs w:val="32"/>
        </w:rPr>
        <w:t>（一）一般公共预算财政拨款支出决算总体情况</w:t>
      </w:r>
      <w:bookmarkEnd w:id="52"/>
    </w:p>
    <w:p>
      <w:pPr>
        <w:spacing w:line="600" w:lineRule="exact"/>
        <w:ind w:firstLine="640"/>
        <w:rPr>
          <w:rFonts w:ascii="仿宋" w:hAnsi="仿宋" w:eastAsia="仿宋"/>
          <w:color w:val="000000" w:themeColor="text1"/>
          <w:sz w:val="32"/>
          <w:szCs w:val="32"/>
          <w:highlight w:val="none"/>
          <w14:textFill>
            <w14:solidFill>
              <w14:schemeClr w14:val="tx1"/>
            </w14:solidFill>
          </w14:textFill>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312.14</w:t>
      </w:r>
      <w:r>
        <w:rPr>
          <w:rFonts w:hint="eastAsia" w:ascii="仿宋" w:hAnsi="仿宋" w:eastAsia="仿宋"/>
          <w:sz w:val="32"/>
          <w:szCs w:val="32"/>
        </w:rPr>
        <w:t>万元，占本年支出合计的</w:t>
      </w:r>
      <w:r>
        <w:rPr>
          <w:rFonts w:hint="eastAsia" w:ascii="仿宋" w:hAnsi="仿宋" w:eastAsia="仿宋"/>
          <w:sz w:val="32"/>
          <w:szCs w:val="32"/>
          <w:lang w:val="en-US" w:eastAsia="zh-CN"/>
        </w:rPr>
        <w:t>99.22</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年相比，一般公共预算财政拨款支出增加</w:t>
      </w:r>
      <w:r>
        <w:rPr>
          <w:rFonts w:hint="eastAsia" w:ascii="仿宋" w:hAnsi="仿宋" w:eastAsia="仿宋"/>
          <w:sz w:val="32"/>
          <w:szCs w:val="32"/>
          <w:lang w:val="en-US" w:eastAsia="zh-CN"/>
        </w:rPr>
        <w:t>24.46</w:t>
      </w:r>
      <w:r>
        <w:rPr>
          <w:rFonts w:hint="eastAsia" w:ascii="仿宋" w:hAnsi="仿宋" w:eastAsia="仿宋"/>
          <w:sz w:val="32"/>
          <w:szCs w:val="32"/>
        </w:rPr>
        <w:t>万元，</w:t>
      </w:r>
      <w:r>
        <w:rPr>
          <w:rFonts w:hint="eastAsia" w:ascii="仿宋" w:hAnsi="仿宋" w:eastAsia="仿宋"/>
          <w:color w:val="000000" w:themeColor="text1"/>
          <w:sz w:val="32"/>
          <w:szCs w:val="32"/>
          <w:highlight w:val="none"/>
          <w14:textFill>
            <w14:solidFill>
              <w14:schemeClr w14:val="tx1"/>
            </w14:solidFill>
          </w14:textFill>
        </w:rPr>
        <w:t>增长</w:t>
      </w:r>
      <w:r>
        <w:rPr>
          <w:rFonts w:hint="eastAsia" w:ascii="仿宋" w:hAnsi="仿宋" w:eastAsia="仿宋"/>
          <w:color w:val="000000" w:themeColor="text1"/>
          <w:sz w:val="32"/>
          <w:szCs w:val="32"/>
          <w:highlight w:val="none"/>
          <w:lang w:val="en-US" w:eastAsia="zh-CN"/>
          <w14:textFill>
            <w14:solidFill>
              <w14:schemeClr w14:val="tx1"/>
            </w14:solidFill>
          </w14:textFill>
        </w:rPr>
        <w:t>8.50</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。主要变动原因是</w:t>
      </w:r>
      <w:r>
        <w:rPr>
          <w:rFonts w:hint="eastAsia" w:ascii="仿宋" w:hAnsi="仿宋" w:eastAsia="仿宋"/>
          <w:sz w:val="32"/>
          <w:szCs w:val="32"/>
          <w:highlight w:val="none"/>
          <w:lang w:val="en-US" w:eastAsia="zh-CN"/>
        </w:rPr>
        <w:t>2023年项目支出中增加了困难群众代缴经费。</w:t>
      </w:r>
    </w:p>
    <w:p>
      <w:pPr>
        <w:pStyle w:val="2"/>
        <w:ind w:firstLine="640"/>
        <w:rPr>
          <w:rFonts w:ascii="仿宋" w:hAnsi="仿宋" w:eastAsia="仿宋"/>
          <w:szCs w:val="32"/>
          <w:highlight w:val="yellow"/>
        </w:rPr>
      </w:pPr>
      <w:r>
        <w:drawing>
          <wp:anchor distT="0" distB="0" distL="114300" distR="114300" simplePos="0" relativeHeight="251666432" behindDoc="0" locked="0" layoutInCell="1" allowOverlap="1">
            <wp:simplePos x="0" y="0"/>
            <wp:positionH relativeFrom="column">
              <wp:posOffset>420370</wp:posOffset>
            </wp:positionH>
            <wp:positionV relativeFrom="paragraph">
              <wp:posOffset>226060</wp:posOffset>
            </wp:positionV>
            <wp:extent cx="4658360" cy="2743200"/>
            <wp:effectExtent l="4445" t="5080" r="23495" b="13970"/>
            <wp:wrapSquare wrapText="bothSides"/>
            <wp:docPr id="1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ind w:firstLine="640"/>
        <w:rPr>
          <w:rFonts w:ascii="仿宋" w:hAnsi="仿宋" w:eastAsia="仿宋"/>
          <w:szCs w:val="32"/>
          <w:highlight w:val="yellow"/>
        </w:rPr>
      </w:pPr>
    </w:p>
    <w:p>
      <w:pPr>
        <w:pStyle w:val="2"/>
        <w:ind w:firstLine="640"/>
        <w:rPr>
          <w:rFonts w:ascii="仿宋" w:hAnsi="仿宋" w:eastAsia="仿宋"/>
          <w:szCs w:val="32"/>
          <w:highlight w:val="yellow"/>
        </w:rPr>
      </w:pPr>
    </w:p>
    <w:p>
      <w:pPr>
        <w:pStyle w:val="2"/>
        <w:ind w:firstLine="640"/>
        <w:rPr>
          <w:rFonts w:ascii="仿宋" w:hAnsi="仿宋" w:eastAsia="仿宋"/>
          <w:szCs w:val="32"/>
          <w:highlight w:val="yellow"/>
        </w:rPr>
      </w:pPr>
    </w:p>
    <w:p>
      <w:pPr>
        <w:pStyle w:val="2"/>
        <w:ind w:firstLine="640"/>
        <w:rPr>
          <w:rFonts w:ascii="仿宋" w:hAnsi="仿宋" w:eastAsia="仿宋"/>
          <w:szCs w:val="32"/>
          <w:highlight w:val="yellow"/>
        </w:rPr>
      </w:pPr>
    </w:p>
    <w:p>
      <w:pPr>
        <w:pStyle w:val="2"/>
        <w:ind w:firstLine="640"/>
        <w:rPr>
          <w:rFonts w:ascii="仿宋" w:hAnsi="仿宋" w:eastAsia="仿宋"/>
          <w:szCs w:val="32"/>
          <w:highlight w:val="yellow"/>
        </w:rPr>
      </w:pPr>
    </w:p>
    <w:p>
      <w:pPr>
        <w:pStyle w:val="2"/>
        <w:ind w:firstLine="640"/>
        <w:rPr>
          <w:rFonts w:ascii="仿宋" w:hAnsi="仿宋" w:eastAsia="仿宋"/>
          <w:szCs w:val="32"/>
          <w:highlight w:val="yellow"/>
        </w:rPr>
      </w:pPr>
    </w:p>
    <w:p>
      <w:pPr>
        <w:pStyle w:val="2"/>
        <w:ind w:firstLine="640"/>
        <w:rPr>
          <w:rFonts w:ascii="仿宋" w:hAnsi="仿宋" w:eastAsia="仿宋"/>
          <w:szCs w:val="32"/>
          <w:highlight w:val="yellow"/>
        </w:rPr>
      </w:pPr>
    </w:p>
    <w:p>
      <w:pPr>
        <w:pStyle w:val="2"/>
        <w:ind w:left="0" w:leftChars="0" w:firstLine="0" w:firstLineChars="0"/>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numPr>
          <w:ilvl w:val="0"/>
          <w:numId w:val="2"/>
        </w:numPr>
        <w:spacing w:line="600" w:lineRule="exact"/>
        <w:ind w:firstLine="321" w:firstLineChars="100"/>
        <w:outlineLvl w:val="2"/>
        <w:rPr>
          <w:rFonts w:ascii="仿宋" w:hAnsi="仿宋" w:eastAsia="仿宋"/>
          <w:sz w:val="32"/>
          <w:szCs w:val="32"/>
        </w:rPr>
      </w:pPr>
      <w:bookmarkStart w:id="53" w:name="_Toc15377211"/>
      <w:r>
        <w:rPr>
          <w:rFonts w:hint="eastAsia" w:ascii="仿宋" w:hAnsi="仿宋" w:eastAsia="仿宋"/>
          <w:b/>
          <w:sz w:val="32"/>
          <w:szCs w:val="32"/>
        </w:rPr>
        <w:t>一般公共预算财政拨款支出决算结构情况</w:t>
      </w:r>
      <w:bookmarkEnd w:id="53"/>
    </w:p>
    <w:p>
      <w:pPr>
        <w:numPr>
          <w:ilvl w:val="0"/>
          <w:numId w:val="0"/>
        </w:numPr>
        <w:spacing w:line="600" w:lineRule="exact"/>
        <w:ind w:firstLine="640" w:firstLineChars="200"/>
        <w:outlineLvl w:val="2"/>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312.14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273.55</w:t>
      </w:r>
      <w:r>
        <w:rPr>
          <w:rFonts w:hint="eastAsia" w:ascii="仿宋" w:hAnsi="仿宋" w:eastAsia="仿宋"/>
          <w:sz w:val="32"/>
          <w:szCs w:val="32"/>
        </w:rPr>
        <w:t>万元，占</w:t>
      </w:r>
      <w:r>
        <w:rPr>
          <w:rFonts w:hint="eastAsia" w:ascii="仿宋" w:hAnsi="仿宋" w:eastAsia="仿宋"/>
          <w:sz w:val="32"/>
          <w:szCs w:val="32"/>
          <w:lang w:val="en-US" w:eastAsia="zh-CN"/>
        </w:rPr>
        <w:t>87.64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8.09</w:t>
      </w:r>
      <w:r>
        <w:rPr>
          <w:rFonts w:hint="eastAsia" w:ascii="仿宋" w:hAnsi="仿宋" w:eastAsia="仿宋"/>
          <w:sz w:val="32"/>
          <w:szCs w:val="32"/>
        </w:rPr>
        <w:t>万元，占2.</w:t>
      </w:r>
      <w:r>
        <w:rPr>
          <w:rFonts w:hint="eastAsia" w:ascii="仿宋" w:hAnsi="仿宋" w:eastAsia="仿宋"/>
          <w:sz w:val="32"/>
          <w:szCs w:val="32"/>
          <w:lang w:val="en-US" w:eastAsia="zh-CN"/>
        </w:rPr>
        <w:t>59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w:t>
      </w:r>
      <w:r>
        <w:rPr>
          <w:rFonts w:hint="eastAsia" w:ascii="仿宋" w:hAnsi="仿宋" w:eastAsia="仿宋"/>
          <w:sz w:val="32"/>
          <w:szCs w:val="32"/>
          <w:lang w:val="en-US" w:eastAsia="zh-CN"/>
        </w:rPr>
        <w:t>15.00万元，占4.80%；</w:t>
      </w:r>
      <w:r>
        <w:rPr>
          <w:rFonts w:hint="eastAsia" w:ascii="仿宋" w:hAnsi="仿宋" w:eastAsia="仿宋"/>
          <w:b/>
          <w:bCs/>
          <w:sz w:val="32"/>
          <w:szCs w:val="32"/>
        </w:rPr>
        <w:t>住房保障支出</w:t>
      </w:r>
      <w:r>
        <w:rPr>
          <w:rFonts w:hint="eastAsia" w:ascii="仿宋" w:hAnsi="仿宋" w:eastAsia="仿宋"/>
          <w:sz w:val="32"/>
          <w:szCs w:val="32"/>
          <w:lang w:val="en-US" w:eastAsia="zh-CN"/>
        </w:rPr>
        <w:t>15.50</w:t>
      </w:r>
      <w:r>
        <w:rPr>
          <w:rFonts w:hint="eastAsia" w:ascii="仿宋" w:hAnsi="仿宋" w:eastAsia="仿宋"/>
          <w:sz w:val="32"/>
          <w:szCs w:val="32"/>
        </w:rPr>
        <w:t>万元，占</w:t>
      </w:r>
      <w:r>
        <w:rPr>
          <w:rFonts w:hint="eastAsia" w:ascii="仿宋" w:hAnsi="仿宋" w:eastAsia="仿宋"/>
          <w:sz w:val="32"/>
          <w:szCs w:val="32"/>
          <w:lang w:val="en-US" w:eastAsia="zh-CN"/>
        </w:rPr>
        <w:t>4.97</w:t>
      </w:r>
      <w:r>
        <w:rPr>
          <w:rFonts w:ascii="仿宋" w:hAnsi="仿宋" w:eastAsia="仿宋"/>
          <w:sz w:val="32"/>
          <w:szCs w:val="32"/>
        </w:rPr>
        <w:t>%</w:t>
      </w:r>
      <w:r>
        <w:rPr>
          <w:rFonts w:hint="eastAsia" w:ascii="仿宋" w:hAnsi="仿宋" w:eastAsia="仿宋"/>
          <w:sz w:val="32"/>
          <w:szCs w:val="32"/>
        </w:rPr>
        <w:t>。</w:t>
      </w:r>
    </w:p>
    <w:p>
      <w:pPr>
        <w:pStyle w:val="2"/>
        <w:ind w:firstLine="0" w:firstLineChars="0"/>
        <w:rPr>
          <w:rFonts w:ascii="仿宋" w:hAnsi="仿宋" w:eastAsia="仿宋"/>
          <w:szCs w:val="32"/>
        </w:rPr>
      </w:pPr>
      <w:r>
        <w:drawing>
          <wp:anchor distT="0" distB="0" distL="114300" distR="114300" simplePos="0" relativeHeight="251667456" behindDoc="1" locked="0" layoutInCell="1" allowOverlap="1">
            <wp:simplePos x="0" y="0"/>
            <wp:positionH relativeFrom="column">
              <wp:posOffset>439420</wp:posOffset>
            </wp:positionH>
            <wp:positionV relativeFrom="paragraph">
              <wp:posOffset>194945</wp:posOffset>
            </wp:positionV>
            <wp:extent cx="4747260" cy="3152775"/>
            <wp:effectExtent l="4445" t="4445" r="10795" b="5080"/>
            <wp:wrapTight wrapText="bothSides">
              <wp:wrapPolygon>
                <wp:start x="-20" y="-30"/>
                <wp:lineTo x="-20" y="21504"/>
                <wp:lineTo x="21562" y="21504"/>
                <wp:lineTo x="21562" y="-30"/>
                <wp:lineTo x="-20" y="-30"/>
              </wp:wrapPolygon>
            </wp:wrapTight>
            <wp:docPr id="1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jc w:val="center"/>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图6：一般公共预算财政拨款支出决算结构</w:t>
      </w:r>
      <w:r>
        <w:rPr>
          <w:rFonts w:hint="eastAsia" w:ascii="仿宋" w:hAnsi="仿宋" w:eastAsia="仿宋"/>
          <w:sz w:val="32"/>
          <w:szCs w:val="32"/>
          <w:lang w:eastAsia="zh-CN"/>
        </w:rPr>
        <w:t>）</w:t>
      </w:r>
      <w:r>
        <w:rPr>
          <w:rFonts w:hint="eastAsia" w:ascii="仿宋" w:hAnsi="仿宋" w:eastAsia="仿宋"/>
          <w:sz w:val="32"/>
          <w:szCs w:val="32"/>
        </w:rPr>
        <w:t>（饼状图）</w:t>
      </w:r>
    </w:p>
    <w:p>
      <w:pPr>
        <w:pStyle w:val="2"/>
      </w:pPr>
    </w:p>
    <w:p>
      <w:pPr>
        <w:spacing w:line="600" w:lineRule="exact"/>
        <w:ind w:firstLine="642" w:firstLineChars="200"/>
        <w:outlineLvl w:val="2"/>
        <w:rPr>
          <w:rFonts w:ascii="仿宋" w:hAnsi="仿宋" w:eastAsia="仿宋"/>
          <w:b/>
          <w:sz w:val="32"/>
          <w:szCs w:val="32"/>
        </w:rPr>
      </w:pPr>
      <w:bookmarkStart w:id="54" w:name="_Toc15377212"/>
      <w:r>
        <w:rPr>
          <w:rFonts w:hint="eastAsia" w:ascii="仿宋" w:hAnsi="仿宋" w:eastAsia="仿宋"/>
          <w:b/>
          <w:sz w:val="32"/>
          <w:szCs w:val="32"/>
        </w:rPr>
        <w:t>（三）一般公共预算财政拨款支出决算具体情况</w:t>
      </w:r>
      <w:bookmarkEnd w:id="54"/>
    </w:p>
    <w:p>
      <w:pPr>
        <w:spacing w:line="600" w:lineRule="exact"/>
        <w:ind w:firstLine="642" w:firstLineChars="200"/>
        <w:outlineLvl w:val="2"/>
        <w:rPr>
          <w:rStyle w:val="9"/>
          <w:rFonts w:ascii="仿宋" w:hAnsi="仿宋" w:eastAsia="仿宋"/>
          <w:bCs/>
          <w:color w:val="000000" w:themeColor="text1"/>
          <w:sz w:val="32"/>
          <w:szCs w:val="32"/>
          <w14:textFill>
            <w14:solidFill>
              <w14:schemeClr w14:val="tx1"/>
            </w14:solidFill>
          </w14:textFill>
        </w:rPr>
      </w:pPr>
      <w:bookmarkStart w:id="55" w:name="_Toc15377213"/>
      <w:bookmarkStart w:id="56" w:name="_Toc15377444"/>
      <w:bookmarkStart w:id="57" w:name="_Toc15378460"/>
      <w:r>
        <w:rPr>
          <w:rFonts w:hint="eastAsia"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312.14</w:t>
      </w:r>
      <w:r>
        <w:rPr>
          <w:rFonts w:hint="eastAsia" w:ascii="仿宋" w:hAnsi="仿宋" w:eastAsia="仿宋"/>
          <w:b/>
          <w:color w:val="000000" w:themeColor="text1"/>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9"/>
          <w:rFonts w:hint="eastAsia" w:ascii="仿宋" w:hAnsi="仿宋" w:eastAsia="仿宋"/>
          <w:bCs/>
          <w:color w:val="000000" w:themeColor="text1"/>
          <w:sz w:val="32"/>
          <w:szCs w:val="32"/>
          <w14:textFill>
            <w14:solidFill>
              <w14:schemeClr w14:val="tx1"/>
            </w14:solidFill>
          </w14:textFill>
        </w:rPr>
        <w:t>完成预算100.00</w:t>
      </w:r>
      <w:r>
        <w:rPr>
          <w:rStyle w:val="9"/>
          <w:rFonts w:ascii="仿宋" w:hAnsi="仿宋" w:eastAsia="仿宋"/>
          <w:bCs/>
          <w:color w:val="000000" w:themeColor="text1"/>
          <w:sz w:val="32"/>
          <w:szCs w:val="32"/>
          <w14:textFill>
            <w14:solidFill>
              <w14:schemeClr w14:val="tx1"/>
            </w14:solidFill>
          </w14:textFill>
        </w:rPr>
        <w:t>%</w:t>
      </w:r>
      <w:r>
        <w:rPr>
          <w:rStyle w:val="9"/>
          <w:rFonts w:hint="eastAsia" w:ascii="仿宋" w:hAnsi="仿宋" w:eastAsia="仿宋"/>
          <w:bCs/>
          <w:color w:val="000000" w:themeColor="text1"/>
          <w:sz w:val="32"/>
          <w:szCs w:val="32"/>
          <w14:textFill>
            <w14:solidFill>
              <w14:schemeClr w14:val="tx1"/>
            </w14:solidFill>
          </w14:textFill>
        </w:rPr>
        <w:t>。其中：</w:t>
      </w:r>
      <w:bookmarkEnd w:id="55"/>
      <w:bookmarkEnd w:id="56"/>
      <w:bookmarkEnd w:id="57"/>
    </w:p>
    <w:p>
      <w:pPr>
        <w:numPr>
          <w:ilvl w:val="0"/>
          <w:numId w:val="3"/>
        </w:numPr>
        <w:spacing w:line="600" w:lineRule="exact"/>
        <w:ind w:left="230" w:leftChars="0" w:firstLine="400" w:firstLineChars="0"/>
        <w:rPr>
          <w:rStyle w:val="9"/>
          <w:rFonts w:ascii="仿宋" w:hAnsi="仿宋" w:eastAsia="仿宋"/>
          <w:b w:val="0"/>
          <w:bCs w:val="0"/>
          <w:color w:val="000000" w:themeColor="text1"/>
          <w:sz w:val="32"/>
          <w:szCs w:val="32"/>
          <w14:textFill>
            <w14:solidFill>
              <w14:schemeClr w14:val="tx1"/>
            </w14:solidFill>
          </w14:textFill>
        </w:rPr>
      </w:pPr>
      <w:r>
        <w:rPr>
          <w:rStyle w:val="9"/>
          <w:rFonts w:hint="eastAsia" w:ascii="仿宋" w:hAnsi="仿宋" w:eastAsia="仿宋"/>
          <w:b/>
          <w:bCs/>
          <w:color w:val="000000" w:themeColor="text1"/>
          <w:sz w:val="32"/>
          <w:szCs w:val="32"/>
          <w14:textFill>
            <w14:solidFill>
              <w14:schemeClr w14:val="tx1"/>
            </w14:solidFill>
          </w14:textFill>
        </w:rPr>
        <w:t>社会保障和就业（208）人力资源和社会保障管理事务（01）社会保险经办机构（09）：</w:t>
      </w:r>
      <w:r>
        <w:rPr>
          <w:rStyle w:val="9"/>
          <w:rFonts w:hint="eastAsia" w:ascii="仿宋" w:hAnsi="仿宋" w:eastAsia="仿宋"/>
          <w:b w:val="0"/>
          <w:bCs w:val="0"/>
          <w:color w:val="000000" w:themeColor="text1"/>
          <w:sz w:val="32"/>
          <w:szCs w:val="32"/>
          <w14:textFill>
            <w14:solidFill>
              <w14:schemeClr w14:val="tx1"/>
            </w14:solidFill>
          </w14:textFill>
        </w:rPr>
        <w:t>支出决算为</w:t>
      </w:r>
      <w:r>
        <w:rPr>
          <w:rStyle w:val="9"/>
          <w:rFonts w:hint="eastAsia" w:ascii="仿宋" w:hAnsi="仿宋" w:eastAsia="仿宋"/>
          <w:b w:val="0"/>
          <w:bCs w:val="0"/>
          <w:color w:val="000000" w:themeColor="text1"/>
          <w:sz w:val="32"/>
          <w:szCs w:val="32"/>
          <w:lang w:val="en-US" w:eastAsia="zh-CN"/>
          <w14:textFill>
            <w14:solidFill>
              <w14:schemeClr w14:val="tx1"/>
            </w14:solidFill>
          </w14:textFill>
        </w:rPr>
        <w:t>196.72</w:t>
      </w:r>
      <w:r>
        <w:rPr>
          <w:rStyle w:val="9"/>
          <w:rFonts w:hint="eastAsia" w:ascii="仿宋" w:hAnsi="仿宋" w:eastAsia="仿宋"/>
          <w:b w:val="0"/>
          <w:bCs w:val="0"/>
          <w:color w:val="000000" w:themeColor="text1"/>
          <w:sz w:val="32"/>
          <w:szCs w:val="32"/>
          <w14:textFill>
            <w14:solidFill>
              <w14:schemeClr w14:val="tx1"/>
            </w14:solidFill>
          </w14:textFill>
        </w:rPr>
        <w:t>万元，完成预算100</w:t>
      </w:r>
      <w:r>
        <w:rPr>
          <w:rStyle w:val="9"/>
          <w:rFonts w:ascii="仿宋" w:hAnsi="仿宋" w:eastAsia="仿宋"/>
          <w:b w:val="0"/>
          <w:bCs w:val="0"/>
          <w:color w:val="000000" w:themeColor="text1"/>
          <w:sz w:val="32"/>
          <w:szCs w:val="32"/>
          <w14:textFill>
            <w14:solidFill>
              <w14:schemeClr w14:val="tx1"/>
            </w14:solidFill>
          </w14:textFill>
        </w:rPr>
        <w:t>%</w:t>
      </w:r>
      <w:r>
        <w:rPr>
          <w:rStyle w:val="9"/>
          <w:rFonts w:hint="eastAsia" w:ascii="仿宋" w:hAnsi="仿宋" w:eastAsia="仿宋"/>
          <w:b w:val="0"/>
          <w:bCs w:val="0"/>
          <w:color w:val="000000" w:themeColor="text1"/>
          <w:sz w:val="32"/>
          <w:szCs w:val="32"/>
          <w14:textFill>
            <w14:solidFill>
              <w14:schemeClr w14:val="tx1"/>
            </w14:solidFill>
          </w14:textFill>
        </w:rPr>
        <w:t>，决算数等于预算数。</w:t>
      </w:r>
    </w:p>
    <w:p>
      <w:pPr>
        <w:numPr>
          <w:ilvl w:val="0"/>
          <w:numId w:val="3"/>
        </w:numPr>
        <w:spacing w:line="600" w:lineRule="exact"/>
        <w:ind w:left="230" w:leftChars="0" w:firstLine="400" w:firstLineChars="0"/>
        <w:rPr>
          <w:rFonts w:ascii="仿宋" w:hAnsi="仿宋" w:eastAsia="仿宋"/>
          <w:b w:val="0"/>
          <w:bCs w:val="0"/>
          <w:sz w:val="32"/>
          <w:szCs w:val="32"/>
        </w:rPr>
      </w:pPr>
      <w:r>
        <w:rPr>
          <w:rStyle w:val="9"/>
          <w:rFonts w:hint="eastAsia" w:ascii="仿宋" w:hAnsi="仿宋" w:eastAsia="仿宋"/>
          <w:b/>
          <w:bCs/>
          <w:color w:val="000000"/>
          <w:sz w:val="32"/>
          <w:szCs w:val="32"/>
        </w:rPr>
        <w:t>社会保障和就业（208）人力资源和社会保障管理事务（01</w:t>
      </w:r>
      <w:r>
        <w:rPr>
          <w:rStyle w:val="9"/>
          <w:rFonts w:hint="eastAsia" w:ascii="仿宋" w:hAnsi="仿宋" w:eastAsia="仿宋"/>
          <w:b/>
          <w:bCs/>
          <w:sz w:val="32"/>
          <w:szCs w:val="32"/>
        </w:rPr>
        <w:t>）其他人力资源和社会保障管理事务支出（99）</w:t>
      </w:r>
      <w:r>
        <w:rPr>
          <w:rStyle w:val="9"/>
          <w:rFonts w:hint="eastAsia" w:ascii="仿宋" w:hAnsi="仿宋" w:eastAsia="仿宋"/>
          <w:b w:val="0"/>
          <w:bCs w:val="0"/>
          <w:sz w:val="32"/>
          <w:szCs w:val="32"/>
        </w:rPr>
        <w:t>：支出决算为</w:t>
      </w:r>
      <w:r>
        <w:rPr>
          <w:rStyle w:val="9"/>
          <w:rFonts w:hint="eastAsia" w:ascii="仿宋" w:hAnsi="仿宋" w:eastAsia="仿宋"/>
          <w:b w:val="0"/>
          <w:bCs w:val="0"/>
          <w:sz w:val="32"/>
          <w:szCs w:val="32"/>
          <w:lang w:val="en-US" w:eastAsia="zh-CN"/>
        </w:rPr>
        <w:t>0.30</w:t>
      </w:r>
      <w:r>
        <w:rPr>
          <w:rStyle w:val="9"/>
          <w:rFonts w:hint="eastAsia" w:ascii="仿宋" w:hAnsi="仿宋" w:eastAsia="仿宋"/>
          <w:b w:val="0"/>
          <w:bCs w:val="0"/>
          <w:sz w:val="32"/>
          <w:szCs w:val="32"/>
        </w:rPr>
        <w:t>万元，完成预算100</w:t>
      </w:r>
      <w:r>
        <w:rPr>
          <w:rStyle w:val="9"/>
          <w:rFonts w:ascii="仿宋" w:hAnsi="仿宋" w:eastAsia="仿宋"/>
          <w:b w:val="0"/>
          <w:bCs w:val="0"/>
          <w:sz w:val="32"/>
          <w:szCs w:val="32"/>
        </w:rPr>
        <w:t>%</w:t>
      </w:r>
      <w:r>
        <w:rPr>
          <w:rStyle w:val="9"/>
          <w:rFonts w:hint="eastAsia" w:ascii="仿宋" w:hAnsi="仿宋" w:eastAsia="仿宋"/>
          <w:b w:val="0"/>
          <w:bCs w:val="0"/>
          <w:sz w:val="32"/>
          <w:szCs w:val="32"/>
        </w:rPr>
        <w:t>，决算数等于预算数。</w:t>
      </w:r>
    </w:p>
    <w:p>
      <w:pPr>
        <w:numPr>
          <w:ilvl w:val="0"/>
          <w:numId w:val="3"/>
        </w:numPr>
        <w:spacing w:line="600" w:lineRule="exact"/>
        <w:ind w:left="230" w:leftChars="0" w:firstLine="400" w:firstLineChars="0"/>
        <w:rPr>
          <w:rStyle w:val="9"/>
          <w:rFonts w:ascii="仿宋" w:hAnsi="仿宋" w:eastAsia="仿宋"/>
          <w:b w:val="0"/>
          <w:bCs w:val="0"/>
          <w:color w:val="000000"/>
          <w:sz w:val="32"/>
          <w:szCs w:val="32"/>
        </w:rPr>
      </w:pPr>
      <w:r>
        <w:rPr>
          <w:rStyle w:val="9"/>
          <w:rFonts w:hint="eastAsia" w:ascii="仿宋" w:hAnsi="仿宋" w:eastAsia="仿宋"/>
          <w:b/>
          <w:bCs/>
          <w:color w:val="000000"/>
          <w:sz w:val="32"/>
          <w:szCs w:val="32"/>
        </w:rPr>
        <w:t>社会保障和就业（208）行政事业单位养老支出（05）机关事业单位基本养老保险缴费支出（05）</w:t>
      </w:r>
      <w:r>
        <w:rPr>
          <w:rStyle w:val="9"/>
          <w:rFonts w:ascii="仿宋" w:hAnsi="仿宋" w:eastAsia="仿宋"/>
          <w:b w:val="0"/>
          <w:bCs w:val="0"/>
          <w:color w:val="000000"/>
          <w:sz w:val="32"/>
          <w:szCs w:val="32"/>
        </w:rPr>
        <w:t xml:space="preserve">: </w:t>
      </w:r>
      <w:r>
        <w:rPr>
          <w:rStyle w:val="9"/>
          <w:rFonts w:hint="eastAsia" w:ascii="仿宋" w:hAnsi="仿宋" w:eastAsia="仿宋"/>
          <w:b w:val="0"/>
          <w:bCs w:val="0"/>
          <w:sz w:val="32"/>
          <w:szCs w:val="32"/>
        </w:rPr>
        <w:t>支出决算为</w:t>
      </w:r>
      <w:r>
        <w:rPr>
          <w:rStyle w:val="9"/>
          <w:rFonts w:hint="eastAsia" w:ascii="仿宋" w:hAnsi="仿宋" w:eastAsia="仿宋"/>
          <w:b w:val="0"/>
          <w:bCs w:val="0"/>
          <w:sz w:val="32"/>
          <w:szCs w:val="32"/>
          <w:lang w:val="en-US" w:eastAsia="zh-CN"/>
        </w:rPr>
        <w:t>18.66</w:t>
      </w:r>
      <w:r>
        <w:rPr>
          <w:rStyle w:val="9"/>
          <w:rFonts w:hint="eastAsia" w:ascii="仿宋" w:hAnsi="仿宋" w:eastAsia="仿宋"/>
          <w:b w:val="0"/>
          <w:bCs w:val="0"/>
          <w:sz w:val="32"/>
          <w:szCs w:val="32"/>
        </w:rPr>
        <w:t>万元，完成预算100</w:t>
      </w:r>
      <w:r>
        <w:rPr>
          <w:rStyle w:val="9"/>
          <w:rFonts w:ascii="仿宋" w:hAnsi="仿宋" w:eastAsia="仿宋"/>
          <w:b w:val="0"/>
          <w:bCs w:val="0"/>
          <w:sz w:val="32"/>
          <w:szCs w:val="32"/>
        </w:rPr>
        <w:t>%</w:t>
      </w:r>
      <w:r>
        <w:rPr>
          <w:rStyle w:val="9"/>
          <w:rFonts w:hint="eastAsia" w:ascii="仿宋" w:hAnsi="仿宋" w:eastAsia="仿宋"/>
          <w:b w:val="0"/>
          <w:bCs w:val="0"/>
          <w:sz w:val="32"/>
          <w:szCs w:val="32"/>
        </w:rPr>
        <w:t>，决算数等于预算数。</w:t>
      </w:r>
    </w:p>
    <w:p>
      <w:pPr>
        <w:numPr>
          <w:ilvl w:val="0"/>
          <w:numId w:val="3"/>
        </w:numPr>
        <w:spacing w:line="600" w:lineRule="exact"/>
        <w:ind w:left="230" w:leftChars="0" w:firstLine="400" w:firstLineChars="0"/>
        <w:rPr>
          <w:rStyle w:val="9"/>
          <w:rFonts w:hint="eastAsia" w:ascii="仿宋" w:hAnsi="仿宋" w:eastAsia="仿宋"/>
          <w:b w:val="0"/>
          <w:bCs w:val="0"/>
          <w:sz w:val="32"/>
          <w:szCs w:val="32"/>
          <w:highlight w:val="none"/>
        </w:rPr>
      </w:pPr>
      <w:r>
        <w:rPr>
          <w:rStyle w:val="9"/>
          <w:rFonts w:hint="eastAsia" w:ascii="仿宋" w:hAnsi="仿宋" w:eastAsia="仿宋"/>
          <w:b/>
          <w:bCs/>
          <w:color w:val="000000"/>
          <w:sz w:val="32"/>
          <w:szCs w:val="32"/>
          <w:highlight w:val="none"/>
        </w:rPr>
        <w:t>社会保障和就业（208）行政事业单位养老支出（05）机关事业单位职业年金缴费支出（0</w:t>
      </w:r>
      <w:r>
        <w:rPr>
          <w:rStyle w:val="9"/>
          <w:rFonts w:hint="eastAsia" w:ascii="仿宋" w:hAnsi="仿宋" w:eastAsia="仿宋"/>
          <w:b/>
          <w:bCs/>
          <w:color w:val="000000"/>
          <w:sz w:val="32"/>
          <w:szCs w:val="32"/>
          <w:highlight w:val="none"/>
          <w:lang w:val="en-US" w:eastAsia="zh-CN"/>
        </w:rPr>
        <w:t>6</w:t>
      </w:r>
      <w:r>
        <w:rPr>
          <w:rStyle w:val="9"/>
          <w:rFonts w:hint="eastAsia" w:ascii="仿宋" w:hAnsi="仿宋" w:eastAsia="仿宋"/>
          <w:b/>
          <w:bCs/>
          <w:color w:val="000000"/>
          <w:sz w:val="32"/>
          <w:szCs w:val="32"/>
          <w:highlight w:val="none"/>
        </w:rPr>
        <w:t>）</w:t>
      </w:r>
      <w:r>
        <w:rPr>
          <w:rStyle w:val="9"/>
          <w:rFonts w:ascii="仿宋" w:hAnsi="仿宋" w:eastAsia="仿宋"/>
          <w:b w:val="0"/>
          <w:bCs w:val="0"/>
          <w:color w:val="000000"/>
          <w:sz w:val="32"/>
          <w:szCs w:val="32"/>
          <w:highlight w:val="none"/>
        </w:rPr>
        <w:t>:</w:t>
      </w:r>
      <w:r>
        <w:rPr>
          <w:rStyle w:val="9"/>
          <w:rFonts w:hint="eastAsia" w:ascii="仿宋" w:hAnsi="仿宋" w:eastAsia="仿宋"/>
          <w:b w:val="0"/>
          <w:bCs w:val="0"/>
          <w:sz w:val="32"/>
          <w:szCs w:val="32"/>
          <w:highlight w:val="none"/>
        </w:rPr>
        <w:t>支出决算为</w:t>
      </w:r>
      <w:r>
        <w:rPr>
          <w:rStyle w:val="9"/>
          <w:rFonts w:hint="eastAsia" w:ascii="仿宋" w:hAnsi="仿宋" w:eastAsia="仿宋"/>
          <w:b w:val="0"/>
          <w:bCs w:val="0"/>
          <w:sz w:val="32"/>
          <w:szCs w:val="32"/>
          <w:highlight w:val="none"/>
          <w:lang w:val="en-US" w:eastAsia="zh-CN"/>
        </w:rPr>
        <w:t>4.97</w:t>
      </w:r>
      <w:r>
        <w:rPr>
          <w:rStyle w:val="9"/>
          <w:rFonts w:hint="eastAsia" w:ascii="仿宋" w:hAnsi="仿宋" w:eastAsia="仿宋"/>
          <w:b w:val="0"/>
          <w:bCs w:val="0"/>
          <w:sz w:val="32"/>
          <w:szCs w:val="32"/>
          <w:highlight w:val="none"/>
        </w:rPr>
        <w:t>万元，完成预算100</w:t>
      </w:r>
      <w:r>
        <w:rPr>
          <w:rStyle w:val="9"/>
          <w:rFonts w:ascii="仿宋" w:hAnsi="仿宋" w:eastAsia="仿宋"/>
          <w:b w:val="0"/>
          <w:bCs w:val="0"/>
          <w:sz w:val="32"/>
          <w:szCs w:val="32"/>
          <w:highlight w:val="none"/>
        </w:rPr>
        <w:t>%</w:t>
      </w:r>
      <w:r>
        <w:rPr>
          <w:rStyle w:val="9"/>
          <w:rFonts w:hint="eastAsia" w:ascii="仿宋" w:hAnsi="仿宋" w:eastAsia="仿宋"/>
          <w:b w:val="0"/>
          <w:bCs w:val="0"/>
          <w:sz w:val="32"/>
          <w:szCs w:val="32"/>
          <w:highlight w:val="none"/>
        </w:rPr>
        <w:t>，决算数等于预算数。</w:t>
      </w:r>
    </w:p>
    <w:p>
      <w:pPr>
        <w:numPr>
          <w:ilvl w:val="0"/>
          <w:numId w:val="3"/>
        </w:numPr>
        <w:spacing w:line="600" w:lineRule="exact"/>
        <w:ind w:left="230" w:leftChars="0" w:firstLine="400" w:firstLineChars="0"/>
        <w:rPr>
          <w:rStyle w:val="9"/>
          <w:rFonts w:hint="eastAsia" w:ascii="仿宋" w:hAnsi="仿宋" w:eastAsia="仿宋"/>
          <w:b w:val="0"/>
          <w:bCs w:val="0"/>
          <w:sz w:val="32"/>
          <w:szCs w:val="32"/>
          <w:highlight w:val="none"/>
        </w:rPr>
      </w:pPr>
      <w:r>
        <w:rPr>
          <w:rStyle w:val="9"/>
          <w:rFonts w:hint="eastAsia" w:ascii="仿宋" w:hAnsi="仿宋" w:eastAsia="仿宋"/>
          <w:b/>
          <w:bCs/>
          <w:color w:val="000000"/>
          <w:sz w:val="32"/>
          <w:szCs w:val="32"/>
          <w:highlight w:val="none"/>
        </w:rPr>
        <w:t>社会保障和就业（208）财政代缴社会保险费支出</w:t>
      </w:r>
      <w:r>
        <w:rPr>
          <w:rStyle w:val="9"/>
          <w:rFonts w:hint="eastAsia" w:ascii="仿宋" w:hAnsi="仿宋" w:eastAsia="仿宋"/>
          <w:b/>
          <w:bCs/>
          <w:color w:val="000000"/>
          <w:sz w:val="32"/>
          <w:szCs w:val="32"/>
          <w:highlight w:val="none"/>
          <w:lang w:eastAsia="zh-CN"/>
        </w:rPr>
        <w:t>（</w:t>
      </w:r>
      <w:r>
        <w:rPr>
          <w:rStyle w:val="9"/>
          <w:rFonts w:hint="eastAsia" w:ascii="仿宋" w:hAnsi="仿宋" w:eastAsia="仿宋"/>
          <w:b/>
          <w:bCs/>
          <w:color w:val="000000"/>
          <w:sz w:val="32"/>
          <w:szCs w:val="32"/>
          <w:highlight w:val="none"/>
          <w:lang w:val="en-US" w:eastAsia="zh-CN"/>
        </w:rPr>
        <w:t>30）财政代缴城乡居民基本养老保险费支出（01）</w:t>
      </w:r>
      <w:r>
        <w:rPr>
          <w:rStyle w:val="9"/>
          <w:rFonts w:hint="eastAsia" w:ascii="仿宋" w:hAnsi="仿宋" w:eastAsia="仿宋"/>
          <w:b w:val="0"/>
          <w:bCs w:val="0"/>
          <w:color w:val="000000"/>
          <w:sz w:val="32"/>
          <w:szCs w:val="32"/>
          <w:highlight w:val="none"/>
          <w:lang w:val="en-US" w:eastAsia="zh-CN"/>
        </w:rPr>
        <w:t>：</w:t>
      </w:r>
      <w:r>
        <w:rPr>
          <w:rStyle w:val="9"/>
          <w:rFonts w:hint="eastAsia" w:ascii="仿宋" w:hAnsi="仿宋" w:eastAsia="仿宋"/>
          <w:b w:val="0"/>
          <w:bCs w:val="0"/>
          <w:sz w:val="32"/>
          <w:szCs w:val="32"/>
          <w:highlight w:val="none"/>
        </w:rPr>
        <w:t>支出决算为</w:t>
      </w:r>
      <w:r>
        <w:rPr>
          <w:rStyle w:val="9"/>
          <w:rFonts w:hint="eastAsia" w:ascii="仿宋" w:hAnsi="仿宋" w:eastAsia="仿宋"/>
          <w:b w:val="0"/>
          <w:bCs w:val="0"/>
          <w:sz w:val="32"/>
          <w:szCs w:val="32"/>
          <w:highlight w:val="none"/>
          <w:lang w:val="en-US" w:eastAsia="zh-CN"/>
        </w:rPr>
        <w:t>51.49</w:t>
      </w:r>
      <w:r>
        <w:rPr>
          <w:rStyle w:val="9"/>
          <w:rFonts w:hint="eastAsia" w:ascii="仿宋" w:hAnsi="仿宋" w:eastAsia="仿宋"/>
          <w:b w:val="0"/>
          <w:bCs w:val="0"/>
          <w:sz w:val="32"/>
          <w:szCs w:val="32"/>
          <w:highlight w:val="none"/>
        </w:rPr>
        <w:t>万元，完成预算100</w:t>
      </w:r>
      <w:r>
        <w:rPr>
          <w:rStyle w:val="9"/>
          <w:rFonts w:ascii="仿宋" w:hAnsi="仿宋" w:eastAsia="仿宋"/>
          <w:b w:val="0"/>
          <w:bCs w:val="0"/>
          <w:sz w:val="32"/>
          <w:szCs w:val="32"/>
          <w:highlight w:val="none"/>
        </w:rPr>
        <w:t>%</w:t>
      </w:r>
      <w:r>
        <w:rPr>
          <w:rStyle w:val="9"/>
          <w:rFonts w:hint="eastAsia" w:ascii="仿宋" w:hAnsi="仿宋" w:eastAsia="仿宋"/>
          <w:b w:val="0"/>
          <w:bCs w:val="0"/>
          <w:sz w:val="32"/>
          <w:szCs w:val="32"/>
          <w:highlight w:val="none"/>
        </w:rPr>
        <w:t>，决算数等于预算数。</w:t>
      </w:r>
    </w:p>
    <w:p>
      <w:pPr>
        <w:numPr>
          <w:ilvl w:val="0"/>
          <w:numId w:val="3"/>
        </w:numPr>
        <w:spacing w:line="600" w:lineRule="exact"/>
        <w:ind w:left="230" w:leftChars="0" w:firstLine="400" w:firstLineChars="0"/>
        <w:rPr>
          <w:b w:val="0"/>
          <w:bCs w:val="0"/>
        </w:rPr>
      </w:pPr>
      <w:r>
        <w:rPr>
          <w:rStyle w:val="9"/>
          <w:rFonts w:hint="eastAsia" w:ascii="仿宋" w:hAnsi="仿宋" w:eastAsia="仿宋"/>
          <w:b/>
          <w:bCs/>
          <w:color w:val="000000"/>
          <w:sz w:val="32"/>
          <w:szCs w:val="32"/>
        </w:rPr>
        <w:t>社会保障和就业（208）其他社会保障和就业支出（99）其他社会保障和就业支出（99）</w:t>
      </w:r>
      <w:r>
        <w:rPr>
          <w:rStyle w:val="9"/>
          <w:rFonts w:ascii="仿宋" w:hAnsi="仿宋" w:eastAsia="仿宋"/>
          <w:b/>
          <w:bCs/>
          <w:color w:val="000000"/>
          <w:sz w:val="32"/>
          <w:szCs w:val="32"/>
        </w:rPr>
        <w:t>:</w:t>
      </w:r>
      <w:r>
        <w:rPr>
          <w:rStyle w:val="9"/>
          <w:rFonts w:hint="eastAsia" w:ascii="仿宋" w:hAnsi="仿宋" w:eastAsia="仿宋"/>
          <w:b w:val="0"/>
          <w:bCs w:val="0"/>
          <w:sz w:val="32"/>
          <w:szCs w:val="32"/>
        </w:rPr>
        <w:t>支出决算为</w:t>
      </w:r>
      <w:r>
        <w:rPr>
          <w:rStyle w:val="9"/>
          <w:rFonts w:hint="eastAsia" w:ascii="仿宋" w:hAnsi="仿宋" w:eastAsia="仿宋"/>
          <w:b w:val="0"/>
          <w:bCs w:val="0"/>
          <w:sz w:val="32"/>
          <w:szCs w:val="32"/>
          <w:lang w:val="en-US" w:eastAsia="zh-CN"/>
        </w:rPr>
        <w:t>1.40</w:t>
      </w:r>
      <w:r>
        <w:rPr>
          <w:rStyle w:val="9"/>
          <w:rFonts w:hint="eastAsia" w:ascii="仿宋" w:hAnsi="仿宋" w:eastAsia="仿宋"/>
          <w:b w:val="0"/>
          <w:bCs w:val="0"/>
          <w:sz w:val="32"/>
          <w:szCs w:val="32"/>
        </w:rPr>
        <w:t>万元，完成预算100</w:t>
      </w:r>
      <w:r>
        <w:rPr>
          <w:rStyle w:val="9"/>
          <w:rFonts w:ascii="仿宋" w:hAnsi="仿宋" w:eastAsia="仿宋"/>
          <w:b w:val="0"/>
          <w:bCs w:val="0"/>
          <w:sz w:val="32"/>
          <w:szCs w:val="32"/>
        </w:rPr>
        <w:t>%</w:t>
      </w:r>
      <w:r>
        <w:rPr>
          <w:rStyle w:val="9"/>
          <w:rFonts w:hint="eastAsia" w:ascii="仿宋" w:hAnsi="仿宋" w:eastAsia="仿宋"/>
          <w:b w:val="0"/>
          <w:bCs w:val="0"/>
          <w:sz w:val="32"/>
          <w:szCs w:val="32"/>
        </w:rPr>
        <w:t>，决算数等于预算数。</w:t>
      </w:r>
    </w:p>
    <w:p>
      <w:pPr>
        <w:numPr>
          <w:ilvl w:val="0"/>
          <w:numId w:val="3"/>
        </w:numPr>
        <w:spacing w:line="600" w:lineRule="exact"/>
        <w:ind w:left="230" w:leftChars="0" w:firstLine="400" w:firstLineChars="0"/>
        <w:rPr>
          <w:rStyle w:val="9"/>
          <w:rFonts w:ascii="仿宋" w:hAnsi="仿宋" w:eastAsia="仿宋"/>
          <w:b w:val="0"/>
          <w:bCs w:val="0"/>
          <w:color w:val="0000FF"/>
          <w:sz w:val="32"/>
          <w:szCs w:val="32"/>
        </w:rPr>
      </w:pPr>
      <w:r>
        <w:rPr>
          <w:rFonts w:hint="eastAsia" w:ascii="仿宋" w:hAnsi="仿宋" w:eastAsia="仿宋"/>
          <w:b/>
          <w:bCs/>
          <w:color w:val="000000"/>
          <w:sz w:val="32"/>
          <w:szCs w:val="32"/>
        </w:rPr>
        <w:t>卫生健康</w:t>
      </w:r>
      <w:r>
        <w:rPr>
          <w:rStyle w:val="9"/>
          <w:rFonts w:hint="eastAsia" w:ascii="仿宋" w:hAnsi="仿宋" w:eastAsia="仿宋"/>
          <w:b/>
          <w:bCs/>
          <w:color w:val="000000"/>
          <w:sz w:val="32"/>
          <w:szCs w:val="32"/>
        </w:rPr>
        <w:t>（210）行政事业单位医疗（11）事业单位医疗（02）</w:t>
      </w:r>
      <w:r>
        <w:rPr>
          <w:rStyle w:val="9"/>
          <w:rFonts w:ascii="仿宋" w:hAnsi="仿宋" w:eastAsia="仿宋"/>
          <w:b/>
          <w:bCs/>
          <w:color w:val="000000"/>
          <w:sz w:val="32"/>
          <w:szCs w:val="32"/>
        </w:rPr>
        <w:t>:</w:t>
      </w:r>
      <w:r>
        <w:rPr>
          <w:rStyle w:val="9"/>
          <w:rFonts w:hint="eastAsia" w:ascii="仿宋" w:hAnsi="仿宋" w:eastAsia="仿宋"/>
          <w:b w:val="0"/>
          <w:bCs w:val="0"/>
          <w:sz w:val="32"/>
          <w:szCs w:val="32"/>
        </w:rPr>
        <w:t>支出决算为</w:t>
      </w:r>
      <w:r>
        <w:rPr>
          <w:rStyle w:val="9"/>
          <w:rFonts w:hint="eastAsia" w:ascii="仿宋" w:hAnsi="仿宋" w:eastAsia="仿宋"/>
          <w:b w:val="0"/>
          <w:bCs w:val="0"/>
          <w:sz w:val="32"/>
          <w:szCs w:val="32"/>
          <w:lang w:val="en-US" w:eastAsia="zh-CN"/>
        </w:rPr>
        <w:t>6.21</w:t>
      </w:r>
      <w:r>
        <w:rPr>
          <w:rStyle w:val="9"/>
          <w:rFonts w:hint="eastAsia" w:ascii="仿宋" w:hAnsi="仿宋" w:eastAsia="仿宋"/>
          <w:b w:val="0"/>
          <w:bCs w:val="0"/>
          <w:sz w:val="32"/>
          <w:szCs w:val="32"/>
        </w:rPr>
        <w:t>万元，完成预算100</w:t>
      </w:r>
      <w:r>
        <w:rPr>
          <w:rStyle w:val="9"/>
          <w:rFonts w:ascii="仿宋" w:hAnsi="仿宋" w:eastAsia="仿宋"/>
          <w:b w:val="0"/>
          <w:bCs w:val="0"/>
          <w:sz w:val="32"/>
          <w:szCs w:val="32"/>
        </w:rPr>
        <w:t>%</w:t>
      </w:r>
      <w:r>
        <w:rPr>
          <w:rStyle w:val="9"/>
          <w:rFonts w:hint="eastAsia" w:ascii="仿宋" w:hAnsi="仿宋" w:eastAsia="仿宋"/>
          <w:b w:val="0"/>
          <w:bCs w:val="0"/>
          <w:sz w:val="32"/>
          <w:szCs w:val="32"/>
        </w:rPr>
        <w:t>，决算数等于预算数。</w:t>
      </w:r>
    </w:p>
    <w:p>
      <w:pPr>
        <w:numPr>
          <w:ilvl w:val="0"/>
          <w:numId w:val="3"/>
        </w:numPr>
        <w:spacing w:line="600" w:lineRule="exact"/>
        <w:ind w:left="230" w:leftChars="0" w:firstLine="400" w:firstLineChars="0"/>
        <w:rPr>
          <w:rStyle w:val="9"/>
          <w:rFonts w:hint="eastAsia" w:ascii="仿宋" w:hAnsi="仿宋" w:eastAsia="仿宋"/>
          <w:b w:val="0"/>
          <w:bCs w:val="0"/>
          <w:sz w:val="32"/>
          <w:szCs w:val="32"/>
        </w:rPr>
      </w:pPr>
      <w:r>
        <w:rPr>
          <w:rFonts w:hint="eastAsia" w:ascii="仿宋" w:hAnsi="仿宋" w:eastAsia="仿宋"/>
          <w:b/>
          <w:bCs/>
          <w:color w:val="000000"/>
          <w:sz w:val="32"/>
          <w:szCs w:val="32"/>
        </w:rPr>
        <w:t>卫生健康</w:t>
      </w:r>
      <w:r>
        <w:rPr>
          <w:rStyle w:val="9"/>
          <w:rFonts w:hint="eastAsia" w:ascii="仿宋" w:hAnsi="仿宋" w:eastAsia="仿宋"/>
          <w:b/>
          <w:bCs/>
          <w:color w:val="000000"/>
          <w:sz w:val="32"/>
          <w:szCs w:val="32"/>
        </w:rPr>
        <w:t>（210）行政事业单位医疗（11）公务员医疗补助（03）</w:t>
      </w:r>
      <w:r>
        <w:rPr>
          <w:rStyle w:val="9"/>
          <w:rFonts w:ascii="仿宋" w:hAnsi="仿宋" w:eastAsia="仿宋"/>
          <w:b w:val="0"/>
          <w:bCs w:val="0"/>
          <w:color w:val="000000"/>
          <w:sz w:val="32"/>
          <w:szCs w:val="32"/>
        </w:rPr>
        <w:t>:</w:t>
      </w:r>
      <w:r>
        <w:rPr>
          <w:rStyle w:val="9"/>
          <w:rFonts w:hint="eastAsia" w:ascii="仿宋" w:hAnsi="仿宋" w:eastAsia="仿宋"/>
          <w:b w:val="0"/>
          <w:bCs w:val="0"/>
          <w:sz w:val="32"/>
          <w:szCs w:val="32"/>
        </w:rPr>
        <w:t>支出决算为</w:t>
      </w:r>
      <w:r>
        <w:rPr>
          <w:rStyle w:val="9"/>
          <w:rFonts w:hint="eastAsia" w:ascii="仿宋" w:hAnsi="仿宋" w:eastAsia="仿宋"/>
          <w:b w:val="0"/>
          <w:bCs w:val="0"/>
          <w:sz w:val="32"/>
          <w:szCs w:val="32"/>
          <w:lang w:val="en-US" w:eastAsia="zh-CN"/>
        </w:rPr>
        <w:t>1.88</w:t>
      </w:r>
      <w:r>
        <w:rPr>
          <w:rStyle w:val="9"/>
          <w:rFonts w:hint="eastAsia" w:ascii="仿宋" w:hAnsi="仿宋" w:eastAsia="仿宋"/>
          <w:b w:val="0"/>
          <w:bCs w:val="0"/>
          <w:sz w:val="32"/>
          <w:szCs w:val="32"/>
        </w:rPr>
        <w:t>万元，完成预算100</w:t>
      </w:r>
      <w:r>
        <w:rPr>
          <w:rStyle w:val="9"/>
          <w:rFonts w:ascii="仿宋" w:hAnsi="仿宋" w:eastAsia="仿宋"/>
          <w:b w:val="0"/>
          <w:bCs w:val="0"/>
          <w:sz w:val="32"/>
          <w:szCs w:val="32"/>
        </w:rPr>
        <w:t>%</w:t>
      </w:r>
      <w:r>
        <w:rPr>
          <w:rStyle w:val="9"/>
          <w:rFonts w:hint="eastAsia" w:ascii="仿宋" w:hAnsi="仿宋" w:eastAsia="仿宋"/>
          <w:b w:val="0"/>
          <w:bCs w:val="0"/>
          <w:sz w:val="32"/>
          <w:szCs w:val="32"/>
        </w:rPr>
        <w:t>，决算数等于预算数。</w:t>
      </w:r>
    </w:p>
    <w:p>
      <w:pPr>
        <w:numPr>
          <w:ilvl w:val="0"/>
          <w:numId w:val="3"/>
        </w:numPr>
        <w:spacing w:line="600" w:lineRule="exact"/>
        <w:ind w:left="230" w:leftChars="0" w:firstLine="400" w:firstLineChars="0"/>
        <w:rPr>
          <w:rStyle w:val="9"/>
          <w:rFonts w:hint="eastAsia" w:ascii="仿宋" w:hAnsi="仿宋" w:eastAsia="仿宋" w:cstheme="minorBidi"/>
          <w:b w:val="0"/>
          <w:bCs w:val="0"/>
          <w:sz w:val="32"/>
          <w:szCs w:val="32"/>
          <w:lang w:val="en-US" w:eastAsia="zh-CN"/>
        </w:rPr>
      </w:pPr>
      <w:r>
        <w:rPr>
          <w:rFonts w:hint="eastAsia" w:ascii="仿宋" w:hAnsi="仿宋" w:eastAsia="仿宋"/>
          <w:b/>
          <w:bCs/>
          <w:color w:val="000000"/>
          <w:sz w:val="32"/>
          <w:szCs w:val="32"/>
        </w:rPr>
        <w:t>农林水支出</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213）巩固拓展脱贫攻坚成果衔接乡村振兴（05）其他巩固拓展脱贫攻坚成果衔接乡村振兴支出（99）</w:t>
      </w:r>
      <w:r>
        <w:rPr>
          <w:rFonts w:hint="eastAsia" w:ascii="仿宋" w:hAnsi="仿宋" w:eastAsia="仿宋"/>
          <w:b w:val="0"/>
          <w:bCs w:val="0"/>
          <w:color w:val="000000"/>
          <w:sz w:val="32"/>
          <w:szCs w:val="32"/>
          <w:lang w:val="en-US" w:eastAsia="zh-CN"/>
        </w:rPr>
        <w:t>：</w:t>
      </w:r>
      <w:r>
        <w:rPr>
          <w:rStyle w:val="9"/>
          <w:rFonts w:hint="eastAsia" w:ascii="仿宋" w:hAnsi="仿宋" w:eastAsia="仿宋" w:cstheme="minorBidi"/>
          <w:b w:val="0"/>
          <w:bCs w:val="0"/>
          <w:sz w:val="32"/>
          <w:szCs w:val="32"/>
          <w:lang w:val="en-US" w:eastAsia="zh-CN"/>
        </w:rPr>
        <w:t>支出决算为15万元，完成预算100%，决算数等于预算数。</w:t>
      </w:r>
    </w:p>
    <w:p>
      <w:pPr>
        <w:numPr>
          <w:ilvl w:val="0"/>
          <w:numId w:val="3"/>
        </w:numPr>
        <w:spacing w:line="600" w:lineRule="exact"/>
        <w:ind w:left="230" w:leftChars="0" w:firstLine="400" w:firstLineChars="0"/>
        <w:rPr>
          <w:rFonts w:ascii="仿宋" w:hAnsi="仿宋" w:eastAsia="仿宋"/>
          <w:b w:val="0"/>
          <w:bCs w:val="0"/>
          <w:sz w:val="32"/>
          <w:szCs w:val="32"/>
        </w:rPr>
      </w:pPr>
      <w:r>
        <w:rPr>
          <w:rFonts w:hint="eastAsia" w:ascii="仿宋" w:hAnsi="仿宋" w:eastAsia="仿宋"/>
          <w:b/>
          <w:bCs/>
          <w:color w:val="000000"/>
          <w:sz w:val="32"/>
          <w:szCs w:val="32"/>
        </w:rPr>
        <w:t>住房保障（</w:t>
      </w:r>
      <w:r>
        <w:rPr>
          <w:rStyle w:val="9"/>
          <w:rFonts w:hint="eastAsia" w:ascii="仿宋" w:hAnsi="仿宋" w:eastAsia="仿宋"/>
          <w:b/>
          <w:bCs/>
          <w:color w:val="000000"/>
          <w:sz w:val="32"/>
          <w:szCs w:val="32"/>
        </w:rPr>
        <w:t>221）</w:t>
      </w:r>
      <w:r>
        <w:rPr>
          <w:rFonts w:hint="eastAsia" w:ascii="仿宋" w:hAnsi="仿宋" w:eastAsia="仿宋"/>
          <w:b/>
          <w:bCs/>
          <w:color w:val="000000"/>
          <w:sz w:val="32"/>
          <w:szCs w:val="32"/>
        </w:rPr>
        <w:t>住房改革支出</w:t>
      </w:r>
      <w:r>
        <w:rPr>
          <w:rStyle w:val="9"/>
          <w:rFonts w:hint="eastAsia" w:ascii="仿宋" w:hAnsi="仿宋" w:eastAsia="仿宋"/>
          <w:b/>
          <w:bCs/>
          <w:color w:val="000000"/>
          <w:sz w:val="32"/>
          <w:szCs w:val="32"/>
        </w:rPr>
        <w:t>（02）住房公积金（01）</w:t>
      </w:r>
      <w:r>
        <w:rPr>
          <w:rStyle w:val="9"/>
          <w:rFonts w:ascii="仿宋" w:hAnsi="仿宋" w:eastAsia="仿宋"/>
          <w:b/>
          <w:bCs/>
          <w:color w:val="000000"/>
          <w:sz w:val="32"/>
          <w:szCs w:val="32"/>
        </w:rPr>
        <w:t>:</w:t>
      </w:r>
      <w:r>
        <w:rPr>
          <w:rStyle w:val="9"/>
          <w:rFonts w:hint="eastAsia" w:ascii="仿宋" w:hAnsi="仿宋" w:eastAsia="仿宋"/>
          <w:b w:val="0"/>
          <w:bCs w:val="0"/>
          <w:sz w:val="32"/>
          <w:szCs w:val="32"/>
        </w:rPr>
        <w:t>支出决算为</w:t>
      </w:r>
      <w:r>
        <w:rPr>
          <w:rStyle w:val="9"/>
          <w:rFonts w:hint="eastAsia" w:ascii="仿宋" w:hAnsi="仿宋" w:eastAsia="仿宋"/>
          <w:b w:val="0"/>
          <w:bCs w:val="0"/>
          <w:sz w:val="32"/>
          <w:szCs w:val="32"/>
          <w:lang w:val="en-US" w:eastAsia="zh-CN"/>
        </w:rPr>
        <w:t>15.50</w:t>
      </w:r>
      <w:r>
        <w:rPr>
          <w:rStyle w:val="9"/>
          <w:rFonts w:hint="eastAsia" w:ascii="仿宋" w:hAnsi="仿宋" w:eastAsia="仿宋"/>
          <w:b w:val="0"/>
          <w:bCs w:val="0"/>
          <w:sz w:val="32"/>
          <w:szCs w:val="32"/>
        </w:rPr>
        <w:t>万元，完成预算100</w:t>
      </w:r>
      <w:r>
        <w:rPr>
          <w:rStyle w:val="9"/>
          <w:rFonts w:ascii="仿宋" w:hAnsi="仿宋" w:eastAsia="仿宋"/>
          <w:b w:val="0"/>
          <w:bCs w:val="0"/>
          <w:sz w:val="32"/>
          <w:szCs w:val="32"/>
        </w:rPr>
        <w:t>%</w:t>
      </w:r>
      <w:r>
        <w:rPr>
          <w:rStyle w:val="9"/>
          <w:rFonts w:hint="eastAsia" w:ascii="仿宋" w:hAnsi="仿宋" w:eastAsia="仿宋"/>
          <w:b w:val="0"/>
          <w:bCs w:val="0"/>
          <w:sz w:val="32"/>
          <w:szCs w:val="32"/>
        </w:rPr>
        <w:t>，决算数等于预算数。</w:t>
      </w:r>
    </w:p>
    <w:p>
      <w:pPr>
        <w:tabs>
          <w:tab w:val="right" w:pos="8306"/>
        </w:tabs>
        <w:spacing w:line="600" w:lineRule="exact"/>
        <w:ind w:firstLine="640"/>
        <w:outlineLvl w:val="1"/>
        <w:rPr>
          <w:rStyle w:val="13"/>
        </w:rPr>
      </w:pPr>
      <w:bookmarkStart w:id="58" w:name="_Toc10545"/>
      <w:bookmarkStart w:id="59" w:name="_Toc15396608"/>
      <w:bookmarkStart w:id="60" w:name="_Toc15377214"/>
      <w:bookmarkStart w:id="61" w:name="_Toc31785"/>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3"/>
          <w:rFonts w:hint="eastAsia" w:ascii="黑体" w:hAnsi="黑体" w:eastAsia="黑体"/>
          <w:b w:val="0"/>
        </w:rPr>
        <w:t>般公共预算财政拨款基本支出决算情况说明</w:t>
      </w:r>
      <w:bookmarkEnd w:id="58"/>
      <w:bookmarkEnd w:id="59"/>
      <w:bookmarkEnd w:id="60"/>
      <w:bookmarkEnd w:id="61"/>
      <w:r>
        <w:rPr>
          <w:rStyle w:val="13"/>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年一般公共预算财政拨款基本支出</w:t>
      </w:r>
      <w:r>
        <w:rPr>
          <w:rFonts w:hint="eastAsia" w:ascii="仿宋" w:hAnsi="仿宋" w:eastAsia="仿宋"/>
          <w:sz w:val="32"/>
          <w:szCs w:val="32"/>
          <w:lang w:val="en-US" w:eastAsia="zh-CN"/>
        </w:rPr>
        <w:t>222.81</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186.15</w:t>
      </w:r>
      <w:r>
        <w:rPr>
          <w:rFonts w:hint="eastAsia" w:ascii="仿宋" w:hAnsi="仿宋" w:eastAsia="仿宋"/>
          <w:sz w:val="32"/>
          <w:szCs w:val="32"/>
        </w:rPr>
        <w:t>万元，主要包括：基本工资、津贴补贴、绩效工资、机关事业单位基本养老保险缴费、</w:t>
      </w:r>
      <w:r>
        <w:rPr>
          <w:rFonts w:hint="eastAsia" w:ascii="仿宋" w:hAnsi="仿宋" w:eastAsia="仿宋"/>
          <w:sz w:val="32"/>
          <w:szCs w:val="32"/>
          <w:lang w:val="en-US" w:eastAsia="zh-CN"/>
        </w:rPr>
        <w:t>职业年金缴费、</w:t>
      </w:r>
      <w:r>
        <w:rPr>
          <w:rFonts w:hint="eastAsia" w:ascii="仿宋" w:hAnsi="仿宋" w:eastAsia="仿宋"/>
          <w:color w:val="000000" w:themeColor="text1"/>
          <w:sz w:val="32"/>
          <w:szCs w:val="32"/>
          <w14:textFill>
            <w14:solidFill>
              <w14:schemeClr w14:val="tx1"/>
            </w14:solidFill>
          </w14:textFill>
        </w:rPr>
        <w:t>职工基本医疗保险缴费、公务员医疗补助缴费、其他社会保障缴费、</w:t>
      </w:r>
      <w:r>
        <w:rPr>
          <w:rFonts w:hint="eastAsia" w:ascii="仿宋" w:hAnsi="仿宋" w:eastAsia="仿宋"/>
          <w:sz w:val="32"/>
          <w:szCs w:val="32"/>
        </w:rPr>
        <w:t>住房公积金、其他工资福利支出、其他对个人和家庭的补助支出。</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36.66</w:t>
      </w:r>
      <w:r>
        <w:rPr>
          <w:rFonts w:hint="eastAsia" w:ascii="仿宋" w:hAnsi="仿宋" w:eastAsia="仿宋"/>
          <w:sz w:val="32"/>
          <w:szCs w:val="32"/>
        </w:rPr>
        <w:t>万元，主要包括：办公费、印刷费、邮电费、差旅费、维修（护）费、培训费、劳务费、委托业务费、福利费、其他交通费、其他商品和服务支出。</w:t>
      </w:r>
    </w:p>
    <w:p>
      <w:pPr>
        <w:spacing w:line="600" w:lineRule="exact"/>
        <w:ind w:firstLine="640"/>
        <w:outlineLvl w:val="1"/>
        <w:rPr>
          <w:rStyle w:val="13"/>
          <w:rFonts w:ascii="黑体" w:hAnsi="黑体" w:eastAsia="黑体"/>
          <w:b w:val="0"/>
        </w:rPr>
      </w:pPr>
      <w:bookmarkStart w:id="62" w:name="_Toc15396609"/>
      <w:bookmarkStart w:id="63" w:name="_Toc24514"/>
      <w:bookmarkStart w:id="64" w:name="_Toc15504"/>
      <w:bookmarkStart w:id="65" w:name="_Toc15377215"/>
      <w:r>
        <w:rPr>
          <w:rFonts w:hint="eastAsia" w:ascii="黑体" w:eastAsia="黑体"/>
          <w:sz w:val="32"/>
          <w:szCs w:val="32"/>
        </w:rPr>
        <w:t>七、</w:t>
      </w:r>
      <w:r>
        <w:rPr>
          <w:rStyle w:val="13"/>
          <w:rFonts w:hint="eastAsia" w:ascii="黑体" w:hAnsi="黑体" w:eastAsia="黑体"/>
          <w:b w:val="0"/>
        </w:rPr>
        <w:t>财政拨款</w:t>
      </w:r>
      <w:r>
        <w:rPr>
          <w:rStyle w:val="13"/>
          <w:rFonts w:hint="eastAsia" w:ascii="黑体" w:hAnsi="黑体" w:eastAsia="黑体"/>
        </w:rPr>
        <w:t>“</w:t>
      </w:r>
      <w:r>
        <w:rPr>
          <w:rStyle w:val="13"/>
          <w:rFonts w:hint="eastAsia" w:ascii="黑体" w:hAnsi="黑体" w:eastAsia="黑体"/>
          <w:b w:val="0"/>
        </w:rPr>
        <w:t>三公”经费支出决算情况说明</w:t>
      </w:r>
      <w:bookmarkEnd w:id="62"/>
      <w:bookmarkEnd w:id="63"/>
      <w:bookmarkEnd w:id="64"/>
      <w:bookmarkEnd w:id="65"/>
    </w:p>
    <w:p>
      <w:pPr>
        <w:spacing w:line="600" w:lineRule="exact"/>
        <w:ind w:firstLine="640"/>
        <w:outlineLvl w:val="2"/>
        <w:rPr>
          <w:rFonts w:ascii="仿宋" w:hAnsi="仿宋" w:eastAsia="仿宋"/>
          <w:b/>
          <w:sz w:val="32"/>
          <w:szCs w:val="32"/>
        </w:rPr>
      </w:pPr>
      <w:bookmarkStart w:id="66" w:name="_Toc15377216"/>
      <w:r>
        <w:rPr>
          <w:rFonts w:hint="eastAsia" w:ascii="仿宋" w:hAnsi="仿宋" w:eastAsia="仿宋"/>
          <w:b/>
          <w:sz w:val="32"/>
          <w:szCs w:val="32"/>
        </w:rPr>
        <w:t>（一）“三公”经费财政拨款支出决算总体情况说明</w:t>
      </w:r>
      <w:bookmarkEnd w:id="66"/>
    </w:p>
    <w:p>
      <w:pPr>
        <w:spacing w:line="600" w:lineRule="exact"/>
        <w:ind w:firstLine="640"/>
        <w:rPr>
          <w:rFonts w:ascii="仿宋" w:hAnsi="仿宋" w:eastAsia="仿宋"/>
          <w:sz w:val="32"/>
          <w:szCs w:val="32"/>
          <w:highlight w:val="yellow"/>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年“三公”经费财政拨款支出决算为0.00万元，完成预算100.00</w:t>
      </w:r>
      <w:r>
        <w:rPr>
          <w:rFonts w:ascii="仿宋" w:hAnsi="仿宋" w:eastAsia="仿宋"/>
          <w:sz w:val="32"/>
          <w:szCs w:val="32"/>
        </w:rPr>
        <w:t>%</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67" w:name="_Toc15377217"/>
      <w:r>
        <w:rPr>
          <w:rFonts w:hint="eastAsia" w:ascii="仿宋" w:hAnsi="仿宋" w:eastAsia="仿宋"/>
          <w:b/>
          <w:sz w:val="32"/>
          <w:szCs w:val="32"/>
        </w:rPr>
        <w:t>（二）“三公”经费财政拨款支出决算具体情况说明</w:t>
      </w:r>
      <w:bookmarkEnd w:id="6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p>
    <w:p>
      <w:pPr>
        <w:pStyle w:val="2"/>
        <w:ind w:firstLine="640"/>
        <w:rPr>
          <w:rFonts w:ascii="仿宋_GB2312" w:eastAsia="仿宋_GB2312"/>
          <w:b/>
          <w:sz w:val="32"/>
          <w:szCs w:val="32"/>
        </w:rPr>
      </w:pPr>
      <w:r>
        <w:drawing>
          <wp:anchor distT="0" distB="0" distL="114300" distR="114300" simplePos="0" relativeHeight="251661312" behindDoc="0" locked="0" layoutInCell="1" allowOverlap="1">
            <wp:simplePos x="0" y="0"/>
            <wp:positionH relativeFrom="column">
              <wp:posOffset>475615</wp:posOffset>
            </wp:positionH>
            <wp:positionV relativeFrom="paragraph">
              <wp:posOffset>299085</wp:posOffset>
            </wp:positionV>
            <wp:extent cx="4326255" cy="2764155"/>
            <wp:effectExtent l="4445" t="4445" r="12700" b="12700"/>
            <wp:wrapTopAndBottom/>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lang w:val="en-US" w:eastAsia="zh-CN"/>
        </w:rPr>
        <w:t xml:space="preserve"> </w:t>
      </w:r>
      <w:r>
        <w:rPr>
          <w:rFonts w:hint="eastAsia" w:ascii="仿宋" w:hAnsi="仿宋" w:eastAsia="仿宋"/>
          <w:sz w:val="32"/>
          <w:szCs w:val="32"/>
        </w:rPr>
        <w:t>（图7：“三公”经费财政拨款支出结构）（饼状图）</w:t>
      </w:r>
      <w:bookmarkStart w:id="68" w:name="_Toc15396610"/>
      <w:bookmarkStart w:id="69" w:name="_Toc15377218"/>
    </w:p>
    <w:p>
      <w:pPr>
        <w:spacing w:line="600" w:lineRule="exact"/>
        <w:ind w:firstLine="642" w:firstLineChars="200"/>
        <w:rPr>
          <w:rFonts w:ascii="仿宋_GB2312" w:eastAsia="仿宋_GB2312"/>
          <w:b/>
          <w:sz w:val="32"/>
          <w:szCs w:val="32"/>
        </w:rPr>
      </w:pPr>
      <w:r>
        <w:rPr>
          <w:rFonts w:ascii="仿宋_GB2312" w:eastAsia="仿宋_GB2312"/>
          <w:b/>
          <w:sz w:val="32"/>
          <w:szCs w:val="32"/>
        </w:rPr>
        <w:t>1.</w:t>
      </w:r>
      <w:r>
        <w:rPr>
          <w:rFonts w:hint="eastAsia" w:ascii="仿宋" w:hAnsi="仿宋" w:eastAsia="仿宋" w:cs="仿宋"/>
          <w:b/>
          <w:sz w:val="32"/>
          <w:szCs w:val="32"/>
        </w:rPr>
        <w:t>因公出国（境）经费支出</w:t>
      </w:r>
      <w:r>
        <w:rPr>
          <w:rFonts w:hint="eastAsia" w:ascii="仿宋" w:hAnsi="仿宋" w:eastAsia="仿宋" w:cs="仿宋"/>
          <w:b w:val="0"/>
          <w:bCs/>
          <w:sz w:val="32"/>
          <w:szCs w:val="32"/>
        </w:rPr>
        <w:t>0.00</w:t>
      </w:r>
      <w:r>
        <w:rPr>
          <w:rFonts w:hint="eastAsia" w:ascii="仿宋" w:hAnsi="仿宋" w:eastAsia="仿宋" w:cs="仿宋"/>
          <w:sz w:val="32"/>
          <w:szCs w:val="32"/>
        </w:rPr>
        <w:t>万元，</w:t>
      </w:r>
      <w:r>
        <w:rPr>
          <w:rStyle w:val="9"/>
          <w:rFonts w:hint="eastAsia" w:ascii="仿宋" w:hAnsi="仿宋" w:eastAsia="仿宋" w:cs="仿宋"/>
          <w:b w:val="0"/>
          <w:bCs/>
          <w:sz w:val="32"/>
          <w:szCs w:val="32"/>
        </w:rPr>
        <w:t>完成预算</w:t>
      </w:r>
      <w:r>
        <w:rPr>
          <w:rStyle w:val="9"/>
          <w:rFonts w:hint="eastAsia" w:ascii="仿宋" w:hAnsi="仿宋" w:eastAsia="仿宋" w:cs="仿宋"/>
          <w:b w:val="0"/>
          <w:bCs/>
          <w:sz w:val="32"/>
          <w:szCs w:val="32"/>
          <w:lang w:val="en-US" w:eastAsia="zh-CN"/>
        </w:rPr>
        <w:t>0.00</w:t>
      </w:r>
      <w:r>
        <w:rPr>
          <w:rStyle w:val="9"/>
          <w:rFonts w:hint="eastAsia" w:ascii="仿宋" w:hAnsi="仿宋" w:eastAsia="仿宋" w:cs="仿宋"/>
          <w:b w:val="0"/>
          <w:bCs/>
          <w:sz w:val="32"/>
          <w:szCs w:val="32"/>
        </w:rPr>
        <w:t>%。</w:t>
      </w:r>
      <w:r>
        <w:rPr>
          <w:rFonts w:hint="eastAsia" w:ascii="仿宋" w:hAnsi="仿宋" w:eastAsia="仿宋" w:cs="仿宋"/>
          <w:sz w:val="32"/>
          <w:szCs w:val="32"/>
        </w:rPr>
        <w:t>全年安排因公出国（境）团组0次，出国（境）0人。因公出国（境）支出决算比202</w:t>
      </w:r>
      <w:r>
        <w:rPr>
          <w:rFonts w:hint="eastAsia" w:ascii="仿宋" w:hAnsi="仿宋" w:eastAsia="仿宋" w:cs="仿宋"/>
          <w:sz w:val="32"/>
          <w:szCs w:val="32"/>
          <w:lang w:val="en-US" w:eastAsia="zh-CN"/>
        </w:rPr>
        <w:t>2</w:t>
      </w:r>
      <w:r>
        <w:rPr>
          <w:rFonts w:hint="eastAsia" w:ascii="仿宋" w:hAnsi="仿宋" w:eastAsia="仿宋" w:cs="仿宋"/>
          <w:sz w:val="32"/>
          <w:szCs w:val="32"/>
        </w:rPr>
        <w:t>年无增减变动。主要原因是本单位两年均无该经费预算，未发生因公出国（境）支出。</w:t>
      </w:r>
    </w:p>
    <w:p>
      <w:pPr>
        <w:spacing w:line="600" w:lineRule="exact"/>
        <w:ind w:firstLine="640"/>
        <w:rPr>
          <w:rFonts w:hint="eastAsia" w:ascii="仿宋" w:hAnsi="仿宋" w:eastAsia="仿宋" w:cs="仿宋"/>
          <w:b/>
          <w:sz w:val="32"/>
          <w:szCs w:val="32"/>
        </w:rPr>
      </w:pPr>
      <w:r>
        <w:rPr>
          <w:rFonts w:ascii="仿宋_GB2312" w:eastAsia="仿宋_GB2312"/>
          <w:b/>
          <w:sz w:val="32"/>
          <w:szCs w:val="32"/>
        </w:rPr>
        <w:t>2.</w:t>
      </w:r>
      <w:r>
        <w:rPr>
          <w:rFonts w:hint="eastAsia" w:ascii="仿宋" w:hAnsi="仿宋" w:eastAsia="仿宋" w:cs="仿宋"/>
          <w:b/>
          <w:sz w:val="32"/>
          <w:szCs w:val="32"/>
        </w:rPr>
        <w:t>公务用车购置及运行维护费支出</w:t>
      </w:r>
      <w:r>
        <w:rPr>
          <w:rFonts w:hint="eastAsia" w:ascii="仿宋" w:hAnsi="仿宋" w:eastAsia="仿宋" w:cs="仿宋"/>
          <w:sz w:val="32"/>
          <w:szCs w:val="32"/>
        </w:rPr>
        <w:t>0.00万元,</w:t>
      </w:r>
      <w:r>
        <w:rPr>
          <w:rStyle w:val="9"/>
          <w:rFonts w:hint="eastAsia" w:ascii="仿宋" w:hAnsi="仿宋" w:eastAsia="仿宋" w:cs="仿宋"/>
          <w:b w:val="0"/>
          <w:bCs/>
          <w:sz w:val="32"/>
          <w:szCs w:val="32"/>
        </w:rPr>
        <w:t>完成预算0.00%。</w:t>
      </w:r>
      <w:r>
        <w:rPr>
          <w:rFonts w:hint="eastAsia" w:ascii="仿宋" w:hAnsi="仿宋" w:eastAsia="仿宋" w:cs="仿宋"/>
          <w:sz w:val="32"/>
          <w:szCs w:val="32"/>
        </w:rPr>
        <w:t>公务用车购置及运行维护费支出决算比202</w:t>
      </w:r>
      <w:r>
        <w:rPr>
          <w:rFonts w:hint="eastAsia" w:ascii="仿宋" w:hAnsi="仿宋" w:eastAsia="仿宋" w:cs="仿宋"/>
          <w:sz w:val="32"/>
          <w:szCs w:val="32"/>
          <w:lang w:val="en-US" w:eastAsia="zh-CN"/>
        </w:rPr>
        <w:t>2</w:t>
      </w:r>
      <w:r>
        <w:rPr>
          <w:rFonts w:hint="eastAsia" w:ascii="仿宋" w:hAnsi="仿宋" w:eastAsia="仿宋" w:cs="仿宋"/>
          <w:sz w:val="32"/>
          <w:szCs w:val="32"/>
        </w:rPr>
        <w:t>年无增减变动。主要原因是本单位两年均无该经费预算，未发生公务用车购置及运行维护费支出。</w:t>
      </w:r>
    </w:p>
    <w:p>
      <w:pPr>
        <w:spacing w:line="600" w:lineRule="exact"/>
        <w:ind w:firstLine="640" w:firstLineChars="200"/>
        <w:rPr>
          <w:rFonts w:hint="eastAsia" w:ascii="仿宋" w:hAnsi="仿宋" w:eastAsia="仿宋" w:cs="仿宋"/>
          <w:b/>
          <w:sz w:val="32"/>
          <w:szCs w:val="32"/>
        </w:rPr>
      </w:pPr>
      <w:r>
        <w:rPr>
          <w:rFonts w:hint="eastAsia" w:ascii="仿宋" w:hAnsi="仿宋" w:eastAsia="仿宋" w:cs="仿宋"/>
          <w:sz w:val="32"/>
          <w:szCs w:val="32"/>
        </w:rPr>
        <w:t>其中：</w:t>
      </w:r>
      <w:r>
        <w:rPr>
          <w:rFonts w:hint="eastAsia" w:ascii="仿宋" w:hAnsi="仿宋" w:eastAsia="仿宋" w:cs="仿宋"/>
          <w:b/>
          <w:sz w:val="32"/>
          <w:szCs w:val="32"/>
        </w:rPr>
        <w:t>公务用车购置支出</w:t>
      </w:r>
      <w:r>
        <w:rPr>
          <w:rFonts w:hint="eastAsia" w:ascii="仿宋" w:hAnsi="仿宋" w:eastAsia="仿宋" w:cs="仿宋"/>
          <w:sz w:val="32"/>
          <w:szCs w:val="32"/>
        </w:rPr>
        <w:t>0.00万元。全年按规定更新购置公务用车0辆。截至20</w:t>
      </w:r>
      <w:r>
        <w:rPr>
          <w:rFonts w:hint="eastAsia" w:ascii="仿宋" w:hAnsi="仿宋" w:eastAsia="仿宋" w:cs="仿宋"/>
          <w:sz w:val="32"/>
          <w:szCs w:val="32"/>
          <w:lang w:val="en-US" w:eastAsia="zh-CN"/>
        </w:rPr>
        <w:t>23</w:t>
      </w:r>
      <w:r>
        <w:rPr>
          <w:rFonts w:hint="eastAsia" w:ascii="仿宋" w:hAnsi="仿宋" w:eastAsia="仿宋" w:cs="仿宋"/>
          <w:sz w:val="32"/>
          <w:szCs w:val="32"/>
        </w:rPr>
        <w:t>年12月底，单位共有公务用车0辆。</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公务用车运行维护费支出</w:t>
      </w:r>
      <w:r>
        <w:rPr>
          <w:rFonts w:hint="eastAsia" w:ascii="仿宋" w:hAnsi="仿宋" w:eastAsia="仿宋" w:cs="仿宋"/>
          <w:sz w:val="32"/>
          <w:szCs w:val="32"/>
        </w:rPr>
        <w:t>0.00万元。</w:t>
      </w:r>
    </w:p>
    <w:p>
      <w:pPr>
        <w:spacing w:line="600" w:lineRule="exact"/>
        <w:ind w:firstLine="640"/>
        <w:rPr>
          <w:rFonts w:hint="eastAsia" w:ascii="仿宋" w:hAnsi="仿宋" w:eastAsia="仿宋" w:cs="仿宋"/>
          <w:sz w:val="32"/>
          <w:szCs w:val="32"/>
        </w:rPr>
      </w:pPr>
      <w:r>
        <w:rPr>
          <w:rFonts w:hint="eastAsia" w:ascii="仿宋" w:hAnsi="仿宋" w:eastAsia="仿宋" w:cs="仿宋"/>
          <w:b/>
          <w:sz w:val="32"/>
          <w:szCs w:val="32"/>
        </w:rPr>
        <w:t>3.公务接待费支出</w:t>
      </w:r>
      <w:r>
        <w:rPr>
          <w:rFonts w:hint="eastAsia" w:ascii="仿宋" w:hAnsi="仿宋" w:eastAsia="仿宋" w:cs="仿宋"/>
          <w:sz w:val="32"/>
          <w:szCs w:val="32"/>
        </w:rPr>
        <w:t>0.00万元，</w:t>
      </w:r>
      <w:r>
        <w:rPr>
          <w:rStyle w:val="9"/>
          <w:rFonts w:hint="eastAsia" w:ascii="仿宋" w:hAnsi="仿宋" w:eastAsia="仿宋" w:cs="仿宋"/>
          <w:b w:val="0"/>
          <w:bCs/>
          <w:sz w:val="32"/>
          <w:szCs w:val="32"/>
        </w:rPr>
        <w:t>与预算持平。</w:t>
      </w:r>
    </w:p>
    <w:p>
      <w:pPr>
        <w:spacing w:line="600" w:lineRule="exact"/>
        <w:ind w:firstLine="963" w:firstLineChars="300"/>
        <w:rPr>
          <w:rFonts w:ascii="仿宋_GB2312" w:eastAsia="仿宋_GB2312"/>
          <w:sz w:val="32"/>
          <w:szCs w:val="32"/>
        </w:rPr>
      </w:pPr>
      <w:r>
        <w:rPr>
          <w:rFonts w:hint="eastAsia" w:ascii="仿宋" w:hAnsi="仿宋" w:eastAsia="仿宋" w:cs="仿宋"/>
          <w:b/>
          <w:sz w:val="32"/>
          <w:szCs w:val="32"/>
        </w:rPr>
        <w:t>国内公务接待支出</w:t>
      </w:r>
      <w:r>
        <w:rPr>
          <w:rFonts w:hint="eastAsia" w:ascii="仿宋" w:hAnsi="仿宋" w:eastAsia="仿宋" w:cs="仿宋"/>
          <w:sz w:val="32"/>
          <w:szCs w:val="32"/>
        </w:rPr>
        <w:t>0.00万元，</w:t>
      </w:r>
      <w:r>
        <w:rPr>
          <w:rStyle w:val="9"/>
          <w:rFonts w:hint="eastAsia" w:ascii="仿宋" w:hAnsi="仿宋" w:eastAsia="仿宋" w:cs="仿宋"/>
          <w:b w:val="0"/>
          <w:bCs/>
          <w:sz w:val="32"/>
          <w:szCs w:val="32"/>
        </w:rPr>
        <w:t>与预算持平。</w:t>
      </w:r>
    </w:p>
    <w:p>
      <w:pPr>
        <w:spacing w:line="600" w:lineRule="exact"/>
        <w:ind w:firstLine="963" w:firstLineChars="300"/>
        <w:rPr>
          <w:rFonts w:hint="eastAsia" w:ascii="仿宋" w:hAnsi="仿宋" w:eastAsia="仿宋" w:cs="仿宋"/>
          <w:sz w:val="32"/>
          <w:szCs w:val="32"/>
        </w:rPr>
      </w:pPr>
      <w:r>
        <w:rPr>
          <w:rFonts w:hint="eastAsia" w:ascii="仿宋" w:hAnsi="仿宋" w:eastAsia="仿宋" w:cs="仿宋"/>
          <w:b/>
          <w:sz w:val="32"/>
          <w:szCs w:val="32"/>
        </w:rPr>
        <w:t>外事接待支出</w:t>
      </w:r>
      <w:r>
        <w:rPr>
          <w:rFonts w:hint="eastAsia" w:ascii="仿宋" w:hAnsi="仿宋" w:eastAsia="仿宋" w:cs="仿宋"/>
          <w:sz w:val="32"/>
          <w:szCs w:val="32"/>
        </w:rPr>
        <w:t>0万元，外事接待0批次，0人。</w:t>
      </w:r>
    </w:p>
    <w:p>
      <w:pPr>
        <w:spacing w:line="600" w:lineRule="exact"/>
        <w:outlineLvl w:val="9"/>
        <w:rPr>
          <w:rFonts w:ascii="黑体" w:eastAsia="黑体"/>
          <w:sz w:val="32"/>
          <w:szCs w:val="32"/>
        </w:rPr>
      </w:pPr>
    </w:p>
    <w:p>
      <w:pPr>
        <w:spacing w:line="600" w:lineRule="exact"/>
        <w:ind w:firstLine="640"/>
        <w:outlineLvl w:val="1"/>
        <w:rPr>
          <w:rStyle w:val="13"/>
          <w:rFonts w:ascii="黑体" w:hAnsi="黑体" w:eastAsia="黑体"/>
        </w:rPr>
      </w:pPr>
      <w:bookmarkStart w:id="70" w:name="_Toc18170"/>
      <w:bookmarkStart w:id="71" w:name="_Toc15745"/>
      <w:r>
        <w:rPr>
          <w:rFonts w:hint="eastAsia" w:ascii="黑体" w:eastAsia="黑体"/>
          <w:sz w:val="32"/>
          <w:szCs w:val="32"/>
        </w:rPr>
        <w:t>八、</w:t>
      </w:r>
      <w:r>
        <w:rPr>
          <w:rStyle w:val="13"/>
          <w:rFonts w:hint="eastAsia" w:ascii="黑体" w:hAnsi="黑体" w:eastAsia="黑体"/>
          <w:b w:val="0"/>
        </w:rPr>
        <w:t>政府性基金预算支出决算情况说明</w:t>
      </w:r>
      <w:bookmarkEnd w:id="68"/>
      <w:bookmarkEnd w:id="69"/>
      <w:bookmarkEnd w:id="70"/>
      <w:bookmarkEnd w:id="71"/>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年政府性基金预算财政拨款支出0万元。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13"/>
          <w:rFonts w:ascii="黑体" w:hAnsi="黑体" w:eastAsia="黑体"/>
          <w:b w:val="0"/>
        </w:rPr>
      </w:pPr>
      <w:bookmarkStart w:id="72" w:name="_Toc19233"/>
      <w:bookmarkStart w:id="73" w:name="_Toc27660"/>
      <w:bookmarkStart w:id="74" w:name="_Toc15377219"/>
      <w:bookmarkStart w:id="75" w:name="_Toc15396611"/>
      <w:r>
        <w:rPr>
          <w:rStyle w:val="13"/>
          <w:rFonts w:hint="eastAsia" w:ascii="黑体" w:hAnsi="黑体" w:eastAsia="黑体"/>
          <w:b w:val="0"/>
        </w:rPr>
        <w:t>国有资本经营预算支出决算情况说明</w:t>
      </w:r>
      <w:bookmarkEnd w:id="72"/>
      <w:bookmarkEnd w:id="73"/>
      <w:bookmarkEnd w:id="74"/>
      <w:bookmarkEnd w:id="75"/>
    </w:p>
    <w:p>
      <w:pPr>
        <w:spacing w:line="600" w:lineRule="exact"/>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13"/>
          <w:rFonts w:ascii="黑体" w:hAnsi="黑体" w:eastAsia="黑体"/>
          <w:b w:val="0"/>
        </w:rPr>
      </w:pPr>
      <w:bookmarkStart w:id="76" w:name="_Toc27674"/>
      <w:bookmarkStart w:id="77" w:name="_Toc15377221"/>
      <w:bookmarkStart w:id="78" w:name="_Toc31317"/>
      <w:bookmarkStart w:id="79" w:name="_Toc15396612"/>
      <w:r>
        <w:rPr>
          <w:rStyle w:val="13"/>
          <w:rFonts w:hint="eastAsia" w:ascii="黑体" w:hAnsi="黑体" w:eastAsia="黑体"/>
          <w:b w:val="0"/>
        </w:rPr>
        <w:t>其他重要事项的情况说明</w:t>
      </w:r>
      <w:bookmarkEnd w:id="76"/>
      <w:bookmarkEnd w:id="77"/>
      <w:bookmarkEnd w:id="78"/>
      <w:bookmarkEnd w:id="79"/>
    </w:p>
    <w:p>
      <w:pPr>
        <w:spacing w:line="600" w:lineRule="exact"/>
        <w:ind w:firstLine="642" w:firstLineChars="200"/>
        <w:outlineLvl w:val="2"/>
        <w:rPr>
          <w:rFonts w:ascii="仿宋" w:hAnsi="仿宋" w:eastAsia="仿宋"/>
          <w:sz w:val="32"/>
          <w:szCs w:val="32"/>
        </w:rPr>
      </w:pPr>
      <w:bookmarkStart w:id="80" w:name="_Toc15377222"/>
      <w:r>
        <w:rPr>
          <w:rFonts w:hint="eastAsia" w:ascii="仿宋" w:hAnsi="仿宋" w:eastAsia="仿宋"/>
          <w:b/>
          <w:sz w:val="32"/>
          <w:szCs w:val="32"/>
        </w:rPr>
        <w:t>（一）机关运行经费支出情况</w:t>
      </w:r>
      <w:bookmarkEnd w:id="80"/>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年，船山区</w:t>
      </w:r>
      <w:r>
        <w:rPr>
          <w:rFonts w:hint="eastAsia" w:ascii="仿宋" w:hAnsi="仿宋" w:eastAsia="仿宋" w:cs="仿宋"/>
          <w:color w:val="000000"/>
          <w:sz w:val="32"/>
          <w:szCs w:val="32"/>
        </w:rPr>
        <w:t>居保局机关运行经费支出0万元，与20</w:t>
      </w:r>
      <w:r>
        <w:rPr>
          <w:rFonts w:hint="eastAsia" w:ascii="仿宋" w:hAnsi="仿宋" w:eastAsia="仿宋" w:cs="仿宋"/>
          <w:color w:val="000000"/>
          <w:sz w:val="32"/>
          <w:szCs w:val="32"/>
          <w:lang w:val="en-US" w:eastAsia="zh-CN"/>
        </w:rPr>
        <w:t>22</w:t>
      </w:r>
      <w:r>
        <w:rPr>
          <w:rFonts w:hint="eastAsia" w:ascii="仿宋" w:hAnsi="仿宋" w:eastAsia="仿宋" w:cs="仿宋"/>
          <w:color w:val="000000"/>
          <w:sz w:val="32"/>
          <w:szCs w:val="32"/>
        </w:rPr>
        <w:t>年决算数持平。主要原因是本单位属于事业单位。</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1" w:name="_Toc15377223"/>
      <w:r>
        <w:rPr>
          <w:rFonts w:hint="eastAsia" w:ascii="仿宋" w:hAnsi="仿宋" w:eastAsia="仿宋"/>
          <w:b/>
          <w:sz w:val="32"/>
          <w:szCs w:val="32"/>
        </w:rPr>
        <w:t>（二）政府采购支出情况</w:t>
      </w:r>
      <w:bookmarkEnd w:id="81"/>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居保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82" w:name="_Toc15377224"/>
      <w:r>
        <w:rPr>
          <w:rFonts w:hint="eastAsia" w:ascii="仿宋" w:hAnsi="仿宋" w:eastAsia="仿宋"/>
          <w:b/>
          <w:sz w:val="32"/>
          <w:szCs w:val="32"/>
        </w:rPr>
        <w:t>（三）国有资产占有使用情况</w:t>
      </w:r>
      <w:bookmarkEnd w:id="82"/>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 w:hAnsi="仿宋" w:eastAsia="仿宋" w:cs="仿宋"/>
          <w:sz w:val="32"/>
          <w:szCs w:val="32"/>
        </w:rPr>
        <w:t>截至202</w:t>
      </w:r>
      <w:r>
        <w:rPr>
          <w:rFonts w:hint="eastAsia" w:ascii="仿宋" w:hAnsi="仿宋" w:eastAsia="仿宋" w:cs="仿宋"/>
          <w:sz w:val="32"/>
          <w:szCs w:val="32"/>
          <w:lang w:val="en-US" w:eastAsia="zh-CN"/>
        </w:rPr>
        <w:t>3</w:t>
      </w:r>
      <w:r>
        <w:rPr>
          <w:rFonts w:hint="eastAsia" w:ascii="仿宋" w:hAnsi="仿宋" w:eastAsia="仿宋" w:cs="仿宋"/>
          <w:sz w:val="32"/>
          <w:szCs w:val="32"/>
        </w:rPr>
        <w:t>年12月31日，居保局共有车辆0辆，单价50万元以上通用设备0台（套），单价100万元以上专用设备0台（套）。</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2" w:firstLineChars="200"/>
        <w:jc w:val="left"/>
        <w:textAlignment w:val="auto"/>
        <w:outlineLvl w:val="9"/>
        <w:rPr>
          <w:rFonts w:hint="eastAsia" w:ascii="仿宋" w:hAnsi="仿宋" w:eastAsia="仿宋"/>
          <w:b/>
          <w:sz w:val="32"/>
          <w:szCs w:val="32"/>
          <w:highlight w:val="yellow"/>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2" w:firstLineChars="200"/>
        <w:jc w:val="left"/>
        <w:textAlignment w:val="auto"/>
        <w:outlineLvl w:val="2"/>
        <w:rPr>
          <w:rFonts w:hint="eastAsia" w:ascii="仿宋" w:hAnsi="仿宋" w:eastAsia="仿宋"/>
          <w:b/>
          <w:sz w:val="32"/>
          <w:szCs w:val="32"/>
          <w:highlight w:val="none"/>
        </w:rPr>
      </w:pPr>
      <w:r>
        <w:rPr>
          <w:rFonts w:hint="eastAsia" w:ascii="仿宋" w:hAnsi="仿宋" w:eastAsia="仿宋"/>
          <w:b/>
          <w:sz w:val="32"/>
          <w:szCs w:val="32"/>
          <w:highlight w:val="none"/>
          <w:lang w:eastAsia="zh-CN"/>
        </w:rPr>
        <w:t>（四）</w:t>
      </w:r>
      <w:r>
        <w:rPr>
          <w:rFonts w:hint="eastAsia" w:ascii="仿宋" w:hAnsi="仿宋" w:eastAsia="仿宋"/>
          <w:b/>
          <w:sz w:val="32"/>
          <w:szCs w:val="32"/>
          <w:highlight w:val="none"/>
        </w:rPr>
        <w:t>预算绩效管理情况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100" w:firstLine="640" w:firstLineChars="200"/>
        <w:jc w:val="left"/>
        <w:textAlignment w:val="auto"/>
        <w:outlineLvl w:val="2"/>
        <w:rPr>
          <w:rFonts w:ascii="仿宋" w:hAnsi="仿宋" w:eastAsia="仿宋"/>
          <w:b/>
          <w:sz w:val="32"/>
          <w:szCs w:val="32"/>
          <w:highlight w:val="yellow"/>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预算编制阶段，组织对退休人员社会化管理服务工作经费、档案管理经费等</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12"/>
          <w:rFonts w:ascii="黑体" w:hAnsi="黑体" w:eastAsia="黑体"/>
          <w:b w:val="0"/>
        </w:rPr>
      </w:pPr>
      <w:bookmarkStart w:id="83" w:name="_Toc14250"/>
      <w:bookmarkStart w:id="84" w:name="_Toc12369"/>
      <w:bookmarkStart w:id="85" w:name="_Toc15396613"/>
      <w:bookmarkStart w:id="86" w:name="_Toc15377225"/>
      <w:r>
        <w:rPr>
          <w:rFonts w:hint="eastAsia" w:ascii="黑体" w:hAnsi="黑体" w:eastAsia="黑体"/>
          <w:sz w:val="44"/>
          <w:szCs w:val="44"/>
        </w:rPr>
        <w:t>名</w:t>
      </w:r>
      <w:r>
        <w:rPr>
          <w:rStyle w:val="12"/>
          <w:rFonts w:hint="eastAsia" w:ascii="黑体" w:hAnsi="黑体" w:eastAsia="黑体"/>
          <w:b w:val="0"/>
        </w:rPr>
        <w:t>词解释</w:t>
      </w:r>
      <w:bookmarkEnd w:id="83"/>
      <w:bookmarkEnd w:id="84"/>
      <w:bookmarkEnd w:id="85"/>
      <w:bookmarkEnd w:id="86"/>
    </w:p>
    <w:p>
      <w:pPr>
        <w:spacing w:line="600" w:lineRule="exact"/>
        <w:jc w:val="left"/>
        <w:rPr>
          <w:rFonts w:ascii="宋体"/>
          <w:b/>
          <w:sz w:val="44"/>
          <w:szCs w:val="44"/>
        </w:rPr>
      </w:pPr>
    </w:p>
    <w:p>
      <w:pPr>
        <w:pStyle w:val="15"/>
        <w:numPr>
          <w:ilvl w:val="0"/>
          <w:numId w:val="6"/>
        </w:numPr>
        <w:spacing w:line="560" w:lineRule="exact"/>
        <w:ind w:left="230" w:leftChars="0" w:firstLine="400" w:firstLineChars="0"/>
        <w:outlineLvl w:val="1"/>
        <w:rPr>
          <w:rFonts w:hint="eastAsia" w:ascii="仿宋" w:hAnsi="仿宋" w:eastAsia="仿宋" w:cs="仿宋"/>
          <w:color w:val="auto"/>
          <w:sz w:val="32"/>
          <w:szCs w:val="32"/>
        </w:rPr>
      </w:pPr>
      <w:bookmarkStart w:id="87" w:name="_Toc8241"/>
      <w:r>
        <w:rPr>
          <w:rFonts w:hint="eastAsia" w:ascii="仿宋" w:hAnsi="仿宋" w:eastAsia="仿宋" w:cs="仿宋"/>
          <w:color w:val="auto"/>
          <w:sz w:val="32"/>
          <w:szCs w:val="32"/>
        </w:rPr>
        <w:t>财政拨款收入：指单位从同级财政部门取得的财政预算资金。</w:t>
      </w:r>
      <w:bookmarkEnd w:id="87"/>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事业收入：指事业单位开展专业业务活动及辅助活动取得的收入。如…（二级预算单位事业收入情况）等。</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经营收入：指事业单位在专业业务活动及其辅助活动之外开展非独立核算经营活动取得的收入。如…（二级预算单位经营收入情况）等。</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其他收入：指单位取得的除上述收入以外的各项收入。主要是…（收入类型）等。 </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使用非财政拨款结余：指事业单位使用以前年度积累的非财政拨款结余弥补当年收支差额的金额。 </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年初结转和结余：指以前年度尚未完成、结转到本年按有关规定继续使用的资金。 </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结余分配：指事业单位按照会计制度规定缴纳的所得税、提取的专用结余以及转入非财政拨款结余的金额等。</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年末结转和结余：指单位按有关规定结转到下年或以后年度继续使用的资金。</w:t>
      </w:r>
    </w:p>
    <w:p>
      <w:pPr>
        <w:numPr>
          <w:ilvl w:val="0"/>
          <w:numId w:val="6"/>
        </w:numPr>
        <w:spacing w:line="600" w:lineRule="exact"/>
        <w:ind w:left="230" w:leftChars="0" w:firstLine="400" w:firstLineChars="0"/>
        <w:rPr>
          <w:rStyle w:val="9"/>
          <w:rFonts w:hint="eastAsia" w:ascii="仿宋" w:hAnsi="仿宋" w:eastAsia="仿宋" w:cs="仿宋"/>
          <w:b w:val="0"/>
          <w:bCs/>
          <w:sz w:val="32"/>
          <w:szCs w:val="32"/>
        </w:rPr>
      </w:pPr>
      <w:r>
        <w:rPr>
          <w:rFonts w:hint="eastAsia" w:ascii="仿宋" w:hAnsi="仿宋" w:eastAsia="仿宋" w:cs="仿宋"/>
          <w:color w:val="000000"/>
          <w:kern w:val="0"/>
          <w:sz w:val="32"/>
          <w:szCs w:val="32"/>
        </w:rPr>
        <w:t>社会保障和就业</w:t>
      </w:r>
      <w:r>
        <w:rPr>
          <w:rFonts w:hint="eastAsia" w:ascii="仿宋" w:hAnsi="仿宋" w:eastAsia="仿宋" w:cs="仿宋"/>
          <w:sz w:val="32"/>
          <w:szCs w:val="32"/>
        </w:rPr>
        <w:t>（208）</w:t>
      </w:r>
      <w:r>
        <w:rPr>
          <w:rFonts w:hint="eastAsia" w:ascii="仿宋" w:hAnsi="仿宋" w:eastAsia="仿宋" w:cs="仿宋"/>
          <w:color w:val="000000"/>
          <w:kern w:val="0"/>
          <w:sz w:val="32"/>
          <w:szCs w:val="32"/>
        </w:rPr>
        <w:t>人力资源和社会保障管理事务</w:t>
      </w:r>
      <w:r>
        <w:rPr>
          <w:rFonts w:hint="eastAsia" w:ascii="仿宋" w:hAnsi="仿宋" w:eastAsia="仿宋" w:cs="仿宋"/>
          <w:sz w:val="32"/>
          <w:szCs w:val="32"/>
        </w:rPr>
        <w:t>（01）</w:t>
      </w:r>
      <w:r>
        <w:rPr>
          <w:rFonts w:hint="eastAsia" w:ascii="仿宋" w:hAnsi="仿宋" w:eastAsia="仿宋" w:cs="仿宋"/>
          <w:color w:val="000000"/>
          <w:kern w:val="0"/>
          <w:sz w:val="32"/>
          <w:szCs w:val="32"/>
        </w:rPr>
        <w:t>社会保险经办机构</w:t>
      </w:r>
      <w:r>
        <w:rPr>
          <w:rFonts w:hint="eastAsia" w:ascii="仿宋" w:hAnsi="仿宋" w:eastAsia="仿宋" w:cs="仿宋"/>
          <w:sz w:val="32"/>
          <w:szCs w:val="32"/>
        </w:rPr>
        <w:t>（09）</w:t>
      </w:r>
      <w:r>
        <w:rPr>
          <w:rFonts w:hint="eastAsia" w:ascii="仿宋" w:hAnsi="仿宋" w:eastAsia="仿宋" w:cs="仿宋"/>
          <w:color w:val="000000"/>
          <w:kern w:val="0"/>
          <w:sz w:val="32"/>
          <w:szCs w:val="32"/>
        </w:rPr>
        <w:t>：反映社会保险经办机构开展业务工作的支出</w:t>
      </w:r>
      <w:r>
        <w:rPr>
          <w:rStyle w:val="9"/>
          <w:rFonts w:hint="eastAsia" w:ascii="仿宋" w:hAnsi="仿宋" w:eastAsia="仿宋" w:cs="仿宋"/>
          <w:b w:val="0"/>
          <w:bCs/>
          <w:sz w:val="32"/>
          <w:szCs w:val="32"/>
        </w:rPr>
        <w:t>。</w:t>
      </w:r>
    </w:p>
    <w:p>
      <w:pPr>
        <w:numPr>
          <w:ilvl w:val="0"/>
          <w:numId w:val="6"/>
        </w:numPr>
        <w:spacing w:line="600" w:lineRule="exact"/>
        <w:ind w:left="230" w:leftChars="0" w:firstLine="400" w:firstLineChars="0"/>
        <w:rPr>
          <w:rFonts w:hint="eastAsia"/>
        </w:rPr>
      </w:pPr>
      <w:r>
        <w:rPr>
          <w:rFonts w:hint="eastAsia" w:ascii="仿宋" w:hAnsi="仿宋" w:eastAsia="仿宋" w:cs="仿宋"/>
          <w:color w:val="000000"/>
          <w:kern w:val="0"/>
          <w:sz w:val="32"/>
          <w:szCs w:val="32"/>
        </w:rPr>
        <w:t>社会保障和就业（208）人力资源和社会保障管理事务（01）其他人力资源和社会保障管理事务支出（99）：反映其他用于人力资源和社会保障管理事务方面的支出。</w:t>
      </w:r>
    </w:p>
    <w:p>
      <w:pPr>
        <w:numPr>
          <w:ilvl w:val="0"/>
          <w:numId w:val="6"/>
        </w:numPr>
        <w:spacing w:line="600" w:lineRule="exact"/>
        <w:ind w:left="230" w:leftChars="0" w:firstLine="400" w:firstLineChars="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社会保障和就业（208）行政事业单位养老支出（05）机关事业单位基本养老保险缴费支出（05）：指机关事业单</w:t>
      </w:r>
      <w:r>
        <w:rPr>
          <w:rFonts w:hint="eastAsia" w:ascii="仿宋" w:hAnsi="仿宋" w:eastAsia="仿宋" w:cs="仿宋"/>
          <w:color w:val="000000"/>
          <w:kern w:val="0"/>
          <w:sz w:val="32"/>
          <w:szCs w:val="32"/>
          <w:lang w:eastAsia="zh-CN"/>
        </w:rPr>
        <w:t>位</w:t>
      </w:r>
      <w:r>
        <w:rPr>
          <w:rFonts w:hint="eastAsia" w:ascii="仿宋" w:hAnsi="仿宋" w:eastAsia="仿宋" w:cs="仿宋"/>
          <w:color w:val="000000"/>
          <w:kern w:val="0"/>
          <w:sz w:val="32"/>
          <w:szCs w:val="32"/>
        </w:rPr>
        <w:t>实施养老保险制度由单位缴纳的基本养老保险缴费支出。</w:t>
      </w:r>
    </w:p>
    <w:p>
      <w:pPr>
        <w:pStyle w:val="2"/>
        <w:numPr>
          <w:ilvl w:val="0"/>
          <w:numId w:val="6"/>
        </w:numPr>
        <w:ind w:left="230" w:leftChars="0" w:firstLine="400" w:firstLineChars="0"/>
        <w:rPr>
          <w:rFonts w:hint="default"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社会保障和就业（208）行政事业单位养老支出（05）机关事业单位职业年金缴费支出（06）：反映机关事业单位实施养老保险制度由单位缴纳的职业年金支出（含职业年金补记支出）。</w:t>
      </w:r>
    </w:p>
    <w:p>
      <w:pPr>
        <w:pStyle w:val="2"/>
        <w:numPr>
          <w:ilvl w:val="0"/>
          <w:numId w:val="6"/>
        </w:numPr>
        <w:ind w:left="230" w:leftChars="0" w:firstLine="400" w:firstLineChars="0"/>
        <w:rPr>
          <w:rStyle w:val="9"/>
          <w:rFonts w:hint="default" w:ascii="仿宋" w:hAnsi="仿宋" w:eastAsia="仿宋"/>
          <w:b w:val="0"/>
          <w:bCs w:val="0"/>
          <w:color w:val="000000"/>
          <w:sz w:val="32"/>
          <w:szCs w:val="32"/>
          <w:highlight w:val="none"/>
          <w:lang w:val="en-US"/>
        </w:rPr>
      </w:pPr>
      <w:r>
        <w:rPr>
          <w:rStyle w:val="9"/>
          <w:rFonts w:hint="eastAsia" w:ascii="仿宋" w:hAnsi="仿宋" w:eastAsia="仿宋"/>
          <w:b w:val="0"/>
          <w:bCs w:val="0"/>
          <w:color w:val="000000"/>
          <w:sz w:val="32"/>
          <w:szCs w:val="32"/>
          <w:highlight w:val="none"/>
        </w:rPr>
        <w:t>社会保障和就业（208）财政代缴社会保险费支出</w:t>
      </w:r>
      <w:r>
        <w:rPr>
          <w:rStyle w:val="9"/>
          <w:rFonts w:hint="eastAsia" w:ascii="仿宋" w:hAnsi="仿宋" w:eastAsia="仿宋"/>
          <w:b w:val="0"/>
          <w:bCs w:val="0"/>
          <w:color w:val="000000"/>
          <w:sz w:val="32"/>
          <w:szCs w:val="32"/>
          <w:highlight w:val="none"/>
          <w:lang w:eastAsia="zh-CN"/>
        </w:rPr>
        <w:t>（</w:t>
      </w:r>
      <w:r>
        <w:rPr>
          <w:rStyle w:val="9"/>
          <w:rFonts w:hint="eastAsia" w:ascii="仿宋" w:hAnsi="仿宋" w:eastAsia="仿宋"/>
          <w:b w:val="0"/>
          <w:bCs w:val="0"/>
          <w:color w:val="000000"/>
          <w:sz w:val="32"/>
          <w:szCs w:val="32"/>
          <w:highlight w:val="none"/>
          <w:lang w:val="en-US" w:eastAsia="zh-CN"/>
        </w:rPr>
        <w:t>30）财政代缴城乡居民基本养老保险费支出（01）：反映财政为生活困难人员缴纳的城乡居民基本养老保险费支出。</w:t>
      </w:r>
    </w:p>
    <w:p>
      <w:pPr>
        <w:numPr>
          <w:ilvl w:val="0"/>
          <w:numId w:val="6"/>
        </w:numPr>
        <w:spacing w:line="600" w:lineRule="exact"/>
        <w:ind w:left="230" w:leftChars="0" w:firstLine="400" w:firstLineChars="0"/>
        <w:rPr>
          <w:rFonts w:hint="eastAsia" w:ascii="仿宋" w:hAnsi="仿宋" w:eastAsia="仿宋" w:cs="仿宋"/>
          <w:sz w:val="32"/>
          <w:szCs w:val="32"/>
        </w:rPr>
      </w:pPr>
      <w:r>
        <w:rPr>
          <w:rFonts w:hint="eastAsia" w:ascii="仿宋" w:hAnsi="仿宋" w:eastAsia="仿宋" w:cs="仿宋"/>
          <w:sz w:val="32"/>
          <w:szCs w:val="32"/>
        </w:rPr>
        <w:t>社会保障和就业（208）其他社会保障和就业支出（99）其他社会保障和就业支出（99）：反映单位其他用于社会保障和就业方面的支出。</w:t>
      </w:r>
    </w:p>
    <w:p>
      <w:pPr>
        <w:numPr>
          <w:ilvl w:val="0"/>
          <w:numId w:val="6"/>
        </w:numPr>
        <w:spacing w:line="600" w:lineRule="exact"/>
        <w:ind w:left="230" w:leftChars="0" w:firstLine="400" w:firstLineChars="0"/>
        <w:rPr>
          <w:rFonts w:hint="eastAsia" w:ascii="仿宋" w:hAnsi="仿宋" w:eastAsia="仿宋" w:cs="仿宋"/>
          <w:sz w:val="32"/>
          <w:szCs w:val="32"/>
        </w:rPr>
      </w:pPr>
      <w:r>
        <w:rPr>
          <w:rFonts w:hint="eastAsia" w:ascii="仿宋" w:hAnsi="仿宋" w:eastAsia="仿宋" w:cs="仿宋"/>
          <w:sz w:val="32"/>
          <w:szCs w:val="32"/>
        </w:rPr>
        <w:t>卫生健康支出（210）行政事业单位医疗（11）事业单位医疗（02）：指反映财政部门安排事业单位基本医疗保险缴费经费，未参加医疗保险的行政单位的公费医疗经费，按国家规定享受离退休人员待遇的医疗经费。</w:t>
      </w:r>
    </w:p>
    <w:p>
      <w:pPr>
        <w:numPr>
          <w:ilvl w:val="0"/>
          <w:numId w:val="6"/>
        </w:numPr>
        <w:spacing w:line="600" w:lineRule="exact"/>
        <w:ind w:left="230" w:leftChars="0" w:firstLine="400" w:firstLineChars="0"/>
        <w:rPr>
          <w:rFonts w:hint="eastAsia" w:ascii="仿宋" w:hAnsi="仿宋" w:eastAsia="仿宋" w:cs="仿宋"/>
          <w:sz w:val="32"/>
          <w:szCs w:val="32"/>
        </w:rPr>
      </w:pPr>
      <w:r>
        <w:rPr>
          <w:rFonts w:hint="eastAsia" w:ascii="仿宋" w:hAnsi="仿宋" w:eastAsia="仿宋" w:cs="仿宋"/>
          <w:sz w:val="32"/>
          <w:szCs w:val="32"/>
        </w:rPr>
        <w:t>卫生健康支出（210）行政事业单位医疗（11）公务员医疗补助（03）：反映财政部门安排的公务员医疗补助经费。</w:t>
      </w:r>
    </w:p>
    <w:p>
      <w:pPr>
        <w:numPr>
          <w:ilvl w:val="0"/>
          <w:numId w:val="6"/>
        </w:numPr>
        <w:spacing w:line="600" w:lineRule="exact"/>
        <w:ind w:left="230" w:leftChars="0" w:firstLine="400" w:firstLineChars="0"/>
        <w:rPr>
          <w:rFonts w:hint="eastAsia" w:ascii="仿宋" w:hAnsi="仿宋" w:eastAsia="仿宋" w:cs="仿宋"/>
          <w:b/>
          <w:sz w:val="32"/>
          <w:szCs w:val="32"/>
        </w:rPr>
      </w:pPr>
      <w:r>
        <w:rPr>
          <w:rFonts w:hint="eastAsia" w:ascii="仿宋" w:hAnsi="仿宋" w:eastAsia="仿宋" w:cs="仿宋"/>
          <w:sz w:val="32"/>
          <w:szCs w:val="32"/>
        </w:rPr>
        <w:t>住房保障（221）住房改革支出（02）住房公积金（01）：指反映行政事业单位按人力资源和社会保障部、财政部规定的基本工资和津补贴以及规定比例为职工缴纳的住房公积金。</w:t>
      </w:r>
    </w:p>
    <w:p>
      <w:pPr>
        <w:numPr>
          <w:ilvl w:val="0"/>
          <w:numId w:val="6"/>
        </w:numPr>
        <w:ind w:left="230" w:leftChars="0" w:firstLine="400" w:firstLineChars="0"/>
        <w:rPr>
          <w:rFonts w:hint="eastAsia" w:ascii="仿宋" w:hAnsi="仿宋" w:eastAsia="仿宋" w:cs="仿宋"/>
          <w:sz w:val="32"/>
          <w:szCs w:val="32"/>
        </w:rPr>
      </w:pPr>
      <w:r>
        <w:rPr>
          <w:rFonts w:hint="eastAsia" w:ascii="仿宋" w:hAnsi="仿宋" w:eastAsia="仿宋" w:cs="仿宋"/>
          <w:sz w:val="32"/>
          <w:szCs w:val="32"/>
        </w:rPr>
        <w:t>基本支出：指为保障机构正常运转、完成日常工作任务而发生的人员支出和公用支出。</w:t>
      </w:r>
    </w:p>
    <w:p>
      <w:pPr>
        <w:numPr>
          <w:ilvl w:val="0"/>
          <w:numId w:val="6"/>
        </w:numPr>
        <w:ind w:left="230" w:leftChars="0" w:firstLine="400" w:firstLineChars="0"/>
        <w:rPr>
          <w:rFonts w:hint="eastAsia" w:ascii="仿宋" w:hAnsi="仿宋" w:eastAsia="仿宋" w:cs="仿宋"/>
          <w:sz w:val="32"/>
          <w:szCs w:val="32"/>
        </w:rPr>
      </w:pPr>
      <w:r>
        <w:rPr>
          <w:rFonts w:hint="eastAsia" w:ascii="仿宋" w:hAnsi="仿宋" w:eastAsia="仿宋" w:cs="仿宋"/>
          <w:sz w:val="32"/>
          <w:szCs w:val="32"/>
        </w:rPr>
        <w:t xml:space="preserve">项目支出：指在基本支出之外为完成特定行政任务和事业发展目标所发生的支出。 </w:t>
      </w:r>
    </w:p>
    <w:p>
      <w:pPr>
        <w:numPr>
          <w:ilvl w:val="0"/>
          <w:numId w:val="6"/>
        </w:numPr>
        <w:ind w:left="230" w:leftChars="0" w:firstLine="400" w:firstLineChars="0"/>
        <w:rPr>
          <w:rFonts w:hint="eastAsia" w:ascii="仿宋" w:hAnsi="仿宋" w:eastAsia="仿宋" w:cs="仿宋"/>
          <w:sz w:val="32"/>
          <w:szCs w:val="32"/>
        </w:rPr>
      </w:pPr>
      <w:r>
        <w:rPr>
          <w:rFonts w:hint="eastAsia" w:ascii="仿宋" w:hAnsi="仿宋" w:eastAsia="仿宋" w:cs="仿宋"/>
          <w:sz w:val="32"/>
          <w:szCs w:val="32"/>
        </w:rPr>
        <w:t>经营支出：指事业单位在专业业务活动及其辅助活动之外开展非独立核算经营活动发生的支出。</w:t>
      </w:r>
    </w:p>
    <w:p>
      <w:pPr>
        <w:pStyle w:val="15"/>
        <w:numPr>
          <w:ilvl w:val="0"/>
          <w:numId w:val="6"/>
        </w:numPr>
        <w:spacing w:line="560" w:lineRule="exact"/>
        <w:ind w:left="230" w:leftChars="0" w:firstLine="400" w:firstLineChars="0"/>
        <w:rPr>
          <w:rFonts w:hint="eastAsia" w:ascii="仿宋" w:hAnsi="仿宋" w:eastAsia="仿宋" w:cs="仿宋"/>
          <w:color w:val="auto"/>
          <w:sz w:val="32"/>
          <w:szCs w:val="32"/>
        </w:rPr>
      </w:pPr>
      <w:r>
        <w:rPr>
          <w:rFonts w:hint="eastAsia" w:ascii="仿宋" w:hAnsi="仿宋" w:eastAsia="仿宋" w:cs="仿宋"/>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5"/>
        <w:numPr>
          <w:ilvl w:val="0"/>
          <w:numId w:val="6"/>
        </w:numPr>
        <w:spacing w:line="560" w:lineRule="exact"/>
        <w:ind w:left="230" w:leftChars="0" w:firstLine="400" w:firstLineChars="0"/>
        <w:rPr>
          <w:rFonts w:hint="eastAsia" w:ascii="宋体"/>
          <w:b/>
          <w:color w:val="auto"/>
          <w:sz w:val="44"/>
          <w:szCs w:val="44"/>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r>
        <w:rPr>
          <w:rFonts w:hint="eastAsia" w:ascii="仿宋" w:hAnsi="仿宋" w:eastAsia="仿宋" w:cs="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5"/>
        <w:spacing w:line="560" w:lineRule="exact"/>
        <w:jc w:val="center"/>
        <w:outlineLvl w:val="0"/>
        <w:rPr>
          <w:rStyle w:val="12"/>
          <w:rFonts w:ascii="黑体" w:hAnsi="黑体" w:eastAsia="黑体"/>
          <w:b w:val="0"/>
          <w:color w:val="auto"/>
          <w:highlight w:val="none"/>
        </w:rPr>
      </w:pPr>
      <w:bookmarkStart w:id="88" w:name="_Toc15396614"/>
      <w:bookmarkStart w:id="89" w:name="_Toc17715"/>
      <w:bookmarkStart w:id="90" w:name="_Toc25870"/>
      <w:r>
        <w:rPr>
          <w:rFonts w:hint="eastAsia" w:ascii="黑体" w:hAnsi="黑体" w:eastAsia="黑体"/>
          <w:color w:val="auto"/>
          <w:sz w:val="44"/>
          <w:szCs w:val="44"/>
          <w:highlight w:val="none"/>
        </w:rPr>
        <w:t>第</w:t>
      </w:r>
      <w:r>
        <w:rPr>
          <w:rStyle w:val="12"/>
          <w:rFonts w:hint="eastAsia" w:ascii="黑体" w:hAnsi="黑体" w:eastAsia="黑体"/>
          <w:b w:val="0"/>
          <w:color w:val="auto"/>
          <w:highlight w:val="none"/>
        </w:rPr>
        <w:t>四部分 附件</w:t>
      </w:r>
      <w:bookmarkEnd w:id="88"/>
      <w:bookmarkEnd w:id="89"/>
      <w:bookmarkEnd w:id="90"/>
    </w:p>
    <w:p>
      <w:pPr>
        <w:spacing w:line="600" w:lineRule="exact"/>
        <w:jc w:val="center"/>
        <w:outlineLvl w:val="9"/>
        <w:rPr>
          <w:rFonts w:hint="eastAsia" w:ascii="黑体" w:hAnsi="黑体" w:eastAsia="黑体"/>
          <w:sz w:val="44"/>
          <w:szCs w:val="44"/>
        </w:rPr>
      </w:pPr>
      <w:bookmarkStart w:id="91" w:name="_Toc29881"/>
    </w:p>
    <w:tbl>
      <w:tblPr>
        <w:tblStyle w:val="7"/>
        <w:tblW w:w="14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49"/>
        <w:gridCol w:w="1772"/>
        <w:gridCol w:w="2260"/>
        <w:gridCol w:w="521"/>
        <w:gridCol w:w="1675"/>
        <w:gridCol w:w="521"/>
        <w:gridCol w:w="1090"/>
        <w:gridCol w:w="505"/>
        <w:gridCol w:w="621"/>
        <w:gridCol w:w="2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51090322T000000352644-退休人员社会化管理服务工作经费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本年度开展享受社保待遇人员的生存认证及社会化管理服务工作，确保老人们在享受应得的养老金之余度过丰富多彩的晚年。2023年预计探望、慰问退休人员费用5000元，召开座谈、联谊会5000元，上门认证、到乡镇指导生存认证相关工作所产生的差旅及租车费50000元。确保养老金发放无误，有效防止基金流失。</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累计到乡镇、社区开展上门服务及慰问40余次，访问及关怀领取城乡居民养老保险的高龄及困难老人1000余人；完成2.96万名待遇领取人员的生存认证工作，确保了符合资格的领取人员养老金按时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网络平台认证、上门认证、局干部职工深入到村、社区协助认证等方式，对2023年领取待遇的人员生存状态进行确认，对未及时反馈信息的人员实施暂停发放，既保障养老金的正常发放，又有效防止了基金流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慰问亟需关心关注的领取人员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全年租用车辆数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召开座谈、文娱活动的次数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全年差旅费报销次数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活动出席率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受慰问人员准确率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养老金应发尽发率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待遇领取人员满意度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90.43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90.43分。该项目编制预算客观实际、准确完整、报送及时，符合我区经济和社会事业发展计划，符合本年度事业发展计划。并严格按要求使用资金，确保工作按时保质保量完成。通过项目实施，圆满完成2023年度城乡居民养老保险2.96万名待遇领取人员的生存认证工作，有效维护了社会稳定，防止了基金流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一是加强财政资金调度管理，提高预算执行进度；二是认真执行预算收支，完善内控稽核，防止挤占、挪用项目经费的现象出现；三是加强财务管理，合理控制运行支出，从而提高财政资金使用效率。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51090322T000000352704-网络维护费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确保2023年全年网络畅通，为居保业务工作提供保障。2023年对我局网络、专线进行维护，其中网络维护费18000元，业务专线36000元，互联网专线7200元，党政网专线3600元。</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2023年我单位共计使用网络维护经费4.86万元，确保我单位所有网络可正常投入使用，业务数据专线实现辖区全覆盖，业务办理延伸至乡镇、街道。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根据我局与运营公司签订网络维护协议及数据专线业务使用协议，对城乡居保业务专网、党政网和互联网等进行维护，达到正常的网络畅通。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网络专线使用条数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聘请第三方网络维护公司数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互联网专线运营商数量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党政网运营商数量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网络正常使用率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党政网正常运转率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业务专线畅通率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互联网使用畅通率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居保工作正常开展率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网络使用对象满意度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98.74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98.74分。该项目编制预算客观实际、准确完整、报送及时，符合我区经济和社会事业发展计划，符合本年度事业发展计划。并严格按要求使用资金，确保工作按时保质保量完成。通过项目实施，确保我单位20条网络专线实现辖区全覆盖，业务系统可正常投入使用，为参保人查询、办理城乡居保，领取人员生存认证等提供了便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精准编制绩效目标，完善项目评价方法；二是加强财政资金调度管理，提高预算执行进度；三是认真执行预算收支，完善内控稽核，防止挤占、挪用项目经费的现象出现；四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51090322T000000352748-个人权益记录经费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向参保缴费人员发送个人权益记录，使参保对象对个人参保情况了然于心。2023年预计向6万名参保人员发送个人权益记录，表册印制、邮寄费按每人1.5元计算，共计9万元。</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2023年我单位印制居保待遇资格认证通告及手机自助查询流程口袋10000余份，累计告知参保人员缴费情况 56798人，待遇领取情况28710人。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w:t>
            </w:r>
            <w:r>
              <w:rPr>
                <w:rFonts w:hint="eastAsia" w:ascii="宋体" w:hAnsi="宋体" w:cs="宋体"/>
                <w:i w:val="0"/>
                <w:iCs w:val="0"/>
                <w:color w:val="000000"/>
                <w:kern w:val="0"/>
                <w:sz w:val="18"/>
                <w:szCs w:val="18"/>
                <w:u w:val="none"/>
                <w:lang w:val="en-US" w:eastAsia="zh-CN" w:bidi="ar"/>
              </w:rPr>
              <w:t>人力资源和社会保障部</w:t>
            </w:r>
            <w:r>
              <w:rPr>
                <w:rFonts w:ascii="宋体" w:hAnsi="宋体" w:eastAsia="宋体" w:cs="宋体"/>
                <w:i w:val="0"/>
                <w:iCs w:val="0"/>
                <w:color w:val="000000"/>
                <w:kern w:val="0"/>
                <w:sz w:val="18"/>
                <w:szCs w:val="18"/>
                <w:u w:val="none"/>
                <w:lang w:val="en-US" w:eastAsia="zh-CN" w:bidi="ar"/>
              </w:rPr>
              <w:t>关于印发〈城乡居民基本养老保险经办规程〉的通知》（人社部发〔2019〕84号）第四章第十九条，“社保机构应当每年至少一次将参保人员的《城乡居民基本养老保险个人账户对账单》通过政府网站或手机短信等多种方式告知本人，同时应提供互联网服务渠道或线下服务渠道供参保人员查询打印《对账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告知参保情况的人数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85000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告知书送达准确率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告知书应发尽发率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95.56</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得分95.56分。该项目编制预算客观实际、准确完整、报送及时，符合我区经济和社会事业发展计划，符合本年度事业发展计划。并严格按要求使用资金，确保工作按时保质保量完成。通过项目实施，向8.5万名参保人员告知其个人参保情况，既保障每位参保人对自己的缴费或领取情况了然于心，又大大提升了其对我单位工作开展的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精准编制绩效目标，完善项目评价方法；二是加强财政资金调度管理，提高预算执行进度；三是认真执行预算收支，完善内控稽核，防止挤占、挪用项目经费的现象出现；四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51090322T000000352805-档案管理经费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2023年及以往年度档案部分档案规范化装订，提高档案业务效率及查全率。2023年预计整理档案650盒，按每盒100元计算，需65000元；对个人参保信息扫描入库，按每人3.5页计算，需0.38元/页*3.5页*30人/盒*650盒=25935元，需25000元。</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2023年度我单位完成居保综合业务档案归档入盒236盒，电子扫描47044页；参保人个人档案归档入盒48盒，电子扫描4646页。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人社部发〔2019〕84号第十章——档案管理要求，“城乡居民养老保险业务档案管理理应按照《社会保险业务档案管理规定（试行）》进行收集、整理、归档，确保业务档案有效保管、安全完整，配备专门的管理人员和必要的设施、场所，确保业务档案的安全，并根据需要配备适应档案现代化管理要求的技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档案整理装订盒数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盒</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电子扫描档案页数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万页</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51690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8.62</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档案整理达标率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电子扫描覆盖率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档案查全率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查阅对象满意度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得分92.99分。该项目编制预算客观实际、准确完整、报送及时，符合我区经济和社会事业发展计划，符合本年度事业发展计划。并严格按要求使用资金，确保工作按时保质保量完成。通过项目实施，对业务档案及参保人个人资料进行了整理，立卷归档，扫描入库，保管查询等。既保证业务档案真实完整，安全有效，同时进一步实现档案的规范化、便捷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精准编制绩效目标，完善项目评价方法；二是加强财政资金调度管理，提高预算执行进度；三是认真执行预算收支，完善内控稽核，防止挤占、挪用项目经费的现象出现；四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51090322T000000352872-居保社会保障专项工作经费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2023年聘用公益性岗位人员2名，劳务派遣人员4名，公益性岗位每人每月600元补助，聘用共计6名人员每人3600元/年考核奖励，600元*2人*12个月+3600元/年*6人=36000元。实现聘用人员应补尽补。</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2023年度我单位分别在办公室、稽核股各安排1名，待遇股、征缴股各安排2名聘用人员协助经办居保相关业务工作。全年共计发放聘用人员季度考核0.36万元、年度考核1.62万元，公益性岗位单位补助0.59万元。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为保障居保工作顺利开展，2023年度我单位聘用公益性岗位2名、临聘人员4名协助办理城乡居民养老保险相关业务工作，包含参保登记、人员信息变更、待遇追回及暂停、生存认证等。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聘用人员考核奖励发放人数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公益性岗位人数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聘用人员考核奖励发放准确率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公益性岗位补贴发放准确率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聘用人员应补尽补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补贴对象的满意度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得分97.14分。该项目编制预算客观实际、准确完整、报送及时，符合我区经济和社会事业发展计划，符合本年度事业发展计划。并严格按要求使用资金，确保工作按时保质保量完成。通过项目实施，我局2023年对2名公益性岗位、4名临聘人员按时足额发放人员补贴，应补尽补，</w:t>
            </w:r>
            <w:bookmarkStart w:id="132" w:name="_GoBack"/>
            <w:bookmarkEnd w:id="132"/>
            <w:r>
              <w:rPr>
                <w:rFonts w:hint="eastAsia" w:ascii="微软雅黑" w:hAnsi="微软雅黑" w:eastAsia="微软雅黑" w:cs="微软雅黑"/>
                <w:i w:val="0"/>
                <w:iCs w:val="0"/>
                <w:color w:val="000000"/>
                <w:kern w:val="0"/>
                <w:sz w:val="16"/>
                <w:szCs w:val="16"/>
                <w:u w:val="none"/>
                <w:lang w:val="en-US" w:eastAsia="zh-CN" w:bidi="ar"/>
              </w:rPr>
              <w:t>即使公益性岗位、临聘人员的利益得到保障，同时促进单位工作顺利开展，有效维护社会稳定。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精准编制绩效目标，完善项目评价方法；二是加强财政资金调度管理，提高预算执行进度；三是认真执行预算收支，完善内控稽核，防止挤占、挪用项目经费的现象出现；四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51090322T000000352904-被征地农民养老保障工作经费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用于开展被征地农民参保登记表、信息变更表、档案袋、宣传资料等印刷印制；以及召开培训会、下乡维稳等所产生的费用。包含：宣传费2000元，培训费3000元，差旅费10000元，租车费10000元，印刷费10000元。为保障被征地农民养老保障工作正常开展。</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2023年我单位累计到乡镇、村（社区）10余次，印制政策宣传单10000余份宣传被征地农民养老保障政策。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按照《四川省人力资源和社会保障厅 四川省财政厅 四川省自然资源厅关于印发〈四川省被征地农民养老保障实施办法〉的通知》（川人社发〔2018〕46号）要求，我单位经办辖区内的被征地农民养老保障工作，包含保障对象的信息录入、档案建立、待遇核发、资金管理、账务处理以及政策宣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车辆租用数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印制资料份数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召开培训会次数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培训内容知晓率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出差人员到岗率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宣传活动参与率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印刷内容验收合格率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宣传内容群众知晓率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被保障对象满意度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得分97.97分。该项目编制预算客观实际、准确完整、报送及时，符合我区经济和社会事业发展计划，符合本年度事业发展计划。并严格按要求使用资金，确保工作按时保质保量完成。通过项目实施，保障我单位经办被征地农民养老保障工作顺利开展，通过政策宣传、业务指导等，为工作的推进和落实创造良好的条件，有利于社会和谐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精准编制绩效目标，完善项目评价方法；二是加强财政资金调度管理，提高预算执行进度；三是认真执行预算收支，完善内控稽核，防止挤占、挪用项目经费的现象出现；四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51090322T000006161766-城乡居保2021年养老工伤市级统筹业务经费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为督促、激励我单位做好城乡居民养老保险参保登记、养老金发放、生存认证等工作，市局下拨相关工作经费6万元。</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2023年我单位共计办理新增参保人员397人；发放养老待遇28710人，发放金额4950.01万元；缴费人数20100人，征收总额4765.24万元；完成生存认证29650人。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集中培训、外出学习等方式，不断提升职工的业务经办能力和职业素养需求，推进单位工作有序开展。通过对城乡居民养老保险政策的宣传，持续提高群众对城乡居民养老保险的了解程度，还增强了群众维护个人权益的意识，达到提升群众满意度的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因工作安排减少培训、外出次数；较往年减少了到乡镇、街道进行政策宣传，业务指导的频次。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单位现有职工人数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职工出勤率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业务受理率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参保人员满意度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项目总成本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0.74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得分91.3分。该项目编制预算客观实际、准确完整、报送及时，符合我区经济和社会事业发展计划，符合本年度事业发展计划。并严格按要求使用资金，确保工作按时保质保量完成。通过项目实施，保质高效完成2023年新增参保办理、居保基金管理及养老金发放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项目评价分配方法尚不够科学完善，有待进一步加强。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精准编制绩效目标，完善项目评价方法；二是加强财政资金调度管理，提高预算执行进度；三是认真执行预算收支，完善内控稽核，防止挤占、挪用项目经费的现象出现；四是加强财务管理，合理控制运行支出，从而提高财政资金使用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51090323T000009320820-困难群众基本养老保险政府代缴区级配套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2023年为全区符合条件的5955名困难群众按每人每年100元的标准代缴城乡居民养老保险，区级承担50%，实现困难群众应保尽保。</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2023年我单位共计为6448名困难群众代缴城乡居民基本养老保险，使用区级配套资金32.24万元。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遂宁市委目标绩效管理办公室关于印发〈2023年全市重点民生实事目标任务、资金分解和进度安排表〉的通知》（遂绩办〔2023〕11号）要求，我单位为本辖区内低保对象、特困人员、返贫致贫人口等困难群体按每人每年100元的标准（区级匹配每人每年50元）代缴城乡居民基本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本年预计代缴人数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代缴准确率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困难群众应保尽保率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被代缴对象的满意度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代缴总金额（区级）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33.66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船山区2023年困难群众代缴任务数5955人，已完成。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得分100分。该项目编制预算客观实际、准确完整、报送及时，符合我区经济和社会事业发展计划，符合本年度事业发展计划。并严格按要求使用资金，确保工作按时保质保量完成。通过项目实施，通过项目实施，保障我辖区内每一位困难群众都享受到参加社会基本养老保险的权利，进一步实现应保尽保，老有所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6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51090323T000009404884-困难群众基本养老保险政府代缴上级资金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四川省遂宁市船山区人力资源和社会保障局部门</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四川省遂宁市船山区城乡居民社会养老保险事业管理局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2023年为全区符合条件的5955名困难群众按每人每年100元的标准（其中：省级补助50元）代缴城乡居民养老保险，实现困难群众应保尽保。</w:t>
            </w:r>
          </w:p>
        </w:tc>
        <w:tc>
          <w:tcPr>
            <w:tcW w:w="47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2023年我单位共计为6448名困难群众代缴城乡居民基本养老保险，使用省级资金32.24万元。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52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财社〔2023〕41号、遂财社〔2023〕69号要求，拨付我辖区2023年度省级财政困难群众养老保险代缴资金34.25万元，用于为低保对象、特困人员、返贫致贫人口等困难群体按每人每年100元的标准（省级每人每年50元）代缴城乡居民基本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本年预计代缴人数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6448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代缴准确率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困难群众应保尽保率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被代缴对象的满意度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代缴总金额（区级）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船山区2023年困难群众代缴任务数5955人，已完成。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目自评得分100分。该项目编制预算客观实际、准确完整、报送及时，符合我区经济和社会事业发展计划，符合本年度事业发展计划。并严格按要求使用资金，确保工作按时保质保量完成。通过项目实施，保障我辖区内每一位困难群众都享受到参加社会基本养老保险的权利，进一步实现应保尽保，老有所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2"/>
        <w:ind w:left="0" w:leftChars="0" w:firstLine="0" w:firstLineChars="0"/>
        <w:rPr>
          <w:rFonts w:hint="eastAsia"/>
        </w:rPr>
        <w:sectPr>
          <w:pgSz w:w="16838" w:h="11906" w:orient="landscape"/>
          <w:pgMar w:top="1803" w:right="1440" w:bottom="1803" w:left="1440" w:header="851" w:footer="992" w:gutter="0"/>
          <w:pgNumType w:fmt="decimal"/>
          <w:cols w:space="0" w:num="1"/>
          <w:titlePg/>
          <w:rtlGutter w:val="0"/>
          <w:docGrid w:type="lines" w:linePitch="319" w:charSpace="0"/>
        </w:sectPr>
      </w:pPr>
    </w:p>
    <w:p>
      <w:pPr>
        <w:pStyle w:val="2"/>
        <w:ind w:left="0" w:leftChars="0" w:firstLine="0" w:firstLineChars="0"/>
        <w:rPr>
          <w:rFonts w:hint="eastAsia"/>
        </w:rPr>
      </w:pPr>
    </w:p>
    <w:p>
      <w:pPr>
        <w:spacing w:line="600" w:lineRule="exact"/>
        <w:jc w:val="center"/>
        <w:outlineLvl w:val="0"/>
        <w:rPr>
          <w:rFonts w:ascii="仿宋" w:hAnsi="仿宋" w:eastAsia="仿宋"/>
        </w:rPr>
      </w:pPr>
      <w:bookmarkStart w:id="92" w:name="_Toc14778"/>
      <w:r>
        <w:rPr>
          <w:rFonts w:hint="eastAsia" w:ascii="黑体" w:hAnsi="黑体" w:eastAsia="黑体"/>
          <w:sz w:val="44"/>
          <w:szCs w:val="44"/>
        </w:rPr>
        <w:t>第</w:t>
      </w:r>
      <w:r>
        <w:rPr>
          <w:rStyle w:val="12"/>
          <w:rFonts w:hint="eastAsia" w:ascii="黑体" w:hAnsi="黑体" w:eastAsia="黑体"/>
          <w:b w:val="0"/>
        </w:rPr>
        <w:t>五部分 附表</w:t>
      </w:r>
      <w:bookmarkEnd w:id="91"/>
      <w:bookmarkEnd w:id="92"/>
      <w:bookmarkStart w:id="93" w:name="_Toc15396619"/>
    </w:p>
    <w:p>
      <w:pPr>
        <w:pStyle w:val="4"/>
        <w:rPr>
          <w:rFonts w:ascii="仿宋" w:hAnsi="仿宋" w:eastAsia="仿宋"/>
        </w:rPr>
      </w:pPr>
      <w:bookmarkStart w:id="94" w:name="_Toc9425"/>
      <w:bookmarkStart w:id="95" w:name="_Toc11570"/>
      <w:r>
        <w:rPr>
          <w:rFonts w:hint="eastAsia" w:ascii="仿宋" w:hAnsi="仿宋" w:eastAsia="仿宋"/>
          <w:b w:val="0"/>
        </w:rPr>
        <w:t>一、收</w:t>
      </w:r>
      <w:r>
        <w:rPr>
          <w:rStyle w:val="13"/>
          <w:rFonts w:hint="eastAsia" w:ascii="仿宋" w:hAnsi="仿宋" w:eastAsia="仿宋"/>
          <w:b w:val="0"/>
          <w:bCs w:val="0"/>
        </w:rPr>
        <w:t>入支出决算总表</w:t>
      </w:r>
      <w:bookmarkEnd w:id="93"/>
      <w:bookmarkEnd w:id="94"/>
      <w:bookmarkEnd w:id="95"/>
    </w:p>
    <w:p>
      <w:pPr>
        <w:pStyle w:val="4"/>
        <w:rPr>
          <w:rFonts w:ascii="仿宋" w:hAnsi="仿宋" w:eastAsia="仿宋"/>
        </w:rPr>
      </w:pPr>
      <w:bookmarkStart w:id="96" w:name="_Toc11407"/>
      <w:bookmarkStart w:id="97" w:name="_Toc15396620"/>
      <w:bookmarkStart w:id="98" w:name="_Toc3293"/>
      <w:r>
        <w:rPr>
          <w:rFonts w:hint="eastAsia" w:ascii="仿宋" w:hAnsi="仿宋" w:eastAsia="仿宋"/>
          <w:b w:val="0"/>
        </w:rPr>
        <w:t>二、收</w:t>
      </w:r>
      <w:r>
        <w:rPr>
          <w:rStyle w:val="13"/>
          <w:rFonts w:hint="eastAsia" w:ascii="仿宋" w:hAnsi="仿宋" w:eastAsia="仿宋"/>
          <w:b w:val="0"/>
          <w:bCs w:val="0"/>
        </w:rPr>
        <w:t>入决算表</w:t>
      </w:r>
      <w:bookmarkEnd w:id="96"/>
      <w:bookmarkEnd w:id="97"/>
      <w:bookmarkEnd w:id="98"/>
    </w:p>
    <w:p>
      <w:pPr>
        <w:pStyle w:val="4"/>
        <w:rPr>
          <w:rFonts w:ascii="仿宋" w:hAnsi="仿宋" w:eastAsia="仿宋"/>
        </w:rPr>
      </w:pPr>
      <w:bookmarkStart w:id="99" w:name="_Toc31321"/>
      <w:bookmarkStart w:id="100" w:name="_Toc16624"/>
      <w:bookmarkStart w:id="101" w:name="_Toc15396621"/>
      <w:r>
        <w:rPr>
          <w:rStyle w:val="13"/>
          <w:rFonts w:hint="eastAsia" w:ascii="仿宋" w:hAnsi="仿宋" w:eastAsia="仿宋"/>
          <w:b w:val="0"/>
          <w:bCs w:val="0"/>
        </w:rPr>
        <w:t>三、</w:t>
      </w:r>
      <w:r>
        <w:rPr>
          <w:rFonts w:hint="eastAsia" w:ascii="仿宋" w:hAnsi="仿宋" w:eastAsia="仿宋"/>
          <w:b w:val="0"/>
        </w:rPr>
        <w:t>支</w:t>
      </w:r>
      <w:r>
        <w:rPr>
          <w:rStyle w:val="13"/>
          <w:rFonts w:hint="eastAsia" w:ascii="仿宋" w:hAnsi="仿宋" w:eastAsia="仿宋"/>
          <w:b w:val="0"/>
          <w:bCs w:val="0"/>
        </w:rPr>
        <w:t>出决算表</w:t>
      </w:r>
      <w:bookmarkEnd w:id="99"/>
      <w:bookmarkEnd w:id="100"/>
      <w:bookmarkEnd w:id="101"/>
    </w:p>
    <w:p>
      <w:pPr>
        <w:pStyle w:val="4"/>
        <w:rPr>
          <w:rFonts w:ascii="仿宋" w:hAnsi="仿宋" w:eastAsia="仿宋"/>
          <w:b w:val="0"/>
        </w:rPr>
      </w:pPr>
      <w:bookmarkStart w:id="102" w:name="_Toc15396622"/>
      <w:bookmarkStart w:id="103" w:name="_Toc8327"/>
      <w:bookmarkStart w:id="104" w:name="_Toc25029"/>
      <w:r>
        <w:rPr>
          <w:rStyle w:val="13"/>
          <w:rFonts w:hint="eastAsia" w:ascii="仿宋" w:hAnsi="仿宋" w:eastAsia="仿宋"/>
          <w:b w:val="0"/>
          <w:bCs w:val="0"/>
        </w:rPr>
        <w:t>四、</w:t>
      </w:r>
      <w:r>
        <w:rPr>
          <w:rFonts w:hint="eastAsia" w:ascii="仿宋" w:hAnsi="仿宋" w:eastAsia="仿宋"/>
          <w:b w:val="0"/>
        </w:rPr>
        <w:t>财</w:t>
      </w:r>
      <w:r>
        <w:rPr>
          <w:rStyle w:val="13"/>
          <w:rFonts w:hint="eastAsia" w:ascii="仿宋" w:hAnsi="仿宋" w:eastAsia="仿宋"/>
          <w:b w:val="0"/>
          <w:bCs w:val="0"/>
        </w:rPr>
        <w:t>政拨款收入支出决算总表</w:t>
      </w:r>
      <w:bookmarkEnd w:id="102"/>
      <w:bookmarkEnd w:id="103"/>
      <w:bookmarkEnd w:id="104"/>
    </w:p>
    <w:p>
      <w:pPr>
        <w:pStyle w:val="4"/>
        <w:rPr>
          <w:rStyle w:val="13"/>
          <w:rFonts w:ascii="仿宋" w:hAnsi="仿宋" w:eastAsia="仿宋"/>
          <w:b w:val="0"/>
          <w:bCs w:val="0"/>
        </w:rPr>
      </w:pPr>
      <w:bookmarkStart w:id="105" w:name="_Toc23512"/>
      <w:bookmarkStart w:id="106" w:name="_Toc3330"/>
      <w:bookmarkStart w:id="107" w:name="_Toc15396623"/>
      <w:r>
        <w:rPr>
          <w:rStyle w:val="13"/>
          <w:rFonts w:hint="eastAsia" w:ascii="仿宋" w:hAnsi="仿宋" w:eastAsia="仿宋"/>
          <w:b w:val="0"/>
          <w:bCs w:val="0"/>
        </w:rPr>
        <w:t>五、</w:t>
      </w:r>
      <w:r>
        <w:rPr>
          <w:rFonts w:hint="eastAsia" w:ascii="仿宋" w:hAnsi="仿宋" w:eastAsia="仿宋"/>
          <w:b w:val="0"/>
        </w:rPr>
        <w:t>财</w:t>
      </w:r>
      <w:r>
        <w:rPr>
          <w:rStyle w:val="13"/>
          <w:rFonts w:hint="eastAsia" w:ascii="仿宋" w:hAnsi="仿宋" w:eastAsia="仿宋"/>
          <w:b w:val="0"/>
          <w:bCs w:val="0"/>
        </w:rPr>
        <w:t>政拨款支出决算明细表</w:t>
      </w:r>
      <w:bookmarkEnd w:id="105"/>
      <w:bookmarkEnd w:id="106"/>
      <w:bookmarkEnd w:id="107"/>
      <w:bookmarkStart w:id="108" w:name="_Toc15396624"/>
    </w:p>
    <w:p>
      <w:pPr>
        <w:pStyle w:val="4"/>
        <w:rPr>
          <w:rFonts w:ascii="仿宋" w:hAnsi="仿宋" w:eastAsia="仿宋"/>
        </w:rPr>
      </w:pPr>
      <w:bookmarkStart w:id="109" w:name="_Toc13454"/>
      <w:bookmarkStart w:id="110" w:name="_Toc27071"/>
      <w:r>
        <w:rPr>
          <w:rStyle w:val="13"/>
          <w:rFonts w:hint="eastAsia" w:ascii="仿宋" w:hAnsi="仿宋" w:eastAsia="仿宋"/>
          <w:b w:val="0"/>
          <w:bCs w:val="0"/>
        </w:rPr>
        <w:t>六、</w:t>
      </w:r>
      <w:r>
        <w:rPr>
          <w:rFonts w:hint="eastAsia" w:ascii="仿宋" w:hAnsi="仿宋" w:eastAsia="仿宋"/>
          <w:b w:val="0"/>
        </w:rPr>
        <w:t>一</w:t>
      </w:r>
      <w:r>
        <w:rPr>
          <w:rStyle w:val="13"/>
          <w:rFonts w:hint="eastAsia" w:ascii="仿宋" w:hAnsi="仿宋" w:eastAsia="仿宋"/>
          <w:b w:val="0"/>
          <w:bCs w:val="0"/>
        </w:rPr>
        <w:t>般公共预算财政拨款支出决算表</w:t>
      </w:r>
      <w:bookmarkEnd w:id="108"/>
      <w:bookmarkEnd w:id="109"/>
      <w:bookmarkEnd w:id="110"/>
    </w:p>
    <w:p>
      <w:pPr>
        <w:pStyle w:val="4"/>
        <w:rPr>
          <w:rFonts w:ascii="仿宋" w:hAnsi="仿宋" w:eastAsia="仿宋"/>
        </w:rPr>
      </w:pPr>
      <w:bookmarkStart w:id="111" w:name="_Toc15396625"/>
      <w:bookmarkStart w:id="112" w:name="_Toc3532"/>
      <w:bookmarkStart w:id="113" w:name="_Toc24873"/>
      <w:r>
        <w:rPr>
          <w:rStyle w:val="13"/>
          <w:rFonts w:hint="eastAsia" w:ascii="仿宋" w:hAnsi="仿宋" w:eastAsia="仿宋"/>
          <w:b w:val="0"/>
          <w:bCs w:val="0"/>
        </w:rPr>
        <w:t>七、</w:t>
      </w:r>
      <w:r>
        <w:rPr>
          <w:rFonts w:hint="eastAsia" w:ascii="仿宋" w:hAnsi="仿宋" w:eastAsia="仿宋"/>
          <w:b w:val="0"/>
        </w:rPr>
        <w:t>一</w:t>
      </w:r>
      <w:r>
        <w:rPr>
          <w:rStyle w:val="13"/>
          <w:rFonts w:hint="eastAsia" w:ascii="仿宋" w:hAnsi="仿宋" w:eastAsia="仿宋"/>
          <w:b w:val="0"/>
          <w:bCs w:val="0"/>
        </w:rPr>
        <w:t>般公共预算财政拨款支出决算明细表</w:t>
      </w:r>
      <w:bookmarkEnd w:id="111"/>
      <w:bookmarkEnd w:id="112"/>
      <w:bookmarkEnd w:id="113"/>
    </w:p>
    <w:p>
      <w:pPr>
        <w:pStyle w:val="4"/>
        <w:rPr>
          <w:rFonts w:ascii="仿宋" w:hAnsi="仿宋" w:eastAsia="仿宋"/>
        </w:rPr>
      </w:pPr>
      <w:bookmarkStart w:id="114" w:name="_Toc15396626"/>
      <w:bookmarkStart w:id="115" w:name="_Toc28516"/>
      <w:bookmarkStart w:id="116" w:name="_Toc13685"/>
      <w:r>
        <w:rPr>
          <w:rStyle w:val="13"/>
          <w:rFonts w:hint="eastAsia" w:ascii="仿宋" w:hAnsi="仿宋" w:eastAsia="仿宋"/>
          <w:b w:val="0"/>
          <w:bCs w:val="0"/>
        </w:rPr>
        <w:t>八、</w:t>
      </w:r>
      <w:r>
        <w:rPr>
          <w:rFonts w:hint="eastAsia" w:ascii="仿宋" w:hAnsi="仿宋" w:eastAsia="仿宋"/>
          <w:b w:val="0"/>
        </w:rPr>
        <w:t>一</w:t>
      </w:r>
      <w:r>
        <w:rPr>
          <w:rStyle w:val="13"/>
          <w:rFonts w:hint="eastAsia" w:ascii="仿宋" w:hAnsi="仿宋" w:eastAsia="仿宋"/>
          <w:b w:val="0"/>
          <w:bCs w:val="0"/>
        </w:rPr>
        <w:t>般公共预算财政拨款基本支出决算表</w:t>
      </w:r>
      <w:bookmarkEnd w:id="114"/>
      <w:bookmarkEnd w:id="115"/>
      <w:bookmarkEnd w:id="116"/>
    </w:p>
    <w:p>
      <w:pPr>
        <w:pStyle w:val="4"/>
        <w:rPr>
          <w:rFonts w:ascii="仿宋" w:hAnsi="仿宋" w:eastAsia="仿宋"/>
        </w:rPr>
      </w:pPr>
      <w:bookmarkStart w:id="117" w:name="_Toc7844"/>
      <w:bookmarkStart w:id="118" w:name="_Toc15396627"/>
      <w:bookmarkStart w:id="119" w:name="_Toc31826"/>
      <w:r>
        <w:rPr>
          <w:rStyle w:val="13"/>
          <w:rFonts w:hint="eastAsia" w:ascii="仿宋" w:hAnsi="仿宋" w:eastAsia="仿宋"/>
          <w:b w:val="0"/>
          <w:bCs w:val="0"/>
        </w:rPr>
        <w:t>九、</w:t>
      </w:r>
      <w:r>
        <w:rPr>
          <w:rFonts w:hint="eastAsia" w:ascii="仿宋" w:hAnsi="仿宋" w:eastAsia="仿宋"/>
          <w:b w:val="0"/>
        </w:rPr>
        <w:t>一</w:t>
      </w:r>
      <w:r>
        <w:rPr>
          <w:rStyle w:val="13"/>
          <w:rFonts w:hint="eastAsia" w:ascii="仿宋" w:hAnsi="仿宋" w:eastAsia="仿宋"/>
          <w:b w:val="0"/>
          <w:bCs w:val="0"/>
        </w:rPr>
        <w:t>般公共预算财政拨款项目支出决算表</w:t>
      </w:r>
      <w:bookmarkEnd w:id="117"/>
      <w:bookmarkEnd w:id="118"/>
      <w:bookmarkEnd w:id="119"/>
    </w:p>
    <w:p>
      <w:pPr>
        <w:pStyle w:val="4"/>
        <w:rPr>
          <w:rFonts w:ascii="仿宋" w:hAnsi="仿宋" w:eastAsia="仿宋"/>
        </w:rPr>
      </w:pPr>
      <w:bookmarkStart w:id="120" w:name="_Toc15396628"/>
      <w:bookmarkStart w:id="121" w:name="_Toc12239"/>
      <w:bookmarkStart w:id="122" w:name="_Toc4945"/>
      <w:r>
        <w:rPr>
          <w:rStyle w:val="13"/>
          <w:rFonts w:hint="eastAsia" w:ascii="仿宋" w:hAnsi="仿宋" w:eastAsia="仿宋"/>
          <w:b w:val="0"/>
          <w:bCs w:val="0"/>
        </w:rPr>
        <w:t>十、</w:t>
      </w:r>
      <w:bookmarkEnd w:id="120"/>
      <w:r>
        <w:rPr>
          <w:rFonts w:hint="eastAsia" w:ascii="仿宋" w:hAnsi="仿宋" w:eastAsia="仿宋"/>
          <w:b w:val="0"/>
        </w:rPr>
        <w:t>政</w:t>
      </w:r>
      <w:r>
        <w:rPr>
          <w:rStyle w:val="13"/>
          <w:rFonts w:hint="eastAsia" w:ascii="仿宋" w:hAnsi="仿宋" w:eastAsia="仿宋"/>
          <w:b w:val="0"/>
          <w:bCs w:val="0"/>
        </w:rPr>
        <w:t>府性基金预算财政拨款收入支出决算表</w:t>
      </w:r>
      <w:bookmarkEnd w:id="121"/>
      <w:bookmarkEnd w:id="122"/>
    </w:p>
    <w:p>
      <w:pPr>
        <w:pStyle w:val="4"/>
        <w:rPr>
          <w:rFonts w:ascii="仿宋" w:hAnsi="仿宋" w:eastAsia="仿宋"/>
        </w:rPr>
      </w:pPr>
      <w:bookmarkStart w:id="123" w:name="_Toc15396629"/>
      <w:bookmarkStart w:id="124" w:name="_Toc22874"/>
      <w:bookmarkStart w:id="125" w:name="_Toc23597"/>
      <w:r>
        <w:rPr>
          <w:rStyle w:val="13"/>
          <w:rFonts w:hint="eastAsia" w:ascii="仿宋" w:hAnsi="仿宋" w:eastAsia="仿宋"/>
          <w:b w:val="0"/>
          <w:bCs w:val="0"/>
        </w:rPr>
        <w:t>十一、</w:t>
      </w:r>
      <w:bookmarkEnd w:id="123"/>
      <w:r>
        <w:rPr>
          <w:rFonts w:hint="eastAsia" w:ascii="仿宋" w:hAnsi="仿宋" w:eastAsia="仿宋"/>
          <w:b w:val="0"/>
        </w:rPr>
        <w:t>国</w:t>
      </w:r>
      <w:r>
        <w:rPr>
          <w:rStyle w:val="13"/>
          <w:rFonts w:hint="eastAsia" w:ascii="仿宋" w:hAnsi="仿宋" w:eastAsia="仿宋"/>
          <w:b w:val="0"/>
          <w:bCs w:val="0"/>
        </w:rPr>
        <w:t>有资本经营预算财政拨款收入支出决算表</w:t>
      </w:r>
      <w:bookmarkEnd w:id="124"/>
      <w:bookmarkEnd w:id="125"/>
    </w:p>
    <w:p>
      <w:pPr>
        <w:pStyle w:val="4"/>
        <w:rPr>
          <w:rFonts w:ascii="仿宋" w:hAnsi="仿宋" w:eastAsia="仿宋"/>
        </w:rPr>
      </w:pPr>
      <w:bookmarkStart w:id="126" w:name="_Toc15396630"/>
      <w:bookmarkStart w:id="127" w:name="_Toc15369"/>
      <w:bookmarkStart w:id="128" w:name="_Toc17024"/>
      <w:r>
        <w:rPr>
          <w:rStyle w:val="13"/>
          <w:rFonts w:hint="eastAsia" w:ascii="仿宋" w:hAnsi="仿宋" w:eastAsia="仿宋"/>
          <w:b w:val="0"/>
          <w:bCs w:val="0"/>
        </w:rPr>
        <w:t>十二、</w:t>
      </w:r>
      <w:bookmarkEnd w:id="126"/>
      <w:r>
        <w:rPr>
          <w:rStyle w:val="13"/>
          <w:rFonts w:hint="eastAsia" w:ascii="仿宋" w:hAnsi="仿宋" w:eastAsia="仿宋"/>
          <w:b w:val="0"/>
          <w:bCs w:val="0"/>
        </w:rPr>
        <w:t>国有资本经营预算财政拨款支出决算表</w:t>
      </w:r>
      <w:bookmarkEnd w:id="127"/>
      <w:bookmarkEnd w:id="128"/>
    </w:p>
    <w:p>
      <w:pPr>
        <w:pStyle w:val="4"/>
        <w:rPr>
          <w:rFonts w:eastAsia="仿宋"/>
        </w:rPr>
      </w:pPr>
      <w:bookmarkStart w:id="129" w:name="_Toc15396631"/>
      <w:bookmarkStart w:id="130" w:name="_Toc21181"/>
      <w:bookmarkStart w:id="131" w:name="_Toc19838"/>
      <w:r>
        <w:rPr>
          <w:rStyle w:val="13"/>
          <w:rFonts w:hint="eastAsia" w:ascii="仿宋" w:hAnsi="仿宋" w:eastAsia="仿宋"/>
          <w:b w:val="0"/>
          <w:bCs w:val="0"/>
        </w:rPr>
        <w:t>十三、</w:t>
      </w:r>
      <w:bookmarkEnd w:id="129"/>
      <w:r>
        <w:rPr>
          <w:rStyle w:val="13"/>
          <w:rFonts w:hint="eastAsia" w:ascii="仿宋" w:hAnsi="仿宋" w:eastAsia="仿宋"/>
          <w:b w:val="0"/>
          <w:bCs w:val="0"/>
        </w:rPr>
        <w:t>财政拨款“三公”经费支出决算表</w:t>
      </w:r>
      <w:bookmarkEnd w:id="130"/>
      <w:bookmarkEnd w:id="131"/>
    </w:p>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sdt>
                    <w:sdtPr>
                      <w:id w:val="-1"/>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2"/>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285"/>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sdt>
                    <w:sdtPr>
                      <w:id w:val="147465285"/>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p>
                    <w:pPr>
                      <w:pStyle w:val="2"/>
                    </w:pPr>
                  </w:p>
                </w:txbxContent>
              </v:textbox>
            </v:shape>
          </w:pict>
        </mc:Fallback>
      </mc:AlternateContent>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DFBC7"/>
    <w:multiLevelType w:val="singleLevel"/>
    <w:tmpl w:val="BBADFBC7"/>
    <w:lvl w:ilvl="0" w:tentative="0">
      <w:start w:val="1"/>
      <w:numFmt w:val="decimal"/>
      <w:suff w:val="nothing"/>
      <w:lvlText w:val="%1．"/>
      <w:lvlJc w:val="left"/>
      <w:pPr>
        <w:ind w:left="230" w:firstLine="400"/>
      </w:pPr>
      <w:rPr>
        <w:rFonts w:hint="default"/>
        <w:b/>
        <w:bCs/>
        <w:color w:val="000000" w:themeColor="text1"/>
        <w:sz w:val="30"/>
        <w:szCs w:val="30"/>
        <w14:textFill>
          <w14:solidFill>
            <w14:schemeClr w14:val="tx1"/>
          </w14:solidFill>
        </w14:textFill>
      </w:rPr>
    </w:lvl>
  </w:abstractNum>
  <w:abstractNum w:abstractNumId="1">
    <w:nsid w:val="CEA79CE1"/>
    <w:multiLevelType w:val="singleLevel"/>
    <w:tmpl w:val="CEA79CE1"/>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3818A09A"/>
    <w:multiLevelType w:val="singleLevel"/>
    <w:tmpl w:val="3818A09A"/>
    <w:lvl w:ilvl="0" w:tentative="0">
      <w:start w:val="1"/>
      <w:numFmt w:val="chineseCounting"/>
      <w:suff w:val="nothing"/>
      <w:lvlText w:val="%1、"/>
      <w:lvlJc w:val="left"/>
      <w:rPr>
        <w:rFonts w:hint="eastAsia"/>
        <w:b/>
        <w:bCs/>
      </w:rPr>
    </w:lvl>
  </w:abstractNum>
  <w:abstractNum w:abstractNumId="5">
    <w:nsid w:val="69E4A409"/>
    <w:multiLevelType w:val="singleLevel"/>
    <w:tmpl w:val="69E4A409"/>
    <w:lvl w:ilvl="0" w:tentative="0">
      <w:start w:val="1"/>
      <w:numFmt w:val="decimal"/>
      <w:suff w:val="nothing"/>
      <w:lvlText w:val="%1．"/>
      <w:lvlJc w:val="left"/>
      <w:pPr>
        <w:ind w:left="230" w:firstLine="400"/>
      </w:pPr>
      <w:rPr>
        <w:rFonts w:hint="default" w:ascii="宋体" w:hAnsi="宋体" w:eastAsia="宋体" w:cs="宋体"/>
        <w:sz w:val="30"/>
        <w:szCs w:val="30"/>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zOTkyYjkzODQ4OWJlNDQxOTFlNTE0Yjk5M2RhMTQifQ=="/>
  </w:docVars>
  <w:rsids>
    <w:rsidRoot w:val="17FD11DB"/>
    <w:rsid w:val="01C070EF"/>
    <w:rsid w:val="022E51A4"/>
    <w:rsid w:val="031F252E"/>
    <w:rsid w:val="056B4B16"/>
    <w:rsid w:val="05B102C5"/>
    <w:rsid w:val="075D0324"/>
    <w:rsid w:val="07862999"/>
    <w:rsid w:val="09EB05D3"/>
    <w:rsid w:val="0BCF786E"/>
    <w:rsid w:val="101B45FA"/>
    <w:rsid w:val="112514F9"/>
    <w:rsid w:val="117C73E1"/>
    <w:rsid w:val="13337333"/>
    <w:rsid w:val="170B4961"/>
    <w:rsid w:val="17BE6AA9"/>
    <w:rsid w:val="17E54B40"/>
    <w:rsid w:val="17FD11DB"/>
    <w:rsid w:val="1CAE4A99"/>
    <w:rsid w:val="1E27246A"/>
    <w:rsid w:val="1F2B27CF"/>
    <w:rsid w:val="21C27070"/>
    <w:rsid w:val="2221489A"/>
    <w:rsid w:val="22EE1374"/>
    <w:rsid w:val="23BC5F31"/>
    <w:rsid w:val="25CB5C91"/>
    <w:rsid w:val="26AC341B"/>
    <w:rsid w:val="2B5D6F68"/>
    <w:rsid w:val="2D600BB4"/>
    <w:rsid w:val="2ECA0DA1"/>
    <w:rsid w:val="3060303A"/>
    <w:rsid w:val="308A2D68"/>
    <w:rsid w:val="30EE4C54"/>
    <w:rsid w:val="31BE5977"/>
    <w:rsid w:val="31EA3BF2"/>
    <w:rsid w:val="38AD19AF"/>
    <w:rsid w:val="3BBA69BD"/>
    <w:rsid w:val="3CE36F53"/>
    <w:rsid w:val="3D1D6575"/>
    <w:rsid w:val="3E8A2015"/>
    <w:rsid w:val="3ECE7988"/>
    <w:rsid w:val="3EDB4A95"/>
    <w:rsid w:val="3F7F7FBF"/>
    <w:rsid w:val="40490A4D"/>
    <w:rsid w:val="413E4F19"/>
    <w:rsid w:val="41593545"/>
    <w:rsid w:val="41595743"/>
    <w:rsid w:val="416D1BF0"/>
    <w:rsid w:val="433078C8"/>
    <w:rsid w:val="440432E7"/>
    <w:rsid w:val="46D87702"/>
    <w:rsid w:val="485A633F"/>
    <w:rsid w:val="48F621D2"/>
    <w:rsid w:val="49F650E8"/>
    <w:rsid w:val="4A2B0A3A"/>
    <w:rsid w:val="4B3A2EC9"/>
    <w:rsid w:val="4BFC55EA"/>
    <w:rsid w:val="4DC375BA"/>
    <w:rsid w:val="55122522"/>
    <w:rsid w:val="55705593"/>
    <w:rsid w:val="55C95DB4"/>
    <w:rsid w:val="567B6271"/>
    <w:rsid w:val="57315EF8"/>
    <w:rsid w:val="5BC16A98"/>
    <w:rsid w:val="5D903CA6"/>
    <w:rsid w:val="5E277CF3"/>
    <w:rsid w:val="5E454BA5"/>
    <w:rsid w:val="6012222A"/>
    <w:rsid w:val="602D40D8"/>
    <w:rsid w:val="625627E4"/>
    <w:rsid w:val="64AE5E3B"/>
    <w:rsid w:val="668C53CC"/>
    <w:rsid w:val="67900365"/>
    <w:rsid w:val="6A6809E4"/>
    <w:rsid w:val="6B146BDD"/>
    <w:rsid w:val="6B9F0C1C"/>
    <w:rsid w:val="6C5B6DD1"/>
    <w:rsid w:val="6EA6211A"/>
    <w:rsid w:val="70902CF3"/>
    <w:rsid w:val="709B5B4C"/>
    <w:rsid w:val="71140DE3"/>
    <w:rsid w:val="7284346E"/>
    <w:rsid w:val="72EB459F"/>
    <w:rsid w:val="72FA21B3"/>
    <w:rsid w:val="74193CB0"/>
    <w:rsid w:val="74746816"/>
    <w:rsid w:val="7519692A"/>
    <w:rsid w:val="75313FD1"/>
    <w:rsid w:val="76D54682"/>
    <w:rsid w:val="7880532E"/>
    <w:rsid w:val="794B07BC"/>
    <w:rsid w:val="7B0A4D55"/>
    <w:rsid w:val="7C4132B5"/>
    <w:rsid w:val="7CFF4EF2"/>
    <w:rsid w:val="7D0561C2"/>
    <w:rsid w:val="7D6F68C2"/>
    <w:rsid w:val="7F6A154F"/>
    <w:rsid w:val="7FCD343C"/>
    <w:rsid w:val="F767D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eastAsia="方正仿宋简体"/>
      <w:sz w:val="32"/>
    </w:rPr>
  </w:style>
  <w:style w:type="paragraph" w:styleId="5">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Strong"/>
    <w:basedOn w:val="8"/>
    <w:qFormat/>
    <w:uiPriority w:val="99"/>
    <w:rPr>
      <w:b/>
    </w:rPr>
  </w:style>
  <w:style w:type="paragraph" w:customStyle="1" w:styleId="10">
    <w:name w:val="WPSOffice手动目录 1"/>
    <w:qFormat/>
    <w:uiPriority w:val="0"/>
    <w:pPr>
      <w:ind w:leftChars="0"/>
    </w:pPr>
    <w:rPr>
      <w:rFonts w:ascii="Times New Roman" w:hAnsi="Times New Roman" w:eastAsia="宋体" w:cs="Times New Roman"/>
      <w:sz w:val="20"/>
      <w:szCs w:val="20"/>
    </w:rPr>
  </w:style>
  <w:style w:type="paragraph" w:customStyle="1" w:styleId="11">
    <w:name w:val="WPSOffice手动目录 2"/>
    <w:qFormat/>
    <w:uiPriority w:val="0"/>
    <w:pPr>
      <w:ind w:leftChars="200"/>
    </w:pPr>
    <w:rPr>
      <w:rFonts w:ascii="Times New Roman" w:hAnsi="Times New Roman" w:eastAsia="宋体" w:cs="Times New Roman"/>
      <w:sz w:val="20"/>
      <w:szCs w:val="20"/>
    </w:rPr>
  </w:style>
  <w:style w:type="character" w:customStyle="1" w:styleId="12">
    <w:name w:val="标题 1 Char"/>
    <w:basedOn w:val="8"/>
    <w:link w:val="3"/>
    <w:qFormat/>
    <w:uiPriority w:val="9"/>
    <w:rPr>
      <w:b/>
      <w:bCs/>
      <w:kern w:val="44"/>
      <w:sz w:val="44"/>
      <w:szCs w:val="44"/>
    </w:rPr>
  </w:style>
  <w:style w:type="character" w:customStyle="1" w:styleId="13">
    <w:name w:val="标题 2 Char"/>
    <w:basedOn w:val="8"/>
    <w:link w:val="4"/>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 w:type="paragraph" w:customStyle="1" w:styleId="1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023&#20915;&#31639;&#20844;&#24320;&#22270;&#24418;.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023&#20915;&#31639;&#20844;&#24320;&#22270;&#24418;.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023&#20915;&#31639;&#20844;&#24320;&#22270;&#24418;.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023&#20915;&#31639;&#20844;&#24320;&#22270;&#244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023&#20915;&#31639;&#20844;&#24320;&#22270;&#2441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023&#20915;&#31639;&#20844;&#24320;&#22270;&#2441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AppData\Local\Temp\wps.asPQyY\Workbook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[2023决算公开图形.xlsx]巡察办!$A$1:$B$1</c:f>
              <c:strCache>
                <c:ptCount val="2"/>
                <c:pt idx="0">
                  <c:v>2022年</c:v>
                </c:pt>
                <c:pt idx="1">
                  <c:v>2023年</c:v>
                </c:pt>
              </c:strCache>
            </c:strRef>
          </c:cat>
          <c:val>
            <c:numRef>
              <c:f>[2023决算公开图形.xlsx]巡察办!$A$2:$B$2</c:f>
              <c:numCache>
                <c:formatCode>General</c:formatCode>
                <c:ptCount val="2"/>
                <c:pt idx="0">
                  <c:v>376.38</c:v>
                </c:pt>
                <c:pt idx="1">
                  <c:v>389.35</c:v>
                </c:pt>
              </c:numCache>
            </c:numRef>
          </c:val>
        </c:ser>
        <c:dLbls>
          <c:showLegendKey val="0"/>
          <c:showVal val="1"/>
          <c:showCatName val="0"/>
          <c:showSerName val="0"/>
          <c:showPercent val="0"/>
          <c:showBubbleSize val="0"/>
        </c:dLbls>
        <c:gapWidth val="219"/>
        <c:overlap val="-27"/>
        <c:axId val="447935936"/>
        <c:axId val="595489974"/>
      </c:barChart>
      <c:catAx>
        <c:axId val="4479359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5489974"/>
        <c:crosses val="autoZero"/>
        <c:auto val="1"/>
        <c:lblAlgn val="ctr"/>
        <c:lblOffset val="100"/>
        <c:noMultiLvlLbl val="0"/>
      </c:catAx>
      <c:valAx>
        <c:axId val="595489974"/>
        <c:scaling>
          <c:orientation val="minMax"/>
          <c:max val="4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93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bg1"/>
              </a:solidFill>
              <a:ln w="6350">
                <a:solidFill>
                  <a:schemeClr val="accent1"/>
                </a:solidFill>
              </a:ln>
              <a:effectLst/>
              <a:sp3d contourW="6350"/>
            </c:spPr>
          </c:dPt>
          <c:dPt>
            <c:idx val="2"/>
            <c:bubble3D val="0"/>
            <c:spPr>
              <a:solidFill>
                <a:schemeClr val="accent3"/>
              </a:solidFill>
              <a:ln w="19050">
                <a:solidFill>
                  <a:schemeClr val="lt1"/>
                </a:solidFill>
              </a:ln>
              <a:effectLst/>
            </c:spPr>
          </c:dPt>
          <c:dLbls>
            <c:dLbl>
              <c:idx val="1"/>
              <c:layout>
                <c:manualLayout>
                  <c:x val="-0.0623111420453049"/>
                  <c:y val="0.01882870805531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27440913329049"/>
                  <c:y val="0.00841746735189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[2023决算公开图形.xlsx]巡察办!$A$27:$C$27</c:f>
              <c:strCache>
                <c:ptCount val="3"/>
                <c:pt idx="0">
                  <c:v>一般公共预算财政拨款收入</c:v>
                </c:pt>
                <c:pt idx="1">
                  <c:v>其他收入</c:v>
                </c:pt>
              </c:strCache>
            </c:strRef>
          </c:cat>
          <c:val>
            <c:numRef>
              <c:f>[2023决算公开图形.xlsx]巡察办!$A$28:$C$28</c:f>
              <c:numCache>
                <c:formatCode>0.00%</c:formatCode>
                <c:ptCount val="3"/>
                <c:pt idx="0">
                  <c:v>0.997</c:v>
                </c:pt>
                <c:pt idx="1">
                  <c:v>0.003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[2023决算公开图形.xlsx]巡察办!$A$47:$B$47</c:f>
              <c:strCache>
                <c:ptCount val="2"/>
                <c:pt idx="0">
                  <c:v>基本支出</c:v>
                </c:pt>
                <c:pt idx="1">
                  <c:v>项目支出</c:v>
                </c:pt>
              </c:strCache>
            </c:strRef>
          </c:cat>
          <c:val>
            <c:numRef>
              <c:f>[2023决算公开图形.xlsx]巡察办!$A$48:$B$48</c:f>
              <c:numCache>
                <c:formatCode>0.00%</c:formatCode>
                <c:ptCount val="2"/>
                <c:pt idx="0">
                  <c:v>0.716</c:v>
                </c:pt>
                <c:pt idx="1">
                  <c:v>0.284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[2023决算公开图形.xlsx]巡察办!$A$75:$B$75</c:f>
              <c:strCache>
                <c:ptCount val="2"/>
                <c:pt idx="0">
                  <c:v>2022年</c:v>
                </c:pt>
                <c:pt idx="1">
                  <c:v>2023年</c:v>
                </c:pt>
              </c:strCache>
            </c:strRef>
          </c:cat>
          <c:val>
            <c:numRef>
              <c:f>[2023决算公开图形.xlsx]巡察办!$A$76:$B$76</c:f>
              <c:numCache>
                <c:formatCode>0.00_ </c:formatCode>
                <c:ptCount val="2"/>
                <c:pt idx="0">
                  <c:v>287.68</c:v>
                </c:pt>
                <c:pt idx="1" c:formatCode="#,##0.00">
                  <c:v>312.14</c:v>
                </c:pt>
              </c:numCache>
            </c:numRef>
          </c:val>
        </c:ser>
        <c:dLbls>
          <c:showLegendKey val="0"/>
          <c:showVal val="1"/>
          <c:showCatName val="0"/>
          <c:showSerName val="0"/>
          <c:showPercent val="0"/>
          <c:showBubbleSize val="0"/>
        </c:dLbls>
        <c:gapWidth val="219"/>
        <c:overlap val="-27"/>
        <c:axId val="976506946"/>
        <c:axId val="941667772"/>
      </c:barChart>
      <c:catAx>
        <c:axId val="97650694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1667772"/>
        <c:crosses val="autoZero"/>
        <c:auto val="1"/>
        <c:lblAlgn val="ctr"/>
        <c:lblOffset val="100"/>
        <c:noMultiLvlLbl val="0"/>
      </c:catAx>
      <c:valAx>
        <c:axId val="941667772"/>
        <c:scaling>
          <c:orientation val="minMax"/>
          <c:max val="350"/>
          <c:min val="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50694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02331288343558"/>
          <c:y val="0.176388888888889"/>
          <c:w val="0.865630538513974"/>
          <c:h val="0.71166666666666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[2023决算公开图形.xlsx]巡察办!$A$98:$B$98</c:f>
              <c:strCache>
                <c:ptCount val="2"/>
                <c:pt idx="0">
                  <c:v>2022年</c:v>
                </c:pt>
                <c:pt idx="1">
                  <c:v>2023年</c:v>
                </c:pt>
              </c:strCache>
            </c:strRef>
          </c:cat>
          <c:val>
            <c:numRef>
              <c:f>[2023决算公开图形.xlsx]巡察办!$A$99:$B$99</c:f>
              <c:numCache>
                <c:formatCode>0.00_ </c:formatCode>
                <c:ptCount val="2"/>
                <c:pt idx="0">
                  <c:v>287.68</c:v>
                </c:pt>
                <c:pt idx="1">
                  <c:v>312.14</c:v>
                </c:pt>
              </c:numCache>
            </c:numRef>
          </c:val>
        </c:ser>
        <c:dLbls>
          <c:showLegendKey val="0"/>
          <c:showVal val="1"/>
          <c:showCatName val="0"/>
          <c:showSerName val="0"/>
          <c:showPercent val="0"/>
          <c:showBubbleSize val="0"/>
        </c:dLbls>
        <c:gapWidth val="219"/>
        <c:overlap val="-27"/>
        <c:axId val="949468942"/>
        <c:axId val="460095406"/>
      </c:barChart>
      <c:catAx>
        <c:axId val="94946894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0095406"/>
        <c:crosses val="autoZero"/>
        <c:auto val="1"/>
        <c:lblAlgn val="ctr"/>
        <c:lblOffset val="100"/>
        <c:noMultiLvlLbl val="0"/>
      </c:catAx>
      <c:valAx>
        <c:axId val="460095406"/>
        <c:scaling>
          <c:orientation val="minMax"/>
          <c:max val="350"/>
          <c:min val="0"/>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946894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3"/>
              <c:layout>
                <c:manualLayout>
                  <c:x val="-0.0680867429059514"/>
                  <c:y val="0.028253598734841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[2023决算公开图形.xlsx]巡察办!$A$119:$E$119</c:f>
              <c:strCache>
                <c:ptCount val="5"/>
                <c:pt idx="1">
                  <c:v>社会保障和就业支出</c:v>
                </c:pt>
                <c:pt idx="2">
                  <c:v>卫生健康支出</c:v>
                </c:pt>
                <c:pt idx="3">
                  <c:v>住房保障支出</c:v>
                </c:pt>
                <c:pt idx="4">
                  <c:v>农林水支出</c:v>
                </c:pt>
              </c:strCache>
            </c:strRef>
          </c:cat>
          <c:val>
            <c:numRef>
              <c:f>[2023决算公开图形.xlsx]巡察办!$A$120:$E$120</c:f>
              <c:numCache>
                <c:formatCode>General</c:formatCode>
                <c:ptCount val="5"/>
                <c:pt idx="1" c:formatCode="0.00%">
                  <c:v>0.8764</c:v>
                </c:pt>
                <c:pt idx="2" c:formatCode="0.00%">
                  <c:v>0.0259</c:v>
                </c:pt>
                <c:pt idx="3" c:formatCode="0.00%">
                  <c:v>0.0497</c:v>
                </c:pt>
                <c:pt idx="4" c:formatCode="0.00%">
                  <c:v>0.048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0"/>
              <c:delete val="1"/>
            </c:dLbl>
            <c:dLbl>
              <c:idx val="1"/>
              <c:layout>
                <c:manualLayout>
                  <c:x val="-0.170729398372374"/>
                  <c:y val="0.395660559306809"/>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因公出国（境）费支出, 0, 00%</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88098749348206"/>
                  <c:y val="0.388524590165054"/>
                </c:manualLayout>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公务用车购置及运行维护费支出, 0, 00%</a:t>
                    </a:r>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t>公务接待费支出, 0.00%</a:t>
                    </a:r>
                  </a:p>
                </c:rich>
              </c:tx>
              <c:dLblPos val="ctr"/>
              <c:showLegendKey val="0"/>
              <c:showVal val="1"/>
              <c:showCatName val="1"/>
              <c:showSerName val="0"/>
              <c:showPercent val="1"/>
              <c:showBubbleSize val="0"/>
              <c:extLst>
                <c:ext xmlns:c15="http://schemas.microsoft.com/office/drawing/2012/chart" uri="{CE6537A1-D6FC-4f65-9D91-7224C49458BB}"/>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[Workbook7.xlsx]Sheet1!$A$1:$A$4</c:f>
              <c:strCache>
                <c:ptCount val="4"/>
                <c:pt idx="0">
                  <c:v> </c:v>
                </c:pt>
                <c:pt idx="1">
                  <c:v>因公出国（境）费支出</c:v>
                </c:pt>
                <c:pt idx="2">
                  <c:v>公务用车购置及运行维护费支出</c:v>
                </c:pt>
                <c:pt idx="3">
                  <c:v>公务接待费支出</c:v>
                </c:pt>
              </c:strCache>
            </c:strRef>
          </c:cat>
          <c:val>
            <c:numRef>
              <c:f>[Workbook7.xlsx]Sheet1!$B$1:$B$4</c:f>
              <c:numCache>
                <c:formatCode>General</c:formatCode>
                <c:ptCount val="4"/>
                <c:pt idx="0">
                  <c:v>0</c:v>
                </c:pt>
                <c:pt idx="1">
                  <c:v>0</c:v>
                </c:pt>
                <c:pt idx="2">
                  <c:v>0</c:v>
                </c:pt>
                <c:pt idx="3">
                  <c:v>0.09</c:v>
                </c:pt>
              </c:numCache>
            </c:numRef>
          </c:val>
        </c:ser>
        <c:ser>
          <c:idx val="1"/>
          <c:order val="1"/>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[Workbook7.xlsx]Sheet1!$A$1:$A$4</c:f>
              <c:strCache>
                <c:ptCount val="4"/>
                <c:pt idx="0">
                  <c:v> </c:v>
                </c:pt>
                <c:pt idx="1">
                  <c:v>因公出国（境）费支出</c:v>
                </c:pt>
                <c:pt idx="2">
                  <c:v>公务用车购置及运行维护费支出</c:v>
                </c:pt>
                <c:pt idx="3">
                  <c:v>公务接待费支出</c:v>
                </c:pt>
              </c:strCache>
            </c:strRef>
          </c:cat>
          <c:val>
            <c:numRef>
              <c:f>[Workbook7.xlsx]Sheet1!$C$1:$C$4</c:f>
              <c:numCache>
                <c:formatCode>General</c:formatCode>
                <c:ptCount val="4"/>
              </c:numCache>
            </c:numRef>
          </c:val>
        </c:ser>
        <c:ser>
          <c:idx val="2"/>
          <c:order val="2"/>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[Workbook7.xlsx]Sheet1!$A$1:$A$4</c:f>
              <c:strCache>
                <c:ptCount val="4"/>
                <c:pt idx="0">
                  <c:v> </c:v>
                </c:pt>
                <c:pt idx="1">
                  <c:v>因公出国（境）费支出</c:v>
                </c:pt>
                <c:pt idx="2">
                  <c:v>公务用车购置及运行维护费支出</c:v>
                </c:pt>
                <c:pt idx="3">
                  <c:v>公务接待费支出</c:v>
                </c:pt>
              </c:strCache>
            </c:strRef>
          </c:cat>
          <c:val>
            <c:numRef>
              <c:f>[Workbook7.xlsx]Sheet1!$D$1:$D$4</c:f>
              <c:numCache>
                <c:formatCode>General</c:formatCode>
                <c:ptCount val="4"/>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14692</Words>
  <Characters>16745</Characters>
  <Lines>0</Lines>
  <Paragraphs>0</Paragraphs>
  <TotalTime>3</TotalTime>
  <ScaleCrop>false</ScaleCrop>
  <LinksUpToDate>false</LinksUpToDate>
  <CharactersWithSpaces>16925</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2024-09-09T14:30:00Z</dcterms:created>
  <dc:creator>Administrator</dc:creator>
  <cp:lastModifiedBy>csak</cp:lastModifiedBy>
  <dcterms:modified xsi:type="dcterms:W3CDTF">2025-03-14T13:34:34Z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E284D08BF73D08EAEABFD3675F350FD1</vt:lpwstr>
  </property>
</Properties>
</file>