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F5FF9">
      <w:pPr>
        <w:spacing w:line="600" w:lineRule="exact"/>
        <w:jc w:val="center"/>
        <w:outlineLvl w:val="9"/>
        <w:rPr>
          <w:rFonts w:ascii="方正小标宋简体" w:hAnsi="宋体" w:eastAsia="方正小标宋简体"/>
          <w:color w:val="auto"/>
          <w:sz w:val="72"/>
          <w:szCs w:val="72"/>
          <w:highlight w:val="none"/>
        </w:rPr>
      </w:pPr>
      <w:bookmarkStart w:id="0" w:name="_Toc15396475"/>
      <w:bookmarkStart w:id="1" w:name="_Toc15377193"/>
      <w:bookmarkStart w:id="2" w:name="_Toc15396597"/>
      <w:bookmarkStart w:id="3" w:name="_Toc15378441"/>
      <w:bookmarkStart w:id="4" w:name="_Toc15377425"/>
      <w:bookmarkStart w:id="5" w:name="_Toc15306267"/>
    </w:p>
    <w:p w14:paraId="444BFDAC">
      <w:pPr>
        <w:spacing w:line="600" w:lineRule="exact"/>
        <w:jc w:val="center"/>
        <w:outlineLvl w:val="9"/>
        <w:rPr>
          <w:rFonts w:ascii="方正小标宋简体" w:hAnsi="宋体" w:eastAsia="方正小标宋简体"/>
          <w:color w:val="auto"/>
          <w:sz w:val="72"/>
          <w:szCs w:val="72"/>
          <w:highlight w:val="none"/>
        </w:rPr>
      </w:pPr>
    </w:p>
    <w:p w14:paraId="2CC86305">
      <w:pPr>
        <w:spacing w:line="600" w:lineRule="exact"/>
        <w:jc w:val="center"/>
        <w:outlineLvl w:val="9"/>
        <w:rPr>
          <w:rFonts w:ascii="方正小标宋简体" w:hAnsi="宋体" w:eastAsia="方正小标宋简体"/>
          <w:color w:val="auto"/>
          <w:sz w:val="72"/>
          <w:szCs w:val="72"/>
          <w:highlight w:val="none"/>
        </w:rPr>
      </w:pPr>
    </w:p>
    <w:bookmarkEnd w:id="0"/>
    <w:bookmarkEnd w:id="1"/>
    <w:bookmarkEnd w:id="2"/>
    <w:bookmarkEnd w:id="3"/>
    <w:bookmarkEnd w:id="4"/>
    <w:bookmarkEnd w:id="5"/>
    <w:p w14:paraId="559A63C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6" w:name="_Toc13356"/>
      <w:bookmarkStart w:id="7" w:name="_Toc3684"/>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6"/>
    </w:p>
    <w:p w14:paraId="551552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8" w:name="_Toc25925"/>
      <w:bookmarkStart w:id="9" w:name="_Toc15396598"/>
      <w:bookmarkStart w:id="10" w:name="_Toc15377194"/>
      <w:bookmarkStart w:id="11" w:name="_Toc15396476"/>
      <w:bookmarkStart w:id="12" w:name="_Toc15378442"/>
      <w:bookmarkStart w:id="13" w:name="_Toc15306268"/>
      <w:bookmarkStart w:id="14" w:name="_Toc15377426"/>
      <w:r>
        <w:rPr>
          <w:rFonts w:hint="eastAsia" w:ascii="方正小标宋简体" w:hAnsi="方正小标宋简体" w:eastAsia="方正小标宋简体" w:cs="方正小标宋简体"/>
          <w:color w:val="auto"/>
          <w:sz w:val="72"/>
          <w:szCs w:val="72"/>
          <w:highlight w:val="none"/>
        </w:rPr>
        <w:t>中国人民政治协商会议</w:t>
      </w:r>
      <w:bookmarkEnd w:id="8"/>
    </w:p>
    <w:p w14:paraId="633D328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15" w:name="_Toc8450"/>
      <w:r>
        <w:rPr>
          <w:rFonts w:hint="eastAsia" w:ascii="方正小标宋简体" w:hAnsi="方正小标宋简体" w:eastAsia="方正小标宋简体" w:cs="方正小标宋简体"/>
          <w:color w:val="auto"/>
          <w:sz w:val="72"/>
          <w:szCs w:val="72"/>
          <w:highlight w:val="none"/>
        </w:rPr>
        <w:t>遂宁市船山区委员会</w:t>
      </w:r>
      <w:bookmarkEnd w:id="15"/>
    </w:p>
    <w:p w14:paraId="4AB84649">
      <w:pPr>
        <w:pStyle w:val="8"/>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sz w:val="72"/>
          <w:szCs w:val="72"/>
          <w:highlight w:val="none"/>
        </w:rPr>
        <w:t>部门决算</w:t>
      </w:r>
      <w:bookmarkEnd w:id="9"/>
      <w:bookmarkEnd w:id="10"/>
      <w:bookmarkEnd w:id="11"/>
      <w:bookmarkEnd w:id="12"/>
      <w:bookmarkEnd w:id="13"/>
      <w:bookmarkEnd w:id="14"/>
    </w:p>
    <w:p w14:paraId="235E7A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ascii="黑体" w:hAnsi="黑体" w:eastAsia="黑体" w:cstheme="minorBidi"/>
          <w:color w:val="auto"/>
          <w:sz w:val="28"/>
          <w:szCs w:val="2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bookmarkEnd w:id="7"/>
    </w:p>
    <w:p w14:paraId="7A91FCB0">
      <w:pPr>
        <w:pStyle w:val="15"/>
        <w:rPr>
          <w:color w:val="auto"/>
          <w:highlight w:val="none"/>
        </w:rPr>
      </w:pPr>
      <w:r>
        <w:rPr>
          <w:rFonts w:hint="eastAsia"/>
          <w:color w:val="auto"/>
          <w:highlight w:val="none"/>
        </w:rPr>
        <w:t>公开时间：20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11</w:t>
      </w:r>
      <w:r>
        <w:rPr>
          <w:rFonts w:hint="eastAsia"/>
          <w:color w:val="auto"/>
          <w:highlight w:val="none"/>
        </w:rPr>
        <w:t>日</w:t>
      </w:r>
    </w:p>
    <w:p w14:paraId="2FD1A92E">
      <w:pPr>
        <w:rPr>
          <w:color w:val="auto"/>
          <w:highlight w:val="none"/>
        </w:rPr>
      </w:pPr>
    </w:p>
    <w:sdt>
      <w:sdtPr>
        <w:rPr>
          <w:rFonts w:ascii="宋体" w:hAnsi="宋体" w:eastAsia="宋体" w:cs="Times New Roman"/>
          <w:kern w:val="2"/>
          <w:sz w:val="21"/>
          <w:szCs w:val="24"/>
          <w:lang w:val="en-US" w:eastAsia="zh-CN" w:bidi="ar-SA"/>
        </w:rPr>
        <w:id w:val="147465578"/>
        <w15:color w:val="DBDBDB"/>
        <w:docPartObj>
          <w:docPartGallery w:val="Table of Contents"/>
          <w:docPartUnique/>
        </w:docPartObj>
      </w:sdtPr>
      <w:sdtEndPr>
        <w:rPr>
          <w:rFonts w:hint="eastAsia" w:asciiTheme="minorEastAsia" w:hAnsiTheme="minorEastAsia" w:eastAsiaTheme="minorEastAsia" w:cstheme="minorEastAsia"/>
          <w:b/>
          <w:color w:val="auto"/>
          <w:kern w:val="2"/>
          <w:sz w:val="21"/>
          <w:szCs w:val="24"/>
          <w:highlight w:val="none"/>
          <w:lang w:val="en-US" w:eastAsia="zh-CN" w:bidi="ar-SA"/>
        </w:rPr>
      </w:sdtEndPr>
      <w:sdtContent>
        <w:p w14:paraId="1F03620A">
          <w:pPr>
            <w:spacing w:before="0" w:beforeLines="0" w:after="0" w:afterLines="0" w:line="240" w:lineRule="auto"/>
            <w:ind w:left="0" w:leftChars="0" w:right="0" w:rightChars="0" w:firstLine="0" w:firstLineChars="0"/>
            <w:jc w:val="center"/>
            <w:rPr>
              <w:b/>
            </w:rPr>
          </w:pPr>
          <w:r>
            <w:rPr>
              <w:rFonts w:hint="eastAsia" w:asciiTheme="minorEastAsia" w:hAnsiTheme="minorEastAsia" w:eastAsiaTheme="minorEastAsia" w:cstheme="minorEastAsia"/>
              <w:color w:val="auto"/>
              <w:sz w:val="24"/>
              <w:highlight w:val="none"/>
              <w:lang w:val="en-US" w:eastAsia="zh-CN"/>
            </w:rPr>
            <w:fldChar w:fldCharType="begin"/>
          </w:r>
          <w:r>
            <w:rPr>
              <w:rFonts w:hint="eastAsia" w:asciiTheme="minorEastAsia" w:hAnsiTheme="minorEastAsia" w:eastAsiaTheme="minorEastAsia" w:cstheme="minorEastAsia"/>
              <w:color w:val="auto"/>
              <w:sz w:val="24"/>
              <w:highlight w:val="none"/>
              <w:lang w:val="en-US" w:eastAsia="zh-CN"/>
            </w:rPr>
            <w:instrText xml:space="preserve">TOC \o "1-2" \h \u </w:instrText>
          </w:r>
          <w:r>
            <w:rPr>
              <w:rFonts w:hint="eastAsia" w:asciiTheme="minorEastAsia" w:hAnsiTheme="minorEastAsia" w:eastAsiaTheme="minorEastAsia" w:cstheme="minorEastAsia"/>
              <w:color w:val="auto"/>
              <w:sz w:val="24"/>
              <w:highlight w:val="none"/>
              <w:lang w:val="en-US" w:eastAsia="zh-CN"/>
            </w:rPr>
            <w:fldChar w:fldCharType="separate"/>
          </w:r>
        </w:p>
        <w:p w14:paraId="55100DAE">
          <w:pPr>
            <w:pStyle w:val="43"/>
            <w:tabs>
              <w:tab w:val="right" w:leader="dot" w:pos="8306"/>
            </w:tabs>
            <w:rPr>
              <w:b/>
            </w:rPr>
          </w:pPr>
          <w:r>
            <w:rPr>
              <w:rFonts w:hint="eastAsia" w:asciiTheme="minorEastAsia" w:hAnsiTheme="minorEastAsia" w:eastAsiaTheme="minorEastAsia" w:cstheme="minorEastAsia"/>
              <w:b/>
              <w:color w:val="auto"/>
              <w:highlight w:val="none"/>
              <w:lang w:val="en-US" w:eastAsia="zh-CN"/>
            </w:rPr>
            <w:fldChar w:fldCharType="begin"/>
          </w:r>
          <w:r>
            <w:rPr>
              <w:rFonts w:hint="eastAsia" w:asciiTheme="minorEastAsia" w:hAnsiTheme="minorEastAsia" w:eastAsiaTheme="minorEastAsia" w:cstheme="minorEastAsia"/>
              <w:b/>
              <w:highlight w:val="none"/>
              <w:lang w:val="en-US" w:eastAsia="zh-CN"/>
            </w:rPr>
            <w:instrText xml:space="preserve"> HYPERLINK \l _Toc31587 </w:instrText>
          </w:r>
          <w:r>
            <w:rPr>
              <w:rFonts w:hint="eastAsia" w:asciiTheme="minorEastAsia" w:hAnsiTheme="minorEastAsia" w:eastAsiaTheme="minorEastAsia" w:cstheme="minorEastAsia"/>
              <w:b/>
              <w:highlight w:val="none"/>
              <w:lang w:val="en-US" w:eastAsia="zh-CN"/>
            </w:rPr>
            <w:fldChar w:fldCharType="separate"/>
          </w:r>
          <w:r>
            <w:rPr>
              <w:rFonts w:hint="eastAsia" w:ascii="黑体" w:hAnsi="黑体" w:eastAsia="黑体"/>
              <w:b/>
              <w:highlight w:val="none"/>
            </w:rPr>
            <w:t xml:space="preserve">第一部分 </w:t>
          </w:r>
          <w:r>
            <w:rPr>
              <w:rFonts w:hint="eastAsia" w:ascii="黑体" w:hAnsi="黑体" w:eastAsia="黑体"/>
              <w:b/>
              <w:bCs w:val="0"/>
              <w:highlight w:val="none"/>
            </w:rPr>
            <w:t>部门概况</w:t>
          </w:r>
          <w:r>
            <w:rPr>
              <w:b/>
            </w:rPr>
            <w:tab/>
          </w:r>
          <w:r>
            <w:rPr>
              <w:b/>
            </w:rPr>
            <w:fldChar w:fldCharType="begin"/>
          </w:r>
          <w:r>
            <w:rPr>
              <w:b/>
            </w:rPr>
            <w:instrText xml:space="preserve"> PAGEREF _Toc31587 \h </w:instrText>
          </w:r>
          <w:r>
            <w:rPr>
              <w:b/>
            </w:rPr>
            <w:fldChar w:fldCharType="separate"/>
          </w:r>
          <w:r>
            <w:rPr>
              <w:b/>
            </w:rPr>
            <w:t>1</w:t>
          </w:r>
          <w:r>
            <w:rPr>
              <w:b/>
            </w:rPr>
            <w:fldChar w:fldCharType="end"/>
          </w:r>
          <w:r>
            <w:rPr>
              <w:rFonts w:hint="eastAsia" w:asciiTheme="minorEastAsia" w:hAnsiTheme="minorEastAsia" w:eastAsiaTheme="minorEastAsia" w:cstheme="minorEastAsia"/>
              <w:b/>
              <w:color w:val="auto"/>
              <w:highlight w:val="none"/>
              <w:lang w:val="en-US" w:eastAsia="zh-CN"/>
            </w:rPr>
            <w:fldChar w:fldCharType="end"/>
          </w:r>
        </w:p>
        <w:p w14:paraId="11A60644">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_Toc4135 </w:instrText>
          </w:r>
          <w:r>
            <w:rPr>
              <w:rFonts w:hint="eastAsia" w:asciiTheme="minorEastAsia" w:hAnsiTheme="minorEastAsia" w:eastAsiaTheme="minorEastAsia" w:cstheme="minorEastAsia"/>
              <w:highlight w:val="none"/>
              <w:lang w:val="en-US" w:eastAsia="zh-CN"/>
            </w:rPr>
            <w:fldChar w:fldCharType="separate"/>
          </w:r>
          <w:r>
            <w:rPr>
              <w:rFonts w:hint="eastAsia" w:ascii="黑体" w:hAnsi="黑体" w:eastAsia="黑体"/>
              <w:highlight w:val="none"/>
              <w:lang w:val="en-US" w:eastAsia="zh-CN"/>
            </w:rPr>
            <w:t>一、</w:t>
          </w:r>
          <w:r>
            <w:rPr>
              <w:rFonts w:hint="eastAsia" w:ascii="黑体" w:hAnsi="黑体" w:eastAsia="黑体"/>
              <w:highlight w:val="none"/>
              <w:lang w:eastAsia="zh-CN"/>
            </w:rPr>
            <w:t>部门职责</w:t>
          </w:r>
          <w:r>
            <w:tab/>
          </w:r>
          <w:r>
            <w:rPr>
              <w:rFonts w:hint="eastAsia"/>
              <w:lang w:val="en-US" w:eastAsia="zh-CN"/>
            </w:rPr>
            <w:t>2</w:t>
          </w:r>
          <w:r>
            <w:rPr>
              <w:rFonts w:hint="eastAsia" w:asciiTheme="minorEastAsia" w:hAnsiTheme="minorEastAsia" w:eastAsiaTheme="minorEastAsia" w:cstheme="minorEastAsia"/>
              <w:color w:val="auto"/>
              <w:highlight w:val="none"/>
              <w:lang w:val="en-US" w:eastAsia="zh-CN"/>
            </w:rPr>
            <w:fldChar w:fldCharType="end"/>
          </w:r>
        </w:p>
        <w:p w14:paraId="5F0B9663">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_Toc3336 </w:instrText>
          </w:r>
          <w:r>
            <w:rPr>
              <w:rFonts w:hint="eastAsia" w:asciiTheme="minorEastAsia" w:hAnsiTheme="minorEastAsia" w:eastAsiaTheme="minorEastAsia" w:cstheme="minorEastAsia"/>
              <w:highlight w:val="none"/>
              <w:lang w:val="en-US" w:eastAsia="zh-CN"/>
            </w:rPr>
            <w:fldChar w:fldCharType="separate"/>
          </w:r>
          <w:r>
            <w:rPr>
              <w:rFonts w:hint="eastAsia" w:ascii="黑体" w:eastAsia="黑体"/>
              <w:highlight w:val="none"/>
            </w:rPr>
            <w:t>二、</w:t>
          </w:r>
          <w:r>
            <w:rPr>
              <w:rFonts w:hint="eastAsia" w:ascii="黑体" w:hAnsi="黑体" w:eastAsia="黑体"/>
              <w:highlight w:val="none"/>
            </w:rPr>
            <w:t>机</w:t>
          </w:r>
          <w:r>
            <w:rPr>
              <w:rFonts w:hint="eastAsia" w:ascii="黑体" w:hAnsi="黑体" w:eastAsia="黑体"/>
              <w:bCs w:val="0"/>
              <w:highlight w:val="none"/>
            </w:rPr>
            <w:t>构设置</w:t>
          </w:r>
          <w:r>
            <w:tab/>
          </w:r>
          <w:r>
            <w:rPr>
              <w:rFonts w:hint="eastAsia"/>
              <w:lang w:val="en-US" w:eastAsia="zh-CN"/>
            </w:rPr>
            <w:t>2</w:t>
          </w:r>
          <w:r>
            <w:rPr>
              <w:rFonts w:hint="eastAsia" w:asciiTheme="minorEastAsia" w:hAnsiTheme="minorEastAsia" w:eastAsiaTheme="minorEastAsia" w:cstheme="minorEastAsia"/>
              <w:color w:val="auto"/>
              <w:highlight w:val="none"/>
              <w:lang w:val="en-US" w:eastAsia="zh-CN"/>
            </w:rPr>
            <w:fldChar w:fldCharType="end"/>
          </w:r>
        </w:p>
        <w:p w14:paraId="6A00A567">
          <w:pPr>
            <w:pStyle w:val="43"/>
            <w:tabs>
              <w:tab w:val="right" w:leader="dot" w:pos="8306"/>
            </w:tabs>
            <w:rPr>
              <w:b/>
            </w:rPr>
          </w:pPr>
          <w:r>
            <w:rPr>
              <w:rFonts w:hint="eastAsia" w:asciiTheme="minorEastAsia" w:hAnsiTheme="minorEastAsia" w:eastAsiaTheme="minorEastAsia" w:cstheme="minorEastAsia"/>
              <w:b/>
              <w:color w:val="auto"/>
              <w:highlight w:val="none"/>
              <w:lang w:val="en-US" w:eastAsia="zh-CN"/>
            </w:rPr>
            <w:fldChar w:fldCharType="begin"/>
          </w:r>
          <w:r>
            <w:rPr>
              <w:rFonts w:hint="eastAsia" w:asciiTheme="minorEastAsia" w:hAnsiTheme="minorEastAsia" w:eastAsiaTheme="minorEastAsia" w:cstheme="minorEastAsia"/>
              <w:b/>
              <w:highlight w:val="none"/>
              <w:lang w:val="en-US" w:eastAsia="zh-CN"/>
            </w:rPr>
            <w:instrText xml:space="preserve"> HYPERLINK \l _Toc14733 </w:instrText>
          </w:r>
          <w:r>
            <w:rPr>
              <w:rFonts w:hint="eastAsia" w:asciiTheme="minorEastAsia" w:hAnsiTheme="minorEastAsia" w:eastAsiaTheme="minorEastAsia" w:cstheme="minorEastAsia"/>
              <w:b/>
              <w:highlight w:val="none"/>
              <w:lang w:val="en-US" w:eastAsia="zh-CN"/>
            </w:rPr>
            <w:fldChar w:fldCharType="separate"/>
          </w:r>
          <w:r>
            <w:rPr>
              <w:rFonts w:hint="eastAsia" w:ascii="黑体" w:hAnsi="黑体" w:eastAsia="黑体"/>
              <w:b/>
              <w:bCs/>
              <w:highlight w:val="none"/>
            </w:rPr>
            <w:t xml:space="preserve">第二部分 </w:t>
          </w:r>
          <w:r>
            <w:rPr>
              <w:rFonts w:hint="eastAsia" w:ascii="黑体" w:hAnsi="黑体" w:eastAsia="黑体"/>
              <w:b/>
              <w:bCs/>
              <w:highlight w:val="none"/>
              <w:lang w:val="en-US" w:eastAsia="zh-CN"/>
            </w:rPr>
            <w:t>2023年度</w:t>
          </w:r>
          <w:r>
            <w:rPr>
              <w:rFonts w:hint="eastAsia" w:ascii="黑体" w:hAnsi="黑体" w:eastAsia="黑体"/>
              <w:b/>
              <w:bCs/>
              <w:highlight w:val="none"/>
            </w:rPr>
            <w:t>部门决算情况说明</w:t>
          </w:r>
          <w:r>
            <w:rPr>
              <w:b/>
            </w:rPr>
            <w:tab/>
          </w:r>
          <w:r>
            <w:rPr>
              <w:b/>
            </w:rPr>
            <w:fldChar w:fldCharType="begin"/>
          </w:r>
          <w:r>
            <w:rPr>
              <w:b/>
            </w:rPr>
            <w:instrText xml:space="preserve"> PAGEREF _Toc14733 \h </w:instrText>
          </w:r>
          <w:r>
            <w:rPr>
              <w:b/>
            </w:rPr>
            <w:fldChar w:fldCharType="separate"/>
          </w:r>
          <w:r>
            <w:rPr>
              <w:b/>
            </w:rPr>
            <w:t>3</w:t>
          </w:r>
          <w:r>
            <w:rPr>
              <w:b/>
            </w:rPr>
            <w:fldChar w:fldCharType="end"/>
          </w:r>
          <w:r>
            <w:rPr>
              <w:rFonts w:hint="eastAsia" w:asciiTheme="minorEastAsia" w:hAnsiTheme="minorEastAsia" w:eastAsiaTheme="minorEastAsia" w:cstheme="minorEastAsia"/>
              <w:b/>
              <w:color w:val="auto"/>
              <w:highlight w:val="none"/>
              <w:lang w:val="en-US" w:eastAsia="zh-CN"/>
            </w:rPr>
            <w:fldChar w:fldCharType="end"/>
          </w:r>
        </w:p>
        <w:p w14:paraId="27384551">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_Toc3190 </w:instrText>
          </w:r>
          <w:r>
            <w:rPr>
              <w:rFonts w:hint="eastAsia" w:asciiTheme="minorEastAsia" w:hAnsiTheme="minorEastAsia" w:eastAsiaTheme="minorEastAsia" w:cstheme="minorEastAsia"/>
              <w:highlight w:val="none"/>
              <w:lang w:val="en-US" w:eastAsia="zh-CN"/>
            </w:rPr>
            <w:fldChar w:fldCharType="separate"/>
          </w:r>
          <w:r>
            <w:rPr>
              <w:rFonts w:hint="default" w:ascii="黑体" w:hAnsi="黑体" w:eastAsia="黑体"/>
            </w:rPr>
            <w:t xml:space="preserve">一、 </w:t>
          </w:r>
          <w:r>
            <w:rPr>
              <w:rFonts w:hint="eastAsia" w:ascii="黑体" w:hAnsi="黑体" w:eastAsia="黑体"/>
              <w:szCs w:val="32"/>
              <w:highlight w:val="none"/>
            </w:rPr>
            <w:t>收</w:t>
          </w:r>
          <w:r>
            <w:rPr>
              <w:rFonts w:hint="eastAsia" w:ascii="黑体" w:hAnsi="黑体" w:eastAsia="黑体"/>
              <w:highlight w:val="none"/>
            </w:rPr>
            <w:t>入支出决算总体情况说明</w:t>
          </w:r>
          <w:r>
            <w:tab/>
          </w:r>
          <w:r>
            <w:fldChar w:fldCharType="begin"/>
          </w:r>
          <w:r>
            <w:instrText xml:space="preserve"> PAGEREF _Toc3190 \h </w:instrText>
          </w:r>
          <w:r>
            <w:fldChar w:fldCharType="separate"/>
          </w:r>
          <w:r>
            <w:t>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418B42D0">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_Toc1153 </w:instrText>
          </w:r>
          <w:r>
            <w:rPr>
              <w:rFonts w:hint="eastAsia" w:asciiTheme="minorEastAsia" w:hAnsiTheme="minorEastAsia" w:eastAsiaTheme="minorEastAsia" w:cstheme="minorEastAsia"/>
              <w:highlight w:val="none"/>
              <w:lang w:val="en-US" w:eastAsia="zh-CN"/>
            </w:rPr>
            <w:fldChar w:fldCharType="separate"/>
          </w:r>
          <w:r>
            <w:rPr>
              <w:rFonts w:hint="default" w:ascii="黑体" w:hAnsi="黑体" w:eastAsia="黑体"/>
            </w:rPr>
            <w:t xml:space="preserve">二、 </w:t>
          </w:r>
          <w:r>
            <w:rPr>
              <w:rFonts w:hint="eastAsia" w:ascii="黑体" w:hAnsi="黑体" w:eastAsia="黑体"/>
              <w:szCs w:val="32"/>
              <w:highlight w:val="none"/>
            </w:rPr>
            <w:t>收</w:t>
          </w:r>
          <w:r>
            <w:rPr>
              <w:rFonts w:hint="eastAsia" w:ascii="黑体" w:hAnsi="黑体" w:eastAsia="黑体"/>
              <w:highlight w:val="none"/>
            </w:rPr>
            <w:t>入决算情况说明</w:t>
          </w:r>
          <w:r>
            <w:tab/>
          </w:r>
          <w:r>
            <w:fldChar w:fldCharType="begin"/>
          </w:r>
          <w:r>
            <w:instrText xml:space="preserve"> PAGEREF _Toc1153 \h </w:instrText>
          </w:r>
          <w:r>
            <w:fldChar w:fldCharType="separate"/>
          </w:r>
          <w:r>
            <w:t>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7B63EC8A">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_Toc9431 </w:instrText>
          </w:r>
          <w:r>
            <w:rPr>
              <w:rFonts w:hint="eastAsia" w:asciiTheme="minorEastAsia" w:hAnsiTheme="minorEastAsia" w:eastAsiaTheme="minorEastAsia" w:cstheme="minorEastAsia"/>
              <w:highlight w:val="none"/>
              <w:lang w:val="en-US" w:eastAsia="zh-CN"/>
            </w:rPr>
            <w:fldChar w:fldCharType="separate"/>
          </w:r>
          <w:r>
            <w:rPr>
              <w:rFonts w:hint="default" w:ascii="黑体" w:hAnsi="黑体" w:eastAsia="黑体"/>
            </w:rPr>
            <w:t xml:space="preserve">三、 </w:t>
          </w:r>
          <w:r>
            <w:rPr>
              <w:rFonts w:hint="eastAsia" w:ascii="黑体" w:hAnsi="黑体" w:eastAsia="黑体"/>
              <w:szCs w:val="32"/>
              <w:highlight w:val="none"/>
            </w:rPr>
            <w:t>支</w:t>
          </w:r>
          <w:r>
            <w:rPr>
              <w:rFonts w:hint="eastAsia" w:ascii="黑体" w:hAnsi="黑体" w:eastAsia="黑体"/>
              <w:highlight w:val="none"/>
            </w:rPr>
            <w:t>出决算情况说明</w:t>
          </w:r>
          <w:r>
            <w:tab/>
          </w:r>
          <w:r>
            <w:fldChar w:fldCharType="begin"/>
          </w:r>
          <w:r>
            <w:instrText xml:space="preserve"> PAGEREF _Toc9431 \h </w:instrText>
          </w:r>
          <w:r>
            <w:fldChar w:fldCharType="separate"/>
          </w:r>
          <w:r>
            <w:t>4</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09876843">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_Toc19517 </w:instrText>
          </w:r>
          <w:r>
            <w:rPr>
              <w:rFonts w:hint="eastAsia" w:asciiTheme="minorEastAsia" w:hAnsiTheme="minorEastAsia" w:eastAsiaTheme="minorEastAsia" w:cstheme="minorEastAsia"/>
              <w:highlight w:val="none"/>
              <w:lang w:val="en-US" w:eastAsia="zh-CN"/>
            </w:rPr>
            <w:fldChar w:fldCharType="separate"/>
          </w:r>
          <w:r>
            <w:rPr>
              <w:rFonts w:hint="eastAsia" w:ascii="黑体" w:hAnsi="黑体" w:eastAsia="黑体"/>
              <w:szCs w:val="32"/>
              <w:highlight w:val="none"/>
            </w:rPr>
            <w:t>四、财</w:t>
          </w:r>
          <w:r>
            <w:rPr>
              <w:rFonts w:hint="eastAsia" w:ascii="黑体" w:hAnsi="黑体" w:eastAsia="黑体"/>
              <w:highlight w:val="none"/>
            </w:rPr>
            <w:t>政拨款收入支出决算总体情况说明</w:t>
          </w:r>
          <w:r>
            <w:tab/>
          </w:r>
          <w:r>
            <w:fldChar w:fldCharType="begin"/>
          </w:r>
          <w:r>
            <w:instrText xml:space="preserve"> PAGEREF _Toc19517 \h </w:instrText>
          </w:r>
          <w:r>
            <w:fldChar w:fldCharType="separate"/>
          </w:r>
          <w:r>
            <w:t>4</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57ED9016">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_Toc8823 </w:instrText>
          </w:r>
          <w:r>
            <w:rPr>
              <w:rFonts w:hint="eastAsia" w:asciiTheme="minorEastAsia" w:hAnsiTheme="minorEastAsia" w:eastAsiaTheme="minorEastAsia" w:cstheme="minorEastAsia"/>
              <w:highlight w:val="none"/>
              <w:lang w:val="en-US" w:eastAsia="zh-CN"/>
            </w:rPr>
            <w:fldChar w:fldCharType="separate"/>
          </w:r>
          <w:r>
            <w:rPr>
              <w:rFonts w:eastAsia="黑体"/>
              <w:szCs w:val="32"/>
              <w:highlight w:val="none"/>
            </w:rPr>
            <w:t>五</w:t>
          </w:r>
          <w:r>
            <w:rPr>
              <w:rFonts w:hint="eastAsia" w:ascii="黑体" w:hAnsi="黑体" w:eastAsia="黑体"/>
              <w:szCs w:val="32"/>
              <w:highlight w:val="none"/>
            </w:rPr>
            <w:t>、一</w:t>
          </w:r>
          <w:r>
            <w:rPr>
              <w:rFonts w:hint="eastAsia" w:ascii="黑体" w:hAnsi="黑体" w:eastAsia="黑体"/>
              <w:highlight w:val="none"/>
            </w:rPr>
            <w:t>般公共预算财政拨款支出决算情况说明</w:t>
          </w:r>
          <w:r>
            <w:tab/>
          </w:r>
          <w:r>
            <w:fldChar w:fldCharType="begin"/>
          </w:r>
          <w:r>
            <w:instrText xml:space="preserve"> PAGEREF _Toc8823 \h </w:instrText>
          </w:r>
          <w:r>
            <w:fldChar w:fldCharType="separate"/>
          </w:r>
          <w:r>
            <w:t>5</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43491742">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_Toc12678 </w:instrText>
          </w:r>
          <w:r>
            <w:rPr>
              <w:rFonts w:hint="eastAsia" w:asciiTheme="minorEastAsia" w:hAnsiTheme="minorEastAsia" w:eastAsiaTheme="minorEastAsia" w:cstheme="minorEastAsia"/>
              <w:highlight w:val="none"/>
              <w:lang w:val="en-US" w:eastAsia="zh-CN"/>
            </w:rPr>
            <w:fldChar w:fldCharType="separate"/>
          </w:r>
          <w:r>
            <w:rPr>
              <w:rFonts w:hint="eastAsia" w:ascii="黑体" w:eastAsia="黑体"/>
              <w:szCs w:val="32"/>
              <w:highlight w:val="none"/>
            </w:rPr>
            <w:t>六、</w:t>
          </w:r>
          <w:r>
            <w:rPr>
              <w:rFonts w:hint="eastAsia" w:ascii="黑体" w:hAnsi="黑体" w:eastAsia="黑体"/>
              <w:szCs w:val="32"/>
              <w:highlight w:val="none"/>
            </w:rPr>
            <w:t>一</w:t>
          </w:r>
          <w:r>
            <w:rPr>
              <w:rFonts w:hint="eastAsia" w:ascii="黑体" w:hAnsi="黑体" w:eastAsia="黑体"/>
              <w:highlight w:val="none"/>
            </w:rPr>
            <w:t>般公共预算财政拨款基本支出决算情况说明</w:t>
          </w:r>
          <w:r>
            <w:tab/>
          </w:r>
          <w:r>
            <w:fldChar w:fldCharType="begin"/>
          </w:r>
          <w:r>
            <w:instrText xml:space="preserve"> PAGEREF _Toc12678 \h </w:instrText>
          </w:r>
          <w:r>
            <w:fldChar w:fldCharType="separate"/>
          </w:r>
          <w:r>
            <w:t>8</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592CBAC0">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_Toc11999 </w:instrText>
          </w:r>
          <w:r>
            <w:rPr>
              <w:rFonts w:hint="eastAsia" w:asciiTheme="minorEastAsia" w:hAnsiTheme="minorEastAsia" w:eastAsiaTheme="minorEastAsia" w:cstheme="minorEastAsia"/>
              <w:highlight w:val="none"/>
              <w:lang w:val="en-US" w:eastAsia="zh-CN"/>
            </w:rPr>
            <w:fldChar w:fldCharType="separate"/>
          </w:r>
          <w:r>
            <w:rPr>
              <w:rFonts w:hint="eastAsia" w:ascii="黑体" w:eastAsia="黑体"/>
              <w:szCs w:val="32"/>
              <w:highlight w:val="none"/>
            </w:rPr>
            <w:t>七、</w:t>
          </w:r>
          <w:r>
            <w:rPr>
              <w:rFonts w:hint="eastAsia" w:ascii="黑体" w:hAnsi="黑体" w:eastAsia="黑体"/>
              <w:highlight w:val="none"/>
            </w:rPr>
            <w:t>财政拨款“三公”经费支出决算情况说明</w:t>
          </w:r>
          <w:r>
            <w:tab/>
          </w:r>
          <w:r>
            <w:fldChar w:fldCharType="begin"/>
          </w:r>
          <w:r>
            <w:instrText xml:space="preserve"> PAGEREF _Toc11999 \h </w:instrText>
          </w:r>
          <w:r>
            <w:fldChar w:fldCharType="separate"/>
          </w:r>
          <w:r>
            <w:t>8</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32E28DAD">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_Toc28728 </w:instrText>
          </w:r>
          <w:r>
            <w:rPr>
              <w:rFonts w:hint="eastAsia" w:asciiTheme="minorEastAsia" w:hAnsiTheme="minorEastAsia" w:eastAsiaTheme="minorEastAsia" w:cstheme="minorEastAsia"/>
              <w:highlight w:val="none"/>
              <w:lang w:val="en-US" w:eastAsia="zh-CN"/>
            </w:rPr>
            <w:fldChar w:fldCharType="separate"/>
          </w:r>
          <w:r>
            <w:rPr>
              <w:rFonts w:hint="eastAsia" w:ascii="黑体" w:eastAsia="黑体"/>
              <w:szCs w:val="32"/>
              <w:highlight w:val="none"/>
            </w:rPr>
            <w:t>八、</w:t>
          </w:r>
          <w:r>
            <w:rPr>
              <w:rFonts w:hint="eastAsia" w:ascii="黑体" w:hAnsi="黑体" w:eastAsia="黑体"/>
              <w:highlight w:val="none"/>
            </w:rPr>
            <w:t>政府性基金预算支出决算情况说明</w:t>
          </w:r>
          <w:r>
            <w:tab/>
          </w:r>
          <w:r>
            <w:fldChar w:fldCharType="begin"/>
          </w:r>
          <w:r>
            <w:instrText xml:space="preserve"> PAGEREF _Toc28728 \h </w:instrText>
          </w:r>
          <w:r>
            <w:fldChar w:fldCharType="separate"/>
          </w:r>
          <w:r>
            <w:t>11</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0C5994CB">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_Toc18858 </w:instrText>
          </w:r>
          <w:r>
            <w:rPr>
              <w:rFonts w:hint="eastAsia" w:asciiTheme="minorEastAsia" w:hAnsiTheme="minorEastAsia" w:eastAsiaTheme="minorEastAsia" w:cstheme="minorEastAsia"/>
              <w:highlight w:val="none"/>
              <w:lang w:val="en-US" w:eastAsia="zh-CN"/>
            </w:rPr>
            <w:fldChar w:fldCharType="separate"/>
          </w:r>
          <w:r>
            <w:rPr>
              <w:rFonts w:hint="eastAsia" w:ascii="黑体" w:hAnsi="黑体" w:eastAsia="黑体"/>
            </w:rPr>
            <w:t xml:space="preserve">九、 </w:t>
          </w:r>
          <w:r>
            <w:rPr>
              <w:rFonts w:hint="eastAsia" w:ascii="黑体" w:hAnsi="黑体" w:eastAsia="黑体"/>
              <w:highlight w:val="none"/>
            </w:rPr>
            <w:t>国有资本经营预算支出决算情况说明</w:t>
          </w:r>
          <w:r>
            <w:tab/>
          </w:r>
          <w:r>
            <w:fldChar w:fldCharType="begin"/>
          </w:r>
          <w:r>
            <w:instrText xml:space="preserve"> PAGEREF _Toc18858 \h </w:instrText>
          </w:r>
          <w:r>
            <w:fldChar w:fldCharType="separate"/>
          </w:r>
          <w:r>
            <w:t>11</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1F4E98DC">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_Toc18385 </w:instrText>
          </w:r>
          <w:r>
            <w:rPr>
              <w:rFonts w:hint="eastAsia" w:asciiTheme="minorEastAsia" w:hAnsiTheme="minorEastAsia" w:eastAsiaTheme="minorEastAsia" w:cstheme="minorEastAsia"/>
              <w:highlight w:val="none"/>
              <w:lang w:val="en-US" w:eastAsia="zh-CN"/>
            </w:rPr>
            <w:fldChar w:fldCharType="separate"/>
          </w:r>
          <w:r>
            <w:rPr>
              <w:rFonts w:hint="eastAsia" w:ascii="黑体" w:hAnsi="黑体" w:eastAsia="黑体"/>
            </w:rPr>
            <w:t xml:space="preserve">十、 </w:t>
          </w:r>
          <w:r>
            <w:rPr>
              <w:rFonts w:hint="eastAsia" w:ascii="黑体" w:hAnsi="黑体" w:eastAsia="黑体"/>
              <w:highlight w:val="none"/>
            </w:rPr>
            <w:t>其他重要事项的情况说明</w:t>
          </w:r>
          <w:r>
            <w:tab/>
          </w:r>
          <w:r>
            <w:fldChar w:fldCharType="begin"/>
          </w:r>
          <w:r>
            <w:instrText xml:space="preserve"> PAGEREF _Toc18385 \h </w:instrText>
          </w:r>
          <w:r>
            <w:fldChar w:fldCharType="separate"/>
          </w:r>
          <w:r>
            <w:t>11</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53F10B94">
          <w:pPr>
            <w:pStyle w:val="43"/>
            <w:tabs>
              <w:tab w:val="right" w:leader="dot" w:pos="8306"/>
            </w:tabs>
            <w:rPr>
              <w:b/>
            </w:rPr>
          </w:pPr>
          <w:r>
            <w:rPr>
              <w:rFonts w:hint="eastAsia" w:asciiTheme="minorEastAsia" w:hAnsiTheme="minorEastAsia" w:eastAsiaTheme="minorEastAsia" w:cstheme="minorEastAsia"/>
              <w:b/>
              <w:color w:val="auto"/>
              <w:highlight w:val="none"/>
              <w:lang w:val="en-US" w:eastAsia="zh-CN"/>
            </w:rPr>
            <w:fldChar w:fldCharType="begin"/>
          </w:r>
          <w:r>
            <w:rPr>
              <w:rFonts w:hint="eastAsia" w:asciiTheme="minorEastAsia" w:hAnsiTheme="minorEastAsia" w:eastAsiaTheme="minorEastAsia" w:cstheme="minorEastAsia"/>
              <w:b/>
              <w:highlight w:val="none"/>
              <w:lang w:val="en-US" w:eastAsia="zh-CN"/>
            </w:rPr>
            <w:instrText xml:space="preserve"> HYPERLINK \l _Toc17686 </w:instrText>
          </w:r>
          <w:r>
            <w:rPr>
              <w:rFonts w:hint="eastAsia" w:asciiTheme="minorEastAsia" w:hAnsiTheme="minorEastAsia" w:eastAsiaTheme="minorEastAsia" w:cstheme="minorEastAsia"/>
              <w:b/>
              <w:highlight w:val="none"/>
              <w:lang w:val="en-US" w:eastAsia="zh-CN"/>
            </w:rPr>
            <w:fldChar w:fldCharType="separate"/>
          </w:r>
          <w:r>
            <w:rPr>
              <w:rFonts w:hint="eastAsia" w:ascii="黑体" w:hAnsi="黑体" w:eastAsia="黑体"/>
              <w:b/>
            </w:rPr>
            <w:t xml:space="preserve">第三部分 </w:t>
          </w:r>
          <w:r>
            <w:rPr>
              <w:rFonts w:hint="eastAsia" w:ascii="黑体" w:hAnsi="黑体" w:eastAsia="黑体"/>
              <w:b/>
              <w:szCs w:val="44"/>
              <w:highlight w:val="none"/>
            </w:rPr>
            <w:t>名</w:t>
          </w:r>
          <w:r>
            <w:rPr>
              <w:rFonts w:hint="eastAsia" w:ascii="黑体" w:hAnsi="黑体" w:eastAsia="黑体"/>
              <w:b/>
              <w:highlight w:val="none"/>
            </w:rPr>
            <w:t>词解释</w:t>
          </w:r>
          <w:r>
            <w:rPr>
              <w:b/>
            </w:rPr>
            <w:tab/>
          </w:r>
          <w:r>
            <w:rPr>
              <w:b/>
            </w:rPr>
            <w:fldChar w:fldCharType="begin"/>
          </w:r>
          <w:r>
            <w:rPr>
              <w:b/>
            </w:rPr>
            <w:instrText xml:space="preserve"> PAGEREF _Toc17686 \h </w:instrText>
          </w:r>
          <w:r>
            <w:rPr>
              <w:b/>
            </w:rPr>
            <w:fldChar w:fldCharType="separate"/>
          </w:r>
          <w:r>
            <w:rPr>
              <w:b/>
            </w:rPr>
            <w:t>14</w:t>
          </w:r>
          <w:r>
            <w:rPr>
              <w:b/>
            </w:rPr>
            <w:fldChar w:fldCharType="end"/>
          </w:r>
          <w:r>
            <w:rPr>
              <w:rFonts w:hint="eastAsia" w:asciiTheme="minorEastAsia" w:hAnsiTheme="minorEastAsia" w:eastAsiaTheme="minorEastAsia" w:cstheme="minorEastAsia"/>
              <w:b/>
              <w:color w:val="auto"/>
              <w:highlight w:val="none"/>
              <w:lang w:val="en-US" w:eastAsia="zh-CN"/>
            </w:rPr>
            <w:fldChar w:fldCharType="end"/>
          </w:r>
        </w:p>
        <w:p w14:paraId="5CA92ED3">
          <w:pPr>
            <w:pStyle w:val="43"/>
            <w:tabs>
              <w:tab w:val="right" w:leader="dot" w:pos="8306"/>
            </w:tabs>
          </w:pPr>
          <w:r>
            <w:rPr>
              <w:rFonts w:hint="eastAsia" w:asciiTheme="minorEastAsia" w:hAnsiTheme="minorEastAsia" w:eastAsiaTheme="minorEastAsia" w:cstheme="minorEastAsia"/>
              <w:b/>
              <w:color w:val="auto"/>
              <w:highlight w:val="none"/>
              <w:lang w:val="en-US" w:eastAsia="zh-CN"/>
            </w:rPr>
            <w:fldChar w:fldCharType="begin"/>
          </w:r>
          <w:r>
            <w:rPr>
              <w:rFonts w:hint="eastAsia" w:asciiTheme="minorEastAsia" w:hAnsiTheme="minorEastAsia" w:eastAsiaTheme="minorEastAsia" w:cstheme="minorEastAsia"/>
              <w:b/>
              <w:highlight w:val="none"/>
              <w:lang w:val="en-US" w:eastAsia="zh-CN"/>
            </w:rPr>
            <w:instrText xml:space="preserve"> HYPERLINK \l _Toc24608 </w:instrText>
          </w:r>
          <w:r>
            <w:rPr>
              <w:rFonts w:hint="eastAsia" w:asciiTheme="minorEastAsia" w:hAnsiTheme="minorEastAsia" w:eastAsiaTheme="minorEastAsia" w:cstheme="minorEastAsia"/>
              <w:b/>
              <w:highlight w:val="none"/>
              <w:lang w:val="en-US" w:eastAsia="zh-CN"/>
            </w:rPr>
            <w:fldChar w:fldCharType="separate"/>
          </w:r>
          <w:r>
            <w:rPr>
              <w:rFonts w:hint="eastAsia" w:ascii="黑体" w:hAnsi="黑体" w:eastAsia="黑体"/>
              <w:b/>
              <w:szCs w:val="44"/>
              <w:highlight w:val="none"/>
            </w:rPr>
            <w:t>第</w:t>
          </w:r>
          <w:r>
            <w:rPr>
              <w:rFonts w:hint="eastAsia" w:ascii="黑体" w:hAnsi="黑体" w:eastAsia="黑体"/>
              <w:b/>
              <w:highlight w:val="none"/>
            </w:rPr>
            <w:t>四部分 附件</w:t>
          </w:r>
          <w:r>
            <w:rPr>
              <w:b/>
            </w:rPr>
            <w:tab/>
          </w:r>
          <w:r>
            <w:rPr>
              <w:b/>
            </w:rPr>
            <w:fldChar w:fldCharType="begin"/>
          </w:r>
          <w:r>
            <w:rPr>
              <w:b/>
            </w:rPr>
            <w:instrText xml:space="preserve"> PAGEREF _Toc24608 \h </w:instrText>
          </w:r>
          <w:r>
            <w:rPr>
              <w:b/>
            </w:rPr>
            <w:fldChar w:fldCharType="separate"/>
          </w:r>
          <w:r>
            <w:rPr>
              <w:b/>
            </w:rPr>
            <w:t>18</w:t>
          </w:r>
          <w:r>
            <w:rPr>
              <w:b/>
            </w:rPr>
            <w:fldChar w:fldCharType="end"/>
          </w:r>
          <w:r>
            <w:rPr>
              <w:rFonts w:hint="eastAsia" w:asciiTheme="minorEastAsia" w:hAnsiTheme="minorEastAsia" w:eastAsiaTheme="minorEastAsia" w:cstheme="minorEastAsia"/>
              <w:b/>
              <w:color w:val="auto"/>
              <w:highlight w:val="none"/>
              <w:lang w:val="en-US" w:eastAsia="zh-CN"/>
            </w:rPr>
            <w:fldChar w:fldCharType="end"/>
          </w:r>
        </w:p>
        <w:p w14:paraId="43A337CC">
          <w:pPr>
            <w:pStyle w:val="43"/>
            <w:tabs>
              <w:tab w:val="right" w:leader="dot" w:pos="8306"/>
            </w:tabs>
            <w:rPr>
              <w:b/>
            </w:rPr>
          </w:pPr>
          <w:r>
            <w:rPr>
              <w:rFonts w:hint="eastAsia" w:asciiTheme="minorEastAsia" w:hAnsiTheme="minorEastAsia" w:eastAsiaTheme="minorEastAsia" w:cstheme="minorEastAsia"/>
              <w:b/>
              <w:color w:val="auto"/>
              <w:highlight w:val="none"/>
              <w:lang w:val="en-US" w:eastAsia="zh-CN"/>
            </w:rPr>
            <w:fldChar w:fldCharType="begin"/>
          </w:r>
          <w:r>
            <w:rPr>
              <w:rFonts w:hint="eastAsia" w:asciiTheme="minorEastAsia" w:hAnsiTheme="minorEastAsia" w:eastAsiaTheme="minorEastAsia" w:cstheme="minorEastAsia"/>
              <w:b/>
              <w:highlight w:val="none"/>
              <w:lang w:val="en-US" w:eastAsia="zh-CN"/>
            </w:rPr>
            <w:instrText xml:space="preserve"> HYPERLINK \l _Toc1535 </w:instrText>
          </w:r>
          <w:r>
            <w:rPr>
              <w:rFonts w:hint="eastAsia" w:asciiTheme="minorEastAsia" w:hAnsiTheme="minorEastAsia" w:eastAsiaTheme="minorEastAsia" w:cstheme="minorEastAsia"/>
              <w:b/>
              <w:highlight w:val="none"/>
              <w:lang w:val="en-US" w:eastAsia="zh-CN"/>
            </w:rPr>
            <w:fldChar w:fldCharType="separate"/>
          </w:r>
          <w:r>
            <w:rPr>
              <w:rFonts w:hint="eastAsia" w:ascii="黑体" w:hAnsi="黑体" w:eastAsia="黑体"/>
              <w:b/>
              <w:szCs w:val="44"/>
              <w:highlight w:val="none"/>
            </w:rPr>
            <w:t>第</w:t>
          </w:r>
          <w:r>
            <w:rPr>
              <w:rFonts w:hint="eastAsia" w:ascii="黑体" w:hAnsi="黑体" w:eastAsia="黑体"/>
              <w:b/>
              <w:highlight w:val="none"/>
            </w:rPr>
            <w:t>五部分 附表</w:t>
          </w:r>
          <w:r>
            <w:rPr>
              <w:b/>
            </w:rPr>
            <w:tab/>
          </w:r>
          <w:r>
            <w:rPr>
              <w:b/>
            </w:rPr>
            <w:fldChar w:fldCharType="begin"/>
          </w:r>
          <w:r>
            <w:rPr>
              <w:b/>
            </w:rPr>
            <w:instrText xml:space="preserve"> PAGEREF _Toc1535 \h </w:instrText>
          </w:r>
          <w:r>
            <w:rPr>
              <w:b/>
            </w:rPr>
            <w:fldChar w:fldCharType="separate"/>
          </w:r>
          <w:r>
            <w:rPr>
              <w:b/>
            </w:rPr>
            <w:t>83</w:t>
          </w:r>
          <w:r>
            <w:rPr>
              <w:b/>
            </w:rPr>
            <w:fldChar w:fldCharType="end"/>
          </w:r>
          <w:r>
            <w:rPr>
              <w:rFonts w:hint="eastAsia" w:asciiTheme="minorEastAsia" w:hAnsiTheme="minorEastAsia" w:eastAsiaTheme="minorEastAsia" w:cstheme="minorEastAsia"/>
              <w:b/>
              <w:color w:val="auto"/>
              <w:highlight w:val="none"/>
              <w:lang w:val="en-US" w:eastAsia="zh-CN"/>
            </w:rPr>
            <w:fldChar w:fldCharType="end"/>
          </w:r>
        </w:p>
        <w:p w14:paraId="07FE1335">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_Toc12187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highlight w:val="none"/>
            </w:rPr>
            <w:t>一、收</w:t>
          </w:r>
          <w:r>
            <w:rPr>
              <w:rFonts w:hint="eastAsia" w:ascii="仿宋" w:hAnsi="仿宋" w:eastAsia="仿宋"/>
              <w:bCs w:val="0"/>
              <w:highlight w:val="none"/>
            </w:rPr>
            <w:t>入支出决算总表</w:t>
          </w:r>
          <w:r>
            <w:tab/>
          </w:r>
          <w:r>
            <w:fldChar w:fldCharType="begin"/>
          </w:r>
          <w:r>
            <w:instrText xml:space="preserve"> PAGEREF _Toc12187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55D7C18E">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_Toc13051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highlight w:val="none"/>
            </w:rPr>
            <w:t>二、收</w:t>
          </w:r>
          <w:r>
            <w:rPr>
              <w:rFonts w:hint="eastAsia" w:ascii="仿宋" w:hAnsi="仿宋" w:eastAsia="仿宋"/>
              <w:bCs w:val="0"/>
              <w:highlight w:val="none"/>
            </w:rPr>
            <w:t>入决算表</w:t>
          </w:r>
          <w:r>
            <w:tab/>
          </w:r>
          <w:r>
            <w:fldChar w:fldCharType="begin"/>
          </w:r>
          <w:r>
            <w:instrText xml:space="preserve"> PAGEREF _Toc13051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65E50ADF">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_Toc13365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三、</w:t>
          </w:r>
          <w:r>
            <w:rPr>
              <w:rFonts w:hint="eastAsia" w:ascii="仿宋" w:hAnsi="仿宋" w:eastAsia="仿宋"/>
              <w:highlight w:val="none"/>
            </w:rPr>
            <w:t>支</w:t>
          </w:r>
          <w:r>
            <w:rPr>
              <w:rFonts w:hint="eastAsia" w:ascii="仿宋" w:hAnsi="仿宋" w:eastAsia="仿宋"/>
              <w:bCs w:val="0"/>
              <w:highlight w:val="none"/>
            </w:rPr>
            <w:t>出决算表</w:t>
          </w:r>
          <w:r>
            <w:tab/>
          </w:r>
          <w:r>
            <w:fldChar w:fldCharType="begin"/>
          </w:r>
          <w:r>
            <w:instrText xml:space="preserve"> PAGEREF _Toc13365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76440A9E">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_Toc10921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四、</w:t>
          </w:r>
          <w:r>
            <w:rPr>
              <w:rFonts w:hint="eastAsia" w:ascii="仿宋" w:hAnsi="仿宋" w:eastAsia="仿宋"/>
              <w:highlight w:val="none"/>
            </w:rPr>
            <w:t>财</w:t>
          </w:r>
          <w:r>
            <w:rPr>
              <w:rFonts w:hint="eastAsia" w:ascii="仿宋" w:hAnsi="仿宋" w:eastAsia="仿宋"/>
              <w:bCs w:val="0"/>
              <w:highlight w:val="none"/>
            </w:rPr>
            <w:t>政拨款收入支出决算总表</w:t>
          </w:r>
          <w:r>
            <w:tab/>
          </w:r>
          <w:r>
            <w:fldChar w:fldCharType="begin"/>
          </w:r>
          <w:r>
            <w:instrText xml:space="preserve"> PAGEREF _Toc10921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2C84AB3F">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_Toc17488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五、</w:t>
          </w:r>
          <w:r>
            <w:rPr>
              <w:rFonts w:hint="eastAsia" w:ascii="仿宋" w:hAnsi="仿宋" w:eastAsia="仿宋"/>
              <w:highlight w:val="none"/>
            </w:rPr>
            <w:t>财</w:t>
          </w:r>
          <w:r>
            <w:rPr>
              <w:rFonts w:hint="eastAsia" w:ascii="仿宋" w:hAnsi="仿宋" w:eastAsia="仿宋"/>
              <w:bCs w:val="0"/>
              <w:highlight w:val="none"/>
            </w:rPr>
            <w:t>政拨款支出决算明细表</w:t>
          </w:r>
          <w:r>
            <w:tab/>
          </w:r>
          <w:r>
            <w:fldChar w:fldCharType="begin"/>
          </w:r>
          <w:r>
            <w:instrText xml:space="preserve"> PAGEREF _Toc17488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0A28BD7C">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_Toc32256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六、</w:t>
          </w:r>
          <w:r>
            <w:rPr>
              <w:rFonts w:hint="eastAsia" w:ascii="仿宋" w:hAnsi="仿宋" w:eastAsia="仿宋"/>
              <w:highlight w:val="none"/>
            </w:rPr>
            <w:t>一</w:t>
          </w:r>
          <w:r>
            <w:rPr>
              <w:rFonts w:hint="eastAsia" w:ascii="仿宋" w:hAnsi="仿宋" w:eastAsia="仿宋"/>
              <w:bCs w:val="0"/>
              <w:highlight w:val="none"/>
            </w:rPr>
            <w:t>般公共预算财政拨款支出决算表</w:t>
          </w:r>
          <w:r>
            <w:tab/>
          </w:r>
          <w:r>
            <w:fldChar w:fldCharType="begin"/>
          </w:r>
          <w:r>
            <w:instrText xml:space="preserve"> PAGEREF _Toc32256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05D4759D">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_Toc1010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七、</w:t>
          </w:r>
          <w:r>
            <w:rPr>
              <w:rFonts w:hint="eastAsia" w:ascii="仿宋" w:hAnsi="仿宋" w:eastAsia="仿宋"/>
              <w:highlight w:val="none"/>
            </w:rPr>
            <w:t>一</w:t>
          </w:r>
          <w:r>
            <w:rPr>
              <w:rFonts w:hint="eastAsia" w:ascii="仿宋" w:hAnsi="仿宋" w:eastAsia="仿宋"/>
              <w:bCs w:val="0"/>
              <w:highlight w:val="none"/>
            </w:rPr>
            <w:t>般公共预算财政拨款支出决算明细表</w:t>
          </w:r>
          <w:r>
            <w:tab/>
          </w:r>
          <w:r>
            <w:fldChar w:fldCharType="begin"/>
          </w:r>
          <w:r>
            <w:instrText xml:space="preserve"> PAGEREF _Toc1010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694FF2F2">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_Toc17482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八、</w:t>
          </w:r>
          <w:r>
            <w:rPr>
              <w:rFonts w:hint="eastAsia" w:ascii="仿宋" w:hAnsi="仿宋" w:eastAsia="仿宋"/>
              <w:highlight w:val="none"/>
            </w:rPr>
            <w:t>一</w:t>
          </w:r>
          <w:r>
            <w:rPr>
              <w:rFonts w:hint="eastAsia" w:ascii="仿宋" w:hAnsi="仿宋" w:eastAsia="仿宋"/>
              <w:bCs w:val="0"/>
              <w:highlight w:val="none"/>
            </w:rPr>
            <w:t>般公共预算财政拨款基本支出决算表</w:t>
          </w:r>
          <w:r>
            <w:tab/>
          </w:r>
          <w:r>
            <w:fldChar w:fldCharType="begin"/>
          </w:r>
          <w:r>
            <w:instrText xml:space="preserve"> PAGEREF _Toc17482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181532A9">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_Toc2859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九、</w:t>
          </w:r>
          <w:r>
            <w:rPr>
              <w:rFonts w:hint="eastAsia" w:ascii="仿宋" w:hAnsi="仿宋" w:eastAsia="仿宋"/>
              <w:highlight w:val="none"/>
            </w:rPr>
            <w:t>一</w:t>
          </w:r>
          <w:r>
            <w:rPr>
              <w:rFonts w:hint="eastAsia" w:ascii="仿宋" w:hAnsi="仿宋" w:eastAsia="仿宋"/>
              <w:bCs w:val="0"/>
              <w:highlight w:val="none"/>
            </w:rPr>
            <w:t>般公共预算财政拨款项目支出决算表</w:t>
          </w:r>
          <w:r>
            <w:tab/>
          </w:r>
          <w:r>
            <w:fldChar w:fldCharType="begin"/>
          </w:r>
          <w:r>
            <w:instrText xml:space="preserve"> PAGEREF _Toc2859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477A04B1">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_Toc25468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十、</w:t>
          </w:r>
          <w:r>
            <w:rPr>
              <w:rFonts w:hint="eastAsia" w:ascii="仿宋" w:hAnsi="仿宋" w:eastAsia="仿宋"/>
              <w:highlight w:val="none"/>
            </w:rPr>
            <w:t>政</w:t>
          </w:r>
          <w:r>
            <w:rPr>
              <w:rFonts w:hint="eastAsia" w:ascii="仿宋" w:hAnsi="仿宋" w:eastAsia="仿宋"/>
              <w:bCs w:val="0"/>
              <w:highlight w:val="none"/>
            </w:rPr>
            <w:t>府性基金预算财政拨款收入支出决算表</w:t>
          </w:r>
          <w:r>
            <w:tab/>
          </w:r>
          <w:r>
            <w:fldChar w:fldCharType="begin"/>
          </w:r>
          <w:r>
            <w:instrText xml:space="preserve"> PAGEREF _Toc25468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47159909">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_Toc17821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十一、</w:t>
          </w:r>
          <w:r>
            <w:rPr>
              <w:rFonts w:hint="eastAsia" w:ascii="仿宋" w:hAnsi="仿宋" w:eastAsia="仿宋"/>
              <w:highlight w:val="none"/>
            </w:rPr>
            <w:t>国</w:t>
          </w:r>
          <w:r>
            <w:rPr>
              <w:rFonts w:hint="eastAsia" w:ascii="仿宋" w:hAnsi="仿宋" w:eastAsia="仿宋"/>
              <w:bCs w:val="0"/>
              <w:highlight w:val="none"/>
            </w:rPr>
            <w:t>有资本经营预算</w:t>
          </w:r>
          <w:r>
            <w:rPr>
              <w:rFonts w:hint="eastAsia" w:ascii="仿宋" w:hAnsi="仿宋" w:eastAsia="仿宋"/>
              <w:bCs w:val="0"/>
              <w:highlight w:val="none"/>
              <w:lang w:eastAsia="zh-CN"/>
            </w:rPr>
            <w:t>财政拨款收入</w:t>
          </w:r>
          <w:r>
            <w:rPr>
              <w:rFonts w:hint="eastAsia" w:ascii="仿宋" w:hAnsi="仿宋" w:eastAsia="仿宋"/>
              <w:bCs w:val="0"/>
              <w:highlight w:val="none"/>
            </w:rPr>
            <w:t>支出决算表</w:t>
          </w:r>
          <w:r>
            <w:tab/>
          </w:r>
          <w:r>
            <w:fldChar w:fldCharType="begin"/>
          </w:r>
          <w:r>
            <w:instrText xml:space="preserve"> PAGEREF _Toc17821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66B0A9B3">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_Toc18476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十二、</w:t>
          </w:r>
          <w:r>
            <w:rPr>
              <w:rFonts w:hint="eastAsia" w:ascii="仿宋" w:hAnsi="仿宋" w:eastAsia="仿宋"/>
              <w:bCs w:val="0"/>
              <w:highlight w:val="none"/>
              <w:lang w:eastAsia="zh-CN"/>
            </w:rPr>
            <w:t>国有资本经营预算财政拨款支出决算表</w:t>
          </w:r>
          <w:r>
            <w:tab/>
          </w:r>
          <w:r>
            <w:fldChar w:fldCharType="begin"/>
          </w:r>
          <w:r>
            <w:instrText xml:space="preserve"> PAGEREF _Toc18476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039220CA">
          <w:pPr>
            <w:pStyle w:val="44"/>
            <w:tabs>
              <w:tab w:val="right" w:leader="dot" w:pos="8306"/>
            </w:tabs>
          </w:pPr>
          <w:r>
            <w:rPr>
              <w:rFonts w:hint="eastAsia" w:asciiTheme="minorEastAsia" w:hAnsiTheme="minorEastAsia" w:eastAsiaTheme="minorEastAsia" w:cstheme="minorEastAsia"/>
              <w:color w:val="auto"/>
              <w:highlight w:val="none"/>
              <w:lang w:val="en-US" w:eastAsia="zh-CN"/>
            </w:rPr>
            <w:fldChar w:fldCharType="begin"/>
          </w:r>
          <w:r>
            <w:rPr>
              <w:rFonts w:hint="eastAsia" w:asciiTheme="minorEastAsia" w:hAnsiTheme="minorEastAsia" w:eastAsiaTheme="minorEastAsia" w:cstheme="minorEastAsia"/>
              <w:highlight w:val="none"/>
              <w:lang w:val="en-US" w:eastAsia="zh-CN"/>
            </w:rPr>
            <w:instrText xml:space="preserve"> HYPERLINK \l _Toc18203 </w:instrText>
          </w:r>
          <w:r>
            <w:rPr>
              <w:rFonts w:hint="eastAsia" w:asciiTheme="minorEastAsia" w:hAnsiTheme="minorEastAsia" w:eastAsiaTheme="minorEastAsia" w:cstheme="minorEastAsia"/>
              <w:highlight w:val="none"/>
              <w:lang w:val="en-US" w:eastAsia="zh-CN"/>
            </w:rPr>
            <w:fldChar w:fldCharType="separate"/>
          </w:r>
          <w:r>
            <w:rPr>
              <w:rFonts w:hint="eastAsia" w:ascii="仿宋" w:hAnsi="仿宋" w:eastAsia="仿宋"/>
              <w:bCs w:val="0"/>
              <w:highlight w:val="none"/>
            </w:rPr>
            <w:t>十三、</w:t>
          </w:r>
          <w:r>
            <w:rPr>
              <w:rFonts w:hint="eastAsia" w:ascii="仿宋" w:hAnsi="仿宋" w:eastAsia="仿宋"/>
              <w:bCs w:val="0"/>
              <w:highlight w:val="none"/>
              <w:lang w:eastAsia="zh-CN"/>
            </w:rPr>
            <w:t>财政拨款“三公”经费支出决算表</w:t>
          </w:r>
          <w:r>
            <w:tab/>
          </w:r>
          <w:r>
            <w:fldChar w:fldCharType="begin"/>
          </w:r>
          <w:r>
            <w:instrText xml:space="preserve"> PAGEREF _Toc18203 \h </w:instrText>
          </w:r>
          <w:r>
            <w:fldChar w:fldCharType="separate"/>
          </w:r>
          <w:r>
            <w:t>83</w:t>
          </w:r>
          <w:r>
            <w:fldChar w:fldCharType="end"/>
          </w:r>
          <w:r>
            <w:rPr>
              <w:rFonts w:hint="eastAsia" w:asciiTheme="minorEastAsia" w:hAnsiTheme="minorEastAsia" w:eastAsiaTheme="minorEastAsia" w:cstheme="minorEastAsia"/>
              <w:color w:val="auto"/>
              <w:highlight w:val="none"/>
              <w:lang w:val="en-US" w:eastAsia="zh-CN"/>
            </w:rPr>
            <w:fldChar w:fldCharType="end"/>
          </w:r>
        </w:p>
        <w:p w14:paraId="70662C36">
          <w:pPr>
            <w:pStyle w:val="17"/>
            <w:adjustRightInd w:val="0"/>
            <w:snapToGrid w:val="0"/>
            <w:spacing w:line="440" w:lineRule="exact"/>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b/>
              <w:color w:val="auto"/>
              <w:highlight w:val="none"/>
              <w:lang w:val="en-US" w:eastAsia="zh-CN"/>
            </w:rPr>
            <w:fldChar w:fldCharType="end"/>
          </w:r>
        </w:p>
      </w:sdtContent>
    </w:sdt>
    <w:p w14:paraId="6C3AD9C7">
      <w:pPr>
        <w:pStyle w:val="3"/>
        <w:jc w:val="center"/>
        <w:rPr>
          <w:rFonts w:hint="eastAsia" w:ascii="黑体" w:hAnsi="黑体" w:eastAsia="黑体"/>
          <w:b w:val="0"/>
          <w:color w:val="auto"/>
          <w:highlight w:val="none"/>
        </w:rPr>
        <w:sectPr>
          <w:headerReference r:id="rId4" w:type="first"/>
          <w:headerReference r:id="rId3" w:type="default"/>
          <w:pgSz w:w="11906" w:h="16838"/>
          <w:pgMar w:top="1440" w:right="1800" w:bottom="1440" w:left="1800" w:header="851" w:footer="992" w:gutter="0"/>
          <w:pgNumType w:fmt="decimal" w:start="1"/>
          <w:cols w:space="425" w:num="1"/>
          <w:titlePg/>
          <w:docGrid w:type="lines" w:linePitch="312" w:charSpace="0"/>
        </w:sectPr>
      </w:pPr>
      <w:bookmarkStart w:id="16" w:name="_Toc15396599"/>
      <w:bookmarkStart w:id="17" w:name="_Toc15377196"/>
      <w:bookmarkStart w:id="18" w:name="_Toc31587"/>
    </w:p>
    <w:p w14:paraId="704629AB">
      <w:pPr>
        <w:pStyle w:val="3"/>
        <w:jc w:val="center"/>
        <w:rPr>
          <w:rFonts w:ascii="黑体" w:eastAsia="黑体"/>
          <w:color w:val="auto"/>
          <w:sz w:val="32"/>
          <w:szCs w:val="32"/>
          <w:highlight w:val="none"/>
        </w:rPr>
      </w:pPr>
      <w:r>
        <w:rPr>
          <w:rFonts w:hint="eastAsia" w:ascii="黑体" w:hAnsi="黑体" w:eastAsia="黑体"/>
          <w:b w:val="0"/>
          <w:color w:val="auto"/>
          <w:highlight w:val="none"/>
        </w:rPr>
        <w:t xml:space="preserve">第一部分 </w:t>
      </w:r>
      <w:r>
        <w:rPr>
          <w:rStyle w:val="35"/>
          <w:rFonts w:hint="eastAsia" w:ascii="黑体" w:hAnsi="黑体" w:eastAsia="黑体"/>
          <w:b w:val="0"/>
          <w:bCs w:val="0"/>
          <w:color w:val="auto"/>
          <w:highlight w:val="none"/>
        </w:rPr>
        <w:t>部门概况</w:t>
      </w:r>
      <w:bookmarkEnd w:id="16"/>
      <w:bookmarkEnd w:id="17"/>
      <w:bookmarkEnd w:id="18"/>
    </w:p>
    <w:p w14:paraId="0FB48321">
      <w:pPr>
        <w:pStyle w:val="3"/>
        <w:keepNext/>
        <w:keepLines/>
        <w:pageBreakBefore w:val="0"/>
        <w:widowControl w:val="0"/>
        <w:kinsoku/>
        <w:wordWrap/>
        <w:overflowPunct/>
        <w:topLinePunct w:val="0"/>
        <w:autoSpaceDE/>
        <w:autoSpaceDN/>
        <w:bidi w:val="0"/>
        <w:adjustRightInd/>
        <w:snapToGrid/>
        <w:spacing w:before="260" w:after="0" w:line="600" w:lineRule="exact"/>
        <w:ind w:left="0" w:leftChars="0" w:right="0" w:rightChars="0" w:firstLine="640" w:firstLineChars="200"/>
        <w:jc w:val="both"/>
        <w:textAlignment w:val="auto"/>
        <w:outlineLvl w:val="0"/>
        <w:rPr>
          <w:rStyle w:val="36"/>
          <w:rFonts w:hint="eastAsia" w:ascii="黑体" w:hAnsi="黑体" w:eastAsia="黑体"/>
          <w:b w:val="0"/>
          <w:bCs w:val="0"/>
          <w:color w:val="auto"/>
          <w:highlight w:val="none"/>
          <w:lang w:val="en-US" w:eastAsia="zh-CN" w:bidi="ar-SA"/>
        </w:rPr>
      </w:pPr>
      <w:bookmarkStart w:id="19" w:name="_Toc15377197"/>
      <w:bookmarkStart w:id="20" w:name="_Toc15396600"/>
      <w:r>
        <w:rPr>
          <w:rStyle w:val="36"/>
          <w:rFonts w:hint="eastAsia" w:ascii="黑体" w:hAnsi="黑体" w:eastAsia="黑体"/>
          <w:b w:val="0"/>
          <w:bCs w:val="0"/>
          <w:color w:val="auto"/>
          <w:highlight w:val="none"/>
          <w:lang w:val="en-US" w:eastAsia="zh-CN" w:bidi="ar-SA"/>
        </w:rPr>
        <w:t>一、</w:t>
      </w:r>
      <w:bookmarkEnd w:id="19"/>
      <w:bookmarkEnd w:id="20"/>
      <w:r>
        <w:rPr>
          <w:rStyle w:val="36"/>
          <w:rFonts w:hint="eastAsia" w:ascii="黑体" w:hAnsi="黑体" w:eastAsia="黑体"/>
          <w:b w:val="0"/>
          <w:bCs w:val="0"/>
          <w:color w:val="auto"/>
          <w:highlight w:val="none"/>
          <w:lang w:val="en-US" w:eastAsia="zh-CN" w:bidi="ar-SA"/>
        </w:rPr>
        <w:t>部门职责</w:t>
      </w:r>
    </w:p>
    <w:p w14:paraId="22B93492">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bookmarkStart w:id="21" w:name="_Toc15377200"/>
      <w:bookmarkStart w:id="22" w:name="_Toc15396601"/>
      <w:r>
        <w:rPr>
          <w:rFonts w:hint="eastAsia" w:ascii="仿宋_GB2312" w:hAnsi="仿宋_GB2312" w:eastAsia="仿宋_GB2312" w:cs="仿宋_GB2312"/>
          <w:color w:val="auto"/>
          <w:kern w:val="0"/>
          <w:sz w:val="32"/>
          <w:szCs w:val="32"/>
          <w:highlight w:val="none"/>
          <w:shd w:val="clear" w:color="auto" w:fill="FFFFFF"/>
          <w:lang w:val="zh-CN"/>
        </w:rPr>
        <w:t>1</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负责政协全委会议、常委会会议、主席会议等重要会议的会务工作及有关决议、决定事项的组织实施与督促落实。</w:t>
      </w:r>
    </w:p>
    <w:p w14:paraId="3C846219">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2</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负责委员服务和管理的相关工作及调研、视察的协调、服务工作。</w:t>
      </w:r>
    </w:p>
    <w:p w14:paraId="1430406B">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3</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负责信息和社情民意工作，收集、整理、反映委员协商、监督、参政议政中的意见、建议和各族各界人士的意见、建议，供区委、区府及上级政协参考。</w:t>
      </w:r>
    </w:p>
    <w:p w14:paraId="70D2CD66">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4</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负责与区政协办、区委办、区人大办、区政府办及有关部门、各党派、工商联、人民团体的联系工作。</w:t>
      </w:r>
    </w:p>
    <w:p w14:paraId="5AEE767E">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5</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负责政协机关党的建设、政治学习、对外宣传、经验交流等工作。</w:t>
      </w:r>
    </w:p>
    <w:p w14:paraId="67FD005B">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6</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负责政协文件、材料起草，政协工作信息、政协志（初稿）收集、整理、编写，机关公文、文电处理、文印、通讯工作。</w:t>
      </w:r>
    </w:p>
    <w:p w14:paraId="3A2A4F61">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7</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负责机关机要、保密、档案、图书管理、报刊订阅、收发工作。</w:t>
      </w:r>
    </w:p>
    <w:p w14:paraId="5BC2D1AC">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8</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负责承办机关行政事务、人事劳动、财务、国有资产、接待服务等相关工作。</w:t>
      </w:r>
    </w:p>
    <w:p w14:paraId="6F5B1FFF">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both"/>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9</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负责机关办公保障工作。</w:t>
      </w:r>
    </w:p>
    <w:p w14:paraId="05A2C922">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both"/>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10</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负责机关安全、保卫、消防工作和机关创文明单位所涉及的有关工作。</w:t>
      </w:r>
    </w:p>
    <w:p w14:paraId="0C9F57B1">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both"/>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bidi="ar-SA"/>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bidi="ar-SA"/>
        </w:rPr>
        <w:t>11</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SA"/>
        </w:rPr>
        <w:t>．</w:t>
      </w:r>
      <w:r>
        <w:rPr>
          <w:rFonts w:hint="eastAsia" w:ascii="仿宋_GB2312" w:hAnsi="仿宋_GB2312" w:eastAsia="仿宋_GB2312" w:cs="仿宋_GB2312"/>
          <w:b w:val="0"/>
          <w:bCs w:val="0"/>
          <w:color w:val="auto"/>
          <w:kern w:val="0"/>
          <w:sz w:val="32"/>
          <w:szCs w:val="32"/>
          <w:highlight w:val="none"/>
          <w:shd w:val="clear" w:color="auto" w:fill="FFFFFF"/>
          <w:lang w:val="zh-CN" w:eastAsia="zh-CN" w:bidi="ar-SA"/>
        </w:rPr>
        <w:t>完成领导交办的其他工作任务。</w:t>
      </w:r>
    </w:p>
    <w:p w14:paraId="35EFBE08">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jc w:val="both"/>
        <w:textAlignment w:val="auto"/>
        <w:outlineLvl w:val="0"/>
        <w:rPr>
          <w:rStyle w:val="36"/>
          <w:b w:val="0"/>
          <w:bCs w:val="0"/>
          <w:color w:val="auto"/>
          <w:highlight w:val="none"/>
        </w:rPr>
      </w:pPr>
      <w:r>
        <w:rPr>
          <w:rStyle w:val="36"/>
          <w:rFonts w:hint="eastAsia" w:ascii="黑体" w:hAnsi="黑体" w:eastAsia="黑体"/>
          <w:b w:val="0"/>
          <w:bCs w:val="0"/>
          <w:color w:val="auto"/>
          <w:highlight w:val="none"/>
        </w:rPr>
        <w:t>二、机构设置</w:t>
      </w:r>
      <w:bookmarkEnd w:id="21"/>
      <w:bookmarkEnd w:id="22"/>
    </w:p>
    <w:p w14:paraId="7247756D">
      <w:pPr>
        <w:pStyle w:val="8"/>
        <w:pageBreakBefore w:val="0"/>
        <w:widowControl w:val="0"/>
        <w:kinsoku/>
        <w:wordWrap/>
        <w:topLinePunct w:val="0"/>
        <w:autoSpaceDE/>
        <w:autoSpaceDN/>
        <w:bidi w:val="0"/>
        <w:adjustRightInd/>
        <w:snapToGrid/>
        <w:spacing w:before="93" w:line="600" w:lineRule="exact"/>
        <w:ind w:left="0" w:leftChars="0" w:right="0" w:rightChars="0" w:firstLine="640" w:firstLineChars="200"/>
        <w:jc w:val="both"/>
        <w:textAlignment w:val="auto"/>
        <w:rPr>
          <w:rFonts w:ascii="仿宋" w:hAnsi="仿宋" w:eastAsia="仿宋"/>
          <w:color w:val="auto"/>
          <w:sz w:val="32"/>
          <w:szCs w:val="32"/>
          <w:highlight w:val="none"/>
        </w:rPr>
      </w:pPr>
      <w:r>
        <w:rPr>
          <w:rFonts w:hint="eastAsia" w:ascii="仿宋_GB2312" w:hAnsi="仿宋_GB2312" w:eastAsia="仿宋_GB2312" w:cs="仿宋_GB2312"/>
          <w:color w:val="auto"/>
          <w:kern w:val="0"/>
          <w:sz w:val="32"/>
          <w:szCs w:val="32"/>
          <w:highlight w:val="none"/>
          <w:shd w:val="clear" w:color="auto" w:fill="FFFFFF"/>
          <w:lang w:val="en-US" w:eastAsia="zh-CN" w:bidi="ar-SA"/>
        </w:rPr>
        <w:t>区政协机关为区级一级预算单位，无下属二级单位。设八委一室，即：办公室、提案委员会、</w:t>
      </w:r>
      <w:r>
        <w:rPr>
          <w:rFonts w:hint="default" w:ascii="仿宋_GB2312" w:hAnsi="仿宋_GB2312" w:eastAsia="仿宋_GB2312" w:cs="仿宋_GB2312"/>
          <w:color w:val="auto"/>
          <w:kern w:val="0"/>
          <w:sz w:val="32"/>
          <w:szCs w:val="32"/>
          <w:highlight w:val="none"/>
          <w:shd w:val="clear" w:color="auto" w:fill="FFFFFF"/>
          <w:lang w:val="zh-CN" w:eastAsia="zh-CN" w:bidi="ar-SA"/>
        </w:rPr>
        <w:t>社会法制</w:t>
      </w:r>
      <w:r>
        <w:rPr>
          <w:rFonts w:hint="default" w:ascii="仿宋_GB2312" w:hAnsi="仿宋_GB2312" w:eastAsia="仿宋_GB2312" w:cs="仿宋_GB2312"/>
          <w:color w:val="auto"/>
          <w:kern w:val="0"/>
          <w:sz w:val="32"/>
          <w:szCs w:val="32"/>
          <w:highlight w:val="none"/>
          <w:shd w:val="clear" w:color="auto" w:fill="FFFFFF"/>
          <w:lang w:val="en-US" w:eastAsia="zh-CN" w:bidi="ar-SA"/>
        </w:rPr>
        <w:t>和民族宗教</w:t>
      </w:r>
      <w:r>
        <w:rPr>
          <w:rFonts w:hint="default" w:ascii="仿宋_GB2312" w:hAnsi="仿宋_GB2312" w:eastAsia="仿宋_GB2312" w:cs="仿宋_GB2312"/>
          <w:color w:val="auto"/>
          <w:kern w:val="0"/>
          <w:sz w:val="32"/>
          <w:szCs w:val="32"/>
          <w:highlight w:val="none"/>
          <w:shd w:val="clear" w:color="auto" w:fill="FFFFFF"/>
          <w:lang w:val="zh-CN" w:eastAsia="zh-CN" w:bidi="ar-SA"/>
        </w:rPr>
        <w:t>委员会</w:t>
      </w:r>
      <w:r>
        <w:rPr>
          <w:rFonts w:hint="eastAsia" w:ascii="仿宋_GB2312" w:hAnsi="仿宋_GB2312" w:eastAsia="仿宋_GB2312" w:cs="仿宋_GB2312"/>
          <w:color w:val="auto"/>
          <w:kern w:val="0"/>
          <w:sz w:val="32"/>
          <w:szCs w:val="32"/>
          <w:highlight w:val="none"/>
          <w:shd w:val="clear" w:color="auto" w:fill="FFFFFF"/>
          <w:lang w:val="en-US" w:eastAsia="zh-CN" w:bidi="ar-SA"/>
        </w:rPr>
        <w:t>、经济委员会、农业和农村委员会、教科卫体委员会、</w:t>
      </w:r>
      <w:r>
        <w:rPr>
          <w:rFonts w:hint="default" w:ascii="仿宋_GB2312" w:hAnsi="仿宋_GB2312" w:eastAsia="仿宋_GB2312" w:cs="仿宋_GB2312"/>
          <w:color w:val="auto"/>
          <w:kern w:val="0"/>
          <w:sz w:val="32"/>
          <w:szCs w:val="32"/>
          <w:highlight w:val="none"/>
          <w:shd w:val="clear" w:color="auto" w:fill="FFFFFF"/>
          <w:lang w:val="zh-CN" w:eastAsia="zh-CN" w:bidi="ar-SA"/>
        </w:rPr>
        <w:t>文化文史和学习委员会</w:t>
      </w:r>
      <w:r>
        <w:rPr>
          <w:rFonts w:hint="eastAsia" w:ascii="仿宋_GB2312" w:hAnsi="仿宋_GB2312" w:eastAsia="仿宋_GB2312" w:cs="仿宋_GB2312"/>
          <w:color w:val="auto"/>
          <w:kern w:val="0"/>
          <w:sz w:val="32"/>
          <w:szCs w:val="32"/>
          <w:highlight w:val="none"/>
          <w:shd w:val="clear" w:color="auto" w:fill="FFFFFF"/>
          <w:lang w:val="en-US" w:eastAsia="zh-CN" w:bidi="ar-SA"/>
        </w:rPr>
        <w:t>、委员联络委员会、城乡建设和人口资源环境委员会，机构级别为科级。区政协办下设宣传信息中心，机构级别为股级。下属二级预算单位0个，其中行政单位0个，参照公务员法管理的事业单位0个，其他事业单位0个。无纳入区政协办2023年度部门决算编制范围的二级预算单位。</w:t>
      </w:r>
    </w:p>
    <w:p w14:paraId="4D8029AE">
      <w:pPr>
        <w:ind w:firstLine="800" w:firstLineChars="250"/>
        <w:rPr>
          <w:rFonts w:hint="eastAsia" w:ascii="仿宋" w:hAnsi="仿宋" w:eastAsia="仿宋"/>
          <w:color w:val="auto"/>
          <w:sz w:val="32"/>
          <w:szCs w:val="32"/>
          <w:highlight w:val="none"/>
          <w:lang w:eastAsia="zh-CN"/>
        </w:rPr>
      </w:pPr>
    </w:p>
    <w:p w14:paraId="16CF326F">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642E75D8">
      <w:pPr>
        <w:pStyle w:val="3"/>
        <w:ind w:right="440"/>
        <w:jc w:val="center"/>
        <w:rPr>
          <w:rStyle w:val="35"/>
          <w:rFonts w:ascii="黑体" w:hAnsi="黑体" w:eastAsia="黑体"/>
          <w:b w:val="0"/>
          <w:bCs/>
          <w:color w:val="auto"/>
          <w:highlight w:val="none"/>
        </w:rPr>
      </w:pPr>
      <w:bookmarkStart w:id="23" w:name="_Toc15377204"/>
      <w:bookmarkStart w:id="24" w:name="_Toc15396602"/>
      <w:bookmarkStart w:id="25" w:name="_Toc14733"/>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w:t>
      </w:r>
      <w:r>
        <w:rPr>
          <w:rStyle w:val="35"/>
          <w:rFonts w:hint="eastAsia" w:ascii="黑体" w:hAnsi="黑体" w:eastAsia="黑体"/>
          <w:b w:val="0"/>
          <w:bCs/>
          <w:color w:val="auto"/>
          <w:highlight w:val="none"/>
        </w:rPr>
        <w:t>部门决算情况说明</w:t>
      </w:r>
      <w:bookmarkEnd w:id="23"/>
      <w:bookmarkEnd w:id="24"/>
      <w:bookmarkEnd w:id="25"/>
    </w:p>
    <w:p w14:paraId="5E6E1132">
      <w:pPr>
        <w:rPr>
          <w:color w:val="auto"/>
          <w:highlight w:val="none"/>
        </w:rPr>
      </w:pPr>
    </w:p>
    <w:p w14:paraId="577B977D">
      <w:pPr>
        <w:pStyle w:val="34"/>
        <w:numPr>
          <w:ilvl w:val="0"/>
          <w:numId w:val="1"/>
        </w:numPr>
        <w:spacing w:line="600" w:lineRule="exact"/>
        <w:ind w:firstLineChars="0"/>
        <w:jc w:val="both"/>
        <w:outlineLvl w:val="1"/>
        <w:rPr>
          <w:rStyle w:val="36"/>
          <w:rFonts w:ascii="黑体" w:hAnsi="黑体" w:eastAsia="黑体"/>
          <w:b w:val="0"/>
          <w:color w:val="auto"/>
          <w:highlight w:val="none"/>
        </w:rPr>
      </w:pPr>
      <w:bookmarkStart w:id="26" w:name="_Toc3190"/>
      <w:bookmarkStart w:id="27" w:name="_Toc15377205"/>
      <w:bookmarkStart w:id="28" w:name="_Toc15396603"/>
      <w:r>
        <w:rPr>
          <w:rFonts w:hint="eastAsia" w:ascii="黑体" w:hAnsi="黑体" w:eastAsia="黑体"/>
          <w:color w:val="auto"/>
          <w:sz w:val="32"/>
          <w:szCs w:val="32"/>
          <w:highlight w:val="none"/>
        </w:rPr>
        <w:t>收</w:t>
      </w:r>
      <w:r>
        <w:rPr>
          <w:rStyle w:val="36"/>
          <w:rFonts w:hint="eastAsia" w:ascii="黑体" w:hAnsi="黑体" w:eastAsia="黑体"/>
          <w:b w:val="0"/>
          <w:color w:val="auto"/>
          <w:highlight w:val="none"/>
        </w:rPr>
        <w:t>入支出决算总体情况说明</w:t>
      </w:r>
      <w:bookmarkEnd w:id="26"/>
      <w:bookmarkEnd w:id="27"/>
      <w:bookmarkEnd w:id="28"/>
    </w:p>
    <w:p w14:paraId="799AD949">
      <w:pPr>
        <w:spacing w:line="600" w:lineRule="exact"/>
        <w:ind w:firstLine="640" w:firstLineChars="200"/>
        <w:jc w:val="both"/>
        <w:rPr>
          <w:rFonts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年度收、支总计1,402.50万元。与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2</w:t>
      </w:r>
      <w:r>
        <w:rPr>
          <w:rFonts w:hint="eastAsia" w:ascii="仿宋" w:hAnsi="仿宋" w:eastAsia="仿宋"/>
          <w:color w:val="auto"/>
          <w:sz w:val="32"/>
          <w:szCs w:val="32"/>
          <w:highlight w:val="none"/>
          <w:lang w:eastAsia="zh-CN"/>
        </w:rPr>
        <w:t>年</w:t>
      </w:r>
      <w:r>
        <w:rPr>
          <w:rFonts w:hint="eastAsia" w:ascii="仿宋" w:hAnsi="仿宋" w:eastAsia="仿宋"/>
          <w:color w:val="auto"/>
          <w:sz w:val="32"/>
          <w:szCs w:val="32"/>
          <w:highlight w:val="none"/>
        </w:rPr>
        <w:t>相比，收、支总计各增加</w:t>
      </w:r>
      <w:r>
        <w:rPr>
          <w:rFonts w:hint="eastAsia" w:ascii="仿宋" w:hAnsi="仿宋" w:eastAsia="仿宋"/>
          <w:color w:val="auto"/>
          <w:sz w:val="32"/>
          <w:szCs w:val="32"/>
          <w:highlight w:val="none"/>
          <w:lang w:val="en-US" w:eastAsia="zh-CN"/>
        </w:rPr>
        <w:t>15.00</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1.08</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s="仿宋"/>
          <w:color w:val="auto"/>
          <w:sz w:val="32"/>
          <w:szCs w:val="32"/>
          <w:highlight w:val="none"/>
          <w:lang w:val="en-US" w:eastAsia="zh-CN"/>
        </w:rPr>
        <w:t>2023年增加了“</w:t>
      </w:r>
      <w:r>
        <w:rPr>
          <w:rFonts w:hint="eastAsia" w:ascii="仿宋" w:hAnsi="仿宋" w:eastAsia="仿宋"/>
          <w:color w:val="auto"/>
          <w:sz w:val="32"/>
          <w:szCs w:val="32"/>
          <w:highlight w:val="none"/>
        </w:rPr>
        <w:t>办公设备购置费</w:t>
      </w:r>
      <w:r>
        <w:rPr>
          <w:rFonts w:hint="eastAsia" w:ascii="仿宋" w:hAnsi="仿宋" w:eastAsia="仿宋"/>
          <w:color w:val="auto"/>
          <w:sz w:val="32"/>
          <w:szCs w:val="32"/>
          <w:highlight w:val="none"/>
          <w:lang w:val="en-US" w:eastAsia="zh-CN"/>
        </w:rPr>
        <w:t>”等项目经费</w:t>
      </w:r>
      <w:r>
        <w:rPr>
          <w:rFonts w:hint="eastAsia" w:ascii="仿宋" w:hAnsi="仿宋" w:eastAsia="仿宋"/>
          <w:color w:val="auto"/>
          <w:sz w:val="32"/>
          <w:szCs w:val="32"/>
          <w:highlight w:val="none"/>
          <w:lang w:eastAsia="zh-CN"/>
        </w:rPr>
        <w:t>。</w:t>
      </w:r>
    </w:p>
    <w:p w14:paraId="3D57550D">
      <w:pPr>
        <w:spacing w:line="600" w:lineRule="exact"/>
        <w:ind w:firstLine="640" w:firstLineChars="200"/>
        <w:jc w:val="both"/>
        <w:rPr>
          <w:rFonts w:eastAsia="仿宋_GB2312"/>
          <w:color w:val="auto"/>
          <w:sz w:val="32"/>
          <w:szCs w:val="32"/>
          <w:highlight w:val="none"/>
        </w:rPr>
      </w:pPr>
      <w:r>
        <w:rPr>
          <w:rFonts w:eastAsia="仿宋_GB2312"/>
          <w:color w:val="auto"/>
          <w:sz w:val="32"/>
          <w:szCs w:val="32"/>
          <w:highlight w:val="none"/>
        </w:rPr>
        <w:t>图1：</w:t>
      </w:r>
    </w:p>
    <w:p w14:paraId="06E6313F">
      <w:pPr>
        <w:spacing w:line="600" w:lineRule="exact"/>
        <w:jc w:val="both"/>
        <w:rPr>
          <w:rFonts w:ascii="仿宋_GB2312" w:eastAsia="仿宋_GB2312"/>
          <w:color w:val="auto"/>
          <w:sz w:val="32"/>
          <w:szCs w:val="32"/>
          <w:highlight w:val="none"/>
        </w:rPr>
      </w:pPr>
      <w:r>
        <w:rPr>
          <w:rFonts w:eastAsia="仿宋"/>
          <w:color w:val="auto"/>
          <w:sz w:val="32"/>
          <w:szCs w:val="32"/>
          <w:highlight w:val="none"/>
        </w:rPr>
        <w:drawing>
          <wp:anchor distT="0" distB="0" distL="114300" distR="114300" simplePos="0" relativeHeight="251659264" behindDoc="0" locked="0" layoutInCell="1" allowOverlap="1">
            <wp:simplePos x="0" y="0"/>
            <wp:positionH relativeFrom="column">
              <wp:posOffset>185420</wp:posOffset>
            </wp:positionH>
            <wp:positionV relativeFrom="paragraph">
              <wp:posOffset>197485</wp:posOffset>
            </wp:positionV>
            <wp:extent cx="5027930" cy="2103755"/>
            <wp:effectExtent l="4445" t="4445" r="15875" b="635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3560B978">
      <w:pPr>
        <w:pStyle w:val="34"/>
        <w:numPr>
          <w:ilvl w:val="0"/>
          <w:numId w:val="1"/>
        </w:numPr>
        <w:spacing w:line="600" w:lineRule="exact"/>
        <w:ind w:firstLineChars="0"/>
        <w:jc w:val="both"/>
        <w:outlineLvl w:val="1"/>
        <w:rPr>
          <w:rStyle w:val="36"/>
          <w:rFonts w:ascii="黑体" w:hAnsi="黑体" w:eastAsia="黑体"/>
          <w:b w:val="0"/>
          <w:color w:val="auto"/>
          <w:highlight w:val="none"/>
        </w:rPr>
      </w:pPr>
      <w:bookmarkStart w:id="29" w:name="_Toc15396604"/>
      <w:bookmarkStart w:id="30" w:name="_Toc15377206"/>
      <w:bookmarkStart w:id="31" w:name="_Toc1153"/>
      <w:r>
        <w:rPr>
          <w:rFonts w:hint="eastAsia" w:ascii="黑体" w:hAnsi="黑体" w:eastAsia="黑体"/>
          <w:color w:val="auto"/>
          <w:sz w:val="32"/>
          <w:szCs w:val="32"/>
          <w:highlight w:val="none"/>
        </w:rPr>
        <w:t>收</w:t>
      </w:r>
      <w:r>
        <w:rPr>
          <w:rStyle w:val="36"/>
          <w:rFonts w:hint="eastAsia" w:ascii="黑体" w:hAnsi="黑体" w:eastAsia="黑体"/>
          <w:b w:val="0"/>
          <w:color w:val="auto"/>
          <w:highlight w:val="none"/>
        </w:rPr>
        <w:t>入决算情况说明</w:t>
      </w:r>
      <w:bookmarkEnd w:id="29"/>
      <w:bookmarkEnd w:id="30"/>
      <w:bookmarkEnd w:id="31"/>
    </w:p>
    <w:p w14:paraId="4AB3A5F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eastAsia="仿宋"/>
          <w:lang w:val="en-US" w:eastAsia="zh-CN"/>
        </w:rPr>
      </w:pPr>
      <w:bookmarkStart w:id="32" w:name="_Toc7039"/>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1,392.77</w:t>
      </w:r>
      <w:r>
        <w:rPr>
          <w:rFonts w:hint="eastAsia" w:ascii="仿宋" w:hAnsi="仿宋" w:eastAsia="仿宋"/>
          <w:color w:val="auto"/>
          <w:sz w:val="32"/>
          <w:szCs w:val="32"/>
          <w:highlight w:val="none"/>
        </w:rPr>
        <w:t>万元，其中：一般公共预算财政拨款收入1,392.11万元，占</w:t>
      </w:r>
      <w:r>
        <w:rPr>
          <w:rFonts w:hint="eastAsia" w:ascii="仿宋" w:hAnsi="仿宋" w:eastAsia="仿宋"/>
          <w:color w:val="auto"/>
          <w:sz w:val="32"/>
          <w:szCs w:val="32"/>
          <w:highlight w:val="none"/>
          <w:lang w:val="en-US" w:eastAsia="zh-CN"/>
        </w:rPr>
        <w:t>99.95</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；其他收入0.66万元，占</w:t>
      </w:r>
      <w:r>
        <w:rPr>
          <w:rFonts w:hint="eastAsia" w:ascii="仿宋" w:hAnsi="仿宋" w:eastAsia="仿宋"/>
          <w:color w:val="auto"/>
          <w:sz w:val="32"/>
          <w:szCs w:val="32"/>
          <w:highlight w:val="none"/>
          <w:lang w:val="en-US" w:eastAsia="zh-CN"/>
        </w:rPr>
        <w:t>0.05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2"/>
    </w:p>
    <w:p w14:paraId="0EE07124">
      <w:pPr>
        <w:spacing w:line="600" w:lineRule="exact"/>
        <w:ind w:firstLine="640" w:firstLineChars="200"/>
        <w:jc w:val="both"/>
        <w:rPr>
          <w:rFonts w:eastAsia="仿宋_GB2312"/>
          <w:color w:val="auto"/>
          <w:sz w:val="32"/>
          <w:szCs w:val="32"/>
          <w:highlight w:val="none"/>
        </w:rPr>
      </w:pPr>
      <w:r>
        <w:rPr>
          <w:rFonts w:eastAsia="仿宋_GB2312"/>
          <w:color w:val="auto"/>
          <w:sz w:val="32"/>
          <w:szCs w:val="32"/>
          <w:highlight w:val="none"/>
        </w:rPr>
        <w:t>图2：</w:t>
      </w:r>
    </w:p>
    <w:p w14:paraId="0F06F76F">
      <w:pPr>
        <w:pStyle w:val="2"/>
        <w:rPr>
          <w:rFonts w:eastAsia="仿宋_GB2312"/>
          <w:color w:val="auto"/>
          <w:sz w:val="32"/>
          <w:szCs w:val="32"/>
          <w:highlight w:val="none"/>
        </w:rPr>
      </w:pPr>
    </w:p>
    <w:p w14:paraId="732E0862">
      <w:pPr>
        <w:rPr>
          <w:rFonts w:eastAsia="仿宋_GB2312"/>
          <w:color w:val="auto"/>
          <w:sz w:val="32"/>
          <w:szCs w:val="32"/>
          <w:highlight w:val="none"/>
        </w:rPr>
      </w:pPr>
    </w:p>
    <w:p w14:paraId="28389898">
      <w:r>
        <w:rPr>
          <w:rFonts w:eastAsia="仿宋"/>
          <w:color w:val="auto"/>
          <w:sz w:val="32"/>
          <w:szCs w:val="32"/>
          <w:highlight w:val="none"/>
        </w:rPr>
        <w:drawing>
          <wp:anchor distT="0" distB="0" distL="114300" distR="114300" simplePos="0" relativeHeight="251660288" behindDoc="0" locked="0" layoutInCell="1" allowOverlap="1">
            <wp:simplePos x="0" y="0"/>
            <wp:positionH relativeFrom="column">
              <wp:posOffset>20320</wp:posOffset>
            </wp:positionH>
            <wp:positionV relativeFrom="paragraph">
              <wp:posOffset>193040</wp:posOffset>
            </wp:positionV>
            <wp:extent cx="5029200" cy="1699895"/>
            <wp:effectExtent l="4445" t="4445" r="14605" b="10160"/>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C48DC57">
      <w:pPr>
        <w:pStyle w:val="34"/>
        <w:numPr>
          <w:ilvl w:val="0"/>
          <w:numId w:val="1"/>
        </w:numPr>
        <w:spacing w:line="600" w:lineRule="exact"/>
        <w:ind w:firstLineChars="0"/>
        <w:jc w:val="both"/>
        <w:outlineLvl w:val="1"/>
        <w:rPr>
          <w:rStyle w:val="36"/>
          <w:rFonts w:ascii="黑体" w:hAnsi="黑体" w:eastAsia="黑体"/>
          <w:b w:val="0"/>
          <w:color w:val="auto"/>
          <w:highlight w:val="none"/>
        </w:rPr>
      </w:pPr>
      <w:bookmarkStart w:id="33" w:name="_Toc9431"/>
      <w:bookmarkStart w:id="34" w:name="_Toc15377207"/>
      <w:bookmarkStart w:id="35" w:name="_Toc15396605"/>
      <w:r>
        <w:rPr>
          <w:rFonts w:hint="eastAsia" w:ascii="黑体" w:hAnsi="黑体" w:eastAsia="黑体"/>
          <w:color w:val="auto"/>
          <w:sz w:val="32"/>
          <w:szCs w:val="32"/>
          <w:highlight w:val="none"/>
        </w:rPr>
        <w:t>支</w:t>
      </w:r>
      <w:r>
        <w:rPr>
          <w:rStyle w:val="36"/>
          <w:rFonts w:hint="eastAsia" w:ascii="黑体" w:hAnsi="黑体" w:eastAsia="黑体"/>
          <w:b w:val="0"/>
          <w:color w:val="auto"/>
          <w:highlight w:val="none"/>
        </w:rPr>
        <w:t>出决算情况说明</w:t>
      </w:r>
      <w:bookmarkEnd w:id="33"/>
      <w:bookmarkEnd w:id="34"/>
      <w:bookmarkEnd w:id="35"/>
    </w:p>
    <w:p w14:paraId="3053724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ascii="仿宋" w:hAnsi="仿宋" w:eastAsia="仿宋"/>
          <w:color w:val="auto"/>
          <w:sz w:val="32"/>
          <w:szCs w:val="32"/>
          <w:highlight w:val="none"/>
        </w:rPr>
      </w:pPr>
      <w:bookmarkStart w:id="36" w:name="_Toc31431"/>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本年支出合计1,392.61万元，其中：基本支出1,218.83万元，占</w:t>
      </w:r>
      <w:r>
        <w:rPr>
          <w:rFonts w:hint="eastAsia" w:ascii="仿宋" w:hAnsi="仿宋" w:eastAsia="仿宋"/>
          <w:color w:val="auto"/>
          <w:sz w:val="32"/>
          <w:szCs w:val="32"/>
          <w:highlight w:val="none"/>
          <w:lang w:val="en-US" w:eastAsia="zh-CN"/>
        </w:rPr>
        <w:t>87.52</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；项目支出173.78万元，占</w:t>
      </w:r>
      <w:r>
        <w:rPr>
          <w:rFonts w:hint="eastAsia" w:ascii="仿宋" w:hAnsi="仿宋" w:eastAsia="仿宋"/>
          <w:color w:val="auto"/>
          <w:sz w:val="32"/>
          <w:szCs w:val="32"/>
          <w:highlight w:val="none"/>
          <w:lang w:val="en-US" w:eastAsia="zh-CN"/>
        </w:rPr>
        <w:t>12.48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6"/>
    </w:p>
    <w:p w14:paraId="286F48FB">
      <w:pPr>
        <w:spacing w:line="600" w:lineRule="exact"/>
        <w:ind w:firstLine="640" w:firstLineChars="200"/>
        <w:jc w:val="both"/>
        <w:rPr>
          <w:rFonts w:eastAsia="仿宋_GB2312"/>
          <w:color w:val="auto"/>
          <w:sz w:val="32"/>
          <w:szCs w:val="32"/>
          <w:highlight w:val="none"/>
        </w:rPr>
      </w:pPr>
      <w:bookmarkStart w:id="37" w:name="_Toc15377208"/>
      <w:bookmarkStart w:id="38" w:name="_Toc15396606"/>
      <w:r>
        <w:rPr>
          <w:rFonts w:eastAsia="仿宋_GB2312"/>
          <w:color w:val="auto"/>
          <w:sz w:val="32"/>
          <w:szCs w:val="32"/>
          <w:highlight w:val="none"/>
        </w:rPr>
        <w:t>图3：</w:t>
      </w:r>
    </w:p>
    <w:p w14:paraId="2D7E953A">
      <w:pPr>
        <w:spacing w:line="600" w:lineRule="exact"/>
        <w:ind w:firstLine="640"/>
        <w:jc w:val="both"/>
        <w:rPr>
          <w:rFonts w:eastAsia="仿宋"/>
          <w:color w:val="auto"/>
          <w:sz w:val="32"/>
          <w:szCs w:val="32"/>
          <w:highlight w:val="none"/>
        </w:rPr>
      </w:pPr>
      <w:r>
        <w:rPr>
          <w:rFonts w:eastAsia="仿宋"/>
          <w:color w:val="auto"/>
          <w:sz w:val="32"/>
          <w:szCs w:val="32"/>
          <w:highlight w:val="none"/>
        </w:rPr>
        <w:drawing>
          <wp:anchor distT="0" distB="0" distL="114300" distR="114300" simplePos="0" relativeHeight="251661312" behindDoc="0" locked="0" layoutInCell="1" allowOverlap="1">
            <wp:simplePos x="0" y="0"/>
            <wp:positionH relativeFrom="column">
              <wp:posOffset>64770</wp:posOffset>
            </wp:positionH>
            <wp:positionV relativeFrom="paragraph">
              <wp:posOffset>208915</wp:posOffset>
            </wp:positionV>
            <wp:extent cx="5210810" cy="1957070"/>
            <wp:effectExtent l="4445" t="4445" r="23495" b="1968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A8978BB">
      <w:pPr>
        <w:spacing w:line="600" w:lineRule="exact"/>
        <w:ind w:firstLine="640" w:firstLineChars="200"/>
        <w:jc w:val="both"/>
        <w:outlineLvl w:val="1"/>
        <w:rPr>
          <w:rStyle w:val="36"/>
          <w:rFonts w:ascii="黑体" w:hAnsi="黑体" w:eastAsia="黑体"/>
          <w:b w:val="0"/>
          <w:color w:val="auto"/>
          <w:highlight w:val="none"/>
        </w:rPr>
      </w:pPr>
      <w:bookmarkStart w:id="39" w:name="_Toc19517"/>
      <w:r>
        <w:rPr>
          <w:rFonts w:hint="eastAsia" w:ascii="黑体" w:hAnsi="黑体" w:eastAsia="黑体"/>
          <w:color w:val="auto"/>
          <w:sz w:val="32"/>
          <w:szCs w:val="32"/>
          <w:highlight w:val="none"/>
        </w:rPr>
        <w:t>四、财</w:t>
      </w:r>
      <w:r>
        <w:rPr>
          <w:rStyle w:val="36"/>
          <w:rFonts w:hint="eastAsia" w:ascii="黑体" w:hAnsi="黑体" w:eastAsia="黑体"/>
          <w:b w:val="0"/>
          <w:color w:val="auto"/>
          <w:highlight w:val="none"/>
        </w:rPr>
        <w:t>政拨款收入支出决算总体情况说明</w:t>
      </w:r>
      <w:bookmarkEnd w:id="37"/>
      <w:bookmarkEnd w:id="38"/>
      <w:bookmarkEnd w:id="39"/>
    </w:p>
    <w:p w14:paraId="4A44F672">
      <w:pPr>
        <w:spacing w:line="600" w:lineRule="exact"/>
        <w:ind w:firstLine="640"/>
        <w:jc w:val="both"/>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财政拨款收、支总计1,392.11万元。与</w:t>
      </w:r>
      <w:r>
        <w:rPr>
          <w:rFonts w:hint="eastAsia" w:ascii="仿宋" w:hAnsi="仿宋" w:eastAsia="仿宋"/>
          <w:color w:val="auto"/>
          <w:sz w:val="32"/>
          <w:szCs w:val="32"/>
          <w:highlight w:val="none"/>
          <w:lang w:eastAsia="zh-CN"/>
        </w:rPr>
        <w:t>2022年</w:t>
      </w:r>
      <w:r>
        <w:rPr>
          <w:rFonts w:hint="eastAsia" w:ascii="仿宋" w:hAnsi="仿宋" w:eastAsia="仿宋"/>
          <w:color w:val="auto"/>
          <w:sz w:val="32"/>
          <w:szCs w:val="32"/>
          <w:highlight w:val="none"/>
        </w:rPr>
        <w:t>相比，财政拨款收、支总计各增加</w:t>
      </w:r>
      <w:r>
        <w:rPr>
          <w:rFonts w:hint="eastAsia" w:ascii="仿宋" w:hAnsi="仿宋" w:eastAsia="仿宋"/>
          <w:color w:val="auto"/>
          <w:sz w:val="32"/>
          <w:szCs w:val="32"/>
          <w:highlight w:val="none"/>
          <w:lang w:val="en-US" w:eastAsia="zh-CN"/>
        </w:rPr>
        <w:t>18.18</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1.32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s="仿宋"/>
          <w:color w:val="auto"/>
          <w:sz w:val="32"/>
          <w:szCs w:val="32"/>
          <w:highlight w:val="none"/>
          <w:lang w:val="en-US" w:eastAsia="zh-CN"/>
        </w:rPr>
        <w:t>2023年增加了“</w:t>
      </w:r>
      <w:r>
        <w:rPr>
          <w:rFonts w:hint="eastAsia" w:ascii="仿宋" w:hAnsi="仿宋" w:eastAsia="仿宋"/>
          <w:color w:val="auto"/>
          <w:sz w:val="32"/>
          <w:szCs w:val="32"/>
          <w:highlight w:val="none"/>
        </w:rPr>
        <w:t>办公设备购置费</w:t>
      </w:r>
      <w:r>
        <w:rPr>
          <w:rFonts w:hint="eastAsia" w:ascii="仿宋" w:hAnsi="仿宋" w:eastAsia="仿宋"/>
          <w:color w:val="auto"/>
          <w:sz w:val="32"/>
          <w:szCs w:val="32"/>
          <w:highlight w:val="none"/>
          <w:lang w:val="en-US" w:eastAsia="zh-CN"/>
        </w:rPr>
        <w:t>”等项目经费</w:t>
      </w:r>
      <w:r>
        <w:rPr>
          <w:rFonts w:hint="eastAsia" w:ascii="仿宋" w:hAnsi="仿宋" w:eastAsia="仿宋"/>
          <w:color w:val="auto"/>
          <w:sz w:val="32"/>
          <w:szCs w:val="32"/>
          <w:highlight w:val="none"/>
          <w:lang w:eastAsia="zh-CN"/>
        </w:rPr>
        <w:t>。</w:t>
      </w:r>
    </w:p>
    <w:p w14:paraId="4669C67A">
      <w:pPr>
        <w:pStyle w:val="11"/>
        <w:jc w:val="both"/>
        <w:rPr>
          <w:rFonts w:ascii="Times New Roman" w:hAnsi="Times New Roman" w:eastAsia="仿宋_GB2312" w:cs="Times New Roman"/>
          <w:color w:val="auto"/>
          <w:kern w:val="2"/>
          <w:sz w:val="32"/>
          <w:szCs w:val="32"/>
          <w:highlight w:val="none"/>
          <w:lang w:val="en-US" w:eastAsia="zh-CN" w:bidi="ar-SA"/>
        </w:rPr>
      </w:pPr>
      <w:bookmarkStart w:id="40" w:name="_Toc15377209"/>
      <w:bookmarkStart w:id="41" w:name="_Toc15396607"/>
      <w:r>
        <w:rPr>
          <w:rFonts w:ascii="Times New Roman" w:hAnsi="Times New Roman" w:eastAsia="仿宋_GB2312" w:cs="Times New Roman"/>
          <w:color w:val="auto"/>
          <w:kern w:val="2"/>
          <w:sz w:val="32"/>
          <w:szCs w:val="32"/>
          <w:highlight w:val="none"/>
          <w:lang w:val="en-US" w:eastAsia="zh-CN" w:bidi="ar-SA"/>
        </w:rPr>
        <w:t>图4：</w:t>
      </w:r>
    </w:p>
    <w:p w14:paraId="03DDC91C">
      <w:pPr>
        <w:spacing w:line="600" w:lineRule="exact"/>
        <w:ind w:firstLine="640" w:firstLineChars="200"/>
        <w:jc w:val="both"/>
        <w:outlineLvl w:val="1"/>
        <w:rPr>
          <w:rStyle w:val="36"/>
          <w:rFonts w:ascii="黑体" w:hAnsi="黑体" w:eastAsia="黑体"/>
          <w:b w:val="0"/>
          <w:color w:val="auto"/>
          <w:highlight w:val="none"/>
        </w:rPr>
      </w:pPr>
      <w:bookmarkStart w:id="42" w:name="_Toc8823"/>
      <w:r>
        <w:rPr>
          <w:rFonts w:eastAsia="仿宋"/>
          <w:color w:val="auto"/>
          <w:sz w:val="32"/>
          <w:szCs w:val="32"/>
          <w:highlight w:val="none"/>
        </w:rPr>
        <w:drawing>
          <wp:anchor distT="0" distB="0" distL="114300" distR="114300" simplePos="0" relativeHeight="251662336" behindDoc="0" locked="0" layoutInCell="1" allowOverlap="1">
            <wp:simplePos x="0" y="0"/>
            <wp:positionH relativeFrom="column">
              <wp:posOffset>323850</wp:posOffset>
            </wp:positionH>
            <wp:positionV relativeFrom="paragraph">
              <wp:posOffset>234315</wp:posOffset>
            </wp:positionV>
            <wp:extent cx="4465955" cy="1733550"/>
            <wp:effectExtent l="5080" t="5080" r="5715" b="13970"/>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eastAsia="黑体"/>
          <w:color w:val="auto"/>
          <w:sz w:val="32"/>
          <w:szCs w:val="32"/>
          <w:highlight w:val="none"/>
        </w:rPr>
        <w:t>五</w:t>
      </w:r>
      <w:r>
        <w:rPr>
          <w:rFonts w:hint="eastAsia" w:ascii="黑体" w:hAnsi="黑体" w:eastAsia="黑体"/>
          <w:color w:val="auto"/>
          <w:sz w:val="32"/>
          <w:szCs w:val="32"/>
          <w:highlight w:val="none"/>
        </w:rPr>
        <w:t>、</w:t>
      </w:r>
      <w:r>
        <w:rPr>
          <w:rFonts w:hint="eastAsia" w:ascii="黑体" w:hAnsi="黑体" w:eastAsia="黑体"/>
          <w:b/>
          <w:color w:val="auto"/>
          <w:sz w:val="32"/>
          <w:szCs w:val="32"/>
          <w:highlight w:val="none"/>
        </w:rPr>
        <w:t>一</w:t>
      </w:r>
      <w:r>
        <w:rPr>
          <w:rStyle w:val="36"/>
          <w:rFonts w:hint="eastAsia" w:ascii="黑体" w:hAnsi="黑体" w:eastAsia="黑体"/>
          <w:b w:val="0"/>
          <w:color w:val="auto"/>
          <w:highlight w:val="none"/>
        </w:rPr>
        <w:t>般公共预算财政拨款支出决算情况说明</w:t>
      </w:r>
      <w:bookmarkEnd w:id="40"/>
      <w:bookmarkEnd w:id="41"/>
      <w:bookmarkEnd w:id="42"/>
    </w:p>
    <w:p w14:paraId="0B289A42">
      <w:pPr>
        <w:spacing w:line="600" w:lineRule="exact"/>
        <w:ind w:firstLine="643" w:firstLineChars="200"/>
        <w:jc w:val="both"/>
        <w:outlineLvl w:val="2"/>
        <w:rPr>
          <w:rFonts w:ascii="仿宋" w:hAnsi="仿宋" w:eastAsia="仿宋"/>
          <w:b/>
          <w:color w:val="auto"/>
          <w:sz w:val="32"/>
          <w:szCs w:val="32"/>
          <w:highlight w:val="none"/>
        </w:rPr>
      </w:pPr>
      <w:bookmarkStart w:id="43" w:name="_Toc15377210"/>
      <w:r>
        <w:rPr>
          <w:rFonts w:hint="eastAsia" w:ascii="仿宋" w:hAnsi="仿宋" w:eastAsia="仿宋"/>
          <w:b/>
          <w:color w:val="auto"/>
          <w:sz w:val="32"/>
          <w:szCs w:val="32"/>
          <w:highlight w:val="none"/>
        </w:rPr>
        <w:t>（一）一般公共预算财政拨款支出决算总体情况</w:t>
      </w:r>
      <w:bookmarkEnd w:id="43"/>
    </w:p>
    <w:p w14:paraId="04FCF62C">
      <w:pPr>
        <w:spacing w:line="600" w:lineRule="exact"/>
        <w:ind w:firstLine="640" w:firstLineChars="200"/>
        <w:jc w:val="both"/>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一般公共预算财政拨款支出1,392.11万元，占本年支出合计的</w:t>
      </w:r>
      <w:r>
        <w:rPr>
          <w:rFonts w:hint="eastAsia" w:ascii="仿宋" w:hAnsi="仿宋" w:eastAsia="仿宋"/>
          <w:color w:val="auto"/>
          <w:sz w:val="32"/>
          <w:szCs w:val="32"/>
          <w:highlight w:val="none"/>
          <w:lang w:val="en-US" w:eastAsia="zh-CN"/>
        </w:rPr>
        <w:t>99.96</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2022年</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18.18</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1.32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s="仿宋"/>
          <w:color w:val="auto"/>
          <w:sz w:val="32"/>
          <w:szCs w:val="32"/>
          <w:highlight w:val="none"/>
          <w:lang w:val="en-US" w:eastAsia="zh-CN"/>
        </w:rPr>
        <w:t>2023年增加了“</w:t>
      </w:r>
      <w:r>
        <w:rPr>
          <w:rFonts w:hint="eastAsia" w:ascii="仿宋" w:hAnsi="仿宋" w:eastAsia="仿宋"/>
          <w:color w:val="auto"/>
          <w:sz w:val="32"/>
          <w:szCs w:val="32"/>
          <w:highlight w:val="none"/>
        </w:rPr>
        <w:t>办公设备购置费</w:t>
      </w:r>
      <w:r>
        <w:rPr>
          <w:rFonts w:hint="eastAsia" w:ascii="仿宋" w:hAnsi="仿宋" w:eastAsia="仿宋"/>
          <w:color w:val="auto"/>
          <w:sz w:val="32"/>
          <w:szCs w:val="32"/>
          <w:highlight w:val="none"/>
          <w:lang w:val="en-US" w:eastAsia="zh-CN"/>
        </w:rPr>
        <w:t>”等项目经费</w:t>
      </w:r>
      <w:r>
        <w:rPr>
          <w:rFonts w:hint="eastAsia" w:ascii="仿宋" w:hAnsi="仿宋" w:eastAsia="仿宋"/>
          <w:color w:val="auto"/>
          <w:sz w:val="32"/>
          <w:szCs w:val="32"/>
          <w:highlight w:val="none"/>
          <w:lang w:eastAsia="zh-CN"/>
        </w:rPr>
        <w:t>。</w:t>
      </w:r>
    </w:p>
    <w:p w14:paraId="730B4CE1">
      <w:pPr>
        <w:spacing w:line="600" w:lineRule="exact"/>
        <w:ind w:firstLine="640" w:firstLineChars="200"/>
        <w:jc w:val="both"/>
        <w:rPr>
          <w:rFonts w:eastAsia="仿宋_GB2312"/>
          <w:color w:val="auto"/>
          <w:sz w:val="32"/>
          <w:szCs w:val="32"/>
          <w:highlight w:val="none"/>
        </w:rPr>
      </w:pPr>
      <w:r>
        <w:rPr>
          <w:rFonts w:eastAsia="仿宋_GB2312"/>
          <w:color w:val="auto"/>
          <w:sz w:val="32"/>
          <w:szCs w:val="32"/>
          <w:highlight w:val="none"/>
        </w:rPr>
        <w:t>图5：</w:t>
      </w:r>
    </w:p>
    <w:p w14:paraId="55E4F03D">
      <w:pPr>
        <w:spacing w:line="600" w:lineRule="exact"/>
        <w:jc w:val="both"/>
        <w:rPr>
          <w:rFonts w:ascii="仿宋" w:hAnsi="仿宋" w:eastAsia="仿宋"/>
          <w:color w:val="auto"/>
          <w:sz w:val="32"/>
          <w:szCs w:val="32"/>
          <w:highlight w:val="none"/>
        </w:rPr>
      </w:pPr>
      <w:r>
        <w:rPr>
          <w:rFonts w:eastAsia="仿宋"/>
          <w:color w:val="auto"/>
          <w:sz w:val="32"/>
          <w:szCs w:val="32"/>
          <w:highlight w:val="none"/>
        </w:rPr>
        <w:drawing>
          <wp:anchor distT="0" distB="0" distL="114300" distR="114300" simplePos="0" relativeHeight="251663360" behindDoc="0" locked="0" layoutInCell="1" allowOverlap="1">
            <wp:simplePos x="0" y="0"/>
            <wp:positionH relativeFrom="column">
              <wp:posOffset>384810</wp:posOffset>
            </wp:positionH>
            <wp:positionV relativeFrom="paragraph">
              <wp:posOffset>222885</wp:posOffset>
            </wp:positionV>
            <wp:extent cx="4543425" cy="1931035"/>
            <wp:effectExtent l="5080" t="4445" r="4445" b="7620"/>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592C7B0">
      <w:pPr>
        <w:spacing w:line="600" w:lineRule="exact"/>
        <w:ind w:firstLine="643" w:firstLineChars="200"/>
        <w:jc w:val="both"/>
        <w:outlineLvl w:val="2"/>
        <w:rPr>
          <w:rFonts w:ascii="仿宋" w:hAnsi="仿宋" w:eastAsia="仿宋"/>
          <w:b/>
          <w:color w:val="auto"/>
          <w:sz w:val="32"/>
          <w:szCs w:val="32"/>
          <w:highlight w:val="none"/>
        </w:rPr>
      </w:pPr>
      <w:bookmarkStart w:id="44" w:name="_Toc15377211"/>
      <w:r>
        <w:rPr>
          <w:rFonts w:hint="eastAsia" w:ascii="仿宋" w:hAnsi="仿宋" w:eastAsia="仿宋"/>
          <w:b/>
          <w:color w:val="auto"/>
          <w:sz w:val="32"/>
          <w:szCs w:val="32"/>
          <w:highlight w:val="none"/>
        </w:rPr>
        <w:t>（二）一般公共预算财政拨款支出决算结构情况</w:t>
      </w:r>
      <w:bookmarkEnd w:id="44"/>
    </w:p>
    <w:p w14:paraId="44EBC95E">
      <w:pPr>
        <w:spacing w:line="600" w:lineRule="exact"/>
        <w:ind w:firstLine="640"/>
        <w:jc w:val="both"/>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一般公共预算财政拨款支出1,392.11万元，主要用于以下方面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rPr>
        <w:t>1</w:t>
      </w:r>
      <w:r>
        <w:rPr>
          <w:rFonts w:hint="eastAsia" w:ascii="仿宋" w:hAnsi="仿宋" w:eastAsia="仿宋"/>
          <w:color w:val="auto"/>
          <w:sz w:val="32"/>
          <w:szCs w:val="32"/>
          <w:highlight w:val="none"/>
          <w:lang w:val="en-US" w:eastAsia="zh-CN"/>
        </w:rPr>
        <w:t>,</w:t>
      </w:r>
      <w:r>
        <w:rPr>
          <w:rFonts w:hint="eastAsia" w:ascii="仿宋" w:hAnsi="仿宋" w:eastAsia="仿宋"/>
          <w:color w:val="auto"/>
          <w:sz w:val="32"/>
          <w:szCs w:val="32"/>
          <w:highlight w:val="none"/>
        </w:rPr>
        <w:t>0</w:t>
      </w:r>
      <w:r>
        <w:rPr>
          <w:rFonts w:hint="eastAsia" w:ascii="仿宋" w:hAnsi="仿宋" w:eastAsia="仿宋"/>
          <w:color w:val="auto"/>
          <w:sz w:val="32"/>
          <w:szCs w:val="32"/>
          <w:highlight w:val="none"/>
          <w:lang w:val="en-US" w:eastAsia="zh-CN"/>
        </w:rPr>
        <w:t>79.61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77.55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191.23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13.74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42.03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3.02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79.24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5.69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72348985">
      <w:pPr>
        <w:spacing w:line="600" w:lineRule="exact"/>
        <w:ind w:firstLine="640" w:firstLineChars="200"/>
        <w:jc w:val="both"/>
        <w:rPr>
          <w:rFonts w:eastAsia="仿宋_GB2312"/>
          <w:color w:val="auto"/>
          <w:sz w:val="32"/>
          <w:szCs w:val="32"/>
          <w:highlight w:val="none"/>
        </w:rPr>
      </w:pPr>
      <w:bookmarkStart w:id="45" w:name="_Toc15377212"/>
      <w:r>
        <w:rPr>
          <w:rFonts w:eastAsia="仿宋_GB2312"/>
          <w:color w:val="auto"/>
          <w:sz w:val="32"/>
          <w:szCs w:val="32"/>
          <w:highlight w:val="none"/>
        </w:rPr>
        <w:t>图6：</w:t>
      </w:r>
    </w:p>
    <w:p w14:paraId="20F6E40A">
      <w:pPr>
        <w:spacing w:line="600" w:lineRule="exact"/>
        <w:ind w:firstLine="640"/>
        <w:jc w:val="both"/>
        <w:rPr>
          <w:rFonts w:eastAsia="仿宋"/>
          <w:color w:val="auto"/>
          <w:sz w:val="32"/>
          <w:szCs w:val="32"/>
          <w:highlight w:val="none"/>
        </w:rPr>
      </w:pPr>
      <w:r>
        <w:rPr>
          <w:rFonts w:eastAsia="仿宋_GB2312"/>
          <w:color w:val="auto"/>
          <w:sz w:val="32"/>
          <w:szCs w:val="32"/>
          <w:highlight w:val="none"/>
        </w:rPr>
        <w:drawing>
          <wp:anchor distT="0" distB="0" distL="114300" distR="114300" simplePos="0" relativeHeight="251664384" behindDoc="0" locked="0" layoutInCell="1" allowOverlap="1">
            <wp:simplePos x="0" y="0"/>
            <wp:positionH relativeFrom="column">
              <wp:posOffset>111125</wp:posOffset>
            </wp:positionH>
            <wp:positionV relativeFrom="paragraph">
              <wp:posOffset>376555</wp:posOffset>
            </wp:positionV>
            <wp:extent cx="5114925" cy="2277110"/>
            <wp:effectExtent l="4445" t="4445" r="5080" b="2349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5A27674E">
      <w:pPr>
        <w:spacing w:line="600" w:lineRule="exact"/>
        <w:ind w:firstLine="643" w:firstLineChars="200"/>
        <w:jc w:val="both"/>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（三）一般公共预算财政拨款支出决算具体情况</w:t>
      </w:r>
      <w:bookmarkEnd w:id="45"/>
    </w:p>
    <w:p w14:paraId="6B95393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ascii="仿宋" w:hAnsi="仿宋" w:eastAsia="仿宋"/>
          <w:color w:val="auto"/>
          <w:sz w:val="32"/>
          <w:szCs w:val="32"/>
          <w:highlight w:val="none"/>
        </w:rPr>
      </w:pPr>
      <w:bookmarkStart w:id="46" w:name="_Toc15377213"/>
      <w:bookmarkStart w:id="47" w:name="_Toc15378460"/>
      <w:bookmarkStart w:id="48" w:name="_Toc15377444"/>
      <w:bookmarkStart w:id="49" w:name="_Toc12962"/>
      <w:r>
        <w:rPr>
          <w:rFonts w:hint="eastAsia" w:ascii="仿宋" w:hAnsi="仿宋" w:eastAsia="仿宋"/>
          <w:b/>
          <w:color w:val="auto"/>
          <w:sz w:val="32"/>
          <w:szCs w:val="32"/>
          <w:highlight w:val="none"/>
          <w:lang w:eastAsia="zh-CN"/>
        </w:rPr>
        <w:t>2023年一</w:t>
      </w:r>
      <w:r>
        <w:rPr>
          <w:rFonts w:hint="eastAsia" w:ascii="仿宋" w:hAnsi="仿宋" w:eastAsia="仿宋"/>
          <w:b/>
          <w:color w:val="auto"/>
          <w:sz w:val="32"/>
          <w:szCs w:val="32"/>
          <w:highlight w:val="none"/>
        </w:rPr>
        <w:t>般公共预算支出决算数为1,392.11</w:t>
      </w:r>
      <w:r>
        <w:rPr>
          <w:rFonts w:hint="eastAsia" w:ascii="仿宋" w:hAnsi="仿宋" w:eastAsia="仿宋"/>
          <w:b/>
          <w:color w:val="auto"/>
          <w:sz w:val="32"/>
          <w:szCs w:val="32"/>
          <w:highlight w:val="none"/>
          <w:lang w:val="en-US" w:eastAsia="zh-CN"/>
        </w:rPr>
        <w:t>万元</w:t>
      </w:r>
      <w:r>
        <w:rPr>
          <w:rFonts w:hint="eastAsia" w:ascii="仿宋" w:hAnsi="仿宋" w:eastAsia="仿宋"/>
          <w:color w:val="auto"/>
          <w:sz w:val="32"/>
          <w:szCs w:val="32"/>
          <w:highlight w:val="none"/>
        </w:rPr>
        <w:t>，</w:t>
      </w:r>
      <w:r>
        <w:rPr>
          <w:rStyle w:val="22"/>
          <w:rFonts w:hint="eastAsia" w:ascii="仿宋" w:hAnsi="仿宋" w:eastAsia="仿宋"/>
          <w:bCs/>
          <w:color w:val="auto"/>
          <w:sz w:val="32"/>
          <w:szCs w:val="32"/>
          <w:highlight w:val="none"/>
        </w:rPr>
        <w:t>完成预算</w:t>
      </w:r>
      <w:r>
        <w:rPr>
          <w:rStyle w:val="22"/>
          <w:rFonts w:hint="eastAsia" w:ascii="仿宋" w:hAnsi="仿宋" w:eastAsia="仿宋"/>
          <w:bCs/>
          <w:color w:val="auto"/>
          <w:sz w:val="32"/>
          <w:szCs w:val="32"/>
          <w:highlight w:val="none"/>
          <w:lang w:val="en-US" w:eastAsia="zh-CN"/>
        </w:rPr>
        <w:t>100</w:t>
      </w:r>
      <w:r>
        <w:rPr>
          <w:rStyle w:val="22"/>
          <w:rFonts w:ascii="仿宋" w:hAnsi="仿宋" w:eastAsia="仿宋"/>
          <w:bCs/>
          <w:color w:val="auto"/>
          <w:sz w:val="32"/>
          <w:szCs w:val="32"/>
          <w:highlight w:val="none"/>
        </w:rPr>
        <w:t>%</w:t>
      </w:r>
      <w:r>
        <w:rPr>
          <w:rStyle w:val="22"/>
          <w:rFonts w:hint="eastAsia" w:ascii="仿宋" w:hAnsi="仿宋" w:eastAsia="仿宋"/>
          <w:bCs/>
          <w:color w:val="auto"/>
          <w:sz w:val="32"/>
          <w:szCs w:val="32"/>
          <w:highlight w:val="none"/>
        </w:rPr>
        <w:t>。其中：</w:t>
      </w:r>
      <w:bookmarkEnd w:id="46"/>
      <w:bookmarkEnd w:id="47"/>
      <w:bookmarkEnd w:id="48"/>
      <w:bookmarkEnd w:id="49"/>
    </w:p>
    <w:p w14:paraId="78A41F44">
      <w:pPr>
        <w:numPr>
          <w:ilvl w:val="0"/>
          <w:numId w:val="0"/>
        </w:numPr>
        <w:spacing w:line="600" w:lineRule="exact"/>
        <w:ind w:firstLine="643" w:firstLineChars="200"/>
        <w:jc w:val="both"/>
        <w:rPr>
          <w:rStyle w:val="22"/>
          <w:rFonts w:eastAsia="仿宋_GB2312"/>
          <w:color w:val="auto"/>
          <w:sz w:val="32"/>
          <w:szCs w:val="32"/>
          <w:highlight w:val="none"/>
        </w:rPr>
      </w:pPr>
      <w:bookmarkStart w:id="50" w:name="_Toc15377214"/>
      <w:bookmarkStart w:id="51" w:name="_Toc15396608"/>
      <w:r>
        <w:rPr>
          <w:rStyle w:val="22"/>
          <w:rFonts w:hint="eastAsia" w:eastAsia="仿宋_GB2312"/>
          <w:color w:val="auto"/>
          <w:sz w:val="32"/>
          <w:szCs w:val="32"/>
          <w:highlight w:val="none"/>
          <w:lang w:val="en-US" w:eastAsia="zh-CN"/>
        </w:rPr>
        <w:t>1.</w:t>
      </w:r>
      <w:r>
        <w:rPr>
          <w:rStyle w:val="22"/>
          <w:rFonts w:eastAsia="仿宋_GB2312"/>
          <w:color w:val="auto"/>
          <w:sz w:val="32"/>
          <w:szCs w:val="32"/>
          <w:highlight w:val="none"/>
        </w:rPr>
        <w:t>一般公共服务（201）政协事务（02）行政运行（01）:</w:t>
      </w:r>
      <w:r>
        <w:rPr>
          <w:rStyle w:val="22"/>
          <w:rFonts w:hint="eastAsia" w:eastAsia="仿宋_GB2312"/>
          <w:b w:val="0"/>
          <w:bCs/>
          <w:color w:val="auto"/>
          <w:sz w:val="32"/>
          <w:szCs w:val="32"/>
          <w:highlight w:val="none"/>
          <w:lang w:eastAsia="zh-CN"/>
        </w:rPr>
        <w:t>支出</w:t>
      </w:r>
      <w:r>
        <w:rPr>
          <w:rStyle w:val="22"/>
          <w:rFonts w:eastAsia="仿宋_GB2312"/>
          <w:b w:val="0"/>
          <w:bCs/>
          <w:color w:val="auto"/>
          <w:sz w:val="32"/>
          <w:szCs w:val="32"/>
          <w:highlight w:val="none"/>
        </w:rPr>
        <w:t>决算数为</w:t>
      </w:r>
      <w:r>
        <w:rPr>
          <w:rStyle w:val="22"/>
          <w:rFonts w:hint="eastAsia" w:eastAsia="仿宋_GB2312"/>
          <w:b w:val="0"/>
          <w:bCs/>
          <w:color w:val="auto"/>
          <w:sz w:val="32"/>
          <w:szCs w:val="32"/>
          <w:highlight w:val="none"/>
          <w:lang w:val="en-US" w:eastAsia="zh-CN"/>
        </w:rPr>
        <w:t>893.81</w:t>
      </w:r>
      <w:r>
        <w:rPr>
          <w:rStyle w:val="22"/>
          <w:rFonts w:eastAsia="仿宋_GB2312"/>
          <w:b w:val="0"/>
          <w:bCs/>
          <w:color w:val="auto"/>
          <w:sz w:val="32"/>
          <w:szCs w:val="32"/>
          <w:highlight w:val="none"/>
        </w:rPr>
        <w:t>万元，完成预算</w:t>
      </w:r>
      <w:r>
        <w:rPr>
          <w:rStyle w:val="22"/>
          <w:rFonts w:hint="eastAsia" w:eastAsia="仿宋_GB2312"/>
          <w:b w:val="0"/>
          <w:bCs/>
          <w:color w:val="auto"/>
          <w:sz w:val="32"/>
          <w:szCs w:val="32"/>
          <w:highlight w:val="none"/>
          <w:lang w:val="en-US" w:eastAsia="zh-CN"/>
        </w:rPr>
        <w:t>100</w:t>
      </w:r>
      <w:r>
        <w:rPr>
          <w:rStyle w:val="22"/>
          <w:rFonts w:eastAsia="仿宋_GB2312"/>
          <w:b w:val="0"/>
          <w:bCs/>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hint="eastAsia" w:ascii="仿宋" w:hAnsi="仿宋" w:eastAsia="仿宋"/>
          <w:color w:val="auto"/>
          <w:sz w:val="32"/>
          <w:szCs w:val="32"/>
          <w:highlight w:val="none"/>
          <w:lang w:val="en-US" w:eastAsia="zh-CN"/>
        </w:rPr>
        <w:t>。</w:t>
      </w:r>
    </w:p>
    <w:p w14:paraId="6B72C8D9">
      <w:pPr>
        <w:numPr>
          <w:ilvl w:val="0"/>
          <w:numId w:val="0"/>
        </w:numPr>
        <w:spacing w:line="600" w:lineRule="exact"/>
        <w:ind w:firstLine="643" w:firstLineChars="200"/>
        <w:jc w:val="both"/>
        <w:rPr>
          <w:rFonts w:eastAsia="仿宋_GB2312"/>
          <w:color w:val="auto"/>
          <w:sz w:val="32"/>
          <w:szCs w:val="32"/>
          <w:highlight w:val="none"/>
        </w:rPr>
      </w:pPr>
      <w:r>
        <w:rPr>
          <w:rStyle w:val="22"/>
          <w:rFonts w:hint="eastAsia" w:eastAsia="仿宋_GB2312"/>
          <w:color w:val="auto"/>
          <w:sz w:val="32"/>
          <w:szCs w:val="32"/>
          <w:highlight w:val="none"/>
          <w:lang w:val="en-US" w:eastAsia="zh-CN"/>
        </w:rPr>
        <w:t>2</w:t>
      </w:r>
      <w:r>
        <w:rPr>
          <w:rStyle w:val="22"/>
          <w:rFonts w:eastAsia="仿宋_GB2312"/>
          <w:color w:val="auto"/>
          <w:sz w:val="32"/>
          <w:szCs w:val="32"/>
          <w:highlight w:val="none"/>
        </w:rPr>
        <w:t>.一般公共服务（201）政协事务（02）一般行政管理事务（02）</w:t>
      </w:r>
      <w:r>
        <w:rPr>
          <w:rStyle w:val="22"/>
          <w:rFonts w:hint="eastAsia" w:eastAsia="仿宋_GB2312"/>
          <w:color w:val="auto"/>
          <w:sz w:val="32"/>
          <w:szCs w:val="32"/>
          <w:highlight w:val="none"/>
          <w:lang w:eastAsia="zh-CN"/>
        </w:rPr>
        <w:t>：</w:t>
      </w:r>
      <w:r>
        <w:rPr>
          <w:rStyle w:val="22"/>
          <w:rFonts w:hint="eastAsia" w:eastAsia="仿宋_GB2312"/>
          <w:b w:val="0"/>
          <w:bCs/>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173.78</w:t>
      </w:r>
      <w:r>
        <w:rPr>
          <w:rFonts w:eastAsia="仿宋_GB2312"/>
          <w:color w:val="auto"/>
          <w:sz w:val="32"/>
          <w:szCs w:val="32"/>
          <w:highlight w:val="none"/>
        </w:rPr>
        <w:t>万元，</w:t>
      </w:r>
      <w:r>
        <w:rPr>
          <w:rStyle w:val="22"/>
          <w:rFonts w:eastAsia="仿宋_GB2312"/>
          <w:b w:val="0"/>
          <w:bCs/>
          <w:color w:val="auto"/>
          <w:sz w:val="32"/>
          <w:szCs w:val="32"/>
          <w:highlight w:val="none"/>
        </w:rPr>
        <w:t>完成预算</w:t>
      </w:r>
      <w:r>
        <w:rPr>
          <w:rStyle w:val="22"/>
          <w:rFonts w:hint="eastAsia" w:eastAsia="仿宋_GB2312"/>
          <w:b w:val="0"/>
          <w:bCs/>
          <w:color w:val="auto"/>
          <w:sz w:val="32"/>
          <w:szCs w:val="32"/>
          <w:highlight w:val="none"/>
          <w:lang w:val="en-US" w:eastAsia="zh-CN"/>
        </w:rPr>
        <w:t>100</w:t>
      </w:r>
      <w:r>
        <w:rPr>
          <w:rStyle w:val="22"/>
          <w:rFonts w:eastAsia="仿宋_GB2312"/>
          <w:b w:val="0"/>
          <w:bCs/>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hint="eastAsia" w:ascii="仿宋" w:hAnsi="仿宋" w:eastAsia="仿宋"/>
          <w:color w:val="auto"/>
          <w:sz w:val="32"/>
          <w:szCs w:val="32"/>
          <w:highlight w:val="none"/>
          <w:lang w:val="en-US" w:eastAsia="zh-CN"/>
        </w:rPr>
        <w:t>。</w:t>
      </w:r>
    </w:p>
    <w:p w14:paraId="290E736C">
      <w:pPr>
        <w:spacing w:line="600" w:lineRule="exact"/>
        <w:ind w:firstLine="643" w:firstLineChars="200"/>
        <w:jc w:val="both"/>
        <w:rPr>
          <w:rStyle w:val="22"/>
          <w:rFonts w:hint="eastAsia" w:ascii="仿宋" w:hAnsi="仿宋" w:eastAsia="仿宋"/>
          <w:b w:val="0"/>
          <w:bCs/>
          <w:color w:val="auto"/>
          <w:sz w:val="32"/>
          <w:szCs w:val="32"/>
          <w:highlight w:val="none"/>
        </w:rPr>
      </w:pPr>
      <w:r>
        <w:rPr>
          <w:rFonts w:hint="eastAsia" w:eastAsia="仿宋_GB2312"/>
          <w:b/>
          <w:bCs/>
          <w:color w:val="auto"/>
          <w:sz w:val="32"/>
          <w:szCs w:val="32"/>
          <w:highlight w:val="none"/>
          <w:lang w:val="en-US" w:eastAsia="zh-CN"/>
        </w:rPr>
        <w:t>3</w:t>
      </w:r>
      <w:r>
        <w:rPr>
          <w:rFonts w:eastAsia="仿宋_GB2312"/>
          <w:b/>
          <w:bCs/>
          <w:color w:val="auto"/>
          <w:sz w:val="32"/>
          <w:szCs w:val="32"/>
          <w:highlight w:val="none"/>
        </w:rPr>
        <w:t>.</w:t>
      </w:r>
      <w:r>
        <w:rPr>
          <w:rStyle w:val="22"/>
          <w:rFonts w:eastAsia="仿宋_GB2312"/>
          <w:color w:val="auto"/>
          <w:sz w:val="32"/>
          <w:szCs w:val="32"/>
          <w:highlight w:val="none"/>
        </w:rPr>
        <w:t>一般公共服务（201）政协事务（02）</w:t>
      </w:r>
      <w:r>
        <w:rPr>
          <w:rStyle w:val="22"/>
          <w:rFonts w:hint="eastAsia" w:eastAsia="仿宋_GB2312"/>
          <w:color w:val="auto"/>
          <w:sz w:val="32"/>
          <w:szCs w:val="32"/>
          <w:highlight w:val="none"/>
          <w:lang w:eastAsia="zh-CN"/>
        </w:rPr>
        <w:t>事业运行</w:t>
      </w:r>
      <w:r>
        <w:rPr>
          <w:rStyle w:val="22"/>
          <w:rFonts w:eastAsia="仿宋_GB2312"/>
          <w:color w:val="auto"/>
          <w:sz w:val="32"/>
          <w:szCs w:val="32"/>
          <w:highlight w:val="none"/>
        </w:rPr>
        <w:t>（</w:t>
      </w:r>
      <w:r>
        <w:rPr>
          <w:rStyle w:val="22"/>
          <w:rFonts w:hint="eastAsia" w:eastAsia="仿宋_GB2312"/>
          <w:color w:val="auto"/>
          <w:sz w:val="32"/>
          <w:szCs w:val="32"/>
          <w:highlight w:val="none"/>
          <w:lang w:val="en-US" w:eastAsia="zh-CN"/>
        </w:rPr>
        <w:t>50</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12.02</w:t>
      </w:r>
      <w:r>
        <w:rPr>
          <w:rFonts w:eastAsia="仿宋_GB2312"/>
          <w:color w:val="auto"/>
          <w:sz w:val="32"/>
          <w:szCs w:val="32"/>
          <w:highlight w:val="none"/>
        </w:rPr>
        <w:t>万元，</w:t>
      </w:r>
      <w:r>
        <w:rPr>
          <w:rStyle w:val="22"/>
          <w:rFonts w:eastAsia="仿宋_GB2312"/>
          <w:b w:val="0"/>
          <w:bCs/>
          <w:color w:val="auto"/>
          <w:sz w:val="32"/>
          <w:szCs w:val="32"/>
          <w:highlight w:val="none"/>
        </w:rPr>
        <w:t>完成预算</w:t>
      </w:r>
      <w:r>
        <w:rPr>
          <w:rStyle w:val="22"/>
          <w:rFonts w:hint="eastAsia" w:eastAsia="仿宋_GB2312"/>
          <w:b w:val="0"/>
          <w:bCs/>
          <w:color w:val="auto"/>
          <w:sz w:val="32"/>
          <w:szCs w:val="32"/>
          <w:highlight w:val="none"/>
          <w:lang w:val="en-US" w:eastAsia="zh-CN"/>
        </w:rPr>
        <w:t>100</w:t>
      </w:r>
      <w:r>
        <w:rPr>
          <w:rStyle w:val="22"/>
          <w:rFonts w:eastAsia="仿宋_GB2312"/>
          <w:b w:val="0"/>
          <w:bCs/>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hint="eastAsia" w:ascii="仿宋" w:hAnsi="仿宋" w:eastAsia="仿宋"/>
          <w:color w:val="auto"/>
          <w:sz w:val="32"/>
          <w:szCs w:val="32"/>
          <w:highlight w:val="none"/>
          <w:lang w:val="en-US" w:eastAsia="zh-CN"/>
        </w:rPr>
        <w:t>。</w:t>
      </w:r>
    </w:p>
    <w:p w14:paraId="54742C3C">
      <w:pPr>
        <w:spacing w:line="600" w:lineRule="exact"/>
        <w:ind w:firstLine="643" w:firstLineChars="200"/>
        <w:jc w:val="both"/>
        <w:rPr>
          <w:rStyle w:val="22"/>
          <w:rFonts w:ascii="仿宋" w:hAnsi="仿宋" w:eastAsia="仿宋"/>
          <w:bCs/>
          <w:color w:val="auto"/>
          <w:sz w:val="32"/>
          <w:szCs w:val="32"/>
          <w:highlight w:val="none"/>
        </w:rPr>
      </w:pPr>
      <w:r>
        <w:rPr>
          <w:rFonts w:hint="eastAsia" w:eastAsia="仿宋_GB2312"/>
          <w:b/>
          <w:bCs/>
          <w:color w:val="auto"/>
          <w:sz w:val="32"/>
          <w:szCs w:val="32"/>
          <w:highlight w:val="none"/>
          <w:lang w:val="en-US" w:eastAsia="zh-CN"/>
        </w:rPr>
        <w:t>4.</w:t>
      </w:r>
      <w:r>
        <w:rPr>
          <w:rStyle w:val="22"/>
          <w:rFonts w:eastAsia="仿宋_GB2312"/>
          <w:color w:val="auto"/>
          <w:sz w:val="32"/>
          <w:szCs w:val="32"/>
          <w:highlight w:val="none"/>
        </w:rPr>
        <w:t>社会保障和就业（208）</w:t>
      </w:r>
      <w:r>
        <w:rPr>
          <w:rStyle w:val="22"/>
          <w:rFonts w:hint="eastAsia" w:eastAsia="仿宋_GB2312"/>
          <w:color w:val="auto"/>
          <w:sz w:val="32"/>
          <w:szCs w:val="32"/>
          <w:highlight w:val="none"/>
        </w:rPr>
        <w:t>行政事业单位养老支出</w:t>
      </w:r>
      <w:r>
        <w:rPr>
          <w:rStyle w:val="22"/>
          <w:rFonts w:eastAsia="仿宋_GB2312"/>
          <w:color w:val="auto"/>
          <w:sz w:val="32"/>
          <w:szCs w:val="32"/>
          <w:highlight w:val="none"/>
        </w:rPr>
        <w:t>（05）</w:t>
      </w:r>
      <w:r>
        <w:rPr>
          <w:rStyle w:val="22"/>
          <w:rFonts w:hint="eastAsia" w:eastAsia="仿宋_GB2312"/>
          <w:color w:val="auto"/>
          <w:sz w:val="32"/>
          <w:szCs w:val="32"/>
          <w:highlight w:val="none"/>
        </w:rPr>
        <w:t>行政单位离退休</w:t>
      </w:r>
      <w:r>
        <w:rPr>
          <w:rStyle w:val="22"/>
          <w:rFonts w:eastAsia="仿宋_GB2312"/>
          <w:color w:val="auto"/>
          <w:sz w:val="32"/>
          <w:szCs w:val="32"/>
          <w:highlight w:val="none"/>
        </w:rPr>
        <w:t>（0</w:t>
      </w:r>
      <w:r>
        <w:rPr>
          <w:rStyle w:val="22"/>
          <w:rFonts w:hint="eastAsia" w:eastAsia="仿宋_GB2312"/>
          <w:color w:val="auto"/>
          <w:sz w:val="32"/>
          <w:szCs w:val="32"/>
          <w:highlight w:val="none"/>
          <w:lang w:val="en-US" w:eastAsia="zh-CN"/>
        </w:rPr>
        <w:t>1</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3.02</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56461799">
      <w:pPr>
        <w:spacing w:line="600" w:lineRule="exact"/>
        <w:ind w:firstLine="643" w:firstLineChars="200"/>
        <w:jc w:val="both"/>
        <w:rPr>
          <w:rStyle w:val="22"/>
          <w:rFonts w:hint="eastAsia" w:ascii="仿宋" w:hAnsi="仿宋" w:eastAsia="仿宋"/>
          <w:b w:val="0"/>
          <w:bCs/>
          <w:color w:val="auto"/>
          <w:sz w:val="32"/>
          <w:szCs w:val="32"/>
          <w:highlight w:val="none"/>
        </w:rPr>
      </w:pPr>
      <w:r>
        <w:rPr>
          <w:rFonts w:hint="eastAsia" w:eastAsia="仿宋_GB2312"/>
          <w:b/>
          <w:bCs/>
          <w:color w:val="auto"/>
          <w:sz w:val="32"/>
          <w:szCs w:val="32"/>
          <w:highlight w:val="none"/>
          <w:lang w:val="en-US" w:eastAsia="zh-CN"/>
        </w:rPr>
        <w:t>5</w:t>
      </w:r>
      <w:r>
        <w:rPr>
          <w:rFonts w:eastAsia="仿宋_GB2312"/>
          <w:b/>
          <w:bCs/>
          <w:color w:val="auto"/>
          <w:sz w:val="32"/>
          <w:szCs w:val="32"/>
          <w:highlight w:val="none"/>
        </w:rPr>
        <w:t>.</w:t>
      </w:r>
      <w:r>
        <w:rPr>
          <w:rStyle w:val="22"/>
          <w:rFonts w:eastAsia="仿宋_GB2312"/>
          <w:color w:val="auto"/>
          <w:sz w:val="32"/>
          <w:szCs w:val="32"/>
          <w:highlight w:val="none"/>
        </w:rPr>
        <w:t>社会保障和就业（208）</w:t>
      </w:r>
      <w:r>
        <w:rPr>
          <w:rStyle w:val="22"/>
          <w:rFonts w:hint="eastAsia" w:eastAsia="仿宋_GB2312"/>
          <w:color w:val="auto"/>
          <w:sz w:val="32"/>
          <w:szCs w:val="32"/>
          <w:highlight w:val="none"/>
        </w:rPr>
        <w:t>行政事业单位养老支出</w:t>
      </w:r>
      <w:r>
        <w:rPr>
          <w:rStyle w:val="22"/>
          <w:rFonts w:eastAsia="仿宋_GB2312"/>
          <w:color w:val="auto"/>
          <w:sz w:val="32"/>
          <w:szCs w:val="32"/>
          <w:highlight w:val="none"/>
        </w:rPr>
        <w:t>（05）机关事业单位基本养老保险缴费支出（05）:</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96.78</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56641F34">
      <w:pPr>
        <w:spacing w:line="600" w:lineRule="exact"/>
        <w:ind w:firstLine="643" w:firstLineChars="200"/>
        <w:jc w:val="both"/>
        <w:rPr>
          <w:rStyle w:val="22"/>
          <w:rFonts w:hint="eastAsia" w:eastAsia="仿宋_GB2312"/>
          <w:bCs/>
          <w:color w:val="auto"/>
          <w:sz w:val="32"/>
          <w:szCs w:val="32"/>
          <w:highlight w:val="none"/>
          <w:lang w:val="en-US" w:eastAsia="zh-CN"/>
        </w:rPr>
      </w:pPr>
      <w:r>
        <w:rPr>
          <w:rStyle w:val="22"/>
          <w:rFonts w:hint="eastAsia" w:eastAsia="仿宋_GB2312"/>
          <w:bCs/>
          <w:color w:val="auto"/>
          <w:sz w:val="32"/>
          <w:szCs w:val="32"/>
          <w:highlight w:val="none"/>
          <w:lang w:val="en-US" w:eastAsia="zh-CN"/>
        </w:rPr>
        <w:t>6.</w:t>
      </w:r>
      <w:r>
        <w:rPr>
          <w:rStyle w:val="22"/>
          <w:rFonts w:eastAsia="仿宋_GB2312"/>
          <w:color w:val="auto"/>
          <w:sz w:val="32"/>
          <w:szCs w:val="32"/>
          <w:highlight w:val="none"/>
        </w:rPr>
        <w:t>社会保障和就业（208）</w:t>
      </w:r>
      <w:r>
        <w:rPr>
          <w:rStyle w:val="22"/>
          <w:rFonts w:hint="eastAsia" w:eastAsia="仿宋_GB2312"/>
          <w:color w:val="auto"/>
          <w:sz w:val="32"/>
          <w:szCs w:val="32"/>
          <w:highlight w:val="none"/>
        </w:rPr>
        <w:t>行政事业单位养老支出</w:t>
      </w:r>
      <w:r>
        <w:rPr>
          <w:rStyle w:val="22"/>
          <w:rFonts w:eastAsia="仿宋_GB2312"/>
          <w:color w:val="auto"/>
          <w:sz w:val="32"/>
          <w:szCs w:val="32"/>
          <w:highlight w:val="none"/>
        </w:rPr>
        <w:t>（05）</w:t>
      </w:r>
      <w:r>
        <w:rPr>
          <w:rStyle w:val="22"/>
          <w:rFonts w:hint="eastAsia" w:eastAsia="仿宋_GB2312"/>
          <w:color w:val="auto"/>
          <w:sz w:val="32"/>
          <w:szCs w:val="32"/>
          <w:highlight w:val="none"/>
        </w:rPr>
        <w:t>机关事业单位职业年金缴费支出</w:t>
      </w:r>
      <w:r>
        <w:rPr>
          <w:rStyle w:val="22"/>
          <w:rFonts w:eastAsia="仿宋_GB2312"/>
          <w:color w:val="auto"/>
          <w:sz w:val="32"/>
          <w:szCs w:val="32"/>
          <w:highlight w:val="none"/>
        </w:rPr>
        <w:t>（0</w:t>
      </w:r>
      <w:r>
        <w:rPr>
          <w:rStyle w:val="22"/>
          <w:rFonts w:hint="eastAsia" w:eastAsia="仿宋_GB2312"/>
          <w:color w:val="auto"/>
          <w:sz w:val="32"/>
          <w:szCs w:val="32"/>
          <w:highlight w:val="none"/>
          <w:lang w:val="en-US" w:eastAsia="zh-CN"/>
        </w:rPr>
        <w:t>6</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62.24</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0DAC309D">
      <w:pPr>
        <w:spacing w:line="600" w:lineRule="exact"/>
        <w:ind w:firstLine="643" w:firstLineChars="200"/>
        <w:jc w:val="both"/>
        <w:rPr>
          <w:rStyle w:val="22"/>
          <w:rFonts w:hint="eastAsia" w:eastAsia="仿宋_GB2312"/>
          <w:bCs/>
          <w:color w:val="auto"/>
          <w:sz w:val="32"/>
          <w:szCs w:val="32"/>
          <w:highlight w:val="none"/>
          <w:lang w:val="en-US" w:eastAsia="zh-CN"/>
        </w:rPr>
      </w:pPr>
      <w:r>
        <w:rPr>
          <w:rStyle w:val="22"/>
          <w:rFonts w:hint="eastAsia" w:eastAsia="仿宋_GB2312"/>
          <w:bCs/>
          <w:color w:val="auto"/>
          <w:sz w:val="32"/>
          <w:szCs w:val="32"/>
          <w:highlight w:val="none"/>
          <w:lang w:val="en-US" w:eastAsia="zh-CN"/>
        </w:rPr>
        <w:t>7</w:t>
      </w:r>
      <w:r>
        <w:rPr>
          <w:rStyle w:val="22"/>
          <w:rFonts w:eastAsia="仿宋_GB2312"/>
          <w:bCs/>
          <w:color w:val="auto"/>
          <w:sz w:val="32"/>
          <w:szCs w:val="32"/>
          <w:highlight w:val="none"/>
        </w:rPr>
        <w:t>.</w:t>
      </w:r>
      <w:r>
        <w:rPr>
          <w:rStyle w:val="22"/>
          <w:rFonts w:eastAsia="仿宋_GB2312"/>
          <w:color w:val="auto"/>
          <w:sz w:val="32"/>
          <w:szCs w:val="32"/>
          <w:highlight w:val="none"/>
        </w:rPr>
        <w:t>社会保障和就业（208）</w:t>
      </w:r>
      <w:r>
        <w:rPr>
          <w:rStyle w:val="22"/>
          <w:rFonts w:hint="eastAsia" w:eastAsia="仿宋_GB2312"/>
          <w:color w:val="auto"/>
          <w:sz w:val="32"/>
          <w:szCs w:val="32"/>
          <w:highlight w:val="none"/>
        </w:rPr>
        <w:t>抚恤</w:t>
      </w:r>
      <w:r>
        <w:rPr>
          <w:rStyle w:val="22"/>
          <w:rFonts w:eastAsia="仿宋_GB2312"/>
          <w:color w:val="auto"/>
          <w:sz w:val="32"/>
          <w:szCs w:val="32"/>
          <w:highlight w:val="none"/>
        </w:rPr>
        <w:t>（</w:t>
      </w:r>
      <w:r>
        <w:rPr>
          <w:rStyle w:val="22"/>
          <w:rFonts w:hint="eastAsia" w:eastAsia="仿宋_GB2312"/>
          <w:color w:val="auto"/>
          <w:sz w:val="32"/>
          <w:szCs w:val="32"/>
          <w:highlight w:val="none"/>
          <w:lang w:val="en-US" w:eastAsia="zh-CN"/>
        </w:rPr>
        <w:t>08</w:t>
      </w:r>
      <w:r>
        <w:rPr>
          <w:rStyle w:val="22"/>
          <w:rFonts w:eastAsia="仿宋_GB2312"/>
          <w:color w:val="auto"/>
          <w:sz w:val="32"/>
          <w:szCs w:val="32"/>
          <w:highlight w:val="none"/>
        </w:rPr>
        <w:t>）</w:t>
      </w:r>
      <w:r>
        <w:rPr>
          <w:rStyle w:val="22"/>
          <w:rFonts w:hint="eastAsia" w:eastAsia="仿宋_GB2312"/>
          <w:color w:val="auto"/>
          <w:sz w:val="32"/>
          <w:szCs w:val="32"/>
          <w:highlight w:val="none"/>
        </w:rPr>
        <w:t>死亡抚恤</w:t>
      </w:r>
      <w:r>
        <w:rPr>
          <w:rStyle w:val="22"/>
          <w:rFonts w:eastAsia="仿宋_GB2312"/>
          <w:color w:val="auto"/>
          <w:sz w:val="32"/>
          <w:szCs w:val="32"/>
          <w:highlight w:val="none"/>
        </w:rPr>
        <w:t>（</w:t>
      </w:r>
      <w:r>
        <w:rPr>
          <w:rStyle w:val="22"/>
          <w:rFonts w:hint="eastAsia" w:eastAsia="仿宋_GB2312"/>
          <w:color w:val="auto"/>
          <w:sz w:val="32"/>
          <w:szCs w:val="32"/>
          <w:highlight w:val="none"/>
          <w:lang w:val="en-US" w:eastAsia="zh-CN"/>
        </w:rPr>
        <w:t>01</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21.70</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6AF8EA38">
      <w:pPr>
        <w:spacing w:line="600" w:lineRule="exact"/>
        <w:ind w:firstLine="643" w:firstLineChars="200"/>
        <w:jc w:val="both"/>
        <w:rPr>
          <w:rStyle w:val="22"/>
          <w:rFonts w:hint="eastAsia" w:eastAsia="仿宋_GB2312"/>
          <w:bCs/>
          <w:color w:val="auto"/>
          <w:sz w:val="32"/>
          <w:szCs w:val="32"/>
          <w:highlight w:val="none"/>
          <w:lang w:val="en-US" w:eastAsia="zh-CN"/>
        </w:rPr>
      </w:pPr>
      <w:r>
        <w:rPr>
          <w:rStyle w:val="22"/>
          <w:rFonts w:hint="eastAsia" w:eastAsia="仿宋_GB2312"/>
          <w:bCs/>
          <w:color w:val="auto"/>
          <w:sz w:val="32"/>
          <w:szCs w:val="32"/>
          <w:highlight w:val="none"/>
          <w:lang w:val="en-US" w:eastAsia="zh-CN"/>
        </w:rPr>
        <w:t>8</w:t>
      </w:r>
      <w:r>
        <w:rPr>
          <w:rStyle w:val="22"/>
          <w:rFonts w:eastAsia="仿宋_GB2312"/>
          <w:bCs/>
          <w:color w:val="auto"/>
          <w:sz w:val="32"/>
          <w:szCs w:val="32"/>
          <w:highlight w:val="none"/>
        </w:rPr>
        <w:t>.</w:t>
      </w:r>
      <w:r>
        <w:rPr>
          <w:rStyle w:val="22"/>
          <w:rFonts w:eastAsia="仿宋_GB2312"/>
          <w:color w:val="auto"/>
          <w:sz w:val="32"/>
          <w:szCs w:val="32"/>
          <w:highlight w:val="none"/>
        </w:rPr>
        <w:t>社会保障和就业（208）</w:t>
      </w:r>
      <w:r>
        <w:rPr>
          <w:rStyle w:val="22"/>
          <w:rFonts w:hint="eastAsia" w:eastAsia="仿宋_GB2312"/>
          <w:color w:val="auto"/>
          <w:sz w:val="32"/>
          <w:szCs w:val="32"/>
          <w:highlight w:val="none"/>
          <w:lang w:eastAsia="zh-CN"/>
        </w:rPr>
        <w:t>残疾人事业</w:t>
      </w:r>
      <w:r>
        <w:rPr>
          <w:rStyle w:val="22"/>
          <w:rFonts w:eastAsia="仿宋_GB2312"/>
          <w:color w:val="auto"/>
          <w:sz w:val="32"/>
          <w:szCs w:val="32"/>
          <w:highlight w:val="none"/>
        </w:rPr>
        <w:t>（</w:t>
      </w:r>
      <w:r>
        <w:rPr>
          <w:rStyle w:val="22"/>
          <w:rFonts w:hint="eastAsia" w:eastAsia="仿宋_GB2312"/>
          <w:color w:val="auto"/>
          <w:sz w:val="32"/>
          <w:szCs w:val="32"/>
          <w:highlight w:val="none"/>
          <w:lang w:val="en-US" w:eastAsia="zh-CN"/>
        </w:rPr>
        <w:t>11</w:t>
      </w:r>
      <w:r>
        <w:rPr>
          <w:rStyle w:val="22"/>
          <w:rFonts w:eastAsia="仿宋_GB2312"/>
          <w:color w:val="auto"/>
          <w:sz w:val="32"/>
          <w:szCs w:val="32"/>
          <w:highlight w:val="none"/>
        </w:rPr>
        <w:t>）</w:t>
      </w:r>
      <w:r>
        <w:rPr>
          <w:rStyle w:val="22"/>
          <w:rFonts w:hint="eastAsia" w:eastAsia="仿宋_GB2312"/>
          <w:color w:val="auto"/>
          <w:sz w:val="32"/>
          <w:szCs w:val="32"/>
          <w:highlight w:val="none"/>
          <w:lang w:eastAsia="zh-CN"/>
        </w:rPr>
        <w:t>残疾人就业</w:t>
      </w:r>
      <w:r>
        <w:rPr>
          <w:rStyle w:val="22"/>
          <w:rFonts w:eastAsia="仿宋_GB2312"/>
          <w:color w:val="auto"/>
          <w:sz w:val="32"/>
          <w:szCs w:val="32"/>
          <w:highlight w:val="none"/>
        </w:rPr>
        <w:t>（</w:t>
      </w:r>
      <w:r>
        <w:rPr>
          <w:rStyle w:val="22"/>
          <w:rFonts w:hint="eastAsia" w:eastAsia="仿宋_GB2312"/>
          <w:color w:val="auto"/>
          <w:sz w:val="32"/>
          <w:szCs w:val="32"/>
          <w:highlight w:val="none"/>
          <w:lang w:val="en-US" w:eastAsia="zh-CN"/>
        </w:rPr>
        <w:t>05</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6.31</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Style w:val="22"/>
          <w:rFonts w:hint="eastAsia" w:ascii="仿宋" w:hAnsi="仿宋" w:eastAsia="仿宋"/>
          <w:b w:val="0"/>
          <w:bCs/>
          <w:color w:val="auto"/>
          <w:sz w:val="32"/>
          <w:szCs w:val="32"/>
          <w:highlight w:val="none"/>
          <w:lang w:eastAsia="zh-CN"/>
        </w:rPr>
        <w:t>。</w:t>
      </w:r>
    </w:p>
    <w:p w14:paraId="61D2B2FE">
      <w:pPr>
        <w:spacing w:line="600" w:lineRule="exact"/>
        <w:ind w:firstLine="643" w:firstLineChars="200"/>
        <w:jc w:val="both"/>
        <w:rPr>
          <w:rStyle w:val="22"/>
          <w:rFonts w:hint="eastAsia" w:ascii="仿宋" w:hAnsi="仿宋" w:eastAsia="仿宋"/>
          <w:b w:val="0"/>
          <w:bCs/>
          <w:color w:val="auto"/>
          <w:sz w:val="32"/>
          <w:szCs w:val="32"/>
          <w:highlight w:val="none"/>
        </w:rPr>
      </w:pPr>
      <w:r>
        <w:rPr>
          <w:rStyle w:val="22"/>
          <w:rFonts w:hint="eastAsia" w:eastAsia="仿宋_GB2312"/>
          <w:bCs/>
          <w:color w:val="auto"/>
          <w:sz w:val="32"/>
          <w:szCs w:val="32"/>
          <w:highlight w:val="none"/>
          <w:lang w:val="en-US" w:eastAsia="zh-CN"/>
        </w:rPr>
        <w:t>9</w:t>
      </w:r>
      <w:r>
        <w:rPr>
          <w:rStyle w:val="22"/>
          <w:rFonts w:eastAsia="仿宋_GB2312"/>
          <w:bCs/>
          <w:color w:val="auto"/>
          <w:sz w:val="32"/>
          <w:szCs w:val="32"/>
          <w:highlight w:val="none"/>
        </w:rPr>
        <w:t>.</w:t>
      </w:r>
      <w:r>
        <w:rPr>
          <w:rStyle w:val="22"/>
          <w:rFonts w:eastAsia="仿宋_GB2312"/>
          <w:color w:val="auto"/>
          <w:sz w:val="32"/>
          <w:szCs w:val="32"/>
          <w:highlight w:val="none"/>
        </w:rPr>
        <w:t>社会保障和就业（208）其他社会保障和就业</w:t>
      </w:r>
      <w:r>
        <w:rPr>
          <w:rStyle w:val="22"/>
          <w:rFonts w:hint="eastAsia" w:eastAsia="仿宋_GB2312"/>
          <w:color w:val="auto"/>
          <w:sz w:val="32"/>
          <w:szCs w:val="32"/>
          <w:highlight w:val="none"/>
          <w:lang w:eastAsia="zh-CN"/>
        </w:rPr>
        <w:t>支出</w:t>
      </w:r>
      <w:r>
        <w:rPr>
          <w:rStyle w:val="22"/>
          <w:rFonts w:eastAsia="仿宋_GB2312"/>
          <w:color w:val="auto"/>
          <w:sz w:val="32"/>
          <w:szCs w:val="32"/>
          <w:highlight w:val="none"/>
        </w:rPr>
        <w:t>（99）其他社会保障和就业</w:t>
      </w:r>
      <w:r>
        <w:rPr>
          <w:rStyle w:val="22"/>
          <w:rFonts w:hint="eastAsia" w:eastAsia="仿宋_GB2312"/>
          <w:color w:val="auto"/>
          <w:sz w:val="32"/>
          <w:szCs w:val="32"/>
          <w:highlight w:val="none"/>
          <w:lang w:eastAsia="zh-CN"/>
        </w:rPr>
        <w:t>支出</w:t>
      </w:r>
      <w:r>
        <w:rPr>
          <w:rStyle w:val="22"/>
          <w:rFonts w:eastAsia="仿宋_GB2312"/>
          <w:color w:val="auto"/>
          <w:sz w:val="32"/>
          <w:szCs w:val="32"/>
          <w:highlight w:val="none"/>
        </w:rPr>
        <w:t>（</w:t>
      </w:r>
      <w:r>
        <w:rPr>
          <w:rStyle w:val="22"/>
          <w:rFonts w:hint="eastAsia" w:eastAsia="仿宋_GB2312"/>
          <w:color w:val="auto"/>
          <w:sz w:val="32"/>
          <w:szCs w:val="32"/>
          <w:highlight w:val="none"/>
          <w:lang w:val="en-US" w:eastAsia="zh-CN"/>
        </w:rPr>
        <w:t>99</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1.18</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52486748">
      <w:pPr>
        <w:spacing w:line="600" w:lineRule="exact"/>
        <w:ind w:firstLine="643" w:firstLineChars="200"/>
        <w:jc w:val="both"/>
        <w:rPr>
          <w:rStyle w:val="22"/>
          <w:rFonts w:hint="eastAsia" w:ascii="仿宋" w:hAnsi="仿宋" w:eastAsia="仿宋"/>
          <w:b w:val="0"/>
          <w:bCs/>
          <w:color w:val="auto"/>
          <w:sz w:val="32"/>
          <w:szCs w:val="32"/>
          <w:highlight w:val="none"/>
        </w:rPr>
      </w:pPr>
      <w:r>
        <w:rPr>
          <w:rStyle w:val="22"/>
          <w:rFonts w:hint="eastAsia" w:eastAsia="仿宋_GB2312"/>
          <w:color w:val="auto"/>
          <w:sz w:val="32"/>
          <w:szCs w:val="32"/>
          <w:highlight w:val="none"/>
          <w:lang w:val="en-US" w:eastAsia="zh-CN"/>
        </w:rPr>
        <w:t>10</w:t>
      </w:r>
      <w:r>
        <w:rPr>
          <w:rStyle w:val="22"/>
          <w:rFonts w:eastAsia="仿宋_GB2312"/>
          <w:color w:val="auto"/>
          <w:sz w:val="32"/>
          <w:szCs w:val="32"/>
          <w:highlight w:val="none"/>
        </w:rPr>
        <w:t>.</w:t>
      </w:r>
      <w:r>
        <w:rPr>
          <w:rStyle w:val="22"/>
          <w:rFonts w:hint="eastAsia" w:eastAsia="仿宋_GB2312"/>
          <w:color w:val="auto"/>
          <w:sz w:val="32"/>
          <w:szCs w:val="32"/>
          <w:highlight w:val="none"/>
        </w:rPr>
        <w:t>卫生健康</w:t>
      </w:r>
      <w:r>
        <w:rPr>
          <w:rStyle w:val="22"/>
          <w:rFonts w:eastAsia="仿宋_GB2312"/>
          <w:color w:val="auto"/>
          <w:sz w:val="32"/>
          <w:szCs w:val="32"/>
          <w:highlight w:val="none"/>
        </w:rPr>
        <w:t>（210）行政事业单位医疗（11）行政单位医疗（01）：</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28.95</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49CF8E50">
      <w:pPr>
        <w:spacing w:line="600" w:lineRule="exact"/>
        <w:ind w:firstLine="643" w:firstLineChars="200"/>
        <w:jc w:val="both"/>
        <w:rPr>
          <w:rStyle w:val="22"/>
          <w:rFonts w:hint="eastAsia" w:eastAsia="仿宋_GB2312"/>
          <w:color w:val="auto"/>
          <w:sz w:val="32"/>
          <w:szCs w:val="32"/>
          <w:highlight w:val="none"/>
          <w:lang w:val="en-US" w:eastAsia="zh-CN"/>
        </w:rPr>
      </w:pPr>
      <w:r>
        <w:rPr>
          <w:rStyle w:val="22"/>
          <w:rFonts w:hint="eastAsia" w:eastAsia="仿宋_GB2312"/>
          <w:color w:val="auto"/>
          <w:sz w:val="32"/>
          <w:szCs w:val="32"/>
          <w:highlight w:val="none"/>
          <w:lang w:val="en-US" w:eastAsia="zh-CN"/>
        </w:rPr>
        <w:t>11.</w:t>
      </w:r>
      <w:r>
        <w:rPr>
          <w:rStyle w:val="22"/>
          <w:rFonts w:hint="eastAsia" w:eastAsia="仿宋_GB2312"/>
          <w:color w:val="auto"/>
          <w:sz w:val="32"/>
          <w:szCs w:val="32"/>
          <w:highlight w:val="none"/>
        </w:rPr>
        <w:t>卫生健康</w:t>
      </w:r>
      <w:r>
        <w:rPr>
          <w:rStyle w:val="22"/>
          <w:rFonts w:eastAsia="仿宋_GB2312"/>
          <w:color w:val="auto"/>
          <w:sz w:val="32"/>
          <w:szCs w:val="32"/>
          <w:highlight w:val="none"/>
        </w:rPr>
        <w:t>（210）行政事业单位医疗（11）</w:t>
      </w:r>
      <w:r>
        <w:rPr>
          <w:rStyle w:val="22"/>
          <w:rFonts w:hint="eastAsia" w:eastAsia="仿宋_GB2312"/>
          <w:color w:val="auto"/>
          <w:sz w:val="32"/>
          <w:szCs w:val="32"/>
          <w:highlight w:val="none"/>
          <w:lang w:eastAsia="zh-CN"/>
        </w:rPr>
        <w:t>事业</w:t>
      </w:r>
      <w:r>
        <w:rPr>
          <w:rStyle w:val="22"/>
          <w:rFonts w:eastAsia="仿宋_GB2312"/>
          <w:color w:val="auto"/>
          <w:sz w:val="32"/>
          <w:szCs w:val="32"/>
          <w:highlight w:val="none"/>
        </w:rPr>
        <w:t>单位医疗（0</w:t>
      </w:r>
      <w:r>
        <w:rPr>
          <w:rStyle w:val="22"/>
          <w:rFonts w:hint="eastAsia" w:eastAsia="仿宋_GB2312"/>
          <w:color w:val="auto"/>
          <w:sz w:val="32"/>
          <w:szCs w:val="32"/>
          <w:highlight w:val="none"/>
          <w:lang w:val="en-US" w:eastAsia="zh-CN"/>
        </w:rPr>
        <w:t>2</w:t>
      </w:r>
      <w:r>
        <w:rPr>
          <w:rStyle w:val="22"/>
          <w:rFonts w:eastAsia="仿宋_GB2312"/>
          <w:color w:val="auto"/>
          <w:sz w:val="32"/>
          <w:szCs w:val="32"/>
          <w:highlight w:val="none"/>
        </w:rPr>
        <w:t>）：</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0.51</w:t>
      </w:r>
      <w:r>
        <w:rPr>
          <w:rFonts w:eastAsia="仿宋_GB2312"/>
          <w:color w:val="auto"/>
          <w:sz w:val="32"/>
          <w:szCs w:val="32"/>
          <w:highlight w:val="none"/>
        </w:rPr>
        <w:t>万元</w:t>
      </w:r>
      <w:r>
        <w:rPr>
          <w:rFonts w:hint="eastAsia" w:eastAsia="仿宋_GB2312"/>
          <w:color w:val="auto"/>
          <w:sz w:val="32"/>
          <w:szCs w:val="32"/>
          <w:highlight w:val="none"/>
          <w:lang w:eastAsia="zh-CN"/>
        </w:rPr>
        <w:t>，</w:t>
      </w:r>
      <w:r>
        <w:rPr>
          <w:rFonts w:eastAsia="仿宋_GB2312"/>
          <w:color w:val="auto"/>
          <w:sz w:val="32"/>
          <w:szCs w:val="32"/>
          <w:highlight w:val="none"/>
        </w:rPr>
        <w:t>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5054D0FB">
      <w:pPr>
        <w:spacing w:line="600" w:lineRule="exact"/>
        <w:ind w:firstLine="643" w:firstLineChars="200"/>
        <w:jc w:val="both"/>
        <w:rPr>
          <w:rFonts w:eastAsia="仿宋_GB2312"/>
          <w:color w:val="auto"/>
          <w:sz w:val="32"/>
          <w:szCs w:val="32"/>
          <w:highlight w:val="none"/>
        </w:rPr>
      </w:pPr>
      <w:r>
        <w:rPr>
          <w:rStyle w:val="22"/>
          <w:rFonts w:hint="eastAsia" w:eastAsia="仿宋_GB2312"/>
          <w:color w:val="auto"/>
          <w:sz w:val="32"/>
          <w:szCs w:val="32"/>
          <w:highlight w:val="none"/>
          <w:lang w:val="en-US" w:eastAsia="zh-CN"/>
        </w:rPr>
        <w:t>12</w:t>
      </w:r>
      <w:r>
        <w:rPr>
          <w:rStyle w:val="22"/>
          <w:rFonts w:eastAsia="仿宋_GB2312"/>
          <w:color w:val="auto"/>
          <w:sz w:val="32"/>
          <w:szCs w:val="32"/>
          <w:highlight w:val="none"/>
        </w:rPr>
        <w:t>.</w:t>
      </w:r>
      <w:r>
        <w:rPr>
          <w:rStyle w:val="22"/>
          <w:rFonts w:hint="eastAsia" w:eastAsia="仿宋_GB2312"/>
          <w:color w:val="auto"/>
          <w:sz w:val="32"/>
          <w:szCs w:val="32"/>
          <w:highlight w:val="none"/>
        </w:rPr>
        <w:t>卫生健康</w:t>
      </w:r>
      <w:r>
        <w:rPr>
          <w:rStyle w:val="22"/>
          <w:rFonts w:eastAsia="仿宋_GB2312"/>
          <w:color w:val="auto"/>
          <w:sz w:val="32"/>
          <w:szCs w:val="32"/>
          <w:highlight w:val="none"/>
        </w:rPr>
        <w:t>（210）行政事业单位医疗（11）公务员医疗补助（03）：</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12.57</w:t>
      </w:r>
      <w:r>
        <w:rPr>
          <w:rFonts w:eastAsia="仿宋_GB2312"/>
          <w:color w:val="auto"/>
          <w:sz w:val="32"/>
          <w:szCs w:val="32"/>
          <w:highlight w:val="none"/>
        </w:rPr>
        <w:t>万元，完成预算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2DDBDC30">
      <w:pPr>
        <w:spacing w:line="600" w:lineRule="exact"/>
        <w:ind w:firstLine="643" w:firstLineChars="200"/>
        <w:jc w:val="both"/>
        <w:rPr>
          <w:rFonts w:ascii="仿宋" w:hAnsi="仿宋" w:eastAsia="仿宋"/>
          <w:b/>
          <w:color w:val="auto"/>
          <w:sz w:val="32"/>
          <w:szCs w:val="32"/>
          <w:highlight w:val="none"/>
        </w:rPr>
      </w:pPr>
      <w:r>
        <w:rPr>
          <w:rStyle w:val="22"/>
          <w:rFonts w:hint="eastAsia" w:eastAsia="仿宋_GB2312"/>
          <w:color w:val="auto"/>
          <w:sz w:val="32"/>
          <w:szCs w:val="32"/>
          <w:highlight w:val="none"/>
          <w:lang w:val="en-US" w:eastAsia="zh-CN"/>
        </w:rPr>
        <w:t>13</w:t>
      </w:r>
      <w:r>
        <w:rPr>
          <w:rStyle w:val="22"/>
          <w:rFonts w:eastAsia="仿宋_GB2312"/>
          <w:color w:val="auto"/>
          <w:sz w:val="32"/>
          <w:szCs w:val="32"/>
          <w:highlight w:val="none"/>
        </w:rPr>
        <w:t>.住房保障（221）住房改革</w:t>
      </w:r>
      <w:r>
        <w:rPr>
          <w:rStyle w:val="22"/>
          <w:rFonts w:hint="eastAsia" w:eastAsia="仿宋_GB2312"/>
          <w:color w:val="auto"/>
          <w:sz w:val="32"/>
          <w:szCs w:val="32"/>
          <w:highlight w:val="none"/>
          <w:lang w:eastAsia="zh-CN"/>
        </w:rPr>
        <w:t>支出</w:t>
      </w:r>
      <w:r>
        <w:rPr>
          <w:rStyle w:val="22"/>
          <w:rFonts w:eastAsia="仿宋_GB2312"/>
          <w:color w:val="auto"/>
          <w:sz w:val="32"/>
          <w:szCs w:val="32"/>
          <w:highlight w:val="none"/>
        </w:rPr>
        <w:t>（02）住房公积金（01）：</w:t>
      </w:r>
      <w:r>
        <w:rPr>
          <w:rFonts w:hint="eastAsia" w:eastAsia="仿宋_GB2312"/>
          <w:color w:val="auto"/>
          <w:sz w:val="32"/>
          <w:szCs w:val="32"/>
          <w:highlight w:val="none"/>
          <w:lang w:eastAsia="zh-CN"/>
        </w:rPr>
        <w:t>支出</w:t>
      </w:r>
      <w:r>
        <w:rPr>
          <w:rFonts w:eastAsia="仿宋_GB2312"/>
          <w:color w:val="auto"/>
          <w:sz w:val="32"/>
          <w:szCs w:val="32"/>
          <w:highlight w:val="none"/>
        </w:rPr>
        <w:t>决算数为</w:t>
      </w:r>
      <w:r>
        <w:rPr>
          <w:rFonts w:hint="eastAsia" w:eastAsia="仿宋_GB2312"/>
          <w:color w:val="auto"/>
          <w:sz w:val="32"/>
          <w:szCs w:val="32"/>
          <w:highlight w:val="none"/>
          <w:lang w:val="en-US" w:eastAsia="zh-CN"/>
        </w:rPr>
        <w:t>79.24</w:t>
      </w:r>
      <w:r>
        <w:rPr>
          <w:rFonts w:eastAsia="仿宋_GB2312"/>
          <w:color w:val="auto"/>
          <w:sz w:val="32"/>
          <w:szCs w:val="32"/>
          <w:highlight w:val="none"/>
        </w:rPr>
        <w:t>万元，完成预算</w:t>
      </w:r>
      <w:r>
        <w:rPr>
          <w:rFonts w:hint="eastAsia" w:eastAsia="仿宋_GB2312"/>
          <w:color w:val="auto"/>
          <w:sz w:val="32"/>
          <w:szCs w:val="32"/>
          <w:highlight w:val="none"/>
          <w:lang w:val="en-US" w:eastAsia="zh-CN"/>
        </w:rPr>
        <w:t>100</w:t>
      </w:r>
      <w:r>
        <w:rPr>
          <w:rFonts w:eastAsia="仿宋_GB2312"/>
          <w:color w:val="auto"/>
          <w:sz w:val="32"/>
          <w:szCs w:val="32"/>
          <w:highlight w:val="none"/>
        </w:rPr>
        <w:t>%</w:t>
      </w:r>
      <w:r>
        <w:rPr>
          <w:rStyle w:val="22"/>
          <w:rFonts w:hint="eastAsia" w:eastAsia="仿宋_GB2312"/>
          <w:b w:val="0"/>
          <w:bCs/>
          <w:color w:val="auto"/>
          <w:sz w:val="32"/>
          <w:szCs w:val="32"/>
          <w:highlight w:val="none"/>
          <w:lang w:eastAsia="zh-CN"/>
        </w:rPr>
        <w:t>，</w:t>
      </w:r>
      <w:r>
        <w:rPr>
          <w:rStyle w:val="22"/>
          <w:rFonts w:hint="eastAsia" w:ascii="仿宋" w:hAnsi="仿宋" w:eastAsia="仿宋"/>
          <w:b w:val="0"/>
          <w:bCs/>
          <w:color w:val="auto"/>
          <w:sz w:val="32"/>
          <w:szCs w:val="32"/>
          <w:highlight w:val="none"/>
        </w:rPr>
        <w:t>决算数</w:t>
      </w:r>
      <w:r>
        <w:rPr>
          <w:rStyle w:val="22"/>
          <w:rFonts w:hint="eastAsia" w:ascii="仿宋" w:hAnsi="仿宋" w:eastAsia="仿宋"/>
          <w:b w:val="0"/>
          <w:bCs/>
          <w:color w:val="auto"/>
          <w:sz w:val="32"/>
          <w:szCs w:val="32"/>
          <w:highlight w:val="none"/>
          <w:lang w:eastAsia="zh-CN"/>
        </w:rPr>
        <w:t>等于</w:t>
      </w:r>
      <w:r>
        <w:rPr>
          <w:rStyle w:val="22"/>
          <w:rFonts w:hint="eastAsia" w:ascii="仿宋" w:hAnsi="仿宋" w:eastAsia="仿宋"/>
          <w:b w:val="0"/>
          <w:bCs/>
          <w:color w:val="auto"/>
          <w:sz w:val="32"/>
          <w:szCs w:val="32"/>
          <w:highlight w:val="none"/>
        </w:rPr>
        <w:t>预算数</w:t>
      </w:r>
      <w:r>
        <w:rPr>
          <w:rFonts w:eastAsia="仿宋_GB2312"/>
          <w:color w:val="auto"/>
          <w:sz w:val="32"/>
          <w:szCs w:val="32"/>
          <w:highlight w:val="none"/>
        </w:rPr>
        <w:t>。</w:t>
      </w:r>
    </w:p>
    <w:p w14:paraId="60123900">
      <w:pPr>
        <w:tabs>
          <w:tab w:val="right" w:pos="8306"/>
        </w:tabs>
        <w:spacing w:line="600" w:lineRule="exact"/>
        <w:ind w:firstLine="640"/>
        <w:jc w:val="both"/>
        <w:outlineLvl w:val="1"/>
        <w:rPr>
          <w:rStyle w:val="36"/>
          <w:color w:val="auto"/>
          <w:highlight w:val="none"/>
        </w:rPr>
      </w:pPr>
      <w:bookmarkStart w:id="52" w:name="_Toc1267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6"/>
          <w:rFonts w:hint="eastAsia" w:ascii="黑体" w:hAnsi="黑体" w:eastAsia="黑体"/>
          <w:b w:val="0"/>
          <w:color w:val="auto"/>
          <w:highlight w:val="none"/>
        </w:rPr>
        <w:t>般公共预算财政拨款基本支出决算情况说明</w:t>
      </w:r>
      <w:bookmarkEnd w:id="50"/>
      <w:bookmarkEnd w:id="51"/>
      <w:bookmarkEnd w:id="52"/>
      <w:r>
        <w:rPr>
          <w:rStyle w:val="36"/>
          <w:rFonts w:ascii="黑体" w:hAnsi="黑体" w:eastAsia="黑体"/>
          <w:b w:val="0"/>
          <w:color w:val="auto"/>
          <w:highlight w:val="none"/>
        </w:rPr>
        <w:tab/>
      </w:r>
    </w:p>
    <w:p w14:paraId="5B0BB2E3">
      <w:pPr>
        <w:spacing w:line="600" w:lineRule="exact"/>
        <w:ind w:firstLine="645"/>
        <w:jc w:val="both"/>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一般公共预算财政拨款基本支出</w:t>
      </w:r>
      <w:r>
        <w:rPr>
          <w:rFonts w:hint="eastAsia" w:ascii="仿宋" w:hAnsi="仿宋" w:eastAsia="仿宋"/>
          <w:color w:val="auto"/>
          <w:sz w:val="32"/>
          <w:szCs w:val="32"/>
          <w:highlight w:val="none"/>
          <w:lang w:val="en-US" w:eastAsia="zh-CN"/>
        </w:rPr>
        <w:t>1,218.33</w:t>
      </w:r>
      <w:r>
        <w:rPr>
          <w:rFonts w:hint="eastAsia" w:ascii="仿宋" w:hAnsi="仿宋" w:eastAsia="仿宋"/>
          <w:color w:val="auto"/>
          <w:sz w:val="32"/>
          <w:szCs w:val="32"/>
          <w:highlight w:val="none"/>
        </w:rPr>
        <w:t>万元，其中：</w:t>
      </w:r>
    </w:p>
    <w:p w14:paraId="201C97D1">
      <w:pPr>
        <w:spacing w:line="600" w:lineRule="exact"/>
        <w:ind w:firstLine="645"/>
        <w:jc w:val="both"/>
        <w:rPr>
          <w:rFonts w:ascii="仿宋" w:hAnsi="仿宋" w:eastAsia="仿宋"/>
          <w:color w:val="auto"/>
          <w:sz w:val="32"/>
          <w:szCs w:val="32"/>
          <w:highlight w:val="none"/>
        </w:rPr>
      </w:pPr>
      <w:r>
        <w:rPr>
          <w:rFonts w:hint="eastAsia" w:ascii="仿宋" w:hAnsi="仿宋" w:eastAsia="仿宋"/>
          <w:color w:val="auto"/>
          <w:sz w:val="32"/>
          <w:szCs w:val="32"/>
          <w:highlight w:val="none"/>
        </w:rPr>
        <w:t>人员经费1</w:t>
      </w:r>
      <w:r>
        <w:rPr>
          <w:rFonts w:hint="eastAsia" w:ascii="仿宋" w:hAnsi="仿宋" w:eastAsia="仿宋"/>
          <w:color w:val="auto"/>
          <w:sz w:val="32"/>
          <w:szCs w:val="32"/>
          <w:highlight w:val="none"/>
          <w:lang w:val="en-US" w:eastAsia="zh-CN"/>
        </w:rPr>
        <w:t>,</w:t>
      </w:r>
      <w:r>
        <w:rPr>
          <w:rFonts w:hint="eastAsia" w:ascii="仿宋" w:hAnsi="仿宋" w:eastAsia="仿宋"/>
          <w:color w:val="auto"/>
          <w:sz w:val="32"/>
          <w:szCs w:val="32"/>
          <w:highlight w:val="none"/>
        </w:rPr>
        <w:t>075.16万元，主要包括：基本工资、津贴补贴、奖金、绩效工资、机关事业单位基本养老保险缴费、职业年金缴费、职工基本医疗保险缴费</w:t>
      </w:r>
      <w:r>
        <w:rPr>
          <w:rFonts w:hint="eastAsia" w:ascii="仿宋" w:hAnsi="仿宋" w:eastAsia="仿宋"/>
          <w:color w:val="auto"/>
          <w:sz w:val="32"/>
          <w:szCs w:val="32"/>
          <w:highlight w:val="none"/>
          <w:lang w:eastAsia="zh-CN"/>
        </w:rPr>
        <w:t>、公务员医疗补助缴费、</w:t>
      </w:r>
      <w:r>
        <w:rPr>
          <w:rFonts w:hint="eastAsia" w:ascii="仿宋" w:hAnsi="仿宋" w:eastAsia="仿宋"/>
          <w:color w:val="auto"/>
          <w:sz w:val="32"/>
          <w:szCs w:val="32"/>
          <w:highlight w:val="none"/>
        </w:rPr>
        <w:t>其他社会保障缴费、住房公积金、其他工资福利支出、</w:t>
      </w:r>
      <w:r>
        <w:rPr>
          <w:rFonts w:hint="eastAsia" w:ascii="仿宋" w:hAnsi="仿宋" w:eastAsia="仿宋"/>
          <w:color w:val="auto"/>
          <w:sz w:val="32"/>
          <w:szCs w:val="32"/>
          <w:highlight w:val="none"/>
          <w:lang w:eastAsia="zh-CN"/>
        </w:rPr>
        <w:t>抚恤金</w:t>
      </w:r>
      <w:r>
        <w:rPr>
          <w:rFonts w:hint="eastAsia" w:ascii="仿宋" w:hAnsi="仿宋" w:eastAsia="仿宋"/>
          <w:color w:val="auto"/>
          <w:sz w:val="32"/>
          <w:szCs w:val="32"/>
          <w:highlight w:val="none"/>
        </w:rPr>
        <w:t>、其他对个人和家庭的补助支出。</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公用经费1</w:t>
      </w:r>
      <w:r>
        <w:rPr>
          <w:rFonts w:hint="eastAsia" w:ascii="仿宋" w:hAnsi="仿宋" w:eastAsia="仿宋"/>
          <w:color w:val="auto"/>
          <w:sz w:val="32"/>
          <w:szCs w:val="32"/>
          <w:highlight w:val="none"/>
          <w:lang w:val="en-US" w:eastAsia="zh-CN"/>
        </w:rPr>
        <w:t>43.17</w:t>
      </w:r>
      <w:r>
        <w:rPr>
          <w:rFonts w:hint="eastAsia" w:ascii="仿宋" w:hAnsi="仿宋" w:eastAsia="仿宋"/>
          <w:color w:val="auto"/>
          <w:sz w:val="32"/>
          <w:szCs w:val="32"/>
          <w:highlight w:val="none"/>
        </w:rPr>
        <w:t>万元，主要包括：办公费、印刷费、</w:t>
      </w:r>
      <w:r>
        <w:rPr>
          <w:rFonts w:hint="eastAsia" w:ascii="仿宋" w:hAnsi="仿宋" w:eastAsia="仿宋"/>
          <w:color w:val="auto"/>
          <w:sz w:val="32"/>
          <w:szCs w:val="32"/>
          <w:highlight w:val="none"/>
          <w:lang w:eastAsia="zh-CN"/>
        </w:rPr>
        <w:t>手续费、</w:t>
      </w:r>
      <w:r>
        <w:rPr>
          <w:rFonts w:hint="eastAsia" w:ascii="仿宋" w:hAnsi="仿宋" w:eastAsia="仿宋"/>
          <w:color w:val="auto"/>
          <w:sz w:val="32"/>
          <w:szCs w:val="32"/>
          <w:highlight w:val="none"/>
        </w:rPr>
        <w:t>邮电费、</w:t>
      </w:r>
      <w:r>
        <w:rPr>
          <w:rFonts w:hint="eastAsia" w:ascii="仿宋" w:hAnsi="仿宋" w:eastAsia="仿宋"/>
          <w:color w:val="auto"/>
          <w:sz w:val="32"/>
          <w:szCs w:val="32"/>
          <w:highlight w:val="none"/>
          <w:lang w:eastAsia="zh-CN"/>
        </w:rPr>
        <w:t>差旅费、</w:t>
      </w:r>
      <w:r>
        <w:rPr>
          <w:rFonts w:hint="eastAsia" w:ascii="仿宋" w:hAnsi="仿宋" w:eastAsia="仿宋"/>
          <w:color w:val="auto"/>
          <w:sz w:val="32"/>
          <w:szCs w:val="32"/>
          <w:highlight w:val="none"/>
        </w:rPr>
        <w:t>维修（护）费、</w:t>
      </w:r>
      <w:r>
        <w:rPr>
          <w:rFonts w:hint="eastAsia" w:ascii="仿宋" w:hAnsi="仿宋" w:eastAsia="仿宋"/>
          <w:color w:val="auto"/>
          <w:sz w:val="32"/>
          <w:szCs w:val="32"/>
          <w:highlight w:val="none"/>
          <w:lang w:eastAsia="zh-CN"/>
        </w:rPr>
        <w:t>培训</w:t>
      </w:r>
      <w:r>
        <w:rPr>
          <w:rFonts w:hint="eastAsia" w:ascii="仿宋" w:hAnsi="仿宋" w:eastAsia="仿宋"/>
          <w:color w:val="auto"/>
          <w:sz w:val="32"/>
          <w:szCs w:val="32"/>
          <w:highlight w:val="none"/>
        </w:rPr>
        <w:t>费、公务接待费、劳务费、委托业务费、工会经费、福利费、公务用车运行维护费、其他交通费</w:t>
      </w:r>
      <w:r>
        <w:rPr>
          <w:rFonts w:hint="eastAsia" w:ascii="仿宋" w:hAnsi="仿宋" w:eastAsia="仿宋"/>
          <w:color w:val="auto"/>
          <w:sz w:val="32"/>
          <w:szCs w:val="32"/>
          <w:highlight w:val="none"/>
          <w:lang w:eastAsia="zh-CN"/>
        </w:rPr>
        <w:t>用</w:t>
      </w:r>
      <w:r>
        <w:rPr>
          <w:rFonts w:hint="eastAsia" w:ascii="仿宋" w:hAnsi="仿宋" w:eastAsia="仿宋"/>
          <w:color w:val="auto"/>
          <w:sz w:val="32"/>
          <w:szCs w:val="32"/>
          <w:highlight w:val="none"/>
        </w:rPr>
        <w:t>、其他商品和服务支出。</w:t>
      </w:r>
    </w:p>
    <w:p w14:paraId="140290EC">
      <w:pPr>
        <w:spacing w:line="600" w:lineRule="exact"/>
        <w:ind w:firstLine="640"/>
        <w:jc w:val="both"/>
        <w:outlineLvl w:val="1"/>
        <w:rPr>
          <w:rStyle w:val="36"/>
          <w:rFonts w:ascii="黑体" w:hAnsi="黑体" w:eastAsia="黑体"/>
          <w:b w:val="0"/>
          <w:color w:val="auto"/>
          <w:highlight w:val="none"/>
        </w:rPr>
      </w:pPr>
      <w:bookmarkStart w:id="53" w:name="_Toc15377215"/>
      <w:bookmarkStart w:id="54" w:name="_Toc11999"/>
      <w:bookmarkStart w:id="55" w:name="_Toc15396609"/>
      <w:r>
        <w:rPr>
          <w:rFonts w:hint="eastAsia" w:ascii="黑体" w:eastAsia="黑体"/>
          <w:color w:val="auto"/>
          <w:sz w:val="32"/>
          <w:szCs w:val="32"/>
          <w:highlight w:val="none"/>
        </w:rPr>
        <w:t>七、</w:t>
      </w:r>
      <w:r>
        <w:rPr>
          <w:rStyle w:val="36"/>
          <w:rFonts w:hint="eastAsia" w:ascii="黑体" w:hAnsi="黑体" w:eastAsia="黑体"/>
          <w:b w:val="0"/>
          <w:color w:val="auto"/>
          <w:highlight w:val="none"/>
        </w:rPr>
        <w:t>财政拨款</w:t>
      </w:r>
      <w:r>
        <w:rPr>
          <w:rStyle w:val="36"/>
          <w:rFonts w:hint="eastAsia" w:ascii="黑体" w:hAnsi="黑体" w:eastAsia="黑体"/>
          <w:color w:val="auto"/>
          <w:highlight w:val="none"/>
        </w:rPr>
        <w:t>“</w:t>
      </w:r>
      <w:r>
        <w:rPr>
          <w:rStyle w:val="36"/>
          <w:rFonts w:hint="eastAsia" w:ascii="黑体" w:hAnsi="黑体" w:eastAsia="黑体"/>
          <w:b w:val="0"/>
          <w:color w:val="auto"/>
          <w:highlight w:val="none"/>
        </w:rPr>
        <w:t>三公”经费支出决算情况说明</w:t>
      </w:r>
      <w:bookmarkEnd w:id="53"/>
      <w:bookmarkEnd w:id="54"/>
      <w:bookmarkEnd w:id="55"/>
    </w:p>
    <w:p w14:paraId="37F284B7">
      <w:pPr>
        <w:spacing w:line="600" w:lineRule="exact"/>
        <w:ind w:firstLine="640"/>
        <w:jc w:val="both"/>
        <w:outlineLvl w:val="2"/>
        <w:rPr>
          <w:rFonts w:ascii="仿宋" w:hAnsi="仿宋" w:eastAsia="仿宋"/>
          <w:b/>
          <w:color w:val="auto"/>
          <w:sz w:val="32"/>
          <w:szCs w:val="32"/>
          <w:highlight w:val="none"/>
        </w:rPr>
      </w:pPr>
      <w:bookmarkStart w:id="56" w:name="_Toc15377216"/>
      <w:r>
        <w:rPr>
          <w:rFonts w:hint="eastAsia" w:ascii="仿宋" w:hAnsi="仿宋" w:eastAsia="仿宋"/>
          <w:b/>
          <w:color w:val="auto"/>
          <w:sz w:val="32"/>
          <w:szCs w:val="32"/>
          <w:highlight w:val="none"/>
        </w:rPr>
        <w:t>（一）“三公”经费财政拨款支出决算总体情况说明</w:t>
      </w:r>
      <w:bookmarkEnd w:id="56"/>
    </w:p>
    <w:p w14:paraId="5AF96F93">
      <w:pPr>
        <w:spacing w:line="600" w:lineRule="exact"/>
        <w:ind w:firstLine="640"/>
        <w:jc w:val="both"/>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5.43</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减少0.62万元，下降10.25%。</w:t>
      </w:r>
      <w:r>
        <w:rPr>
          <w:rFonts w:hint="eastAsia" w:ascii="仿宋" w:hAnsi="仿宋" w:eastAsia="仿宋"/>
          <w:color w:val="auto"/>
          <w:sz w:val="32"/>
          <w:szCs w:val="32"/>
          <w:highlight w:val="none"/>
        </w:rPr>
        <w:t>决算数与预算数持平。</w:t>
      </w:r>
    </w:p>
    <w:p w14:paraId="613F3D6F">
      <w:pPr>
        <w:spacing w:line="600" w:lineRule="exact"/>
        <w:ind w:firstLine="640"/>
        <w:jc w:val="both"/>
        <w:outlineLvl w:val="2"/>
        <w:rPr>
          <w:rFonts w:ascii="仿宋" w:hAnsi="仿宋" w:eastAsia="仿宋"/>
          <w:b/>
          <w:color w:val="auto"/>
          <w:sz w:val="32"/>
          <w:szCs w:val="32"/>
          <w:highlight w:val="none"/>
        </w:rPr>
      </w:pPr>
      <w:bookmarkStart w:id="57" w:name="_Toc15377217"/>
      <w:r>
        <w:rPr>
          <w:rFonts w:hint="eastAsia" w:ascii="仿宋" w:hAnsi="仿宋" w:eastAsia="仿宋"/>
          <w:b/>
          <w:color w:val="auto"/>
          <w:sz w:val="32"/>
          <w:szCs w:val="32"/>
          <w:highlight w:val="none"/>
        </w:rPr>
        <w:t>（二）“三公”经费财政拨款支出决算具体情况说明</w:t>
      </w:r>
      <w:bookmarkEnd w:id="57"/>
    </w:p>
    <w:p w14:paraId="6A43F2CB">
      <w:pPr>
        <w:spacing w:line="600" w:lineRule="exact"/>
        <w:ind w:firstLine="640"/>
        <w:jc w:val="both"/>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；公务用车购置及运行维护费支出决算3.</w:t>
      </w:r>
      <w:r>
        <w:rPr>
          <w:rFonts w:hint="eastAsia" w:ascii="仿宋" w:hAnsi="仿宋" w:eastAsia="仿宋"/>
          <w:color w:val="auto"/>
          <w:sz w:val="32"/>
          <w:szCs w:val="32"/>
          <w:highlight w:val="none"/>
          <w:lang w:val="en-US" w:eastAsia="zh-CN"/>
        </w:rPr>
        <w:t>91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72.01</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1.52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27.99</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55EEA6C3">
      <w:pPr>
        <w:spacing w:line="600" w:lineRule="exact"/>
        <w:ind w:firstLine="640"/>
        <w:jc w:val="both"/>
        <w:rPr>
          <w:rFonts w:eastAsia="仿宋"/>
          <w:color w:val="auto"/>
          <w:sz w:val="32"/>
          <w:szCs w:val="32"/>
          <w:highlight w:val="none"/>
        </w:rPr>
      </w:pPr>
      <w:r>
        <w:rPr>
          <w:rFonts w:eastAsia="仿宋"/>
          <w:color w:val="auto"/>
          <w:sz w:val="32"/>
          <w:szCs w:val="32"/>
          <w:highlight w:val="none"/>
        </w:rPr>
        <w:t>图</w:t>
      </w:r>
      <w:r>
        <w:rPr>
          <w:rFonts w:hint="eastAsia" w:eastAsia="仿宋"/>
          <w:color w:val="auto"/>
          <w:sz w:val="32"/>
          <w:szCs w:val="32"/>
          <w:highlight w:val="none"/>
          <w:lang w:val="en-US" w:eastAsia="zh-CN"/>
        </w:rPr>
        <w:t>7</w:t>
      </w:r>
      <w:r>
        <w:rPr>
          <w:rFonts w:eastAsia="仿宋"/>
          <w:color w:val="auto"/>
          <w:sz w:val="32"/>
          <w:szCs w:val="32"/>
          <w:highlight w:val="none"/>
        </w:rPr>
        <w:t>：</w:t>
      </w:r>
    </w:p>
    <w:p w14:paraId="08A23B37">
      <w:pPr>
        <w:spacing w:line="600" w:lineRule="exact"/>
        <w:ind w:firstLine="640"/>
        <w:jc w:val="both"/>
        <w:rPr>
          <w:rFonts w:ascii="仿宋" w:hAnsi="仿宋" w:eastAsia="仿宋"/>
          <w:color w:val="auto"/>
          <w:sz w:val="32"/>
          <w:szCs w:val="32"/>
          <w:highlight w:val="none"/>
        </w:rPr>
      </w:pPr>
      <w:r>
        <w:rPr>
          <w:rFonts w:eastAsia="仿宋"/>
          <w:color w:val="auto"/>
          <w:sz w:val="32"/>
          <w:szCs w:val="32"/>
          <w:highlight w:val="none"/>
        </w:rPr>
        <w:drawing>
          <wp:anchor distT="0" distB="0" distL="114300" distR="114300" simplePos="0" relativeHeight="251665408" behindDoc="0" locked="0" layoutInCell="1" allowOverlap="1">
            <wp:simplePos x="0" y="0"/>
            <wp:positionH relativeFrom="column">
              <wp:posOffset>-4445</wp:posOffset>
            </wp:positionH>
            <wp:positionV relativeFrom="paragraph">
              <wp:posOffset>168910</wp:posOffset>
            </wp:positionV>
            <wp:extent cx="5157470" cy="2304415"/>
            <wp:effectExtent l="5080" t="4445" r="19050" b="15240"/>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612E99F">
      <w:pPr>
        <w:spacing w:line="600" w:lineRule="exact"/>
        <w:ind w:firstLine="640"/>
        <w:jc w:val="both"/>
        <w:rPr>
          <w:rFonts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2"/>
          <w:rFonts w:hint="eastAsia" w:ascii="仿宋" w:hAnsi="仿宋" w:eastAsia="仿宋"/>
          <w:b w:val="0"/>
          <w:bCs/>
          <w:color w:val="auto"/>
          <w:sz w:val="32"/>
          <w:szCs w:val="32"/>
          <w:highlight w:val="none"/>
        </w:rPr>
        <w:t>完成预算</w:t>
      </w:r>
      <w:r>
        <w:rPr>
          <w:rStyle w:val="22"/>
          <w:rFonts w:hint="eastAsia" w:ascii="仿宋" w:hAnsi="仿宋" w:eastAsia="仿宋"/>
          <w:b w:val="0"/>
          <w:bCs/>
          <w:color w:val="auto"/>
          <w:sz w:val="32"/>
          <w:szCs w:val="32"/>
          <w:highlight w:val="none"/>
          <w:lang w:val="en-US" w:eastAsia="zh-CN"/>
        </w:rPr>
        <w:t>0</w:t>
      </w:r>
      <w:r>
        <w:rPr>
          <w:rStyle w:val="22"/>
          <w:rFonts w:ascii="仿宋" w:hAnsi="仿宋" w:eastAsia="仿宋"/>
          <w:b w:val="0"/>
          <w:bCs/>
          <w:color w:val="auto"/>
          <w:sz w:val="32"/>
          <w:szCs w:val="32"/>
          <w:highlight w:val="none"/>
        </w:rPr>
        <w:t>%</w:t>
      </w:r>
      <w:r>
        <w:rPr>
          <w:rStyle w:val="22"/>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w:t>
      </w:r>
      <w:r>
        <w:rPr>
          <w:rFonts w:hint="eastAsia" w:ascii="仿宋_GB2312" w:eastAsia="仿宋_GB2312"/>
          <w:color w:val="auto"/>
          <w:sz w:val="32"/>
          <w:szCs w:val="32"/>
          <w:highlight w:val="none"/>
          <w:lang w:eastAsia="zh-CN"/>
        </w:rPr>
        <w:t>较2022年持平</w:t>
      </w:r>
      <w:r>
        <w:rPr>
          <w:rFonts w:hint="eastAsia" w:ascii="仿宋_GB2312" w:eastAsia="仿宋_GB2312"/>
          <w:color w:val="auto"/>
          <w:sz w:val="32"/>
          <w:szCs w:val="32"/>
          <w:highlight w:val="none"/>
        </w:rPr>
        <w:t>。</w:t>
      </w:r>
    </w:p>
    <w:p w14:paraId="5DFD7AE9">
      <w:pPr>
        <w:spacing w:line="600" w:lineRule="exact"/>
        <w:ind w:firstLine="640"/>
        <w:jc w:val="both"/>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3.91</w:t>
      </w:r>
      <w:r>
        <w:rPr>
          <w:rFonts w:hint="eastAsia" w:ascii="仿宋_GB2312" w:eastAsia="仿宋_GB2312"/>
          <w:color w:val="auto"/>
          <w:sz w:val="32"/>
          <w:szCs w:val="32"/>
          <w:highlight w:val="none"/>
        </w:rPr>
        <w:t>万元,</w:t>
      </w:r>
      <w:r>
        <w:rPr>
          <w:rStyle w:val="22"/>
          <w:rFonts w:hint="eastAsia" w:ascii="仿宋" w:hAnsi="仿宋" w:eastAsia="仿宋"/>
          <w:b w:val="0"/>
          <w:bCs/>
          <w:color w:val="auto"/>
          <w:sz w:val="32"/>
          <w:szCs w:val="32"/>
          <w:highlight w:val="none"/>
        </w:rPr>
        <w:t>完成预算</w:t>
      </w:r>
      <w:r>
        <w:rPr>
          <w:rStyle w:val="22"/>
          <w:rFonts w:hint="eastAsia" w:ascii="仿宋" w:hAnsi="仿宋" w:eastAsia="仿宋"/>
          <w:b w:val="0"/>
          <w:bCs/>
          <w:color w:val="auto"/>
          <w:sz w:val="32"/>
          <w:szCs w:val="32"/>
          <w:highlight w:val="none"/>
          <w:lang w:val="en-US" w:eastAsia="zh-CN"/>
        </w:rPr>
        <w:t>100</w:t>
      </w:r>
      <w:r>
        <w:rPr>
          <w:rStyle w:val="22"/>
          <w:rFonts w:ascii="仿宋" w:hAnsi="仿宋" w:eastAsia="仿宋"/>
          <w:b w:val="0"/>
          <w:bCs/>
          <w:color w:val="auto"/>
          <w:sz w:val="32"/>
          <w:szCs w:val="32"/>
          <w:highlight w:val="none"/>
        </w:rPr>
        <w:t>%</w:t>
      </w:r>
      <w:r>
        <w:rPr>
          <w:rStyle w:val="22"/>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hint="eastAsia" w:ascii="仿宋_GB2312" w:eastAsia="仿宋_GB2312"/>
          <w:color w:val="auto"/>
          <w:sz w:val="32"/>
          <w:szCs w:val="32"/>
          <w:highlight w:val="none"/>
          <w:lang w:eastAsia="zh-CN"/>
        </w:rPr>
        <w:t>2022年</w:t>
      </w:r>
      <w:r>
        <w:rPr>
          <w:rFonts w:hint="eastAsia" w:ascii="仿宋_GB2312" w:eastAsia="仿宋_GB2312"/>
          <w:color w:val="auto"/>
          <w:sz w:val="32"/>
          <w:szCs w:val="32"/>
          <w:highlight w:val="none"/>
        </w:rPr>
        <w:t>增加</w:t>
      </w:r>
      <w:r>
        <w:rPr>
          <w:rFonts w:hint="eastAsia" w:ascii="仿宋_GB2312" w:eastAsia="仿宋_GB2312"/>
          <w:color w:val="auto"/>
          <w:sz w:val="32"/>
          <w:szCs w:val="32"/>
          <w:highlight w:val="none"/>
          <w:lang w:val="en-US" w:eastAsia="zh-CN"/>
        </w:rPr>
        <w:t>0.02</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0.51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eastAsia="仿宋_GB2312"/>
          <w:color w:val="auto"/>
          <w:sz w:val="32"/>
          <w:szCs w:val="32"/>
          <w:highlight w:val="none"/>
          <w:lang w:val="en-US" w:eastAsia="zh-CN"/>
        </w:rPr>
        <w:t>2023年</w:t>
      </w:r>
      <w:r>
        <w:rPr>
          <w:rFonts w:eastAsia="仿宋_GB2312"/>
          <w:color w:val="auto"/>
          <w:sz w:val="32"/>
          <w:szCs w:val="32"/>
          <w:highlight w:val="none"/>
        </w:rPr>
        <w:t>公务用车燃料费、维修费、过路过桥费等支出</w:t>
      </w:r>
      <w:r>
        <w:rPr>
          <w:rFonts w:hint="eastAsia" w:eastAsia="仿宋_GB2312"/>
          <w:color w:val="auto"/>
          <w:sz w:val="32"/>
          <w:szCs w:val="32"/>
          <w:highlight w:val="none"/>
          <w:lang w:eastAsia="zh-CN"/>
        </w:rPr>
        <w:t>增加</w:t>
      </w:r>
      <w:r>
        <w:rPr>
          <w:rFonts w:hint="eastAsia" w:ascii="仿宋_GB2312" w:eastAsia="仿宋_GB2312"/>
          <w:color w:val="auto"/>
          <w:sz w:val="32"/>
          <w:szCs w:val="32"/>
          <w:highlight w:val="none"/>
        </w:rPr>
        <w:t>。</w:t>
      </w:r>
    </w:p>
    <w:p w14:paraId="27A0CDC2">
      <w:pPr>
        <w:spacing w:line="600" w:lineRule="exact"/>
        <w:ind w:firstLine="640" w:firstLineChars="200"/>
        <w:jc w:val="both"/>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hint="eastAsia" w:ascii="仿宋_GB2312" w:eastAsia="仿宋_GB2312"/>
          <w:color w:val="auto"/>
          <w:sz w:val="32"/>
          <w:szCs w:val="32"/>
          <w:highlight w:val="none"/>
          <w:lang w:eastAsia="zh-CN"/>
        </w:rPr>
        <w:t>2023年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0731A835">
      <w:pPr>
        <w:spacing w:line="600" w:lineRule="exact"/>
        <w:ind w:firstLine="640"/>
        <w:jc w:val="both"/>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3.91</w:t>
      </w:r>
      <w:r>
        <w:rPr>
          <w:rFonts w:hint="eastAsia" w:ascii="仿宋_GB2312" w:eastAsia="仿宋_GB2312"/>
          <w:color w:val="auto"/>
          <w:sz w:val="32"/>
          <w:szCs w:val="32"/>
          <w:highlight w:val="none"/>
        </w:rPr>
        <w:t>万元。主要用于</w:t>
      </w:r>
      <w:r>
        <w:rPr>
          <w:rFonts w:eastAsia="仿宋_GB2312"/>
          <w:color w:val="auto"/>
          <w:sz w:val="32"/>
          <w:szCs w:val="32"/>
          <w:highlight w:val="none"/>
        </w:rPr>
        <w:t>保障政协机关会议召开、举办培训、调查研究、委员视察等履行政协政治协商、民主监督、参政议政等所需的公务用车燃料费、维修费、过路过桥费、保险费等支出</w:t>
      </w:r>
      <w:r>
        <w:rPr>
          <w:rFonts w:hint="eastAsia" w:ascii="仿宋_GB2312" w:eastAsia="仿宋_GB2312"/>
          <w:color w:val="auto"/>
          <w:sz w:val="32"/>
          <w:szCs w:val="32"/>
          <w:highlight w:val="none"/>
        </w:rPr>
        <w:t>。</w:t>
      </w:r>
    </w:p>
    <w:p w14:paraId="2FFE8DAD">
      <w:pPr>
        <w:spacing w:line="600" w:lineRule="exact"/>
        <w:ind w:firstLine="640"/>
        <w:jc w:val="both"/>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1.52</w:t>
      </w:r>
      <w:r>
        <w:rPr>
          <w:rFonts w:hint="eastAsia" w:ascii="仿宋_GB2312" w:eastAsia="仿宋_GB2312"/>
          <w:color w:val="auto"/>
          <w:sz w:val="32"/>
          <w:szCs w:val="32"/>
          <w:highlight w:val="none"/>
        </w:rPr>
        <w:t>万元，</w:t>
      </w:r>
      <w:r>
        <w:rPr>
          <w:rStyle w:val="22"/>
          <w:rFonts w:hint="eastAsia" w:ascii="仿宋" w:hAnsi="仿宋" w:eastAsia="仿宋"/>
          <w:b w:val="0"/>
          <w:bCs/>
          <w:color w:val="auto"/>
          <w:sz w:val="32"/>
          <w:szCs w:val="32"/>
          <w:highlight w:val="none"/>
        </w:rPr>
        <w:t>完成预算</w:t>
      </w:r>
      <w:r>
        <w:rPr>
          <w:rStyle w:val="22"/>
          <w:rFonts w:hint="eastAsia" w:ascii="仿宋" w:hAnsi="仿宋" w:eastAsia="仿宋"/>
          <w:b w:val="0"/>
          <w:bCs/>
          <w:color w:val="auto"/>
          <w:sz w:val="32"/>
          <w:szCs w:val="32"/>
          <w:highlight w:val="none"/>
          <w:lang w:val="en-US" w:eastAsia="zh-CN"/>
        </w:rPr>
        <w:t>100</w:t>
      </w:r>
      <w:r>
        <w:rPr>
          <w:rStyle w:val="22"/>
          <w:rFonts w:ascii="仿宋" w:hAnsi="仿宋" w:eastAsia="仿宋"/>
          <w:b w:val="0"/>
          <w:bCs/>
          <w:color w:val="auto"/>
          <w:sz w:val="32"/>
          <w:szCs w:val="32"/>
          <w:highlight w:val="none"/>
        </w:rPr>
        <w:t>%</w:t>
      </w:r>
      <w:r>
        <w:rPr>
          <w:rStyle w:val="22"/>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hint="eastAsia" w:ascii="仿宋_GB2312" w:eastAsia="仿宋_GB2312"/>
          <w:color w:val="auto"/>
          <w:sz w:val="32"/>
          <w:szCs w:val="32"/>
          <w:highlight w:val="none"/>
          <w:lang w:eastAsia="zh-CN"/>
        </w:rPr>
        <w:t>2022年</w:t>
      </w:r>
      <w:r>
        <w:rPr>
          <w:rFonts w:hint="eastAsia" w:ascii="仿宋_GB2312" w:eastAsia="仿宋_GB2312"/>
          <w:color w:val="auto"/>
          <w:sz w:val="32"/>
          <w:szCs w:val="32"/>
          <w:highlight w:val="none"/>
        </w:rPr>
        <w:t>减少</w:t>
      </w:r>
      <w:r>
        <w:rPr>
          <w:rFonts w:hint="eastAsia" w:ascii="仿宋_GB2312" w:eastAsia="仿宋_GB2312"/>
          <w:color w:val="auto"/>
          <w:sz w:val="32"/>
          <w:szCs w:val="32"/>
          <w:highlight w:val="none"/>
          <w:lang w:val="en-US" w:eastAsia="zh-CN"/>
        </w:rPr>
        <w:t>0.64</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29.63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2023年公务接待次数减少，单位厉行节约</w:t>
      </w:r>
      <w:r>
        <w:rPr>
          <w:rFonts w:hint="eastAsia" w:ascii="仿宋_GB2312" w:eastAsia="仿宋_GB2312"/>
          <w:color w:val="auto"/>
          <w:sz w:val="32"/>
          <w:szCs w:val="32"/>
          <w:highlight w:val="none"/>
        </w:rPr>
        <w:t>。其中：</w:t>
      </w:r>
    </w:p>
    <w:p w14:paraId="44B26DD5">
      <w:pPr>
        <w:spacing w:line="600" w:lineRule="exact"/>
        <w:ind w:firstLine="640"/>
        <w:jc w:val="both"/>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_GB2312" w:eastAsia="仿宋_GB2312"/>
          <w:color w:val="auto"/>
          <w:sz w:val="32"/>
          <w:szCs w:val="32"/>
          <w:highlight w:val="none"/>
          <w:lang w:val="en-US" w:eastAsia="zh-CN"/>
        </w:rPr>
        <w:t>1.52</w:t>
      </w:r>
      <w:r>
        <w:rPr>
          <w:rFonts w:hint="eastAsia" w:ascii="仿宋_GB2312" w:eastAsia="仿宋_GB2312"/>
          <w:color w:val="auto"/>
          <w:sz w:val="32"/>
          <w:szCs w:val="32"/>
          <w:highlight w:val="none"/>
        </w:rPr>
        <w:t>万元，主要用于执行公务、开展业务活动开支的交通费、住宿费、用餐费等。国内公务接待</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168</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1.52</w:t>
      </w:r>
      <w:r>
        <w:rPr>
          <w:rFonts w:hint="eastAsia" w:ascii="仿宋_GB2312" w:eastAsia="仿宋_GB2312"/>
          <w:color w:val="auto"/>
          <w:sz w:val="32"/>
          <w:szCs w:val="32"/>
          <w:highlight w:val="none"/>
        </w:rPr>
        <w:t>万元，具体内容包括：接待六盘水市钟山区政协来船考察学习工作餐费</w:t>
      </w:r>
      <w:r>
        <w:rPr>
          <w:rFonts w:hint="eastAsia" w:ascii="仿宋_GB2312" w:eastAsia="仿宋_GB2312"/>
          <w:color w:val="auto"/>
          <w:sz w:val="32"/>
          <w:szCs w:val="32"/>
          <w:highlight w:val="none"/>
          <w:lang w:val="en-US" w:eastAsia="zh-CN"/>
        </w:rPr>
        <w:t>0.18万元、接待安岳县赴船学习考察餐费0.22万元、接待达州市达川区政协考察餐费0.18万元、接待雅安市雨城区政协用餐费用0.17万元、接待三台县政协考察学习餐费0.16万元、接待人民政协报四川记者站采访工作餐费0.12万元、接待九寨沟县政协考察学习餐费0.17万元、接待仪陇县政协交流学习工作餐费0.16万元、接待宝兴县政协考察学习工作餐费0.16万元</w:t>
      </w:r>
      <w:r>
        <w:rPr>
          <w:rFonts w:hint="eastAsia" w:ascii="仿宋_GB2312" w:eastAsia="仿宋_GB2312"/>
          <w:color w:val="auto"/>
          <w:sz w:val="32"/>
          <w:szCs w:val="32"/>
          <w:highlight w:val="none"/>
        </w:rPr>
        <w:t>。</w:t>
      </w:r>
    </w:p>
    <w:p w14:paraId="5C5EBB32">
      <w:pPr>
        <w:spacing w:line="600" w:lineRule="exact"/>
        <w:ind w:firstLine="643" w:firstLineChars="200"/>
        <w:jc w:val="both"/>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r>
        <w:rPr>
          <w:rFonts w:hint="eastAsia" w:ascii="仿宋_GB2312" w:eastAsia="仿宋_GB2312"/>
          <w:color w:val="auto"/>
          <w:sz w:val="32"/>
          <w:szCs w:val="32"/>
          <w:highlight w:val="none"/>
          <w:lang w:eastAsia="zh-CN"/>
        </w:rPr>
        <w:t>次（不包括陪同人员）</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bookmarkStart w:id="58" w:name="_Toc15377218"/>
      <w:bookmarkStart w:id="59" w:name="_Toc15396610"/>
    </w:p>
    <w:p w14:paraId="6A4BB05C">
      <w:pPr>
        <w:spacing w:line="600" w:lineRule="exact"/>
        <w:ind w:firstLine="640"/>
        <w:jc w:val="both"/>
        <w:outlineLvl w:val="1"/>
        <w:rPr>
          <w:rStyle w:val="36"/>
          <w:rFonts w:ascii="黑体" w:hAnsi="黑体" w:eastAsia="黑体"/>
          <w:color w:val="auto"/>
          <w:highlight w:val="none"/>
        </w:rPr>
      </w:pPr>
      <w:bookmarkStart w:id="60" w:name="_Toc28728"/>
      <w:r>
        <w:rPr>
          <w:rFonts w:hint="eastAsia" w:ascii="黑体" w:eastAsia="黑体"/>
          <w:color w:val="auto"/>
          <w:sz w:val="32"/>
          <w:szCs w:val="32"/>
          <w:highlight w:val="none"/>
        </w:rPr>
        <w:t>八、</w:t>
      </w:r>
      <w:r>
        <w:rPr>
          <w:rStyle w:val="36"/>
          <w:rFonts w:hint="eastAsia" w:ascii="黑体" w:hAnsi="黑体" w:eastAsia="黑体"/>
          <w:b w:val="0"/>
          <w:color w:val="auto"/>
          <w:highlight w:val="none"/>
        </w:rPr>
        <w:t>政府性基金预算支出决算情况说明</w:t>
      </w:r>
      <w:bookmarkEnd w:id="58"/>
      <w:bookmarkEnd w:id="59"/>
      <w:bookmarkEnd w:id="60"/>
    </w:p>
    <w:p w14:paraId="4686C2C0">
      <w:pPr>
        <w:spacing w:line="600" w:lineRule="exact"/>
        <w:ind w:firstLine="640"/>
        <w:jc w:val="both"/>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2023年</w:t>
      </w:r>
      <w:r>
        <w:rPr>
          <w:rFonts w:hint="eastAsia" w:ascii="仿宋_GB2312" w:eastAsia="仿宋_GB2312"/>
          <w:color w:val="auto"/>
          <w:sz w:val="32"/>
          <w:szCs w:val="32"/>
          <w:highlight w:val="none"/>
        </w:rPr>
        <w:t>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D988FAF">
      <w:pPr>
        <w:numPr>
          <w:ilvl w:val="0"/>
          <w:numId w:val="2"/>
        </w:numPr>
        <w:spacing w:line="600" w:lineRule="exact"/>
        <w:ind w:firstLine="640"/>
        <w:jc w:val="both"/>
        <w:outlineLvl w:val="1"/>
        <w:rPr>
          <w:rStyle w:val="36"/>
          <w:rFonts w:ascii="黑体" w:hAnsi="黑体" w:eastAsia="黑体"/>
          <w:b w:val="0"/>
          <w:color w:val="auto"/>
          <w:highlight w:val="none"/>
        </w:rPr>
      </w:pPr>
      <w:bookmarkStart w:id="61" w:name="_Toc18858"/>
      <w:bookmarkStart w:id="62" w:name="_Toc15377219"/>
      <w:bookmarkStart w:id="63" w:name="_Toc15396611"/>
      <w:r>
        <w:rPr>
          <w:rStyle w:val="36"/>
          <w:rFonts w:hint="eastAsia" w:ascii="黑体" w:hAnsi="黑体" w:eastAsia="黑体"/>
          <w:b w:val="0"/>
          <w:color w:val="auto"/>
          <w:highlight w:val="none"/>
        </w:rPr>
        <w:t>国有资本经营预算支出决算情况说明</w:t>
      </w:r>
      <w:bookmarkEnd w:id="61"/>
      <w:bookmarkEnd w:id="62"/>
      <w:bookmarkEnd w:id="63"/>
    </w:p>
    <w:p w14:paraId="71B0DA7A">
      <w:pPr>
        <w:spacing w:line="600" w:lineRule="exact"/>
        <w:ind w:firstLine="640"/>
        <w:jc w:val="both"/>
        <w:rPr>
          <w:rFonts w:ascii="方正小标宋简体" w:hAnsi="方正小标宋简体" w:eastAsia="方正小标宋简体" w:cs="方正小标宋简体"/>
          <w:color w:val="auto"/>
          <w:sz w:val="44"/>
          <w:szCs w:val="44"/>
          <w:highlight w:val="none"/>
        </w:rPr>
      </w:pPr>
      <w:r>
        <w:rPr>
          <w:rFonts w:hint="eastAsia" w:ascii="仿宋_GB2312" w:eastAsia="仿宋_GB2312"/>
          <w:color w:val="auto"/>
          <w:sz w:val="32"/>
          <w:szCs w:val="32"/>
          <w:highlight w:val="none"/>
          <w:lang w:eastAsia="zh-CN"/>
        </w:rPr>
        <w:t>2023年</w:t>
      </w:r>
      <w:r>
        <w:rPr>
          <w:rFonts w:hint="eastAsia" w:ascii="仿宋_GB2312" w:eastAsia="仿宋_GB2312"/>
          <w:color w:val="auto"/>
          <w:sz w:val="32"/>
          <w:szCs w:val="32"/>
          <w:highlight w:val="none"/>
        </w:rPr>
        <w:t>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7126DCB9">
      <w:pPr>
        <w:numPr>
          <w:ilvl w:val="0"/>
          <w:numId w:val="2"/>
        </w:numPr>
        <w:spacing w:line="600" w:lineRule="exact"/>
        <w:ind w:firstLine="640"/>
        <w:jc w:val="both"/>
        <w:outlineLvl w:val="1"/>
        <w:rPr>
          <w:rStyle w:val="36"/>
          <w:rFonts w:hint="eastAsia" w:ascii="黑体" w:hAnsi="黑体" w:eastAsia="黑体"/>
          <w:b w:val="0"/>
          <w:color w:val="auto"/>
          <w:highlight w:val="none"/>
        </w:rPr>
      </w:pPr>
      <w:bookmarkStart w:id="64" w:name="_Toc15396612"/>
      <w:bookmarkStart w:id="65" w:name="_Toc18385"/>
      <w:bookmarkStart w:id="66" w:name="_Toc15377221"/>
      <w:r>
        <w:rPr>
          <w:rStyle w:val="36"/>
          <w:rFonts w:hint="eastAsia" w:ascii="黑体" w:hAnsi="黑体" w:eastAsia="黑体"/>
          <w:b w:val="0"/>
          <w:color w:val="auto"/>
          <w:highlight w:val="none"/>
        </w:rPr>
        <w:t>其他重要事项的情况说明</w:t>
      </w:r>
      <w:bookmarkEnd w:id="64"/>
      <w:bookmarkEnd w:id="65"/>
      <w:bookmarkEnd w:id="66"/>
    </w:p>
    <w:p w14:paraId="0CDCFCD8">
      <w:pPr>
        <w:spacing w:line="600" w:lineRule="exact"/>
        <w:ind w:firstLine="643" w:firstLineChars="200"/>
        <w:jc w:val="both"/>
        <w:outlineLvl w:val="2"/>
        <w:rPr>
          <w:rFonts w:ascii="仿宋" w:hAnsi="仿宋" w:eastAsia="仿宋"/>
          <w:color w:val="auto"/>
          <w:sz w:val="32"/>
          <w:szCs w:val="32"/>
          <w:highlight w:val="none"/>
        </w:rPr>
      </w:pPr>
      <w:bookmarkStart w:id="67" w:name="_Toc15377222"/>
      <w:r>
        <w:rPr>
          <w:rFonts w:hint="eastAsia" w:ascii="仿宋" w:hAnsi="仿宋" w:eastAsia="仿宋"/>
          <w:b/>
          <w:color w:val="auto"/>
          <w:sz w:val="32"/>
          <w:szCs w:val="32"/>
          <w:highlight w:val="none"/>
        </w:rPr>
        <w:t>（一）机关运行经费支出情况</w:t>
      </w:r>
      <w:bookmarkEnd w:id="67"/>
    </w:p>
    <w:p w14:paraId="76C0C5BE">
      <w:pPr>
        <w:spacing w:line="600" w:lineRule="exact"/>
        <w:ind w:firstLine="640" w:firstLineChars="200"/>
        <w:jc w:val="both"/>
        <w:rPr>
          <w:rFonts w:ascii="仿宋" w:hAnsi="仿宋" w:eastAsia="仿宋"/>
          <w:b/>
          <w:color w:val="auto"/>
          <w:sz w:val="32"/>
          <w:szCs w:val="32"/>
          <w:highlight w:val="none"/>
        </w:rPr>
      </w:pPr>
      <w:r>
        <w:rPr>
          <w:rFonts w:hint="eastAsia" w:ascii="仿宋_GB2312" w:eastAsia="仿宋_GB2312"/>
          <w:color w:val="auto"/>
          <w:sz w:val="32"/>
          <w:szCs w:val="32"/>
          <w:highlight w:val="none"/>
          <w:lang w:eastAsia="zh-CN"/>
        </w:rPr>
        <w:t>2023年</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区政协</w:t>
      </w:r>
      <w:r>
        <w:rPr>
          <w:rFonts w:hint="eastAsia" w:ascii="仿宋_GB2312" w:eastAsia="仿宋_GB2312"/>
          <w:color w:val="auto"/>
          <w:sz w:val="32"/>
          <w:szCs w:val="32"/>
          <w:highlight w:val="none"/>
        </w:rPr>
        <w:t>机关运行经费支出132.84万元，比</w:t>
      </w:r>
      <w:r>
        <w:rPr>
          <w:rFonts w:hint="eastAsia" w:ascii="仿宋_GB2312" w:eastAsia="仿宋_GB2312"/>
          <w:color w:val="auto"/>
          <w:sz w:val="32"/>
          <w:szCs w:val="32"/>
          <w:highlight w:val="none"/>
          <w:lang w:eastAsia="zh-CN"/>
        </w:rPr>
        <w:t>2022年增加</w:t>
      </w:r>
      <w:r>
        <w:rPr>
          <w:rFonts w:hint="eastAsia" w:ascii="仿宋_GB2312" w:eastAsia="仿宋_GB2312"/>
          <w:color w:val="auto"/>
          <w:sz w:val="32"/>
          <w:szCs w:val="32"/>
          <w:highlight w:val="none"/>
          <w:lang w:val="en-US" w:eastAsia="zh-CN"/>
        </w:rPr>
        <w:t>10.33</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增长</w:t>
      </w:r>
      <w:r>
        <w:rPr>
          <w:rFonts w:hint="eastAsia" w:ascii="仿宋_GB2312" w:eastAsia="仿宋_GB2312"/>
          <w:color w:val="auto"/>
          <w:sz w:val="32"/>
          <w:szCs w:val="32"/>
          <w:highlight w:val="none"/>
          <w:lang w:val="en-US" w:eastAsia="zh-CN"/>
        </w:rPr>
        <w:t>7.78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2023年较上年度</w:t>
      </w:r>
      <w:r>
        <w:rPr>
          <w:rFonts w:hint="eastAsia" w:ascii="仿宋_GB2312" w:eastAsia="仿宋_GB2312"/>
          <w:color w:val="auto"/>
          <w:sz w:val="32"/>
          <w:szCs w:val="32"/>
          <w:highlight w:val="none"/>
        </w:rPr>
        <w:t>日常办公事项增加</w:t>
      </w:r>
      <w:r>
        <w:rPr>
          <w:rFonts w:hint="eastAsia" w:ascii="仿宋_GB2312" w:eastAsia="仿宋_GB2312"/>
          <w:color w:val="auto"/>
          <w:sz w:val="32"/>
          <w:szCs w:val="32"/>
          <w:highlight w:val="none"/>
          <w:lang w:eastAsia="zh-CN"/>
        </w:rPr>
        <w:t>。</w:t>
      </w:r>
    </w:p>
    <w:p w14:paraId="6CFFD542">
      <w:pPr>
        <w:autoSpaceDE w:val="0"/>
        <w:autoSpaceDN w:val="0"/>
        <w:adjustRightInd w:val="0"/>
        <w:spacing w:line="600" w:lineRule="exact"/>
        <w:ind w:firstLine="643" w:firstLineChars="200"/>
        <w:jc w:val="both"/>
        <w:outlineLvl w:val="2"/>
        <w:rPr>
          <w:rFonts w:ascii="仿宋" w:hAnsi="仿宋" w:eastAsia="仿宋"/>
          <w:b/>
          <w:color w:val="auto"/>
          <w:sz w:val="32"/>
          <w:szCs w:val="32"/>
          <w:highlight w:val="none"/>
        </w:rPr>
      </w:pPr>
      <w:bookmarkStart w:id="68" w:name="_Toc15377223"/>
      <w:r>
        <w:rPr>
          <w:rFonts w:hint="eastAsia" w:ascii="仿宋" w:hAnsi="仿宋" w:eastAsia="仿宋"/>
          <w:b/>
          <w:color w:val="auto"/>
          <w:sz w:val="32"/>
          <w:szCs w:val="32"/>
          <w:highlight w:val="none"/>
        </w:rPr>
        <w:t>（二）政府采购支出情况</w:t>
      </w:r>
      <w:bookmarkEnd w:id="68"/>
    </w:p>
    <w:p w14:paraId="637A230E">
      <w:pPr>
        <w:spacing w:line="600" w:lineRule="exact"/>
        <w:ind w:firstLine="640" w:firstLineChars="200"/>
        <w:jc w:val="both"/>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2023年</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区政协</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20A01424">
      <w:pPr>
        <w:autoSpaceDE w:val="0"/>
        <w:autoSpaceDN w:val="0"/>
        <w:adjustRightInd w:val="0"/>
        <w:spacing w:line="600" w:lineRule="exact"/>
        <w:ind w:firstLine="643" w:firstLineChars="200"/>
        <w:jc w:val="both"/>
        <w:outlineLvl w:val="2"/>
        <w:rPr>
          <w:rFonts w:ascii="仿宋" w:hAnsi="仿宋" w:eastAsia="仿宋"/>
          <w:b/>
          <w:color w:val="auto"/>
          <w:sz w:val="32"/>
          <w:szCs w:val="32"/>
          <w:highlight w:val="none"/>
        </w:rPr>
      </w:pPr>
      <w:bookmarkStart w:id="69" w:name="_Toc15377224"/>
      <w:r>
        <w:rPr>
          <w:rFonts w:hint="eastAsia" w:ascii="仿宋" w:hAnsi="仿宋" w:eastAsia="仿宋"/>
          <w:b/>
          <w:color w:val="auto"/>
          <w:sz w:val="32"/>
          <w:szCs w:val="32"/>
          <w:highlight w:val="none"/>
        </w:rPr>
        <w:t>（三）国有资产占有使用情况</w:t>
      </w:r>
      <w:bookmarkEnd w:id="69"/>
    </w:p>
    <w:p w14:paraId="504FC767">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2023年</w:t>
      </w:r>
      <w:r>
        <w:rPr>
          <w:rFonts w:hint="eastAsia" w:ascii="仿宋_GB2312" w:eastAsia="仿宋_GB2312"/>
          <w:color w:val="auto"/>
          <w:sz w:val="32"/>
          <w:szCs w:val="32"/>
          <w:highlight w:val="none"/>
        </w:rPr>
        <w:t>12月31日，</w:t>
      </w:r>
      <w:r>
        <w:rPr>
          <w:rFonts w:hint="eastAsia" w:ascii="仿宋_GB2312" w:eastAsia="仿宋_GB2312"/>
          <w:color w:val="auto"/>
          <w:sz w:val="32"/>
          <w:szCs w:val="32"/>
          <w:highlight w:val="none"/>
          <w:lang w:eastAsia="zh-CN"/>
        </w:rPr>
        <w:t>区政协</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单价100万元以上专用设备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144D7F16">
      <w:pPr>
        <w:autoSpaceDE w:val="0"/>
        <w:autoSpaceDN w:val="0"/>
        <w:adjustRightInd w:val="0"/>
        <w:spacing w:line="600" w:lineRule="exact"/>
        <w:ind w:firstLine="643" w:firstLineChars="200"/>
        <w:jc w:val="both"/>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065BDF76">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根据预算绩效管理要求，本部门在</w:t>
      </w:r>
      <w:r>
        <w:rPr>
          <w:rFonts w:hint="eastAsia" w:ascii="仿宋_GB2312" w:eastAsia="仿宋_GB2312"/>
          <w:color w:val="auto"/>
          <w:sz w:val="32"/>
          <w:szCs w:val="32"/>
          <w:highlight w:val="none"/>
          <w:lang w:val="en-US" w:eastAsia="zh-CN"/>
        </w:rPr>
        <w:t>2023年度</w:t>
      </w:r>
      <w:r>
        <w:rPr>
          <w:rFonts w:hint="eastAsia" w:ascii="仿宋_GB2312" w:eastAsia="仿宋_GB2312"/>
          <w:color w:val="auto"/>
          <w:sz w:val="32"/>
          <w:szCs w:val="32"/>
          <w:highlight w:val="none"/>
        </w:rPr>
        <w:t>预算编制阶段，组织对</w:t>
      </w:r>
      <w:r>
        <w:rPr>
          <w:rFonts w:hint="eastAsia" w:ascii="仿宋_GB2312" w:eastAsia="仿宋_GB2312"/>
          <w:color w:val="auto"/>
          <w:sz w:val="32"/>
          <w:szCs w:val="32"/>
          <w:highlight w:val="none"/>
          <w:lang w:val="en-US" w:eastAsia="zh-CN"/>
        </w:rPr>
        <w:t>会议费、政协工作</w:t>
      </w:r>
      <w:r>
        <w:rPr>
          <w:rFonts w:hint="eastAsia" w:ascii="仿宋_GB2312" w:eastAsia="仿宋_GB2312"/>
          <w:color w:val="auto"/>
          <w:sz w:val="32"/>
          <w:szCs w:val="32"/>
          <w:highlight w:val="none"/>
          <w:lang w:eastAsia="zh-CN"/>
        </w:rPr>
        <w:t>经费、信息化建设经费、文史资料经费、</w:t>
      </w:r>
      <w:r>
        <w:rPr>
          <w:rFonts w:hint="eastAsia" w:ascii="仿宋_GB2312" w:eastAsia="仿宋_GB2312"/>
          <w:color w:val="auto"/>
          <w:sz w:val="32"/>
          <w:szCs w:val="32"/>
          <w:highlight w:val="none"/>
          <w:lang w:val="en-US" w:eastAsia="zh-CN"/>
        </w:rPr>
        <w:t>政协</w:t>
      </w:r>
      <w:r>
        <w:rPr>
          <w:rFonts w:hint="eastAsia" w:ascii="仿宋_GB2312" w:eastAsia="仿宋_GB2312"/>
          <w:color w:val="auto"/>
          <w:sz w:val="32"/>
          <w:szCs w:val="32"/>
          <w:highlight w:val="none"/>
          <w:lang w:eastAsia="zh-CN"/>
        </w:rPr>
        <w:t>委员活动经费、</w:t>
      </w:r>
      <w:r>
        <w:rPr>
          <w:rFonts w:hint="eastAsia" w:ascii="仿宋_GB2312" w:eastAsia="仿宋_GB2312"/>
          <w:color w:val="auto"/>
          <w:sz w:val="32"/>
          <w:szCs w:val="32"/>
          <w:highlight w:val="none"/>
          <w:lang w:val="en-US" w:eastAsia="zh-CN"/>
        </w:rPr>
        <w:t>政协委员培训</w:t>
      </w:r>
      <w:r>
        <w:rPr>
          <w:rFonts w:hint="eastAsia" w:ascii="仿宋_GB2312" w:eastAsia="仿宋_GB2312"/>
          <w:color w:val="auto"/>
          <w:sz w:val="32"/>
          <w:szCs w:val="32"/>
          <w:highlight w:val="none"/>
          <w:lang w:eastAsia="zh-CN"/>
        </w:rPr>
        <w:t>费、</w:t>
      </w:r>
      <w:r>
        <w:rPr>
          <w:rFonts w:hint="eastAsia" w:ascii="仿宋_GB2312" w:eastAsia="仿宋_GB2312"/>
          <w:color w:val="auto"/>
          <w:sz w:val="32"/>
          <w:szCs w:val="32"/>
          <w:highlight w:val="none"/>
          <w:lang w:val="en-US" w:eastAsia="zh-CN"/>
        </w:rPr>
        <w:t>办公设备购置</w:t>
      </w:r>
      <w:r>
        <w:rPr>
          <w:rFonts w:hint="eastAsia" w:ascii="仿宋_GB2312" w:eastAsia="仿宋_GB2312"/>
          <w:color w:val="auto"/>
          <w:sz w:val="32"/>
          <w:szCs w:val="32"/>
          <w:highlight w:val="none"/>
          <w:lang w:eastAsia="zh-CN"/>
        </w:rPr>
        <w:t>费、</w:t>
      </w:r>
      <w:r>
        <w:rPr>
          <w:rFonts w:hint="eastAsia" w:ascii="仿宋_GB2312" w:eastAsia="仿宋_GB2312"/>
          <w:color w:val="auto"/>
          <w:sz w:val="32"/>
          <w:szCs w:val="32"/>
          <w:highlight w:val="none"/>
          <w:lang w:val="en-US" w:eastAsia="zh-CN"/>
        </w:rPr>
        <w:t>基层政治协商工作指导经</w:t>
      </w:r>
      <w:r>
        <w:rPr>
          <w:rFonts w:hint="eastAsia" w:ascii="仿宋_GB2312" w:eastAsia="仿宋_GB2312"/>
          <w:color w:val="auto"/>
          <w:sz w:val="32"/>
          <w:szCs w:val="32"/>
          <w:highlight w:val="none"/>
          <w:lang w:eastAsia="zh-CN"/>
        </w:rPr>
        <w:t>费、</w:t>
      </w:r>
      <w:r>
        <w:rPr>
          <w:rFonts w:hint="eastAsia" w:ascii="仿宋_GB2312" w:eastAsia="仿宋_GB2312"/>
          <w:color w:val="auto"/>
          <w:sz w:val="32"/>
          <w:szCs w:val="32"/>
          <w:highlight w:val="none"/>
          <w:lang w:val="en-US" w:eastAsia="zh-CN"/>
        </w:rPr>
        <w:t>书香政协工作经费9个项目</w:t>
      </w:r>
      <w:r>
        <w:rPr>
          <w:rFonts w:hint="eastAsia" w:ascii="仿宋_GB2312" w:eastAsia="仿宋_GB2312"/>
          <w:color w:val="auto"/>
          <w:sz w:val="32"/>
          <w:szCs w:val="32"/>
          <w:highlight w:val="none"/>
        </w:rPr>
        <w:t>开展了预算事前绩效评估，对</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个项目编制了绩效目标，预算执行过程中，选取</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个项目开展绩效监控</w:t>
      </w:r>
      <w:r>
        <w:rPr>
          <w:rFonts w:hint="eastAsia" w:ascii="仿宋_GB2312" w:eastAsia="仿宋_GB2312"/>
          <w:color w:val="auto"/>
          <w:sz w:val="32"/>
          <w:szCs w:val="32"/>
          <w:highlight w:val="none"/>
          <w:lang w:eastAsia="zh-CN"/>
        </w:rPr>
        <w:t>。</w:t>
      </w:r>
    </w:p>
    <w:p w14:paraId="1DC76A9B">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outlineLvl w:val="9"/>
        <w:rPr>
          <w:rFonts w:ascii="方正小标宋简体" w:hAnsi="方正小标宋简体" w:eastAsia="方正小标宋简体" w:cs="方正小标宋简体"/>
          <w:color w:val="auto"/>
          <w:sz w:val="44"/>
          <w:szCs w:val="44"/>
          <w:highlight w:val="yellow"/>
        </w:rPr>
      </w:pPr>
      <w:r>
        <w:rPr>
          <w:rFonts w:hint="eastAsia" w:ascii="仿宋_GB2312" w:eastAsia="仿宋_GB2312"/>
          <w:color w:val="auto"/>
          <w:sz w:val="32"/>
          <w:szCs w:val="32"/>
          <w:highlight w:val="none"/>
          <w:lang w:eastAsia="zh-CN"/>
        </w:rPr>
        <w:t>组织</w:t>
      </w:r>
      <w:r>
        <w:rPr>
          <w:rFonts w:hint="eastAsia" w:ascii="仿宋_GB2312" w:eastAsia="仿宋_GB2312"/>
          <w:color w:val="auto"/>
          <w:sz w:val="32"/>
          <w:szCs w:val="32"/>
          <w:highlight w:val="none"/>
        </w:rPr>
        <w:t>对</w:t>
      </w:r>
      <w:r>
        <w:rPr>
          <w:rFonts w:hint="eastAsia" w:ascii="仿宋_GB2312" w:eastAsia="仿宋_GB2312"/>
          <w:color w:val="auto"/>
          <w:sz w:val="32"/>
          <w:szCs w:val="32"/>
          <w:highlight w:val="none"/>
          <w:lang w:val="en-US" w:eastAsia="zh-CN"/>
        </w:rPr>
        <w:t>2023年度一般公共预算、</w:t>
      </w:r>
      <w:r>
        <w:rPr>
          <w:rFonts w:hint="eastAsia" w:ascii="仿宋_GB2312" w:eastAsia="仿宋_GB2312"/>
          <w:color w:val="auto"/>
          <w:sz w:val="32"/>
          <w:szCs w:val="32"/>
          <w:highlight w:val="none"/>
          <w:lang w:eastAsia="zh-CN"/>
        </w:rPr>
        <w:t>政府性基金预算、国有资本经营预算、社会保险基金预算以及资本资产、债券资金等</w:t>
      </w:r>
      <w:r>
        <w:rPr>
          <w:rFonts w:hint="eastAsia" w:ascii="仿宋_GB2312" w:eastAsia="仿宋_GB2312"/>
          <w:color w:val="auto"/>
          <w:sz w:val="32"/>
          <w:szCs w:val="32"/>
          <w:highlight w:val="none"/>
          <w:lang w:val="en-US" w:eastAsia="zh-CN"/>
        </w:rPr>
        <w:t>全面开展绩效自评，形成区政协</w:t>
      </w:r>
      <w:r>
        <w:rPr>
          <w:rFonts w:hint="eastAsia" w:ascii="仿宋_GB2312" w:eastAsia="仿宋_GB2312"/>
          <w:color w:val="auto"/>
          <w:sz w:val="32"/>
          <w:szCs w:val="32"/>
          <w:highlight w:val="none"/>
          <w:lang w:eastAsia="zh-CN"/>
        </w:rPr>
        <w:t>部门整体</w:t>
      </w:r>
      <w:r>
        <w:rPr>
          <w:rFonts w:hint="eastAsia" w:ascii="仿宋_GB2312" w:eastAsia="仿宋_GB2312"/>
          <w:color w:val="auto"/>
          <w:sz w:val="32"/>
          <w:szCs w:val="32"/>
          <w:highlight w:val="none"/>
          <w:lang w:val="en-US" w:eastAsia="zh-CN"/>
        </w:rPr>
        <w:t>支出绩效报告</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会议费、政协工作</w:t>
      </w:r>
      <w:r>
        <w:rPr>
          <w:rFonts w:hint="eastAsia" w:ascii="仿宋_GB2312" w:eastAsia="仿宋_GB2312"/>
          <w:color w:val="auto"/>
          <w:sz w:val="32"/>
          <w:szCs w:val="32"/>
          <w:highlight w:val="none"/>
          <w:lang w:eastAsia="zh-CN"/>
        </w:rPr>
        <w:t>经费、信息化建设经费、文史资料经费、</w:t>
      </w:r>
      <w:r>
        <w:rPr>
          <w:rFonts w:hint="eastAsia" w:ascii="仿宋_GB2312" w:eastAsia="仿宋_GB2312"/>
          <w:color w:val="auto"/>
          <w:sz w:val="32"/>
          <w:szCs w:val="32"/>
          <w:highlight w:val="none"/>
          <w:lang w:val="en-US" w:eastAsia="zh-CN"/>
        </w:rPr>
        <w:t>政协</w:t>
      </w:r>
      <w:r>
        <w:rPr>
          <w:rFonts w:hint="eastAsia" w:ascii="仿宋_GB2312" w:eastAsia="仿宋_GB2312"/>
          <w:color w:val="auto"/>
          <w:sz w:val="32"/>
          <w:szCs w:val="32"/>
          <w:highlight w:val="none"/>
          <w:lang w:eastAsia="zh-CN"/>
        </w:rPr>
        <w:t>委员活动经费、</w:t>
      </w:r>
      <w:r>
        <w:rPr>
          <w:rFonts w:hint="eastAsia" w:ascii="仿宋_GB2312" w:eastAsia="仿宋_GB2312"/>
          <w:color w:val="auto"/>
          <w:sz w:val="32"/>
          <w:szCs w:val="32"/>
          <w:highlight w:val="none"/>
          <w:lang w:val="en-US" w:eastAsia="zh-CN"/>
        </w:rPr>
        <w:t>政协委员培训</w:t>
      </w:r>
      <w:r>
        <w:rPr>
          <w:rFonts w:hint="eastAsia" w:ascii="仿宋_GB2312" w:eastAsia="仿宋_GB2312"/>
          <w:color w:val="auto"/>
          <w:sz w:val="32"/>
          <w:szCs w:val="32"/>
          <w:highlight w:val="none"/>
          <w:lang w:eastAsia="zh-CN"/>
        </w:rPr>
        <w:t>费、</w:t>
      </w:r>
      <w:r>
        <w:rPr>
          <w:rFonts w:hint="eastAsia" w:ascii="仿宋_GB2312" w:eastAsia="仿宋_GB2312"/>
          <w:color w:val="auto"/>
          <w:sz w:val="32"/>
          <w:szCs w:val="32"/>
          <w:highlight w:val="none"/>
          <w:lang w:val="en-US" w:eastAsia="zh-CN"/>
        </w:rPr>
        <w:t>办公设备购置</w:t>
      </w:r>
      <w:r>
        <w:rPr>
          <w:rFonts w:hint="eastAsia" w:ascii="仿宋_GB2312" w:eastAsia="仿宋_GB2312"/>
          <w:color w:val="auto"/>
          <w:sz w:val="32"/>
          <w:szCs w:val="32"/>
          <w:highlight w:val="none"/>
          <w:lang w:eastAsia="zh-CN"/>
        </w:rPr>
        <w:t>费、</w:t>
      </w:r>
      <w:r>
        <w:rPr>
          <w:rFonts w:hint="eastAsia" w:ascii="仿宋_GB2312" w:eastAsia="仿宋_GB2312"/>
          <w:color w:val="auto"/>
          <w:sz w:val="32"/>
          <w:szCs w:val="32"/>
          <w:highlight w:val="none"/>
          <w:lang w:val="en-US" w:eastAsia="zh-CN"/>
        </w:rPr>
        <w:t>基层政治协商工作指导经</w:t>
      </w:r>
      <w:r>
        <w:rPr>
          <w:rFonts w:hint="eastAsia" w:ascii="仿宋_GB2312" w:eastAsia="仿宋_GB2312"/>
          <w:color w:val="auto"/>
          <w:sz w:val="32"/>
          <w:szCs w:val="32"/>
          <w:highlight w:val="none"/>
          <w:lang w:eastAsia="zh-CN"/>
        </w:rPr>
        <w:t>费、</w:t>
      </w:r>
      <w:r>
        <w:rPr>
          <w:rFonts w:hint="eastAsia" w:ascii="仿宋_GB2312" w:eastAsia="仿宋_GB2312"/>
          <w:color w:val="auto"/>
          <w:sz w:val="32"/>
          <w:szCs w:val="32"/>
          <w:highlight w:val="none"/>
          <w:lang w:val="en-US" w:eastAsia="zh-CN"/>
        </w:rPr>
        <w:t>书香政协工作经费等</w:t>
      </w:r>
      <w:r>
        <w:rPr>
          <w:rFonts w:hint="eastAsia" w:ascii="仿宋_GB2312" w:eastAsia="仿宋_GB2312"/>
          <w:color w:val="auto"/>
          <w:sz w:val="32"/>
          <w:szCs w:val="32"/>
          <w:highlight w:val="none"/>
          <w:lang w:eastAsia="zh-CN"/>
        </w:rPr>
        <w:t>预算项目</w:t>
      </w:r>
      <w:r>
        <w:rPr>
          <w:rFonts w:hint="eastAsia" w:ascii="仿宋_GB2312" w:eastAsia="仿宋_GB2312"/>
          <w:color w:val="auto"/>
          <w:sz w:val="32"/>
          <w:szCs w:val="32"/>
          <w:highlight w:val="none"/>
          <w:lang w:val="en-US" w:eastAsia="zh-CN"/>
        </w:rPr>
        <w:t>支出绩效自评报告，其中，区政协部门整体绩效自评得分为97.6分，其中部门预算管理77.6分、绩效绩效结果应用10分、自评质量10分，绩效自评综述：</w:t>
      </w:r>
      <w:r>
        <w:rPr>
          <w:rFonts w:hint="default" w:ascii="仿宋_GB2312" w:eastAsia="仿宋_GB2312"/>
          <w:color w:val="auto"/>
          <w:sz w:val="32"/>
          <w:szCs w:val="32"/>
          <w:highlight w:val="none"/>
          <w:lang w:val="en-US" w:eastAsia="zh-CN"/>
        </w:rPr>
        <w:t>本部门</w:t>
      </w:r>
      <w:r>
        <w:rPr>
          <w:rFonts w:hint="eastAsia" w:ascii="仿宋_GB2312" w:eastAsia="仿宋_GB2312"/>
          <w:color w:val="auto"/>
          <w:sz w:val="32"/>
          <w:szCs w:val="32"/>
          <w:highlight w:val="none"/>
          <w:lang w:val="en-US" w:eastAsia="zh-CN"/>
        </w:rPr>
        <w:t>严格按照预算绩效管理要求，</w:t>
      </w:r>
      <w:r>
        <w:rPr>
          <w:rFonts w:hint="default" w:ascii="仿宋_GB2312" w:eastAsia="仿宋_GB2312"/>
          <w:color w:val="auto"/>
          <w:sz w:val="32"/>
          <w:szCs w:val="32"/>
          <w:highlight w:val="none"/>
          <w:lang w:val="en-US" w:eastAsia="zh-CN"/>
        </w:rPr>
        <w:t>编制202</w:t>
      </w:r>
      <w:r>
        <w:rPr>
          <w:rFonts w:hint="eastAsia" w:ascii="仿宋_GB2312" w:eastAsia="仿宋_GB2312"/>
          <w:color w:val="auto"/>
          <w:sz w:val="32"/>
          <w:szCs w:val="32"/>
          <w:highlight w:val="none"/>
          <w:lang w:val="en-US" w:eastAsia="zh-CN"/>
        </w:rPr>
        <w:t>3</w:t>
      </w:r>
      <w:r>
        <w:rPr>
          <w:rFonts w:hint="default" w:ascii="仿宋_GB2312" w:eastAsia="仿宋_GB2312"/>
          <w:color w:val="auto"/>
          <w:sz w:val="32"/>
          <w:szCs w:val="32"/>
          <w:highlight w:val="none"/>
          <w:lang w:val="en-US" w:eastAsia="zh-CN"/>
        </w:rPr>
        <w:t>年项目预算，</w:t>
      </w:r>
      <w:r>
        <w:rPr>
          <w:rFonts w:hint="eastAsia" w:ascii="仿宋_GB2312" w:eastAsia="仿宋_GB2312"/>
          <w:color w:val="auto"/>
          <w:sz w:val="32"/>
          <w:szCs w:val="32"/>
          <w:highlight w:val="none"/>
          <w:lang w:val="en-US" w:eastAsia="zh-CN"/>
        </w:rPr>
        <w:t>绩效目标编制</w:t>
      </w:r>
      <w:r>
        <w:rPr>
          <w:rFonts w:hint="default" w:ascii="仿宋_GB2312" w:eastAsia="仿宋_GB2312"/>
          <w:color w:val="auto"/>
          <w:sz w:val="32"/>
          <w:szCs w:val="32"/>
          <w:highlight w:val="none"/>
          <w:lang w:val="en-US" w:eastAsia="zh-CN"/>
        </w:rPr>
        <w:t>要素</w:t>
      </w:r>
      <w:r>
        <w:rPr>
          <w:rFonts w:hint="eastAsia" w:ascii="仿宋_GB2312" w:eastAsia="仿宋_GB2312"/>
          <w:color w:val="auto"/>
          <w:sz w:val="32"/>
          <w:szCs w:val="32"/>
          <w:highlight w:val="none"/>
          <w:lang w:val="en-US" w:eastAsia="zh-CN"/>
        </w:rPr>
        <w:t>完整细化</w:t>
      </w:r>
      <w:r>
        <w:rPr>
          <w:rFonts w:hint="default" w:ascii="仿宋_GB2312" w:eastAsia="仿宋_GB2312"/>
          <w:color w:val="auto"/>
          <w:sz w:val="32"/>
          <w:szCs w:val="32"/>
          <w:highlight w:val="none"/>
          <w:lang w:val="en-US" w:eastAsia="zh-CN"/>
        </w:rPr>
        <w:t>，根据实际支出需要支出功能分类和经济分类细化到最末级，提高</w:t>
      </w:r>
      <w:r>
        <w:rPr>
          <w:rFonts w:hint="eastAsia" w:ascii="仿宋_GB2312" w:eastAsia="仿宋_GB2312"/>
          <w:color w:val="auto"/>
          <w:sz w:val="32"/>
          <w:szCs w:val="32"/>
          <w:highlight w:val="none"/>
          <w:lang w:val="en-US" w:eastAsia="zh-CN"/>
        </w:rPr>
        <w:t>了</w:t>
      </w:r>
      <w:r>
        <w:rPr>
          <w:rFonts w:hint="default" w:ascii="仿宋_GB2312" w:eastAsia="仿宋_GB2312"/>
          <w:color w:val="auto"/>
          <w:sz w:val="32"/>
          <w:szCs w:val="32"/>
          <w:highlight w:val="none"/>
          <w:lang w:val="en-US" w:eastAsia="zh-CN"/>
        </w:rPr>
        <w:t>预算编制准确率和财政资金使用效率。</w:t>
      </w:r>
      <w:r>
        <w:rPr>
          <w:rFonts w:hint="eastAsia" w:ascii="仿宋_GB2312" w:eastAsia="仿宋_GB2312"/>
          <w:color w:val="auto"/>
          <w:sz w:val="32"/>
          <w:szCs w:val="32"/>
          <w:highlight w:val="none"/>
          <w:lang w:val="en-US" w:eastAsia="zh-CN"/>
        </w:rPr>
        <w:t>截止12月，文史资料费因项目实施条件不充分，项目实际完成情况未达到预期绩效目标，同时，因政协会议地点变更等原因导致预算不足，考虑区级财政资金紧张，在不影响其他项目前提下，将文史资料费调剂到会议费，其他8个项目在本级财政资金保障下，圆满完成各项目标任务，</w:t>
      </w:r>
      <w:r>
        <w:rPr>
          <w:rFonts w:hint="default" w:ascii="仿宋_GB2312" w:eastAsia="仿宋_GB2312"/>
          <w:color w:val="auto"/>
          <w:sz w:val="32"/>
          <w:szCs w:val="32"/>
          <w:highlight w:val="none"/>
          <w:lang w:val="en-US" w:eastAsia="zh-CN"/>
        </w:rPr>
        <w:t>项目完成度100%</w:t>
      </w:r>
      <w:r>
        <w:rPr>
          <w:rFonts w:hint="eastAsia" w:ascii="仿宋_GB2312" w:eastAsia="仿宋_GB2312"/>
          <w:color w:val="auto"/>
          <w:sz w:val="32"/>
          <w:szCs w:val="32"/>
          <w:highlight w:val="none"/>
          <w:lang w:val="en-US" w:eastAsia="zh-CN"/>
        </w:rPr>
        <w:t>。</w:t>
      </w:r>
      <w:r>
        <w:rPr>
          <w:rFonts w:hint="default" w:ascii="仿宋_GB2312" w:eastAsia="仿宋_GB2312"/>
          <w:color w:val="auto"/>
          <w:sz w:val="32"/>
          <w:szCs w:val="32"/>
          <w:highlight w:val="none"/>
          <w:lang w:val="en-US" w:eastAsia="zh-CN"/>
        </w:rPr>
        <w:t>根据审计监督、财政检查结果及时反映部门上一年度部门预算管理情况，未出现部门预算管理方面违纪违规问题</w:t>
      </w:r>
      <w:r>
        <w:rPr>
          <w:rFonts w:hint="eastAsia" w:ascii="仿宋_GB2312" w:eastAsia="仿宋_GB2312"/>
          <w:color w:val="auto"/>
          <w:sz w:val="32"/>
          <w:szCs w:val="32"/>
          <w:highlight w:val="none"/>
          <w:lang w:val="en-US" w:eastAsia="zh-CN"/>
        </w:rPr>
        <w:t>，并</w:t>
      </w:r>
      <w:r>
        <w:rPr>
          <w:rFonts w:hint="default" w:ascii="仿宋_GB2312" w:eastAsia="仿宋_GB2312"/>
          <w:color w:val="auto"/>
          <w:sz w:val="32"/>
          <w:szCs w:val="32"/>
          <w:highlight w:val="none"/>
          <w:lang w:val="en-US" w:eastAsia="zh-CN"/>
        </w:rPr>
        <w:t>及时将部门整体绩效自评情况和自行组织的评价情况随部门决算一并向社会公开</w:t>
      </w:r>
      <w:r>
        <w:rPr>
          <w:rFonts w:hint="eastAsia" w:ascii="仿宋_GB2312" w:eastAsia="仿宋_GB2312"/>
          <w:color w:val="auto"/>
          <w:sz w:val="32"/>
          <w:szCs w:val="32"/>
          <w:highlight w:val="none"/>
          <w:lang w:val="en-US" w:eastAsia="zh-CN"/>
        </w:rPr>
        <w:t>，同时</w:t>
      </w:r>
      <w:r>
        <w:rPr>
          <w:rFonts w:hint="default" w:ascii="仿宋_GB2312" w:eastAsia="仿宋_GB2312"/>
          <w:color w:val="auto"/>
          <w:sz w:val="32"/>
          <w:szCs w:val="32"/>
          <w:highlight w:val="none"/>
          <w:lang w:val="en-US" w:eastAsia="zh-CN"/>
        </w:rPr>
        <w:t>将资金使用过程中的具体情况及意见及时反馈财政。</w:t>
      </w:r>
      <w:r>
        <w:rPr>
          <w:rFonts w:hint="eastAsia" w:ascii="仿宋_GB2312" w:eastAsia="仿宋_GB2312"/>
          <w:color w:val="auto"/>
          <w:sz w:val="32"/>
          <w:szCs w:val="32"/>
          <w:highlight w:val="none"/>
          <w:lang w:val="en-US" w:eastAsia="zh-CN"/>
        </w:rPr>
        <w:t>绩效自评报告详见附件。</w:t>
      </w:r>
    </w:p>
    <w:p w14:paraId="57073871">
      <w:pPr>
        <w:widowControl/>
        <w:jc w:val="both"/>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0AD8EA52">
      <w:pPr>
        <w:numPr>
          <w:ilvl w:val="0"/>
          <w:numId w:val="3"/>
        </w:numPr>
        <w:spacing w:line="600" w:lineRule="exact"/>
        <w:ind w:firstLine="660" w:firstLineChars="150"/>
        <w:jc w:val="center"/>
        <w:outlineLvl w:val="0"/>
        <w:rPr>
          <w:rStyle w:val="35"/>
          <w:rFonts w:ascii="黑体" w:hAnsi="黑体" w:eastAsia="黑体"/>
          <w:b w:val="0"/>
          <w:color w:val="auto"/>
          <w:highlight w:val="none"/>
        </w:rPr>
      </w:pPr>
      <w:bookmarkStart w:id="70" w:name="_Toc15377225"/>
      <w:bookmarkStart w:id="71" w:name="_Toc15396613"/>
      <w:bookmarkStart w:id="72" w:name="_Toc17686"/>
      <w:r>
        <w:rPr>
          <w:rFonts w:hint="eastAsia" w:ascii="黑体" w:hAnsi="黑体" w:eastAsia="黑体"/>
          <w:color w:val="auto"/>
          <w:sz w:val="44"/>
          <w:szCs w:val="44"/>
          <w:highlight w:val="none"/>
        </w:rPr>
        <w:t>名</w:t>
      </w:r>
      <w:r>
        <w:rPr>
          <w:rStyle w:val="35"/>
          <w:rFonts w:hint="eastAsia" w:ascii="黑体" w:hAnsi="黑体" w:eastAsia="黑体"/>
          <w:b w:val="0"/>
          <w:color w:val="auto"/>
          <w:highlight w:val="none"/>
        </w:rPr>
        <w:t>词解释</w:t>
      </w:r>
      <w:bookmarkEnd w:id="70"/>
      <w:bookmarkEnd w:id="71"/>
      <w:bookmarkEnd w:id="72"/>
    </w:p>
    <w:p w14:paraId="4478DE7C">
      <w:pPr>
        <w:spacing w:line="600" w:lineRule="exact"/>
        <w:jc w:val="left"/>
        <w:rPr>
          <w:rFonts w:ascii="宋体"/>
          <w:b/>
          <w:color w:val="auto"/>
          <w:sz w:val="44"/>
          <w:szCs w:val="44"/>
          <w:highlight w:val="none"/>
        </w:rPr>
      </w:pPr>
    </w:p>
    <w:p w14:paraId="4B1D43FE">
      <w:pPr>
        <w:pStyle w:val="33"/>
        <w:keepNext w:val="0"/>
        <w:keepLines w:val="0"/>
        <w:pageBreakBefore w:val="0"/>
        <w:widowControl w:val="0"/>
        <w:kinsoku/>
        <w:wordWrap/>
        <w:overflowPunct/>
        <w:topLinePunct w:val="0"/>
        <w:autoSpaceDE w:val="0"/>
        <w:autoSpaceDN w:val="0"/>
        <w:bidi w:val="0"/>
        <w:snapToGrid/>
        <w:spacing w:line="560" w:lineRule="exact"/>
        <w:ind w:firstLine="640" w:firstLineChars="200"/>
        <w:jc w:val="both"/>
        <w:textAlignment w:val="auto"/>
        <w:outlineLvl w:val="9"/>
        <w:rPr>
          <w:rFonts w:ascii="仿宋_GB2312" w:eastAsia="仿宋_GB2312"/>
          <w:color w:val="auto"/>
          <w:sz w:val="32"/>
          <w:szCs w:val="32"/>
          <w:highlight w:val="none"/>
        </w:rPr>
      </w:pPr>
      <w:bookmarkStart w:id="73" w:name="_Toc24708"/>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bookmarkEnd w:id="73"/>
    </w:p>
    <w:p w14:paraId="2A88C058">
      <w:pPr>
        <w:pStyle w:val="33"/>
        <w:keepNext w:val="0"/>
        <w:keepLines w:val="0"/>
        <w:pageBreakBefore w:val="0"/>
        <w:widowControl w:val="0"/>
        <w:kinsoku/>
        <w:wordWrap/>
        <w:overflowPunct/>
        <w:topLinePunct w:val="0"/>
        <w:autoSpaceDE w:val="0"/>
        <w:autoSpaceDN w:val="0"/>
        <w:bidi w:val="0"/>
        <w:snapToGrid/>
        <w:spacing w:line="560" w:lineRule="exact"/>
        <w:ind w:firstLine="640" w:firstLineChars="2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其他收入：指单位取得的除上述收入以外的各项收入。主要是船山区委组织部转入2022年党员干部关爱资金、退休支部党费。</w:t>
      </w:r>
      <w:r>
        <w:rPr>
          <w:rFonts w:ascii="仿宋_GB2312" w:eastAsia="仿宋_GB2312"/>
          <w:color w:val="auto"/>
          <w:sz w:val="32"/>
          <w:szCs w:val="32"/>
          <w:highlight w:val="none"/>
        </w:rPr>
        <w:t xml:space="preserve"> </w:t>
      </w:r>
    </w:p>
    <w:p w14:paraId="49102E1D">
      <w:pPr>
        <w:pStyle w:val="33"/>
        <w:keepNext w:val="0"/>
        <w:keepLines w:val="0"/>
        <w:pageBreakBefore w:val="0"/>
        <w:widowControl w:val="0"/>
        <w:kinsoku/>
        <w:wordWrap/>
        <w:overflowPunct/>
        <w:topLinePunct w:val="0"/>
        <w:autoSpaceDE w:val="0"/>
        <w:autoSpaceDN w:val="0"/>
        <w:bidi w:val="0"/>
        <w:snapToGrid/>
        <w:spacing w:line="560" w:lineRule="exact"/>
        <w:ind w:firstLine="640" w:firstLineChars="2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50CC7E2B">
      <w:pPr>
        <w:pStyle w:val="33"/>
        <w:keepNext w:val="0"/>
        <w:keepLines w:val="0"/>
        <w:pageBreakBefore w:val="0"/>
        <w:widowControl w:val="0"/>
        <w:kinsoku/>
        <w:wordWrap/>
        <w:overflowPunct/>
        <w:topLinePunct w:val="0"/>
        <w:autoSpaceDE w:val="0"/>
        <w:autoSpaceDN w:val="0"/>
        <w:bidi w:val="0"/>
        <w:snapToGrid/>
        <w:spacing w:line="560" w:lineRule="exact"/>
        <w:ind w:firstLine="640" w:firstLineChars="200"/>
        <w:jc w:val="both"/>
        <w:textAlignment w:val="auto"/>
        <w:outlineLvl w:val="9"/>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年末结转和结余：指单位按有关规定结转到下年或以后年度继续使用的资金。</w:t>
      </w:r>
    </w:p>
    <w:p w14:paraId="6B53CFF8">
      <w:pPr>
        <w:pStyle w:val="33"/>
        <w:keepNext w:val="0"/>
        <w:keepLines w:val="0"/>
        <w:pageBreakBefore w:val="0"/>
        <w:widowControl w:val="0"/>
        <w:kinsoku/>
        <w:wordWrap/>
        <w:overflowPunct/>
        <w:topLinePunct w:val="0"/>
        <w:autoSpaceDE w:val="0"/>
        <w:autoSpaceDN w:val="0"/>
        <w:bidi w:val="0"/>
        <w:snapToGrid/>
        <w:spacing w:line="560" w:lineRule="exact"/>
        <w:ind w:firstLine="640" w:firstLineChars="200"/>
        <w:jc w:val="both"/>
        <w:textAlignment w:val="auto"/>
        <w:outlineLvl w:val="9"/>
        <w:rPr>
          <w:rFonts w:ascii="Times New Roman" w:hAnsi="Times New Roman" w:eastAsia="仿宋_GB2312" w:cs="Times New Roman"/>
          <w:color w:val="auto"/>
          <w:sz w:val="32"/>
          <w:szCs w:val="32"/>
          <w:highlight w:val="none"/>
        </w:rPr>
      </w:pPr>
      <w:bookmarkStart w:id="74" w:name="_Toc9526"/>
      <w:r>
        <w:rPr>
          <w:rFonts w:hint="eastAsia" w:ascii="仿宋_GB2312" w:eastAsia="仿宋_GB2312"/>
          <w:color w:val="auto"/>
          <w:sz w:val="32"/>
          <w:szCs w:val="32"/>
          <w:highlight w:val="none"/>
          <w:lang w:val="en-US" w:eastAsia="zh-CN"/>
        </w:rPr>
        <w:t>5.</w:t>
      </w:r>
      <w:r>
        <w:rPr>
          <w:rFonts w:ascii="Times New Roman" w:hAnsi="Times New Roman" w:eastAsia="仿宋_GB2312" w:cs="Times New Roman"/>
          <w:color w:val="auto"/>
          <w:sz w:val="32"/>
          <w:szCs w:val="32"/>
          <w:highlight w:val="none"/>
        </w:rPr>
        <w:t>一般公共预算拨款收入：指区级财政当年拨付的资金。</w:t>
      </w:r>
      <w:bookmarkEnd w:id="74"/>
    </w:p>
    <w:p w14:paraId="5EBDF904">
      <w:pPr>
        <w:pStyle w:val="33"/>
        <w:keepNext w:val="0"/>
        <w:keepLines w:val="0"/>
        <w:pageBreakBefore w:val="0"/>
        <w:widowControl w:val="0"/>
        <w:kinsoku/>
        <w:wordWrap/>
        <w:overflowPunct/>
        <w:topLinePunct w:val="0"/>
        <w:autoSpaceDE w:val="0"/>
        <w:autoSpaceDN w:val="0"/>
        <w:bidi w:val="0"/>
        <w:snapToGrid/>
        <w:spacing w:line="560" w:lineRule="exact"/>
        <w:ind w:firstLine="640" w:firstLineChars="200"/>
        <w:jc w:val="both"/>
        <w:textAlignment w:val="auto"/>
        <w:outlineLvl w:val="9"/>
        <w:rPr>
          <w:rFonts w:hint="eastAsia" w:ascii="仿宋_GB2312" w:eastAsia="仿宋_GB2312" w:cs="仿宋"/>
          <w:color w:val="auto"/>
          <w:kern w:val="0"/>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 xml:space="preserve">6. </w:t>
      </w:r>
      <w:r>
        <w:rPr>
          <w:rFonts w:ascii="Times New Roman" w:hAnsi="Times New Roman" w:eastAsia="仿宋_GB2312" w:cs="Times New Roman"/>
          <w:color w:val="auto"/>
          <w:sz w:val="32"/>
          <w:szCs w:val="32"/>
          <w:highlight w:val="none"/>
        </w:rPr>
        <w:t>一般</w:t>
      </w:r>
      <w:r>
        <w:rPr>
          <w:rFonts w:hint="eastAsia" w:ascii="仿宋_GB2312" w:eastAsia="仿宋_GB2312" w:cs="仿宋"/>
          <w:color w:val="auto"/>
          <w:kern w:val="0"/>
          <w:sz w:val="32"/>
          <w:szCs w:val="32"/>
          <w:highlight w:val="none"/>
          <w:lang w:val="en-US" w:eastAsia="zh-CN"/>
        </w:rPr>
        <w:t>公共服务（201）政协事务（02）行政运行（01）：指行政单位（包括实行公务员管理的事业单位）的基本支出。</w:t>
      </w:r>
    </w:p>
    <w:p w14:paraId="4A7FA313">
      <w:pPr>
        <w:pStyle w:val="33"/>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outlineLvl w:val="9"/>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7. 一般公共服务（201）政协事务（02）一般行政管理事务（02）：指行政单位（包括实行公务员管理的事业单位）未单独设置项级科目的其他项目支出。</w:t>
      </w:r>
    </w:p>
    <w:p w14:paraId="34B9BE1F">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8. 一般公共服务（201）政协事务（02）事业运行（50）：指事业单位的基本支出，不包括行政单位（包括实行公务员管理的事业单位）后勤服务中心、医疗室等附属事业单位。</w:t>
      </w:r>
    </w:p>
    <w:p w14:paraId="54FB5FC4">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9. 社会保障和就业（208）行政事业单位养老支出（05）</w:t>
      </w:r>
      <w:r>
        <w:rPr>
          <w:rFonts w:hint="eastAsia" w:ascii="仿宋_GB2312" w:eastAsia="仿宋_GB2312" w:cs="仿宋"/>
          <w:b w:val="0"/>
          <w:bCs w:val="0"/>
          <w:color w:val="auto"/>
          <w:kern w:val="0"/>
          <w:sz w:val="32"/>
          <w:szCs w:val="32"/>
          <w:highlight w:val="none"/>
          <w:lang w:val="en-US" w:eastAsia="zh-CN"/>
        </w:rPr>
        <w:t>行政单位离退休</w:t>
      </w:r>
      <w:r>
        <w:rPr>
          <w:rFonts w:hint="eastAsia" w:ascii="仿宋_GB2312" w:eastAsia="仿宋_GB2312" w:cs="仿宋"/>
          <w:color w:val="auto"/>
          <w:kern w:val="0"/>
          <w:sz w:val="32"/>
          <w:szCs w:val="32"/>
          <w:highlight w:val="none"/>
          <w:lang w:val="en-US" w:eastAsia="zh-CN"/>
        </w:rPr>
        <w:t>（01）：指行政单位（</w:t>
      </w:r>
      <w:r>
        <w:rPr>
          <w:rFonts w:hint="eastAsia" w:ascii="仿宋_GB2312" w:hAnsi="Calibri" w:eastAsia="仿宋_GB2312" w:cs="仿宋"/>
          <w:color w:val="auto"/>
          <w:kern w:val="0"/>
          <w:sz w:val="32"/>
          <w:szCs w:val="32"/>
          <w:highlight w:val="none"/>
          <w:lang w:eastAsia="zh-CN"/>
        </w:rPr>
        <w:t>包括实行公务员管理的事业单位</w:t>
      </w:r>
      <w:r>
        <w:rPr>
          <w:rFonts w:hint="eastAsia" w:ascii="仿宋_GB2312" w:eastAsia="仿宋_GB2312" w:cs="仿宋"/>
          <w:color w:val="auto"/>
          <w:kern w:val="0"/>
          <w:sz w:val="32"/>
          <w:szCs w:val="32"/>
          <w:highlight w:val="none"/>
          <w:lang w:val="en-US" w:eastAsia="zh-CN"/>
        </w:rPr>
        <w:t>）开支的离退休经费。</w:t>
      </w:r>
    </w:p>
    <w:p w14:paraId="700E4812">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10. 社会保障和就业（208）行政事业单位养老支出（05）机关事业单位基本养老保险缴费支出（05）：</w:t>
      </w:r>
      <w:r>
        <w:rPr>
          <w:rFonts w:hint="eastAsia" w:ascii="仿宋_GB2312" w:hAnsi="Calibri" w:eastAsia="仿宋_GB2312" w:cs="仿宋"/>
          <w:color w:val="auto"/>
          <w:kern w:val="0"/>
          <w:sz w:val="32"/>
          <w:szCs w:val="32"/>
          <w:highlight w:val="none"/>
        </w:rPr>
        <w:t>指</w:t>
      </w:r>
      <w:r>
        <w:rPr>
          <w:rFonts w:hint="eastAsia" w:ascii="仿宋_GB2312" w:hAnsi="Calibri" w:eastAsia="仿宋_GB2312" w:cs="仿宋"/>
          <w:color w:val="auto"/>
          <w:kern w:val="0"/>
          <w:sz w:val="32"/>
          <w:szCs w:val="32"/>
          <w:highlight w:val="none"/>
          <w:lang w:eastAsia="zh-CN"/>
        </w:rPr>
        <w:t>机关事业单位</w:t>
      </w:r>
      <w:r>
        <w:rPr>
          <w:rFonts w:hint="eastAsia" w:ascii="仿宋_GB2312" w:hAnsi="Calibri" w:eastAsia="仿宋_GB2312" w:cs="仿宋"/>
          <w:color w:val="auto"/>
          <w:kern w:val="0"/>
          <w:sz w:val="32"/>
          <w:szCs w:val="32"/>
          <w:highlight w:val="none"/>
        </w:rPr>
        <w:t>实施养老保险制度由单位缴纳的</w:t>
      </w:r>
      <w:r>
        <w:rPr>
          <w:rFonts w:hint="eastAsia" w:ascii="仿宋_GB2312" w:hAnsi="Calibri" w:eastAsia="仿宋_GB2312" w:cs="仿宋"/>
          <w:color w:val="auto"/>
          <w:kern w:val="0"/>
          <w:sz w:val="32"/>
          <w:szCs w:val="32"/>
          <w:highlight w:val="none"/>
          <w:lang w:eastAsia="zh-CN"/>
        </w:rPr>
        <w:t>基本</w:t>
      </w:r>
      <w:r>
        <w:rPr>
          <w:rFonts w:hint="eastAsia" w:ascii="仿宋_GB2312" w:hAnsi="Calibri" w:eastAsia="仿宋_GB2312" w:cs="仿宋"/>
          <w:color w:val="auto"/>
          <w:kern w:val="0"/>
          <w:sz w:val="32"/>
          <w:szCs w:val="32"/>
          <w:highlight w:val="none"/>
        </w:rPr>
        <w:t>养老保险费支出</w:t>
      </w:r>
      <w:r>
        <w:rPr>
          <w:rFonts w:hint="eastAsia" w:ascii="仿宋_GB2312" w:eastAsia="仿宋_GB2312" w:cs="仿宋"/>
          <w:color w:val="auto"/>
          <w:kern w:val="0"/>
          <w:sz w:val="32"/>
          <w:szCs w:val="32"/>
          <w:highlight w:val="none"/>
          <w:lang w:eastAsia="zh-CN"/>
        </w:rPr>
        <w:t>。</w:t>
      </w:r>
    </w:p>
    <w:p w14:paraId="6015425B">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11. 社会保障和就业（208）行政事业单位养老支出（05）机关事业单位职业年金缴费支出（06）：</w:t>
      </w:r>
      <w:r>
        <w:rPr>
          <w:rFonts w:hint="eastAsia" w:ascii="仿宋_GB2312" w:hAnsi="Calibri" w:eastAsia="仿宋_GB2312" w:cs="仿宋"/>
          <w:color w:val="auto"/>
          <w:kern w:val="0"/>
          <w:sz w:val="32"/>
          <w:szCs w:val="32"/>
          <w:highlight w:val="none"/>
        </w:rPr>
        <w:t>指</w:t>
      </w:r>
      <w:r>
        <w:rPr>
          <w:rFonts w:hint="eastAsia" w:ascii="仿宋_GB2312" w:hAnsi="Calibri" w:eastAsia="仿宋_GB2312" w:cs="仿宋"/>
          <w:color w:val="auto"/>
          <w:kern w:val="0"/>
          <w:sz w:val="32"/>
          <w:szCs w:val="32"/>
          <w:highlight w:val="none"/>
          <w:lang w:eastAsia="zh-CN"/>
        </w:rPr>
        <w:t>机关事业单位</w:t>
      </w:r>
      <w:r>
        <w:rPr>
          <w:rFonts w:hint="eastAsia" w:ascii="仿宋_GB2312" w:hAnsi="Calibri" w:eastAsia="仿宋_GB2312" w:cs="仿宋"/>
          <w:color w:val="auto"/>
          <w:kern w:val="0"/>
          <w:sz w:val="32"/>
          <w:szCs w:val="32"/>
          <w:highlight w:val="none"/>
        </w:rPr>
        <w:t>实施养老保险制度由单位</w:t>
      </w:r>
      <w:r>
        <w:rPr>
          <w:rFonts w:hint="eastAsia" w:ascii="仿宋_GB2312" w:eastAsia="仿宋_GB2312" w:cs="仿宋"/>
          <w:color w:val="auto"/>
          <w:kern w:val="0"/>
          <w:sz w:val="32"/>
          <w:szCs w:val="32"/>
          <w:highlight w:val="none"/>
          <w:lang w:eastAsia="zh-CN"/>
        </w:rPr>
        <w:t>实际</w:t>
      </w:r>
      <w:r>
        <w:rPr>
          <w:rFonts w:hint="eastAsia" w:ascii="仿宋_GB2312" w:hAnsi="Calibri" w:eastAsia="仿宋_GB2312" w:cs="仿宋"/>
          <w:color w:val="auto"/>
          <w:kern w:val="0"/>
          <w:sz w:val="32"/>
          <w:szCs w:val="32"/>
          <w:highlight w:val="none"/>
        </w:rPr>
        <w:t>缴纳的</w:t>
      </w:r>
      <w:r>
        <w:rPr>
          <w:rFonts w:hint="eastAsia" w:ascii="仿宋_GB2312" w:eastAsia="仿宋_GB2312" w:cs="仿宋"/>
          <w:color w:val="auto"/>
          <w:kern w:val="0"/>
          <w:sz w:val="32"/>
          <w:szCs w:val="32"/>
          <w:highlight w:val="none"/>
          <w:lang w:eastAsia="zh-CN"/>
        </w:rPr>
        <w:t>职业年金</w:t>
      </w:r>
      <w:r>
        <w:rPr>
          <w:rFonts w:hint="eastAsia" w:ascii="仿宋_GB2312" w:hAnsi="Calibri" w:eastAsia="仿宋_GB2312" w:cs="仿宋"/>
          <w:color w:val="auto"/>
          <w:kern w:val="0"/>
          <w:sz w:val="32"/>
          <w:szCs w:val="32"/>
          <w:highlight w:val="none"/>
        </w:rPr>
        <w:t>支出</w:t>
      </w:r>
      <w:r>
        <w:rPr>
          <w:rFonts w:hint="eastAsia" w:ascii="仿宋_GB2312" w:eastAsia="仿宋_GB2312" w:cs="仿宋"/>
          <w:color w:val="auto"/>
          <w:kern w:val="0"/>
          <w:sz w:val="32"/>
          <w:szCs w:val="32"/>
          <w:highlight w:val="none"/>
          <w:lang w:eastAsia="zh-CN"/>
        </w:rPr>
        <w:t>。</w:t>
      </w:r>
    </w:p>
    <w:p w14:paraId="03DAB8EC">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12. 社会保障和就业（208）抚恤（08）死亡抚恤（01）：</w:t>
      </w:r>
      <w:r>
        <w:rPr>
          <w:rFonts w:hint="eastAsia" w:ascii="仿宋_GB2312" w:hAnsi="Calibri" w:eastAsia="仿宋_GB2312" w:cs="仿宋"/>
          <w:color w:val="auto"/>
          <w:kern w:val="0"/>
          <w:sz w:val="32"/>
          <w:szCs w:val="32"/>
          <w:highlight w:val="none"/>
          <w:lang w:val="en-US" w:eastAsia="zh-CN" w:bidi="ar-SA"/>
        </w:rPr>
        <w:t>指</w:t>
      </w:r>
      <w:r>
        <w:rPr>
          <w:rFonts w:hint="eastAsia" w:ascii="仿宋_GB2312" w:eastAsia="仿宋_GB2312" w:cs="仿宋"/>
          <w:color w:val="auto"/>
          <w:kern w:val="0"/>
          <w:sz w:val="32"/>
          <w:szCs w:val="32"/>
          <w:highlight w:val="none"/>
          <w:lang w:val="en-US" w:eastAsia="zh-CN" w:bidi="ar-SA"/>
        </w:rPr>
        <w:t>按规定用于烈士和牺牲、病故人员家属的一次性和定期抚恤金、丧葬补助费以及烈士褒扬金</w:t>
      </w:r>
      <w:r>
        <w:rPr>
          <w:rFonts w:hint="eastAsia" w:ascii="仿宋_GB2312" w:hAnsi="Calibri" w:eastAsia="仿宋_GB2312" w:cs="仿宋"/>
          <w:color w:val="auto"/>
          <w:kern w:val="0"/>
          <w:sz w:val="32"/>
          <w:szCs w:val="32"/>
          <w:highlight w:val="none"/>
          <w:lang w:val="en-US" w:eastAsia="zh-CN" w:bidi="ar-SA"/>
        </w:rPr>
        <w:t>。</w:t>
      </w:r>
    </w:p>
    <w:p w14:paraId="663052FB">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13. 社会保障和就业（208）残疾人事业（11）残疾人就业（05）：指残疾人联合会用于残疾人就业方面的支出。</w:t>
      </w:r>
    </w:p>
    <w:p w14:paraId="15244806">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14. 社会保障和就业（208）其他社会保障和就业支出（99）其他社会保障和就业支出（01）：</w:t>
      </w:r>
      <w:r>
        <w:rPr>
          <w:rFonts w:hint="eastAsia" w:ascii="仿宋_GB2312" w:hAnsi="Calibri" w:eastAsia="仿宋_GB2312" w:cs="仿宋"/>
          <w:color w:val="auto"/>
          <w:kern w:val="0"/>
          <w:sz w:val="32"/>
          <w:szCs w:val="32"/>
          <w:highlight w:val="none"/>
          <w:lang w:val="en-US" w:eastAsia="zh-CN" w:bidi="ar-SA"/>
        </w:rPr>
        <w:t>指除上述项目外其他用于社会保障和就业方面的支出。</w:t>
      </w:r>
    </w:p>
    <w:p w14:paraId="2C40DBE1">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15. 卫生健康（210）行政事业单位医疗（11）行政单位医疗（01）：</w:t>
      </w:r>
      <w:r>
        <w:rPr>
          <w:rFonts w:hint="eastAsia" w:ascii="仿宋_GB2312" w:hAnsi="Calibri" w:eastAsia="仿宋_GB2312" w:cs="仿宋"/>
          <w:color w:val="auto"/>
          <w:kern w:val="0"/>
          <w:sz w:val="32"/>
          <w:szCs w:val="32"/>
          <w:highlight w:val="none"/>
        </w:rPr>
        <w:t>指</w:t>
      </w:r>
      <w:r>
        <w:rPr>
          <w:rFonts w:hint="eastAsia" w:ascii="仿宋_GB2312" w:hAnsi="Calibri" w:eastAsia="仿宋_GB2312" w:cs="仿宋"/>
          <w:color w:val="auto"/>
          <w:kern w:val="0"/>
          <w:sz w:val="32"/>
          <w:szCs w:val="32"/>
          <w:highlight w:val="none"/>
          <w:lang w:eastAsia="zh-CN"/>
        </w:rPr>
        <w:t>财政部门安排的行政单位（包括实行公务员管理的事业单位）基本医疗保险缴费经费，未参加医疗保险的行政单位的公费医疗经费，按国家规定享受离休人员、红军老战士待遇人员的医疗经费</w:t>
      </w:r>
      <w:r>
        <w:rPr>
          <w:rFonts w:hint="eastAsia" w:ascii="仿宋_GB2312" w:hAnsi="Calibri" w:eastAsia="仿宋_GB2312" w:cs="仿宋"/>
          <w:color w:val="auto"/>
          <w:kern w:val="0"/>
          <w:sz w:val="32"/>
          <w:szCs w:val="32"/>
          <w:highlight w:val="none"/>
        </w:rPr>
        <w:t>。</w:t>
      </w:r>
    </w:p>
    <w:p w14:paraId="331D5C53">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 xml:space="preserve">16. </w:t>
      </w:r>
      <w:r>
        <w:rPr>
          <w:rFonts w:hint="eastAsia" w:ascii="仿宋_GB2312" w:eastAsia="仿宋_GB2312"/>
          <w:color w:val="auto"/>
          <w:sz w:val="32"/>
          <w:szCs w:val="32"/>
          <w:highlight w:val="none"/>
        </w:rPr>
        <w:t>卫生健康（</w:t>
      </w:r>
      <w:r>
        <w:rPr>
          <w:rFonts w:hint="eastAsia" w:ascii="仿宋_GB2312" w:eastAsia="仿宋_GB2312"/>
          <w:color w:val="auto"/>
          <w:sz w:val="32"/>
          <w:szCs w:val="32"/>
          <w:highlight w:val="none"/>
          <w:lang w:val="en-US" w:eastAsia="zh-CN"/>
        </w:rPr>
        <w:t>210</w:t>
      </w:r>
      <w:r>
        <w:rPr>
          <w:rFonts w:hint="eastAsia" w:ascii="仿宋_GB2312" w:eastAsia="仿宋_GB2312"/>
          <w:color w:val="auto"/>
          <w:sz w:val="32"/>
          <w:szCs w:val="32"/>
          <w:highlight w:val="none"/>
        </w:rPr>
        <w:t>）行政事业单位医疗（</w:t>
      </w:r>
      <w:r>
        <w:rPr>
          <w:rFonts w:hint="eastAsia" w:ascii="仿宋_GB2312" w:eastAsia="仿宋_GB2312"/>
          <w:color w:val="auto"/>
          <w:sz w:val="32"/>
          <w:szCs w:val="32"/>
          <w:highlight w:val="none"/>
          <w:lang w:val="en-US" w:eastAsia="zh-CN"/>
        </w:rPr>
        <w:t>11</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事业</w:t>
      </w:r>
      <w:r>
        <w:rPr>
          <w:rFonts w:hint="eastAsia" w:ascii="仿宋_GB2312" w:eastAsia="仿宋_GB2312"/>
          <w:color w:val="auto"/>
          <w:sz w:val="32"/>
          <w:szCs w:val="32"/>
          <w:highlight w:val="none"/>
        </w:rPr>
        <w:t>单位医疗（</w:t>
      </w:r>
      <w:r>
        <w:rPr>
          <w:rFonts w:hint="eastAsia" w:ascii="仿宋_GB2312" w:eastAsia="仿宋_GB2312"/>
          <w:color w:val="auto"/>
          <w:sz w:val="32"/>
          <w:szCs w:val="32"/>
          <w:highlight w:val="none"/>
          <w:lang w:val="en-US" w:eastAsia="zh-CN"/>
        </w:rPr>
        <w:t>02</w:t>
      </w:r>
      <w:r>
        <w:rPr>
          <w:rFonts w:hint="eastAsia" w:ascii="仿宋_GB2312" w:eastAsia="仿宋_GB2312"/>
          <w:color w:val="auto"/>
          <w:sz w:val="32"/>
          <w:szCs w:val="32"/>
          <w:highlight w:val="none"/>
        </w:rPr>
        <w:t>）：</w:t>
      </w:r>
      <w:r>
        <w:rPr>
          <w:rFonts w:hint="eastAsia" w:ascii="仿宋_GB2312" w:hAnsi="Calibri" w:eastAsia="仿宋_GB2312" w:cs="仿宋"/>
          <w:color w:val="auto"/>
          <w:kern w:val="0"/>
          <w:sz w:val="32"/>
          <w:szCs w:val="32"/>
          <w:highlight w:val="none"/>
        </w:rPr>
        <w:t>指</w:t>
      </w:r>
      <w:r>
        <w:rPr>
          <w:rFonts w:hint="eastAsia" w:ascii="仿宋_GB2312" w:hAnsi="Calibri" w:eastAsia="仿宋_GB2312" w:cs="仿宋"/>
          <w:color w:val="auto"/>
          <w:kern w:val="0"/>
          <w:sz w:val="32"/>
          <w:szCs w:val="32"/>
          <w:highlight w:val="none"/>
          <w:lang w:eastAsia="zh-CN"/>
        </w:rPr>
        <w:t>财政部门安排的事业单位基本医疗保险缴费经费，未参加医疗保险的事业单位的公费医疗经费，按国家规定享受离休人员待遇的医疗经费</w:t>
      </w:r>
      <w:r>
        <w:rPr>
          <w:rFonts w:hint="eastAsia" w:ascii="仿宋_GB2312" w:hAnsi="Calibri" w:eastAsia="仿宋_GB2312" w:cs="仿宋"/>
          <w:color w:val="auto"/>
          <w:kern w:val="0"/>
          <w:sz w:val="32"/>
          <w:szCs w:val="32"/>
          <w:highlight w:val="none"/>
        </w:rPr>
        <w:t>。</w:t>
      </w:r>
    </w:p>
    <w:p w14:paraId="0C555B13">
      <w:pPr>
        <w:pStyle w:val="33"/>
        <w:adjustRightInd/>
        <w:spacing w:line="600" w:lineRule="exact"/>
        <w:ind w:firstLine="640" w:firstLineChars="200"/>
        <w:jc w:val="both"/>
        <w:rPr>
          <w:rFonts w:hint="eastAsia" w:ascii="仿宋_GB2312" w:eastAsia="仿宋_GB2312" w:cs="仿宋"/>
          <w:color w:val="auto"/>
          <w:kern w:val="0"/>
          <w:sz w:val="32"/>
          <w:szCs w:val="32"/>
          <w:highlight w:val="none"/>
          <w:lang w:val="en-US" w:eastAsia="zh-CN"/>
        </w:rPr>
      </w:pPr>
      <w:r>
        <w:rPr>
          <w:rFonts w:hint="eastAsia" w:ascii="仿宋_GB2312" w:eastAsia="仿宋_GB2312" w:cs="仿宋"/>
          <w:color w:val="auto"/>
          <w:kern w:val="0"/>
          <w:sz w:val="32"/>
          <w:szCs w:val="32"/>
          <w:highlight w:val="none"/>
          <w:lang w:val="en-US" w:eastAsia="zh-CN"/>
        </w:rPr>
        <w:t>17. 卫生健康（210）行政事业单位医疗（11）公务员医疗补助（03）：</w:t>
      </w:r>
      <w:r>
        <w:rPr>
          <w:rFonts w:hint="eastAsia" w:ascii="仿宋_GB2312" w:hAnsi="Calibri" w:eastAsia="仿宋_GB2312" w:cs="仿宋"/>
          <w:color w:val="auto"/>
          <w:kern w:val="0"/>
          <w:sz w:val="32"/>
          <w:szCs w:val="32"/>
          <w:highlight w:val="none"/>
        </w:rPr>
        <w:t>指</w:t>
      </w:r>
      <w:r>
        <w:rPr>
          <w:rFonts w:hint="eastAsia" w:ascii="仿宋_GB2312" w:hAnsi="Calibri" w:eastAsia="仿宋_GB2312" w:cs="仿宋"/>
          <w:color w:val="auto"/>
          <w:kern w:val="0"/>
          <w:sz w:val="32"/>
          <w:szCs w:val="32"/>
          <w:highlight w:val="none"/>
          <w:lang w:eastAsia="zh-CN"/>
        </w:rPr>
        <w:t>财政部门安排的</w:t>
      </w:r>
      <w:r>
        <w:rPr>
          <w:rFonts w:hint="eastAsia" w:ascii="仿宋_GB2312" w:hAnsi="Calibri" w:eastAsia="仿宋_GB2312" w:cs="仿宋"/>
          <w:color w:val="auto"/>
          <w:kern w:val="0"/>
          <w:sz w:val="32"/>
          <w:szCs w:val="32"/>
          <w:highlight w:val="none"/>
        </w:rPr>
        <w:t>公务员医疗补助</w:t>
      </w:r>
      <w:r>
        <w:rPr>
          <w:rFonts w:hint="eastAsia" w:ascii="仿宋_GB2312" w:hAnsi="Calibri" w:eastAsia="仿宋_GB2312" w:cs="仿宋"/>
          <w:color w:val="auto"/>
          <w:kern w:val="0"/>
          <w:sz w:val="32"/>
          <w:szCs w:val="32"/>
          <w:highlight w:val="none"/>
          <w:lang w:eastAsia="zh-CN"/>
        </w:rPr>
        <w:t>经费</w:t>
      </w:r>
      <w:r>
        <w:rPr>
          <w:rFonts w:hint="eastAsia" w:ascii="仿宋_GB2312" w:hAnsi="Calibri" w:eastAsia="仿宋_GB2312" w:cs="仿宋"/>
          <w:color w:val="auto"/>
          <w:kern w:val="0"/>
          <w:sz w:val="32"/>
          <w:szCs w:val="32"/>
          <w:highlight w:val="none"/>
        </w:rPr>
        <w:t>。</w:t>
      </w:r>
    </w:p>
    <w:p w14:paraId="13E830B3">
      <w:pPr>
        <w:ind w:firstLine="640" w:firstLineChars="200"/>
        <w:jc w:val="both"/>
        <w:rPr>
          <w:rFonts w:hint="eastAsia" w:ascii="仿宋_GB2312" w:hAnsi="Calibri" w:eastAsia="仿宋_GB2312" w:cs="仿宋"/>
          <w:color w:val="auto"/>
          <w:kern w:val="0"/>
          <w:sz w:val="32"/>
          <w:szCs w:val="32"/>
          <w:highlight w:val="none"/>
        </w:rPr>
      </w:pPr>
      <w:r>
        <w:rPr>
          <w:rFonts w:hint="eastAsia" w:ascii="仿宋_GB2312" w:eastAsia="仿宋_GB2312" w:cs="仿宋"/>
          <w:color w:val="auto"/>
          <w:kern w:val="0"/>
          <w:sz w:val="32"/>
          <w:szCs w:val="32"/>
          <w:highlight w:val="none"/>
          <w:lang w:val="en-US" w:eastAsia="zh-CN"/>
        </w:rPr>
        <w:t>18. 住房保障（221）住房改革支出（02）住房公积金（01）：</w:t>
      </w:r>
      <w:r>
        <w:rPr>
          <w:rFonts w:hint="eastAsia" w:ascii="仿宋_GB2312" w:hAnsi="Calibri" w:eastAsia="仿宋_GB2312" w:cs="仿宋"/>
          <w:color w:val="auto"/>
          <w:kern w:val="0"/>
          <w:sz w:val="32"/>
          <w:szCs w:val="32"/>
          <w:highlight w:val="none"/>
        </w:rPr>
        <w:t>指</w:t>
      </w:r>
      <w:r>
        <w:rPr>
          <w:rFonts w:hint="eastAsia" w:ascii="仿宋_GB2312" w:hAnsi="Calibri" w:eastAsia="仿宋_GB2312" w:cs="仿宋"/>
          <w:color w:val="auto"/>
          <w:kern w:val="0"/>
          <w:sz w:val="32"/>
          <w:szCs w:val="32"/>
          <w:highlight w:val="none"/>
          <w:lang w:eastAsia="zh-CN"/>
        </w:rPr>
        <w:t>行政事业单位按人力资源和社会保障部、财政部规定的基本工资和津贴补贴以及按规定比例为职工缴纳的住房公积金</w:t>
      </w:r>
      <w:r>
        <w:rPr>
          <w:rFonts w:hint="eastAsia" w:ascii="仿宋_GB2312" w:hAnsi="Calibri" w:eastAsia="仿宋_GB2312" w:cs="仿宋"/>
          <w:color w:val="auto"/>
          <w:kern w:val="0"/>
          <w:sz w:val="32"/>
          <w:szCs w:val="32"/>
          <w:highlight w:val="none"/>
        </w:rPr>
        <w:t>。</w:t>
      </w:r>
    </w:p>
    <w:p w14:paraId="12E14D70">
      <w:pPr>
        <w:ind w:firstLine="640" w:firstLineChars="200"/>
        <w:jc w:val="both"/>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19</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6BBB2ECF">
      <w:pPr>
        <w:ind w:firstLine="640" w:firstLineChars="200"/>
        <w:jc w:val="both"/>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20</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4D4A2C73">
      <w:pPr>
        <w:pStyle w:val="33"/>
        <w:spacing w:line="560" w:lineRule="exact"/>
        <w:ind w:firstLine="640" w:firstLineChars="200"/>
        <w:jc w:val="both"/>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D3ACF84">
      <w:pPr>
        <w:pStyle w:val="33"/>
        <w:spacing w:line="560" w:lineRule="exact"/>
        <w:ind w:firstLine="640" w:firstLineChars="200"/>
        <w:jc w:val="both"/>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22</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3EFD995">
      <w:pPr>
        <w:spacing w:line="600" w:lineRule="exact"/>
        <w:jc w:val="center"/>
        <w:outlineLvl w:val="0"/>
        <w:rPr>
          <w:rStyle w:val="35"/>
          <w:rFonts w:hint="eastAsia" w:ascii="黑体" w:hAnsi="黑体" w:eastAsia="黑体"/>
          <w:b w:val="0"/>
          <w:color w:val="auto"/>
          <w:highlight w:val="none"/>
          <w:lang w:eastAsia="zh-CN"/>
        </w:rPr>
      </w:pPr>
      <w:bookmarkStart w:id="75" w:name="_Toc15377226"/>
      <w:r>
        <w:rPr>
          <w:rFonts w:ascii="宋体"/>
          <w:b/>
          <w:color w:val="auto"/>
          <w:sz w:val="44"/>
          <w:szCs w:val="44"/>
          <w:highlight w:val="none"/>
        </w:rPr>
        <w:br w:type="page"/>
      </w:r>
      <w:bookmarkStart w:id="76" w:name="_Toc15396614"/>
      <w:bookmarkStart w:id="77" w:name="_Toc24608"/>
      <w:r>
        <w:rPr>
          <w:rFonts w:hint="eastAsia" w:ascii="黑体" w:hAnsi="黑体" w:eastAsia="黑体"/>
          <w:color w:val="auto"/>
          <w:sz w:val="44"/>
          <w:szCs w:val="44"/>
          <w:highlight w:val="none"/>
        </w:rPr>
        <w:t>第</w:t>
      </w:r>
      <w:r>
        <w:rPr>
          <w:rStyle w:val="35"/>
          <w:rFonts w:hint="eastAsia" w:ascii="黑体" w:hAnsi="黑体" w:eastAsia="黑体"/>
          <w:b w:val="0"/>
          <w:color w:val="auto"/>
          <w:highlight w:val="none"/>
        </w:rPr>
        <w:t>四部分 附件</w:t>
      </w:r>
      <w:bookmarkEnd w:id="76"/>
      <w:bookmarkEnd w:id="77"/>
    </w:p>
    <w:p w14:paraId="44EB24B7">
      <w:pPr>
        <w:keepNext w:val="0"/>
        <w:keepLines w:val="0"/>
        <w:pageBreakBefore w:val="0"/>
        <w:widowControl w:val="0"/>
        <w:kinsoku/>
        <w:wordWrap/>
        <w:overflowPunct/>
        <w:topLinePunct w:val="0"/>
        <w:autoSpaceDE/>
        <w:autoSpaceDN/>
        <w:bidi w:val="0"/>
        <w:adjustRightInd/>
        <w:snapToGrid/>
        <w:spacing w:line="572" w:lineRule="exact"/>
        <w:jc w:val="left"/>
        <w:textAlignment w:val="auto"/>
        <w:outlineLvl w:val="9"/>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6DF74742">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eastAsia" w:eastAsia="方正小标宋简体" w:cs="Times New Roman"/>
          <w:b w:val="0"/>
          <w:bCs/>
          <w:sz w:val="44"/>
          <w:szCs w:val="44"/>
          <w:highlight w:val="none"/>
          <w:shd w:val="clear" w:color="auto" w:fill="FFFFFF"/>
          <w:lang w:val="en-US" w:eastAsia="zh-CN"/>
        </w:rPr>
        <w:t>2023年区政协</w:t>
      </w: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718DA1E7">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4C5298FD">
      <w:pPr>
        <w:keepNext w:val="0"/>
        <w:keepLines w:val="0"/>
        <w:pageBreakBefore w:val="0"/>
        <w:widowControl/>
        <w:numPr>
          <w:ilvl w:val="0"/>
          <w:numId w:val="0"/>
        </w:numPr>
        <w:kinsoku/>
        <w:wordWrap/>
        <w:overflowPunct/>
        <w:topLinePunct w:val="0"/>
        <w:autoSpaceDE/>
        <w:autoSpaceDN/>
        <w:bidi w:val="0"/>
        <w:adjustRightInd/>
        <w:snapToGrid/>
        <w:spacing w:line="600" w:lineRule="exact"/>
        <w:ind w:left="0" w:leftChars="0" w:right="0" w:rightChars="0"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eastAsia" w:eastAsia="黑体" w:cs="Times New Roman"/>
          <w:color w:val="000000"/>
          <w:kern w:val="0"/>
          <w:sz w:val="32"/>
          <w:szCs w:val="32"/>
          <w:highlight w:val="none"/>
          <w:shd w:val="clear" w:color="auto" w:fill="FFFFFF"/>
          <w:lang w:val="zh-CN"/>
        </w:rPr>
        <w:t>一、</w:t>
      </w:r>
      <w:r>
        <w:rPr>
          <w:rFonts w:hint="default" w:eastAsia="黑体" w:cs="Times New Roman"/>
          <w:color w:val="000000"/>
          <w:kern w:val="0"/>
          <w:sz w:val="32"/>
          <w:szCs w:val="32"/>
          <w:highlight w:val="none"/>
          <w:shd w:val="clear" w:color="auto" w:fill="FFFFFF"/>
          <w:lang w:val="zh-CN"/>
        </w:rPr>
        <w:t>部门（单位）基本情况</w:t>
      </w:r>
    </w:p>
    <w:p w14:paraId="174FA7FC">
      <w:pPr>
        <w:keepNext w:val="0"/>
        <w:keepLines w:val="0"/>
        <w:pageBreakBefore w:val="0"/>
        <w:kinsoku/>
        <w:wordWrap/>
        <w:topLinePunct w:val="0"/>
        <w:autoSpaceDE/>
        <w:autoSpaceDN/>
        <w:bidi w:val="0"/>
        <w:adjustRightInd/>
        <w:snapToGrid/>
        <w:spacing w:line="600" w:lineRule="exact"/>
        <w:ind w:left="0" w:leftChars="0" w:right="0" w:rightChars="0" w:firstLine="803" w:firstLineChars="250"/>
        <w:textAlignment w:val="auto"/>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（一）</w:t>
      </w:r>
      <w:r>
        <w:rPr>
          <w:rFonts w:hint="default" w:ascii="Times New Roman" w:hAnsi="Times New Roman" w:eastAsia="楷体_GB2312" w:cs="Times New Roman"/>
          <w:b/>
          <w:bCs/>
          <w:color w:val="000000"/>
          <w:kern w:val="0"/>
          <w:sz w:val="32"/>
          <w:szCs w:val="32"/>
          <w:highlight w:val="none"/>
          <w:shd w:val="clear" w:color="auto" w:fill="FFFFFF"/>
          <w:lang w:val="zh-CN"/>
        </w:rPr>
        <w:t>机构组成。</w:t>
      </w:r>
    </w:p>
    <w:p w14:paraId="7FCB5B31">
      <w:pPr>
        <w:keepNext w:val="0"/>
        <w:keepLines w:val="0"/>
        <w:pageBreakBefore w:val="0"/>
        <w:kinsoku/>
        <w:wordWrap/>
        <w:topLinePunct w:val="0"/>
        <w:autoSpaceDE/>
        <w:autoSpaceDN/>
        <w:bidi w:val="0"/>
        <w:adjustRightInd/>
        <w:snapToGrid/>
        <w:spacing w:line="600" w:lineRule="exact"/>
        <w:ind w:left="0" w:leftChars="0" w:right="0" w:rightChars="0" w:firstLine="800" w:firstLineChars="25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区政协机关为区级一级预算单位，无下属二级单位。设八委一室，即：办公室、提案委员会、</w:t>
      </w:r>
      <w:r>
        <w:rPr>
          <w:rFonts w:hint="default" w:ascii="Times New Roman" w:hAnsi="Times New Roman" w:eastAsia="仿宋_GB2312" w:cs="Times New Roman"/>
          <w:b w:val="0"/>
          <w:bCs w:val="0"/>
          <w:color w:val="auto"/>
          <w:kern w:val="2"/>
          <w:sz w:val="32"/>
          <w:szCs w:val="32"/>
          <w:highlight w:val="none"/>
          <w:lang w:val="zh-CN" w:eastAsia="zh-CN" w:bidi="ar-SA"/>
        </w:rPr>
        <w:t>社会法制</w:t>
      </w:r>
      <w:r>
        <w:rPr>
          <w:rFonts w:hint="default" w:ascii="Times New Roman" w:hAnsi="Times New Roman" w:eastAsia="仿宋_GB2312" w:cs="Times New Roman"/>
          <w:b w:val="0"/>
          <w:bCs w:val="0"/>
          <w:color w:val="auto"/>
          <w:kern w:val="2"/>
          <w:sz w:val="32"/>
          <w:szCs w:val="32"/>
          <w:highlight w:val="none"/>
          <w:lang w:val="en-US" w:eastAsia="zh-CN" w:bidi="ar-SA"/>
        </w:rPr>
        <w:t>和民族宗教</w:t>
      </w:r>
      <w:r>
        <w:rPr>
          <w:rFonts w:hint="default" w:ascii="Times New Roman" w:hAnsi="Times New Roman" w:eastAsia="仿宋_GB2312" w:cs="Times New Roman"/>
          <w:b w:val="0"/>
          <w:bCs w:val="0"/>
          <w:color w:val="auto"/>
          <w:kern w:val="2"/>
          <w:sz w:val="32"/>
          <w:szCs w:val="32"/>
          <w:highlight w:val="none"/>
          <w:lang w:val="zh-CN" w:eastAsia="zh-CN" w:bidi="ar-SA"/>
        </w:rPr>
        <w:t>委员会</w:t>
      </w:r>
      <w:r>
        <w:rPr>
          <w:rFonts w:hint="eastAsia" w:ascii="Times New Roman" w:hAnsi="Times New Roman" w:eastAsia="仿宋_GB2312" w:cs="Times New Roman"/>
          <w:b w:val="0"/>
          <w:bCs w:val="0"/>
          <w:color w:val="auto"/>
          <w:kern w:val="2"/>
          <w:sz w:val="32"/>
          <w:szCs w:val="32"/>
          <w:highlight w:val="none"/>
          <w:lang w:val="en-US" w:eastAsia="zh-CN" w:bidi="ar-SA"/>
        </w:rPr>
        <w:t>、经济委员会、农业和农村委员会、教科卫体委员会、文</w:t>
      </w:r>
      <w:r>
        <w:rPr>
          <w:rFonts w:hint="default" w:ascii="Times New Roman" w:hAnsi="Times New Roman" w:eastAsia="仿宋_GB2312" w:cs="Times New Roman"/>
          <w:b w:val="0"/>
          <w:bCs w:val="0"/>
          <w:color w:val="auto"/>
          <w:kern w:val="2"/>
          <w:sz w:val="32"/>
          <w:szCs w:val="32"/>
          <w:highlight w:val="none"/>
          <w:lang w:val="zh-CN" w:eastAsia="zh-CN" w:bidi="ar-SA"/>
        </w:rPr>
        <w:t>文史文化和学习委员会</w:t>
      </w:r>
      <w:r>
        <w:rPr>
          <w:rFonts w:hint="eastAsia" w:ascii="Times New Roman" w:hAnsi="Times New Roman" w:eastAsia="仿宋_GB2312" w:cs="Times New Roman"/>
          <w:b w:val="0"/>
          <w:bCs w:val="0"/>
          <w:color w:val="auto"/>
          <w:kern w:val="2"/>
          <w:sz w:val="32"/>
          <w:szCs w:val="32"/>
          <w:highlight w:val="none"/>
          <w:lang w:val="en-US" w:eastAsia="zh-CN" w:bidi="ar-SA"/>
        </w:rPr>
        <w:t>、委员联络委员会、城乡建设和人口资源环境委员会，机构级别为科级。区政协办下设宣传信息中心，机构级别为股级。下属二级预算单位0个，其中行政单位0个，参照公务员法管理的事业单位0个，其他事业单位0个。无纳入区政协办2023年度部门决算编制范围的二级预算单位。</w:t>
      </w:r>
    </w:p>
    <w:p w14:paraId="5B011354">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（二）机构职能</w:t>
      </w:r>
    </w:p>
    <w:p w14:paraId="4B18F56A">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1</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负责政协全委会议、常委会会议、主席会议等重要会议的会务工作及有关决议、决定事项的组织实施与督促落实。</w:t>
      </w:r>
    </w:p>
    <w:p w14:paraId="7FA79CF6">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2</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负责委员服务和管理的相关工作及调研、视察的协调、服务工作。</w:t>
      </w:r>
    </w:p>
    <w:p w14:paraId="5D4546F3">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3</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负责信息和社情民意工作，收集、整理、反映委员协商、监督、参政议政中的意见、建议和各族各界人士的意见、建议，供区委、区府及上级政协参考。</w:t>
      </w:r>
    </w:p>
    <w:p w14:paraId="3910ED3F">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4</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负责与区政协办、区委办、区人大办、区政府办及有关部门、各党派、工商联、人民团体的联系工作。</w:t>
      </w:r>
    </w:p>
    <w:p w14:paraId="50C95B1B">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5</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负责政协机关党的建设、政治学习、对外宣传、经验交流等工作。</w:t>
      </w:r>
    </w:p>
    <w:p w14:paraId="3535C1F4">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6</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负责政协文件、材料起草，政协工作信息、政协志（初稿）收集、整理、编写，机关公文、文电处理、文印、通讯工作。</w:t>
      </w:r>
    </w:p>
    <w:p w14:paraId="4674D060">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7</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负责机关机要、保密、档案、图书管理、报刊订阅、收发工作。</w:t>
      </w:r>
    </w:p>
    <w:p w14:paraId="661D5951">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8</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负责承办机关行政事务、人事劳动、财务、国有资产、接待服务等相关工作。</w:t>
      </w:r>
    </w:p>
    <w:p w14:paraId="7A5C7EE0">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9</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负责机关办公保障工作。</w:t>
      </w:r>
    </w:p>
    <w:p w14:paraId="5357F0A7">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10</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负责机关安全、保卫、消防工作和机关创文明单位所涉及的有关工作。</w:t>
      </w:r>
    </w:p>
    <w:p w14:paraId="2CBE6A2F">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720"/>
        <w:jc w:val="left"/>
        <w:textAlignment w:val="auto"/>
        <w:rPr>
          <w:rFonts w:hint="default" w:ascii="Times New Roman" w:hAnsi="Times New Roman" w:eastAsia="楷体_GB2312" w:cs="Times New Roman"/>
          <w:b/>
          <w:bCs/>
          <w:color w:val="000000"/>
          <w:kern w:val="0"/>
          <w:szCs w:val="32"/>
          <w:highlight w:val="yellow"/>
          <w:shd w:val="clear" w:color="auto" w:fill="FFFFFF"/>
          <w:lang w:val="zh-CN"/>
        </w:rPr>
      </w:pPr>
      <w:r>
        <w:rPr>
          <w:rFonts w:hint="eastAsia" w:ascii="仿宋_GB2312" w:hAnsi="仿宋_GB2312" w:eastAsia="仿宋_GB2312" w:cs="仿宋_GB2312"/>
          <w:color w:val="auto"/>
          <w:kern w:val="0"/>
          <w:sz w:val="32"/>
          <w:szCs w:val="32"/>
          <w:highlight w:val="none"/>
          <w:shd w:val="clear" w:color="auto" w:fill="FFFFFF"/>
          <w:lang w:val="zh-CN"/>
        </w:rPr>
        <w:t>11</w:t>
      </w:r>
      <w:r>
        <w:rPr>
          <w:rFonts w:hint="eastAsia" w:ascii="仿宋_GB2312" w:hAnsi="仿宋_GB2312" w:eastAsia="仿宋_GB2312" w:cs="仿宋_GB2312"/>
          <w:color w:val="auto"/>
          <w:kern w:val="0"/>
          <w:sz w:val="32"/>
          <w:szCs w:val="32"/>
          <w:highlight w:val="none"/>
          <w:shd w:val="clear" w:color="auto" w:fill="FFFFFF"/>
          <w:lang w:val="en-US" w:eastAsia="zh-CN"/>
        </w:rPr>
        <w:t>．</w:t>
      </w:r>
      <w:r>
        <w:rPr>
          <w:rFonts w:hint="eastAsia" w:ascii="仿宋_GB2312" w:hAnsi="仿宋_GB2312" w:eastAsia="仿宋_GB2312" w:cs="仿宋_GB2312"/>
          <w:color w:val="auto"/>
          <w:kern w:val="0"/>
          <w:sz w:val="32"/>
          <w:szCs w:val="32"/>
          <w:highlight w:val="none"/>
          <w:shd w:val="clear" w:color="auto" w:fill="FFFFFF"/>
          <w:lang w:val="zh-CN"/>
        </w:rPr>
        <w:t>完成领导交办的其他工作任务。</w:t>
      </w:r>
    </w:p>
    <w:p w14:paraId="5A82E97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default" w:ascii="Times New Roman" w:hAnsi="Times New Roman" w:cs="Times New Roman"/>
          <w:szCs w:val="32"/>
          <w:highlight w:val="yellow"/>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default" w:ascii="仿宋_GB2312" w:hAnsi="仿宋_GB2312" w:eastAsia="仿宋_GB2312" w:cs="仿宋_GB2312"/>
          <w:color w:val="auto"/>
          <w:kern w:val="0"/>
          <w:sz w:val="32"/>
          <w:szCs w:val="32"/>
          <w:highlight w:val="none"/>
          <w:shd w:val="clear" w:color="auto" w:fill="FFFFFF"/>
          <w:lang w:val="zh-CN"/>
        </w:rPr>
        <w:t>本</w:t>
      </w:r>
      <w:r>
        <w:rPr>
          <w:rFonts w:hint="eastAsia" w:ascii="仿宋_GB2312" w:hAnsi="仿宋_GB2312" w:eastAsia="仿宋_GB2312" w:cs="仿宋_GB2312"/>
          <w:color w:val="auto"/>
          <w:kern w:val="0"/>
          <w:sz w:val="32"/>
          <w:szCs w:val="32"/>
          <w:highlight w:val="none"/>
          <w:shd w:val="clear" w:color="auto" w:fill="FFFFFF"/>
          <w:lang w:val="en-US" w:eastAsia="zh-CN"/>
        </w:rPr>
        <w:t>单位</w:t>
      </w:r>
      <w:r>
        <w:rPr>
          <w:rFonts w:hint="default" w:ascii="仿宋_GB2312" w:hAnsi="仿宋_GB2312" w:eastAsia="仿宋_GB2312" w:cs="仿宋_GB2312"/>
          <w:color w:val="auto"/>
          <w:kern w:val="0"/>
          <w:sz w:val="32"/>
          <w:szCs w:val="32"/>
          <w:highlight w:val="none"/>
          <w:shd w:val="clear" w:color="auto" w:fill="FFFFFF"/>
          <w:lang w:val="en-US" w:eastAsia="zh-CN"/>
        </w:rPr>
        <w:t>核定编制2</w:t>
      </w:r>
      <w:r>
        <w:rPr>
          <w:rFonts w:hint="eastAsia" w:ascii="仿宋_GB2312" w:hAnsi="仿宋_GB2312" w:eastAsia="仿宋_GB2312" w:cs="仿宋_GB2312"/>
          <w:color w:val="auto"/>
          <w:kern w:val="0"/>
          <w:sz w:val="32"/>
          <w:szCs w:val="32"/>
          <w:highlight w:val="none"/>
          <w:shd w:val="clear" w:color="auto" w:fill="FFFFFF"/>
          <w:lang w:val="en-US" w:eastAsia="zh-CN"/>
        </w:rPr>
        <w:t>2</w:t>
      </w:r>
      <w:r>
        <w:rPr>
          <w:rFonts w:hint="default" w:ascii="仿宋_GB2312" w:hAnsi="仿宋_GB2312" w:eastAsia="仿宋_GB2312" w:cs="仿宋_GB2312"/>
          <w:color w:val="auto"/>
          <w:kern w:val="0"/>
          <w:sz w:val="32"/>
          <w:szCs w:val="32"/>
          <w:highlight w:val="none"/>
          <w:shd w:val="clear" w:color="auto" w:fill="FFFFFF"/>
          <w:lang w:val="en-US" w:eastAsia="zh-CN"/>
        </w:rPr>
        <w:t>个，其中行政编制1</w:t>
      </w:r>
      <w:r>
        <w:rPr>
          <w:rFonts w:hint="eastAsia" w:ascii="仿宋_GB2312" w:hAnsi="仿宋_GB2312" w:eastAsia="仿宋_GB2312" w:cs="仿宋_GB2312"/>
          <w:color w:val="auto"/>
          <w:kern w:val="0"/>
          <w:sz w:val="32"/>
          <w:szCs w:val="32"/>
          <w:highlight w:val="none"/>
          <w:shd w:val="clear" w:color="auto" w:fill="FFFFFF"/>
          <w:lang w:val="en-US" w:eastAsia="zh-CN"/>
        </w:rPr>
        <w:t>7</w:t>
      </w:r>
      <w:r>
        <w:rPr>
          <w:rFonts w:hint="default" w:ascii="仿宋_GB2312" w:hAnsi="仿宋_GB2312" w:eastAsia="仿宋_GB2312" w:cs="仿宋_GB2312"/>
          <w:color w:val="auto"/>
          <w:kern w:val="0"/>
          <w:sz w:val="32"/>
          <w:szCs w:val="32"/>
          <w:highlight w:val="none"/>
          <w:shd w:val="clear" w:color="auto" w:fill="FFFFFF"/>
          <w:lang w:val="en-US" w:eastAsia="zh-CN"/>
        </w:rPr>
        <w:t>个、机关工勤编制3个、事业编制2个。</w:t>
      </w:r>
      <w:r>
        <w:rPr>
          <w:rFonts w:hint="default" w:ascii="仿宋_GB2312" w:hAnsi="仿宋_GB2312" w:eastAsia="仿宋_GB2312" w:cs="仿宋_GB2312"/>
          <w:color w:val="auto"/>
          <w:kern w:val="0"/>
          <w:sz w:val="32"/>
          <w:szCs w:val="32"/>
          <w:highlight w:val="none"/>
          <w:shd w:val="clear" w:color="auto" w:fill="FFFFFF"/>
          <w:lang w:val="zh-CN" w:eastAsia="zh-CN"/>
        </w:rPr>
        <w:t>20</w:t>
      </w:r>
      <w:r>
        <w:rPr>
          <w:rFonts w:hint="default" w:ascii="仿宋_GB2312" w:hAnsi="仿宋_GB2312" w:eastAsia="仿宋_GB2312" w:cs="仿宋_GB2312"/>
          <w:color w:val="auto"/>
          <w:kern w:val="0"/>
          <w:sz w:val="32"/>
          <w:szCs w:val="32"/>
          <w:highlight w:val="none"/>
          <w:shd w:val="clear" w:color="auto" w:fill="FFFFFF"/>
          <w:lang w:val="en-US" w:eastAsia="zh-CN"/>
        </w:rPr>
        <w:t>2</w:t>
      </w:r>
      <w:r>
        <w:rPr>
          <w:rFonts w:hint="eastAsia" w:ascii="仿宋_GB2312" w:hAnsi="仿宋_GB2312" w:eastAsia="仿宋_GB2312" w:cs="仿宋_GB2312"/>
          <w:color w:val="auto"/>
          <w:kern w:val="0"/>
          <w:sz w:val="32"/>
          <w:szCs w:val="32"/>
          <w:highlight w:val="none"/>
          <w:shd w:val="clear" w:color="auto" w:fill="FFFFFF"/>
          <w:lang w:val="en-US" w:eastAsia="zh-CN"/>
        </w:rPr>
        <w:t>3</w:t>
      </w:r>
      <w:r>
        <w:rPr>
          <w:rFonts w:hint="default" w:ascii="仿宋_GB2312" w:hAnsi="仿宋_GB2312" w:eastAsia="仿宋_GB2312" w:cs="仿宋_GB2312"/>
          <w:color w:val="auto"/>
          <w:kern w:val="0"/>
          <w:sz w:val="32"/>
          <w:szCs w:val="32"/>
          <w:highlight w:val="none"/>
          <w:shd w:val="clear" w:color="auto" w:fill="FFFFFF"/>
          <w:lang w:val="zh-CN" w:eastAsia="zh-CN"/>
        </w:rPr>
        <w:t>年</w:t>
      </w:r>
      <w:r>
        <w:rPr>
          <w:rFonts w:hint="default" w:ascii="仿宋_GB2312" w:hAnsi="仿宋_GB2312" w:eastAsia="仿宋_GB2312" w:cs="仿宋_GB2312"/>
          <w:color w:val="auto"/>
          <w:kern w:val="0"/>
          <w:sz w:val="32"/>
          <w:szCs w:val="32"/>
          <w:highlight w:val="none"/>
          <w:shd w:val="clear" w:color="auto" w:fill="FFFFFF"/>
          <w:lang w:val="zh-CN"/>
        </w:rPr>
        <w:t>末实有人数</w:t>
      </w:r>
      <w:r>
        <w:rPr>
          <w:rFonts w:hint="eastAsia" w:ascii="仿宋_GB2312" w:hAnsi="仿宋_GB2312" w:eastAsia="仿宋_GB2312" w:cs="仿宋_GB2312"/>
          <w:color w:val="auto"/>
          <w:kern w:val="0"/>
          <w:sz w:val="32"/>
          <w:szCs w:val="32"/>
          <w:highlight w:val="none"/>
          <w:shd w:val="clear" w:color="auto" w:fill="FFFFFF"/>
          <w:lang w:val="en-US" w:eastAsia="zh-CN"/>
        </w:rPr>
        <w:t>81</w:t>
      </w:r>
      <w:r>
        <w:rPr>
          <w:rFonts w:hint="default" w:ascii="仿宋_GB2312" w:hAnsi="仿宋_GB2312" w:eastAsia="仿宋_GB2312" w:cs="仿宋_GB2312"/>
          <w:color w:val="auto"/>
          <w:kern w:val="0"/>
          <w:sz w:val="32"/>
          <w:szCs w:val="32"/>
          <w:highlight w:val="none"/>
          <w:shd w:val="clear" w:color="auto" w:fill="FFFFFF"/>
          <w:lang w:val="zh-CN"/>
        </w:rPr>
        <w:t>人，其中</w:t>
      </w:r>
      <w:r>
        <w:rPr>
          <w:rFonts w:hint="eastAsia" w:ascii="仿宋_GB2312" w:hAnsi="仿宋_GB2312" w:eastAsia="仿宋_GB2312" w:cs="仿宋_GB2312"/>
          <w:color w:val="auto"/>
          <w:kern w:val="0"/>
          <w:sz w:val="32"/>
          <w:szCs w:val="32"/>
          <w:highlight w:val="none"/>
          <w:shd w:val="clear" w:color="auto" w:fill="FFFFFF"/>
          <w:lang w:val="en-US" w:eastAsia="zh-CN"/>
        </w:rPr>
        <w:t>在编</w:t>
      </w:r>
      <w:r>
        <w:rPr>
          <w:rFonts w:hint="default" w:ascii="仿宋_GB2312" w:hAnsi="仿宋_GB2312" w:eastAsia="仿宋_GB2312" w:cs="仿宋_GB2312"/>
          <w:color w:val="auto"/>
          <w:kern w:val="0"/>
          <w:sz w:val="32"/>
          <w:szCs w:val="32"/>
          <w:highlight w:val="none"/>
          <w:shd w:val="clear" w:color="auto" w:fill="FFFFFF"/>
          <w:lang w:val="zh-CN"/>
        </w:rPr>
        <w:t>在职人员</w:t>
      </w:r>
      <w:r>
        <w:rPr>
          <w:rFonts w:hint="default" w:ascii="仿宋_GB2312" w:hAnsi="仿宋_GB2312" w:eastAsia="仿宋_GB2312" w:cs="仿宋_GB2312"/>
          <w:color w:val="auto"/>
          <w:kern w:val="0"/>
          <w:sz w:val="32"/>
          <w:szCs w:val="32"/>
          <w:highlight w:val="none"/>
          <w:shd w:val="clear" w:color="auto" w:fill="FFFFFF"/>
          <w:lang w:val="en-US" w:eastAsia="zh-CN"/>
        </w:rPr>
        <w:t>4</w:t>
      </w:r>
      <w:r>
        <w:rPr>
          <w:rFonts w:hint="eastAsia" w:ascii="仿宋_GB2312" w:hAnsi="仿宋_GB2312" w:eastAsia="仿宋_GB2312" w:cs="仿宋_GB2312"/>
          <w:color w:val="auto"/>
          <w:kern w:val="0"/>
          <w:sz w:val="32"/>
          <w:szCs w:val="32"/>
          <w:highlight w:val="none"/>
          <w:shd w:val="clear" w:color="auto" w:fill="FFFFFF"/>
          <w:lang w:val="en-US" w:eastAsia="zh-CN"/>
        </w:rPr>
        <w:t>3</w:t>
      </w:r>
      <w:r>
        <w:rPr>
          <w:rFonts w:hint="default" w:ascii="仿宋_GB2312" w:hAnsi="仿宋_GB2312" w:eastAsia="仿宋_GB2312" w:cs="仿宋_GB2312"/>
          <w:color w:val="auto"/>
          <w:kern w:val="0"/>
          <w:sz w:val="32"/>
          <w:szCs w:val="32"/>
          <w:highlight w:val="none"/>
          <w:shd w:val="clear" w:color="auto" w:fill="FFFFFF"/>
          <w:lang w:val="zh-CN"/>
        </w:rPr>
        <w:t>人</w:t>
      </w:r>
      <w:r>
        <w:rPr>
          <w:rFonts w:hint="eastAsia" w:ascii="仿宋_GB2312" w:hAnsi="仿宋_GB2312" w:eastAsia="仿宋_GB2312" w:cs="仿宋_GB2312"/>
          <w:color w:val="auto"/>
          <w:kern w:val="0"/>
          <w:sz w:val="32"/>
          <w:szCs w:val="32"/>
          <w:highlight w:val="none"/>
          <w:shd w:val="clear" w:color="auto" w:fill="FFFFFF"/>
          <w:lang w:val="zh-CN" w:eastAsia="zh-CN"/>
        </w:rPr>
        <w:t>、</w:t>
      </w:r>
      <w:r>
        <w:rPr>
          <w:rFonts w:hint="default" w:ascii="仿宋_GB2312" w:hAnsi="仿宋_GB2312" w:eastAsia="仿宋_GB2312" w:cs="仿宋_GB2312"/>
          <w:color w:val="auto"/>
          <w:kern w:val="0"/>
          <w:sz w:val="32"/>
          <w:szCs w:val="32"/>
          <w:highlight w:val="none"/>
          <w:shd w:val="clear" w:color="auto" w:fill="FFFFFF"/>
          <w:lang w:val="zh-CN"/>
        </w:rPr>
        <w:t>退休人员</w:t>
      </w:r>
      <w:r>
        <w:rPr>
          <w:rFonts w:hint="eastAsia" w:ascii="仿宋_GB2312" w:hAnsi="仿宋_GB2312" w:eastAsia="仿宋_GB2312" w:cs="仿宋_GB2312"/>
          <w:color w:val="auto"/>
          <w:kern w:val="0"/>
          <w:sz w:val="32"/>
          <w:szCs w:val="32"/>
          <w:highlight w:val="none"/>
          <w:shd w:val="clear" w:color="auto" w:fill="FFFFFF"/>
          <w:lang w:val="en-US" w:eastAsia="zh-CN"/>
        </w:rPr>
        <w:t>36</w:t>
      </w:r>
      <w:r>
        <w:rPr>
          <w:rFonts w:hint="default" w:ascii="仿宋_GB2312" w:hAnsi="仿宋_GB2312" w:eastAsia="仿宋_GB2312" w:cs="仿宋_GB2312"/>
          <w:color w:val="auto"/>
          <w:kern w:val="0"/>
          <w:sz w:val="32"/>
          <w:szCs w:val="32"/>
          <w:highlight w:val="none"/>
          <w:shd w:val="clear" w:color="auto" w:fill="FFFFFF"/>
          <w:lang w:val="zh-CN"/>
        </w:rPr>
        <w:t>人</w:t>
      </w:r>
      <w:r>
        <w:rPr>
          <w:rFonts w:hint="eastAsia" w:ascii="仿宋_GB2312" w:hAnsi="仿宋_GB2312" w:eastAsia="仿宋_GB2312" w:cs="仿宋_GB2312"/>
          <w:color w:val="auto"/>
          <w:kern w:val="0"/>
          <w:sz w:val="32"/>
          <w:szCs w:val="32"/>
          <w:highlight w:val="none"/>
          <w:shd w:val="clear" w:color="auto" w:fill="FFFFFF"/>
          <w:lang w:val="zh-CN" w:eastAsia="zh-CN"/>
        </w:rPr>
        <w:t>、</w:t>
      </w:r>
      <w:r>
        <w:rPr>
          <w:rFonts w:hint="eastAsia" w:ascii="仿宋_GB2312" w:hAnsi="仿宋_GB2312" w:eastAsia="仿宋_GB2312" w:cs="仿宋_GB2312"/>
          <w:color w:val="auto"/>
          <w:kern w:val="0"/>
          <w:sz w:val="32"/>
          <w:szCs w:val="32"/>
          <w:highlight w:val="none"/>
          <w:shd w:val="clear" w:color="auto" w:fill="FFFFFF"/>
          <w:lang w:val="en-US" w:eastAsia="zh-CN"/>
        </w:rPr>
        <w:t>临聘人员3人</w:t>
      </w:r>
      <w:r>
        <w:rPr>
          <w:rFonts w:hint="default" w:ascii="仿宋_GB2312" w:hAnsi="仿宋_GB2312" w:eastAsia="仿宋_GB2312" w:cs="仿宋_GB2312"/>
          <w:color w:val="auto"/>
          <w:kern w:val="0"/>
          <w:sz w:val="32"/>
          <w:szCs w:val="32"/>
          <w:highlight w:val="none"/>
          <w:shd w:val="clear" w:color="auto" w:fill="FFFFFF"/>
          <w:lang w:val="zh-CN"/>
        </w:rPr>
        <w:t>。</w:t>
      </w:r>
    </w:p>
    <w:p w14:paraId="7EB08BA3">
      <w:pPr>
        <w:keepNext w:val="0"/>
        <w:keepLines w:val="0"/>
        <w:pageBreakBefore w:val="0"/>
        <w:widowControl/>
        <w:numPr>
          <w:ilvl w:val="0"/>
          <w:numId w:val="0"/>
        </w:numPr>
        <w:kinsoku/>
        <w:wordWrap/>
        <w:overflowPunct/>
        <w:topLinePunct w:val="0"/>
        <w:autoSpaceDE/>
        <w:autoSpaceDN/>
        <w:bidi w:val="0"/>
        <w:adjustRightInd/>
        <w:snapToGrid/>
        <w:spacing w:line="600" w:lineRule="exact"/>
        <w:ind w:left="0" w:leftChars="0" w:right="0" w:rightChars="0"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二、部门资金收支情况</w:t>
      </w:r>
    </w:p>
    <w:p w14:paraId="613A77D9">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350A35C6">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contextualSpacing/>
        <w:jc w:val="both"/>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zh-CN" w:eastAsia="zh-CN"/>
        </w:rPr>
        <w:t>2023年度政协收入年初预算数为1,350.85万元。较2022年年初预算964.43万元增加386.42万元，增长40.07%，主要原因是2023年职工基础绩效纳入年初预算。</w:t>
      </w:r>
    </w:p>
    <w:p w14:paraId="7B9952D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2023年政协收入全年预算总额1,402.50万元，收入决算总额为1,402.50万元，收入预算执行100%。与2022</w:t>
      </w:r>
      <w:r>
        <w:rPr>
          <w:rFonts w:hint="eastAsia" w:eastAsia="仿宋_GB2312" w:cs="Times New Roman"/>
          <w:sz w:val="32"/>
          <w:szCs w:val="32"/>
          <w:highlight w:val="none"/>
          <w:lang w:val="en-US" w:eastAsia="zh-CN"/>
        </w:rPr>
        <w:t>年</w:t>
      </w:r>
      <w:r>
        <w:rPr>
          <w:rFonts w:hint="eastAsia" w:ascii="Times New Roman" w:hAnsi="Times New Roman" w:eastAsia="仿宋_GB2312" w:cs="Times New Roman"/>
          <w:sz w:val="32"/>
          <w:szCs w:val="32"/>
          <w:highlight w:val="none"/>
          <w:lang w:val="en-US" w:eastAsia="zh-CN"/>
        </w:rPr>
        <w:t>度收入预算执行情况相比无变动。</w:t>
      </w:r>
    </w:p>
    <w:p w14:paraId="093A8E5A">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zh-CN" w:eastAsia="zh-CN"/>
        </w:rPr>
      </w:pPr>
      <w:r>
        <w:rPr>
          <w:rFonts w:hint="eastAsia" w:ascii="Times New Roman" w:hAnsi="Times New Roman" w:eastAsia="仿宋_GB2312" w:cs="Times New Roman"/>
          <w:sz w:val="32"/>
          <w:szCs w:val="32"/>
          <w:highlight w:val="none"/>
          <w:lang w:val="en-US" w:eastAsia="zh-CN"/>
        </w:rPr>
        <w:t>2023年政协本年收入为1,392.77万元，其中：财政拨款收入1,392.11万元，占99.95%;其他收入0.66万元，占0.05%。与2022年相比财政拨款收入增长1.32%，主要是本年度较上年度项目经费增加，其他收入增长214.29%，主要是本年度收到船山区委组织部转入2022年党员干部关爱资金。</w:t>
      </w:r>
    </w:p>
    <w:p w14:paraId="75362E79">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eastAsia"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02E9B66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zh-CN" w:eastAsia="zh-CN"/>
        </w:rPr>
        <w:t>2023年度政协支出年初预算数为1,350.85万元，其中:一般公共预算财政拨款1,035.45万元、社会保障和就业支出178.04万元、卫生健康支出47.92万元、住房保障支出89.44万元</w:t>
      </w:r>
      <w:r>
        <w:rPr>
          <w:rFonts w:hint="eastAsia" w:ascii="Times New Roman" w:hAnsi="Times New Roman" w:eastAsia="仿宋_GB2312" w:cs="Times New Roman"/>
          <w:sz w:val="32"/>
          <w:szCs w:val="32"/>
          <w:highlight w:val="none"/>
          <w:lang w:val="zh-CN" w:eastAsia="zh-CN"/>
        </w:rPr>
        <w:t>。</w:t>
      </w:r>
    </w:p>
    <w:p w14:paraId="2EEC9B9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2023年政协支出全年预算总额1,402.50万元，本年支出总计为1,392.61万元，预算执行率为99.29%，其中财政拨款支出1,392.11万元。与2022年支出预算执行率99.30%相比，降低了0.01%，变动的主要原因是本年度厉行节约，压减支出。</w:t>
      </w:r>
    </w:p>
    <w:p w14:paraId="672E6A5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cs="Times New Roman"/>
          <w:szCs w:val="32"/>
          <w:highlight w:val="none"/>
          <w:lang w:val="zh-CN" w:eastAsia="zh-CN"/>
        </w:rPr>
      </w:pPr>
      <w:r>
        <w:rPr>
          <w:rFonts w:hint="eastAsia" w:ascii="Times New Roman" w:hAnsi="Times New Roman" w:eastAsia="仿宋_GB2312" w:cs="Times New Roman"/>
          <w:sz w:val="32"/>
          <w:szCs w:val="32"/>
          <w:highlight w:val="none"/>
          <w:lang w:val="en-US" w:eastAsia="zh-CN"/>
        </w:rPr>
        <w:t>2023年政协本年支出1,392.61万元，按资金来源财政拨款1,392.11万元，占支出总额99.96%，其他资金0.50万元，占支出总额0.04%；按支出性质基本支出1,218.83万元，占支出总额87.52%，项目支出173.78万元，占支出总额12.48%；按支出经济分类工资福利支出936.38万元，占支出总额67.24%，商品和服务支出287.09万元，占支出总额20.62%，对个人和家庭的补助139.28万元，占支出总额10.00%，资本性支出29.86万元，占支出总额2.14%。与2022年支出相比，2023年度支出增长1.08%，主要是本年度较上年度项目经费增加。</w:t>
      </w:r>
    </w:p>
    <w:p w14:paraId="3410A3D3">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56FF477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default"/>
          <w:lang w:val="zh-CN" w:eastAsia="zh-CN"/>
        </w:rPr>
      </w:pPr>
      <w:r>
        <w:rPr>
          <w:rFonts w:hint="eastAsia" w:ascii="Times New Roman" w:hAnsi="Times New Roman" w:eastAsia="仿宋_GB2312" w:cs="Times New Roman"/>
          <w:sz w:val="32"/>
          <w:szCs w:val="32"/>
          <w:highlight w:val="none"/>
          <w:lang w:val="en-US" w:eastAsia="zh-CN"/>
        </w:rPr>
        <w:t>2023年政协年末结转和结余9.89万元，较2022年度年末结转和结余9.73万元增加0.16万元，增长1.64%，均为基本支出结转，变动原因主要是本年度区委组织部转入2022年退休支部党费。</w:t>
      </w:r>
    </w:p>
    <w:p w14:paraId="3091444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三、部门预算绩效分析</w:t>
      </w:r>
    </w:p>
    <w:p w14:paraId="643EDE96">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textAlignment w:val="auto"/>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（一）部门预算管理</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en-US" w:eastAsia="zh-CN"/>
        </w:rPr>
        <w:t>自评得分77.6分</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7D39232D">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目标制定：严格执行新《中华人民共和国预算法》规定及财政局要求，结合上一年度预算执行情况和本年度预算收支变化因素，科学、合理编制本年预算草案，绩效目标编制符合国家法律法规、国民经济和社会发展总体规划、“三定”方案确定职能职责，填报绩效目标要素完整，指标清晰、细化、可量化。根据评价标准该项得10分。</w:t>
      </w:r>
    </w:p>
    <w:p w14:paraId="56AD23C8">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sz w:val="32"/>
          <w:szCs w:val="32"/>
          <w:lang w:val="en-US" w:eastAsia="zh-CN"/>
        </w:rPr>
        <w:t>2.目标实现：本单位2023年共有9个项目，其中文史资料费因项目实施条件不充分，项目实际完成情况未达到预期绩效目标。其他8个项目在本级财政资金保障下，圆满完成各项目标任务。</w:t>
      </w:r>
      <w:r>
        <w:rPr>
          <w:rStyle w:val="22"/>
          <w:rFonts w:hint="eastAsia" w:ascii="仿宋_GB2312" w:hAnsi="仿宋_GB2312" w:eastAsia="仿宋_GB2312" w:cs="仿宋_GB2312"/>
          <w:bCs w:val="0"/>
          <w:color w:val="auto"/>
          <w:spacing w:val="0"/>
          <w:kern w:val="0"/>
          <w:sz w:val="32"/>
          <w:szCs w:val="32"/>
          <w:highlight w:val="none"/>
          <w:lang w:val="en-US" w:eastAsia="zh-CN" w:bidi="ar"/>
        </w:rPr>
        <w:t>一是坚定讲政治、把方向，思想根基更加牢固。</w:t>
      </w:r>
      <w:r>
        <w:rPr>
          <w:rFonts w:hint="eastAsia" w:ascii="仿宋_GB2312" w:hAnsi="仿宋_GB2312" w:eastAsia="仿宋_GB2312" w:cs="仿宋_GB2312"/>
          <w:color w:val="auto"/>
          <w:spacing w:val="0"/>
          <w:kern w:val="0"/>
          <w:sz w:val="32"/>
          <w:szCs w:val="32"/>
          <w:highlight w:val="none"/>
          <w:lang w:val="en-US" w:eastAsia="zh-CN" w:bidi="ar"/>
        </w:rPr>
        <w:t>把学习贯彻中共二十大和习近平总书记来川视察重要指示精神相结合，运用理论学习中心组引领学、主席会议示范学、常委会会议专题学、委员培训集中学、“政协大讲堂”辅导学、“书香政协”常态学的“六学”体系开展学习30余次，引导全体委员和机关干部坚定捍卫“两个确立”、坚决做到“两个维护”。精心组织开展学习贯彻习近平新时代中国特色社会主义思想主题教育，坚持“学思想、强党性、重实践、建新功”，同步开展机关干部集中专题学习，6次召开理论学习中心组专题学习会集中研讨，区政协领导班子成员深入基层主题宣讲7场、牵头开展专题调研5项。始终在区委领导下谋划工作、履行职能，区委常委会3次听取政协党组工作汇报、研究审议政协重要事项，区政协认真执行年度协商计划和区委交办的重点课题任务，始终与区委政治同向、思想同心、步调同频。充分发挥党建引领作用，推进党建与履职、专委会工作与界别工作两促进、双提升，党的组织覆盖党员委员、党的工作覆盖全体委员“两个全覆盖”质量不断提高。</w:t>
      </w:r>
      <w:r>
        <w:rPr>
          <w:rStyle w:val="22"/>
          <w:rFonts w:hint="eastAsia" w:ascii="仿宋_GB2312" w:hAnsi="仿宋_GB2312" w:eastAsia="仿宋_GB2312" w:cs="仿宋_GB2312"/>
          <w:bCs w:val="0"/>
          <w:color w:val="auto"/>
          <w:spacing w:val="0"/>
          <w:kern w:val="0"/>
          <w:sz w:val="32"/>
          <w:szCs w:val="32"/>
          <w:highlight w:val="none"/>
          <w:lang w:val="en-US" w:eastAsia="zh-CN" w:bidi="ar"/>
        </w:rPr>
        <w:t>二是聚力拼经济、搞建设，建言资政更加精准。</w:t>
      </w:r>
      <w:r>
        <w:rPr>
          <w:rFonts w:hint="eastAsia" w:ascii="仿宋_GB2312" w:hAnsi="仿宋_GB2312" w:eastAsia="仿宋_GB2312" w:cs="仿宋_GB2312"/>
          <w:color w:val="auto"/>
          <w:spacing w:val="0"/>
          <w:kern w:val="0"/>
          <w:sz w:val="32"/>
          <w:szCs w:val="32"/>
          <w:highlight w:val="none"/>
          <w:lang w:val="en-US" w:eastAsia="zh-CN" w:bidi="ar"/>
        </w:rPr>
        <w:t>坚持区委中心工作推进到哪里、政协履职就跟进到哪里，努力提高履职精准度和协商贡献率。</w:t>
      </w:r>
      <w:r>
        <w:rPr>
          <w:rFonts w:hint="eastAsia" w:ascii="仿宋_GB2312" w:hAnsi="仿宋_GB2312" w:eastAsia="仿宋_GB2312" w:cs="仿宋_GB2312"/>
          <w:color w:val="auto"/>
          <w:kern w:val="0"/>
          <w:sz w:val="32"/>
          <w:szCs w:val="32"/>
          <w:highlight w:val="none"/>
          <w:u w:val="none"/>
          <w:lang w:val="en-US" w:eastAsia="zh-CN" w:bidi="ar-SA"/>
        </w:rPr>
        <w:t>统筹推进“同心共建现代化四川”船山专项行动，聚焦同心共建川渝合作“桥头堡”、同心共建工业强区、同心共建商旅兴区等五项行动，围绕</w:t>
      </w:r>
      <w:r>
        <w:rPr>
          <w:rFonts w:hint="eastAsia" w:ascii="仿宋_GB2312" w:hAnsi="仿宋_GB2312" w:eastAsia="仿宋_GB2312" w:cs="仿宋_GB2312"/>
          <w:color w:val="auto"/>
          <w:kern w:val="0"/>
          <w:sz w:val="32"/>
          <w:szCs w:val="32"/>
          <w:highlight w:val="none"/>
          <w:lang w:val="en-US" w:eastAsia="zh-CN" w:bidi="ar-SA"/>
        </w:rPr>
        <w:t>“拼经济搞建设推动高质量发展”“国家级现代农业产业园建设”召开专题议政性常委会，围绕“国有企业实体化运作”“白芷产业发展”等课题开展监督性视察13次，形成高质量协商意见18篇，其</w:t>
      </w:r>
      <w:r>
        <w:rPr>
          <w:rFonts w:hint="eastAsia" w:ascii="仿宋_GB2312" w:hAnsi="仿宋_GB2312" w:eastAsia="仿宋_GB2312" w:cs="仿宋_GB2312"/>
          <w:color w:val="auto"/>
          <w:kern w:val="0"/>
          <w:sz w:val="32"/>
          <w:szCs w:val="32"/>
          <w:highlight w:val="none"/>
          <w:u w:val="none"/>
          <w:lang w:val="en-US" w:eastAsia="zh-CN" w:bidi="ar-SA"/>
        </w:rPr>
        <w:t>中</w:t>
      </w:r>
      <w:r>
        <w:rPr>
          <w:rFonts w:hint="eastAsia" w:ascii="仿宋_GB2312" w:hAnsi="仿宋_GB2312" w:eastAsia="仿宋_GB2312" w:cs="仿宋_GB2312"/>
          <w:color w:val="auto"/>
          <w:kern w:val="0"/>
          <w:sz w:val="32"/>
          <w:szCs w:val="32"/>
          <w:highlight w:val="none"/>
          <w:lang w:val="en-US" w:eastAsia="zh-CN" w:bidi="ar-SA"/>
        </w:rPr>
        <w:t>“优化营商环境提升政务服务效能”等</w:t>
      </w:r>
      <w:r>
        <w:rPr>
          <w:rFonts w:hint="eastAsia" w:ascii="仿宋_GB2312" w:hAnsi="仿宋_GB2312" w:eastAsia="仿宋_GB2312" w:cs="仿宋_GB2312"/>
          <w:color w:val="auto"/>
          <w:kern w:val="0"/>
          <w:sz w:val="32"/>
          <w:szCs w:val="32"/>
          <w:highlight w:val="none"/>
          <w:u w:val="none"/>
          <w:lang w:val="en-US" w:eastAsia="zh-CN" w:bidi="ar-SA"/>
        </w:rPr>
        <w:t>6篇</w:t>
      </w:r>
      <w:r>
        <w:rPr>
          <w:rFonts w:hint="eastAsia" w:ascii="仿宋_GB2312" w:hAnsi="仿宋_GB2312" w:eastAsia="仿宋_GB2312" w:cs="仿宋_GB2312"/>
          <w:color w:val="auto"/>
          <w:kern w:val="0"/>
          <w:sz w:val="32"/>
          <w:szCs w:val="32"/>
          <w:highlight w:val="none"/>
          <w:lang w:val="en-US" w:eastAsia="zh-CN" w:bidi="ar-SA"/>
        </w:rPr>
        <w:t>得到</w:t>
      </w:r>
      <w:r>
        <w:rPr>
          <w:rFonts w:hint="eastAsia" w:ascii="仿宋_GB2312" w:hAnsi="仿宋_GB2312" w:eastAsia="仿宋_GB2312" w:cs="仿宋_GB2312"/>
          <w:color w:val="auto"/>
          <w:kern w:val="0"/>
          <w:sz w:val="32"/>
          <w:szCs w:val="32"/>
          <w:highlight w:val="none"/>
          <w:u w:val="none"/>
          <w:lang w:val="en-US" w:eastAsia="zh-CN" w:bidi="ar-SA"/>
        </w:rPr>
        <w:t>区委主要领导肯定性批示，24项协商意见实现成果转化。把服务中心大局作为第一要务，主席会议成员联系川浙共建工业产业园等重点项目5个，定期督导25个重点项目，领衔督办“持续推进高新技术产业船山园区高质量发展”“进一步提振中小微企业发展信心”等9个重点提案，带队走访委员企业和市场经营主体60余家，协调解决招工难、停车难等问题30余个，帮助市场主体复元气、强信心。以船山发展为重点提出的3项提案被列为市政协优秀提案，4名委员被推荐为省政协先进个人。</w:t>
      </w:r>
      <w:r>
        <w:rPr>
          <w:rStyle w:val="22"/>
          <w:rFonts w:hint="eastAsia" w:ascii="仿宋_GB2312" w:hAnsi="仿宋_GB2312" w:eastAsia="仿宋_GB2312" w:cs="仿宋_GB2312"/>
          <w:bCs w:val="0"/>
          <w:color w:val="auto"/>
          <w:spacing w:val="0"/>
          <w:kern w:val="0"/>
          <w:sz w:val="32"/>
          <w:szCs w:val="32"/>
          <w:highlight w:val="none"/>
          <w:lang w:val="en-US" w:eastAsia="zh-CN" w:bidi="ar"/>
        </w:rPr>
        <w:t>三是紧扣惠民生、促和谐，履职为民更加务实。</w:t>
      </w:r>
      <w:r>
        <w:rPr>
          <w:rFonts w:hint="eastAsia" w:ascii="仿宋_GB2312" w:hAnsi="仿宋_GB2312" w:eastAsia="仿宋_GB2312" w:cs="仿宋_GB2312"/>
          <w:color w:val="auto"/>
          <w:kern w:val="0"/>
          <w:sz w:val="32"/>
          <w:szCs w:val="32"/>
          <w:highlight w:val="none"/>
          <w:lang w:val="en-US" w:eastAsia="zh-CN" w:bidi="ar-SA"/>
        </w:rPr>
        <w:t>深入践行以人民为中心的发展思想，扎实推进“我为群众办实事”和委员履职“服务为民”活动，通过各类协商平台，助力完成老旧小区升级改造、农村人居环境提升等民生实事20余项，“惠民生暖民心帮一帮”成为全市唯一写入省政协“同心共建现代化四川”专项行动专刊的区县活动。引导委员聚焦教育文化、医疗卫生、就业养老、政务服务等方面献计出力，围绕“农村生活污水治理”“持续推进区域医疗资源整合”等课题抓好专题协商、对口协商，围绕“公办养老机构改革”“加大残疾人群体就业保障”等课题开展调研视察，为“产业富民、城乡便民、实事惠民、行政为民”贡献智慧和力量。发挥社情民意信息“快车道”和“直通车”作用，报送有价值的社情民意40余篇，</w:t>
      </w:r>
      <w:r>
        <w:rPr>
          <w:rFonts w:hint="eastAsia" w:ascii="仿宋_GB2312" w:hAnsi="仿宋_GB2312" w:eastAsia="仿宋_GB2312" w:cs="仿宋_GB2312"/>
          <w:color w:val="auto"/>
          <w:kern w:val="0"/>
          <w:sz w:val="32"/>
          <w:szCs w:val="32"/>
          <w:highlight w:val="none"/>
          <w:lang w:val="en-US" w:eastAsia="zh-CN" w:bidi="ar-SA"/>
        </w:rPr>
        <w:fldChar w:fldCharType="begin"/>
      </w:r>
      <w:r>
        <w:rPr>
          <w:rFonts w:hint="eastAsia" w:ascii="仿宋_GB2312" w:hAnsi="仿宋_GB2312" w:eastAsia="仿宋_GB2312" w:cs="仿宋_GB2312"/>
          <w:color w:val="auto"/>
          <w:kern w:val="0"/>
          <w:sz w:val="32"/>
          <w:szCs w:val="32"/>
          <w:highlight w:val="none"/>
          <w:lang w:val="en-US" w:eastAsia="zh-CN" w:bidi="ar-SA"/>
        </w:rPr>
        <w:instrText xml:space="preserve"> HYPERLINK "javascript:void window.open('opinionInfo.do?action=showDetail&amp;id=2c91948587e51f6a018b17553b75181f','XX17',' left=0,top=0,width='+ (screen.availWidth - 10) +',height='+ (screen.availHeight-50) +',scrollbars,resizable=yes,toolbar=no')" </w:instrText>
      </w:r>
      <w:r>
        <w:rPr>
          <w:rFonts w:hint="eastAsia" w:ascii="仿宋_GB2312" w:hAnsi="仿宋_GB2312" w:eastAsia="仿宋_GB2312" w:cs="仿宋_GB2312"/>
          <w:color w:val="auto"/>
          <w:kern w:val="0"/>
          <w:sz w:val="32"/>
          <w:szCs w:val="32"/>
          <w:highlight w:val="none"/>
          <w:lang w:val="en-US" w:eastAsia="zh-CN" w:bidi="ar-SA"/>
        </w:rPr>
        <w:fldChar w:fldCharType="separate"/>
      </w:r>
      <w:r>
        <w:rPr>
          <w:rFonts w:hint="eastAsia" w:ascii="仿宋_GB2312" w:hAnsi="仿宋_GB2312" w:eastAsia="仿宋_GB2312" w:cs="仿宋_GB2312"/>
          <w:color w:val="auto"/>
          <w:kern w:val="0"/>
          <w:sz w:val="32"/>
          <w:szCs w:val="32"/>
          <w:highlight w:val="none"/>
          <w:lang w:val="en-US" w:eastAsia="zh-CN" w:bidi="ar-SA"/>
        </w:rPr>
        <w:t>“加快城市文化建设助力打造养心文化名城”</w:t>
      </w:r>
      <w:r>
        <w:rPr>
          <w:rFonts w:hint="eastAsia" w:ascii="仿宋_GB2312" w:hAnsi="仿宋_GB2312" w:eastAsia="仿宋_GB2312" w:cs="仿宋_GB2312"/>
          <w:color w:val="auto"/>
          <w:kern w:val="0"/>
          <w:sz w:val="32"/>
          <w:szCs w:val="32"/>
          <w:highlight w:val="none"/>
          <w:lang w:val="en-US" w:eastAsia="zh-CN" w:bidi="ar-SA"/>
        </w:rPr>
        <w:fldChar w:fldCharType="end"/>
      </w:r>
      <w:r>
        <w:rPr>
          <w:rFonts w:hint="eastAsia" w:ascii="仿宋_GB2312" w:hAnsi="仿宋_GB2312" w:eastAsia="仿宋_GB2312" w:cs="仿宋_GB2312"/>
          <w:color w:val="auto"/>
          <w:kern w:val="0"/>
          <w:sz w:val="32"/>
          <w:szCs w:val="32"/>
          <w:highlight w:val="none"/>
          <w:lang w:val="en-US" w:eastAsia="zh-CN" w:bidi="ar-SA"/>
        </w:rPr>
        <w:t>“加强小区加装电梯后续管理”等方面建议被相关部门吸收采纳并转化为惠民政策。</w:t>
      </w:r>
      <w:r>
        <w:rPr>
          <w:rStyle w:val="22"/>
          <w:rFonts w:hint="eastAsia" w:ascii="仿宋_GB2312" w:hAnsi="仿宋_GB2312" w:eastAsia="仿宋_GB2312" w:cs="仿宋_GB2312"/>
          <w:bCs w:val="0"/>
          <w:color w:val="auto"/>
          <w:spacing w:val="0"/>
          <w:kern w:val="0"/>
          <w:sz w:val="32"/>
          <w:szCs w:val="32"/>
          <w:highlight w:val="none"/>
          <w:lang w:val="en-US" w:eastAsia="zh-CN" w:bidi="ar"/>
        </w:rPr>
        <w:t>四是着力强平台、促延伸，协商效能更加彰显。</w:t>
      </w:r>
      <w:r>
        <w:rPr>
          <w:rFonts w:hint="eastAsia" w:ascii="仿宋_GB2312" w:hAnsi="仿宋_GB2312" w:eastAsia="仿宋_GB2312" w:cs="仿宋_GB2312"/>
          <w:color w:val="auto"/>
          <w:sz w:val="32"/>
          <w:szCs w:val="32"/>
          <w:highlight w:val="none"/>
          <w:lang w:val="en-US" w:eastAsia="zh-CN"/>
        </w:rPr>
        <w:t>充分发挥人民政协在发展全过程人民民主中的独特优势作用，积极打造“有事来协商”工作升级版，</w:t>
      </w:r>
      <w:r>
        <w:rPr>
          <w:rFonts w:hint="eastAsia" w:ascii="仿宋_GB2312" w:hAnsi="仿宋_GB2312" w:eastAsia="仿宋_GB2312" w:cs="仿宋_GB2312"/>
          <w:b w:val="0"/>
          <w:bCs w:val="0"/>
          <w:color w:val="auto"/>
          <w:sz w:val="32"/>
          <w:szCs w:val="32"/>
          <w:highlight w:val="none"/>
          <w:lang w:val="en-US" w:eastAsia="zh-CN"/>
        </w:rPr>
        <w:t>在平台建设、机制优化、成果转化等方面持续发力，推进协商工作走深走实</w:t>
      </w:r>
      <w:r>
        <w:rPr>
          <w:rFonts w:hint="eastAsia" w:ascii="仿宋_GB2312" w:hAnsi="仿宋_GB2312" w:eastAsia="仿宋_GB2312" w:cs="仿宋_GB2312"/>
          <w:color w:val="auto"/>
          <w:sz w:val="32"/>
          <w:szCs w:val="32"/>
          <w:highlight w:val="none"/>
          <w:lang w:val="en-US" w:eastAsia="zh-CN"/>
        </w:rPr>
        <w:t>。建强协商阵地，提升“六有”标准化协商议事室5个、拓展小微协商平台15处。丰富协商主体，积极培育协商议事骨干，首批聘请15名专家人才进入“有事来协商”专家库，基层小微协商工作的专业性和精准度不断提升。大力培育协商品牌，全面落实田向利主席调研指示精神，着力推广“三联三进”和“码上协商”等经验做法，打造了“青春议事汇”“嬢嬢议事堂”“犀牛茶语”等小微协商品牌，全市“有事来协商”工作现场会在我区成功召开。深化协商实效，全年开展小微协商40余场，推动解决群众急难愁盼问题50余个，《“坝坝会”破解农贸市场管理难题》《小微协商助百年老街展新颜》等协商案例被人民政协报、学习强国等媒体报道。</w:t>
      </w:r>
      <w:r>
        <w:rPr>
          <w:rStyle w:val="22"/>
          <w:rFonts w:hint="eastAsia" w:ascii="仿宋_GB2312" w:hAnsi="仿宋_GB2312" w:eastAsia="仿宋_GB2312" w:cs="仿宋_GB2312"/>
          <w:bCs w:val="0"/>
          <w:color w:val="auto"/>
          <w:spacing w:val="0"/>
          <w:kern w:val="0"/>
          <w:sz w:val="32"/>
          <w:szCs w:val="32"/>
          <w:highlight w:val="none"/>
          <w:lang w:val="en-US" w:eastAsia="zh-CN" w:bidi="ar"/>
        </w:rPr>
        <w:t>五是围绕聚人心、促共识，团结联谊更加紧密。</w:t>
      </w:r>
      <w:r>
        <w:rPr>
          <w:rFonts w:hint="eastAsia" w:ascii="仿宋_GB2312" w:hAnsi="仿宋_GB2312" w:eastAsia="仿宋_GB2312" w:cs="仿宋_GB2312"/>
          <w:color w:val="auto"/>
          <w:kern w:val="0"/>
          <w:sz w:val="32"/>
          <w:szCs w:val="32"/>
          <w:highlight w:val="none"/>
          <w:lang w:val="en-US" w:eastAsia="zh-CN" w:bidi="ar-SA"/>
        </w:rPr>
        <w:t>高举团结民主旗帜，密切联系各界人士，广泛凝聚共识。深化与各党派团体合作共事，通过大会议政发言、联组讨论、集体提案等方式协商议政。协商办理各民主党派、工商联、无党派人士提案62件，围绕重大协商议题、聚焦民生热点问题，邀请党外人士参与调研、协商、视察活动300余人次，各民主党派和无党派人士在政协履职作用发挥更加充分。深化团结联谊，支持农业、工会等界别建立委员工作室，委员团结联谊渠道载体更加丰富。持续深化党组成员联系党员委员、党员委员联系党外委员、委员联系界别群众制度机制，确保建言资政与党委政府方向一致、步调一致。聚焦全区重大项目、中心工作，持续开展主席会议成员、驻区市政协委员联合视察活动，促进市、区政协委员更好形成工作合力。深化对外交流互动，前往理县、涪城区等地开展学习交流，推动政协工作互促互鉴。</w:t>
      </w:r>
      <w:r>
        <w:rPr>
          <w:rStyle w:val="22"/>
          <w:rFonts w:hint="eastAsia" w:ascii="仿宋_GB2312" w:hAnsi="仿宋_GB2312" w:eastAsia="仿宋_GB2312" w:cs="仿宋_GB2312"/>
          <w:bCs w:val="0"/>
          <w:color w:val="auto"/>
          <w:spacing w:val="0"/>
          <w:kern w:val="0"/>
          <w:sz w:val="32"/>
          <w:szCs w:val="32"/>
          <w:highlight w:val="none"/>
          <w:lang w:val="en-US" w:eastAsia="zh-CN" w:bidi="ar"/>
        </w:rPr>
        <w:t>六是全面抓队伍、促履职，自身建设更加有力。</w:t>
      </w:r>
      <w:r>
        <w:rPr>
          <w:rFonts w:hint="eastAsia" w:ascii="仿宋_GB2312" w:hAnsi="仿宋_GB2312" w:eastAsia="仿宋_GB2312" w:cs="仿宋_GB2312"/>
          <w:color w:val="auto"/>
          <w:kern w:val="0"/>
          <w:sz w:val="32"/>
          <w:szCs w:val="32"/>
          <w:highlight w:val="none"/>
          <w:lang w:val="en-US" w:eastAsia="zh-CN" w:bidi="ar-SA"/>
        </w:rPr>
        <w:t>着力建强政协委员和机关干部“两支”队伍，在乡镇（街道）全覆盖建立委员联络站，举办委员履职能力提升培训班，围绕社情民意收集、提案撰写等方面开展“政协大讲堂”，调整政协委员23人，评选政协工作先进个人30名，引导激励政协委员和机关干部强化担当意识、提升履职本领。深化“书香政协”建设，以书香提升履职能力、涵养“政协气质”，打造“悦读空间”“合言阅舍”等线下读书平台，发挥委员读书群线上功能，分享《习近平走进百姓家》《解读中国经济》等经典好书，举办“学习新思想、践行新使命、奋进新征程”“同心共读革命史、履职奋进新征程”等线上线下读书活动40余次，</w:t>
      </w:r>
      <w:r>
        <w:rPr>
          <w:rFonts w:hint="eastAsia" w:ascii="仿宋_GB2312" w:hAnsi="仿宋_GB2312" w:eastAsia="仿宋_GB2312" w:cs="仿宋_GB2312"/>
          <w:b w:val="0"/>
          <w:bCs/>
          <w:color w:val="auto"/>
          <w:kern w:val="0"/>
          <w:sz w:val="32"/>
          <w:szCs w:val="32"/>
          <w:highlight w:val="none"/>
          <w:lang w:val="en-US" w:eastAsia="zh-CN"/>
        </w:rPr>
        <w:t>形成的优秀作品被市政协“书香遂悦”公众号刊登。</w:t>
      </w:r>
      <w:r>
        <w:rPr>
          <w:rFonts w:hint="eastAsia" w:ascii="仿宋_GB2312" w:hAnsi="仿宋_GB2312" w:eastAsia="仿宋_GB2312" w:cs="仿宋_GB2312"/>
          <w:color w:val="auto"/>
          <w:kern w:val="0"/>
          <w:sz w:val="32"/>
          <w:szCs w:val="32"/>
          <w:highlight w:val="none"/>
          <w:lang w:val="en-US" w:eastAsia="zh-CN" w:bidi="ar-SA"/>
        </w:rPr>
        <w:t>结合省委巡视工作持续强化机关作风建设，</w:t>
      </w:r>
      <w:r>
        <w:rPr>
          <w:rFonts w:hint="eastAsia" w:ascii="仿宋_GB2312" w:hAnsi="仿宋_GB2312" w:eastAsia="仿宋_GB2312" w:cs="仿宋_GB2312"/>
          <w:color w:val="auto"/>
          <w:spacing w:val="0"/>
          <w:kern w:val="0"/>
          <w:sz w:val="32"/>
          <w:szCs w:val="32"/>
          <w:highlight w:val="none"/>
          <w:lang w:val="en-US" w:eastAsia="zh-CN" w:bidi="ar"/>
        </w:rPr>
        <w:t>以</w:t>
      </w:r>
      <w:r>
        <w:rPr>
          <w:rFonts w:hint="eastAsia" w:ascii="仿宋_GB2312" w:hAnsi="仿宋_GB2312" w:eastAsia="仿宋_GB2312" w:cs="仿宋_GB2312"/>
          <w:b w:val="0"/>
          <w:bCs/>
          <w:color w:val="auto"/>
          <w:kern w:val="0"/>
          <w:sz w:val="32"/>
          <w:szCs w:val="32"/>
          <w:highlight w:val="none"/>
        </w:rPr>
        <w:t>“</w:t>
      </w:r>
      <w:r>
        <w:rPr>
          <w:rFonts w:hint="eastAsia" w:ascii="仿宋_GB2312" w:hAnsi="仿宋_GB2312" w:eastAsia="仿宋_GB2312" w:cs="仿宋_GB2312"/>
          <w:b w:val="0"/>
          <w:bCs/>
          <w:color w:val="auto"/>
          <w:kern w:val="0"/>
          <w:sz w:val="32"/>
          <w:szCs w:val="32"/>
          <w:highlight w:val="none"/>
          <w:lang w:val="en-US" w:eastAsia="zh-CN"/>
        </w:rPr>
        <w:t>同心共奋进</w:t>
      </w:r>
      <w:r>
        <w:rPr>
          <w:rFonts w:hint="eastAsia" w:ascii="仿宋_GB2312" w:hAnsi="仿宋_GB2312" w:eastAsia="仿宋_GB2312" w:cs="仿宋_GB2312"/>
          <w:b/>
          <w:bCs w:val="0"/>
          <w:color w:val="auto"/>
          <w:kern w:val="0"/>
          <w:sz w:val="32"/>
          <w:szCs w:val="32"/>
          <w:highlight w:val="none"/>
          <w:lang w:val="en-US" w:eastAsia="zh-CN"/>
        </w:rPr>
        <w:t>·</w:t>
      </w:r>
      <w:r>
        <w:rPr>
          <w:rFonts w:hint="eastAsia" w:ascii="仿宋_GB2312" w:hAnsi="仿宋_GB2312" w:eastAsia="仿宋_GB2312" w:cs="仿宋_GB2312"/>
          <w:b w:val="0"/>
          <w:bCs/>
          <w:color w:val="auto"/>
          <w:kern w:val="0"/>
          <w:sz w:val="32"/>
          <w:szCs w:val="32"/>
          <w:highlight w:val="none"/>
          <w:lang w:val="en-US" w:eastAsia="zh-CN"/>
        </w:rPr>
        <w:t>‘船’承红军魂</w:t>
      </w:r>
      <w:r>
        <w:rPr>
          <w:rFonts w:hint="eastAsia" w:ascii="仿宋_GB2312" w:hAnsi="仿宋_GB2312" w:eastAsia="仿宋_GB2312" w:cs="仿宋_GB2312"/>
          <w:b w:val="0"/>
          <w:bCs/>
          <w:color w:val="auto"/>
          <w:kern w:val="0"/>
          <w:sz w:val="32"/>
          <w:szCs w:val="32"/>
          <w:highlight w:val="none"/>
        </w:rPr>
        <w:t>”</w:t>
      </w:r>
      <w:r>
        <w:rPr>
          <w:rFonts w:hint="eastAsia" w:ascii="仿宋_GB2312" w:hAnsi="仿宋_GB2312" w:eastAsia="仿宋_GB2312" w:cs="仿宋_GB2312"/>
          <w:b w:val="0"/>
          <w:bCs/>
          <w:color w:val="auto"/>
          <w:kern w:val="0"/>
          <w:sz w:val="32"/>
          <w:szCs w:val="32"/>
          <w:highlight w:val="none"/>
          <w:lang w:eastAsia="zh-CN"/>
        </w:rPr>
        <w:t>“</w:t>
      </w:r>
      <w:r>
        <w:rPr>
          <w:rFonts w:hint="eastAsia" w:ascii="仿宋_GB2312" w:hAnsi="仿宋_GB2312" w:eastAsia="仿宋_GB2312" w:cs="仿宋_GB2312"/>
          <w:b w:val="0"/>
          <w:bCs/>
          <w:color w:val="auto"/>
          <w:kern w:val="0"/>
          <w:sz w:val="32"/>
          <w:szCs w:val="32"/>
          <w:highlight w:val="none"/>
          <w:lang w:val="en-US" w:eastAsia="zh-CN"/>
        </w:rPr>
        <w:t>重温红色历史</w:t>
      </w:r>
      <w:r>
        <w:rPr>
          <w:rFonts w:hint="eastAsia" w:ascii="仿宋_GB2312" w:hAnsi="仿宋_GB2312" w:eastAsia="仿宋_GB2312" w:cs="仿宋_GB2312"/>
          <w:b/>
          <w:bCs w:val="0"/>
          <w:color w:val="auto"/>
          <w:kern w:val="0"/>
          <w:sz w:val="32"/>
          <w:szCs w:val="32"/>
          <w:highlight w:val="none"/>
          <w:lang w:val="en-US" w:eastAsia="zh-CN"/>
        </w:rPr>
        <w:t>·</w:t>
      </w:r>
      <w:r>
        <w:rPr>
          <w:rFonts w:hint="eastAsia" w:ascii="仿宋_GB2312" w:hAnsi="仿宋_GB2312" w:eastAsia="仿宋_GB2312" w:cs="仿宋_GB2312"/>
          <w:b w:val="0"/>
          <w:bCs/>
          <w:color w:val="auto"/>
          <w:kern w:val="0"/>
          <w:sz w:val="32"/>
          <w:szCs w:val="32"/>
          <w:highlight w:val="none"/>
          <w:lang w:val="en-US" w:eastAsia="zh-CN"/>
        </w:rPr>
        <w:t>凝聚奋进力量”等为主题，</w:t>
      </w:r>
      <w:r>
        <w:rPr>
          <w:rFonts w:hint="eastAsia" w:ascii="仿宋_GB2312" w:hAnsi="仿宋_GB2312" w:eastAsia="仿宋_GB2312" w:cs="仿宋_GB2312"/>
          <w:color w:val="auto"/>
          <w:spacing w:val="0"/>
          <w:kern w:val="0"/>
          <w:sz w:val="32"/>
          <w:szCs w:val="32"/>
          <w:highlight w:val="none"/>
          <w:lang w:val="en-US" w:eastAsia="zh-CN" w:bidi="ar"/>
        </w:rPr>
        <w:t>前往巴中川陕革命根据地、市党史党建馆等地开展党性教育，队伍凝聚力、向心力、战斗力不断提升</w:t>
      </w:r>
      <w:r>
        <w:rPr>
          <w:rFonts w:hint="eastAsia" w:ascii="仿宋_GB2312" w:hAnsi="仿宋_GB2312" w:eastAsia="仿宋_GB2312" w:cs="仿宋_GB2312"/>
          <w:color w:val="auto"/>
          <w:kern w:val="0"/>
          <w:sz w:val="32"/>
          <w:szCs w:val="32"/>
          <w:highlight w:val="none"/>
          <w:lang w:val="en-US" w:eastAsia="zh-CN" w:bidi="ar-SA"/>
        </w:rPr>
        <w:t>。</w:t>
      </w:r>
    </w:p>
    <w:p w14:paraId="3A23182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根据评价标准该项得8.9分。</w:t>
      </w:r>
    </w:p>
    <w:p w14:paraId="2EF8E49A">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3.编制准确：</w:t>
      </w:r>
      <w:r>
        <w:rPr>
          <w:rFonts w:hint="eastAsia" w:ascii="仿宋_GB2312" w:hAnsi="仿宋_GB2312" w:eastAsia="仿宋_GB2312" w:cs="仿宋_GB2312"/>
          <w:b w:val="0"/>
          <w:bCs w:val="0"/>
          <w:color w:val="auto"/>
          <w:sz w:val="32"/>
          <w:szCs w:val="32"/>
          <w:lang w:val="en-US" w:eastAsia="zh-CN"/>
        </w:rPr>
        <w:t>通过一年来的运行情况来看，目标任务完成良好，预算编制基本准确，无任何违规记录。</w:t>
      </w:r>
      <w:r>
        <w:rPr>
          <w:rFonts w:hint="eastAsia" w:ascii="仿宋_GB2312" w:hAnsi="仿宋_GB2312" w:eastAsia="仿宋_GB2312" w:cs="仿宋_GB2312"/>
          <w:sz w:val="32"/>
          <w:szCs w:val="32"/>
          <w:lang w:val="en-US" w:eastAsia="zh-CN"/>
        </w:rPr>
        <w:t>但因政协会议地点变更等原因导致年初预算不足，考虑区级财政资金紧张，在不影响其他项目前提下，从本单位文史资料费调剂15万元到会议费，根据评价标准该项得8.7分。</w:t>
      </w:r>
    </w:p>
    <w:p w14:paraId="57E205E1">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contextualSpacing/>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sz w:val="32"/>
          <w:szCs w:val="32"/>
          <w:lang w:val="en-US" w:eastAsia="zh-CN"/>
        </w:rPr>
        <w:t>4.支出控制：</w:t>
      </w:r>
      <w:r>
        <w:rPr>
          <w:rFonts w:hint="eastAsia" w:ascii="仿宋_GB2312" w:hAnsi="仿宋_GB2312" w:eastAsia="仿宋_GB2312" w:cs="仿宋_GB2312"/>
          <w:b w:val="0"/>
          <w:bCs w:val="0"/>
          <w:color w:val="auto"/>
          <w:sz w:val="32"/>
          <w:szCs w:val="32"/>
          <w:lang w:val="en-US" w:eastAsia="zh-CN"/>
        </w:rPr>
        <w:t>严格执行厉行节约、节能减耗及“三公”经费预算，在日常公用经费及非定额公用支出方面预决算偏差程度在10%以内，根据计分标准该项得分10分。</w:t>
      </w:r>
    </w:p>
    <w:p w14:paraId="44777993">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contextualSpacing/>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5.动态调整：开展绩效运行监控未扣分，根据计分标准该项得分10分。</w:t>
      </w:r>
      <w:bookmarkStart w:id="106" w:name="_GoBack"/>
      <w:bookmarkEnd w:id="106"/>
    </w:p>
    <w:p w14:paraId="282968C5">
      <w:pPr>
        <w:keepNext w:val="0"/>
        <w:keepLines w:val="0"/>
        <w:pageBreakBefore w:val="0"/>
        <w:kinsoku/>
        <w:topLinePunct w:val="0"/>
        <w:autoSpaceDE/>
        <w:autoSpaceDN/>
        <w:bidi w:val="0"/>
        <w:spacing w:line="570" w:lineRule="exact"/>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6.执行进度：严格按照新《中华人民共和国预算法》和财政有关规定执行支出，根据计分标准该项得分10分。</w:t>
      </w:r>
    </w:p>
    <w:p w14:paraId="6B9F5E02">
      <w:pPr>
        <w:keepNext w:val="0"/>
        <w:keepLines w:val="0"/>
        <w:pageBreakBefore w:val="0"/>
        <w:kinsoku/>
        <w:topLinePunct w:val="0"/>
        <w:autoSpaceDE/>
        <w:autoSpaceDN/>
        <w:bidi w:val="0"/>
        <w:spacing w:line="570" w:lineRule="exact"/>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7.预算完成：预算项目截止12月底执行进度100 %，根据计分标准该项得分10分。</w:t>
      </w:r>
    </w:p>
    <w:p w14:paraId="47C84363">
      <w:pPr>
        <w:keepNext w:val="0"/>
        <w:keepLines w:val="0"/>
        <w:pageBreakBefore w:val="0"/>
        <w:kinsoku/>
        <w:topLinePunct w:val="0"/>
        <w:autoSpaceDE/>
        <w:autoSpaceDN/>
        <w:bidi w:val="0"/>
        <w:spacing w:line="570" w:lineRule="exact"/>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8.违规记录：根据审计监督、财政检查结果反映，我单位2023年部门预算管理无违纪违规情况，根据</w:t>
      </w:r>
      <w:r>
        <w:rPr>
          <w:rFonts w:hint="eastAsia" w:ascii="仿宋_GB2312" w:hAnsi="仿宋_GB2312" w:eastAsia="仿宋_GB2312" w:cs="仿宋_GB2312"/>
          <w:b w:val="0"/>
          <w:bCs w:val="0"/>
          <w:color w:val="auto"/>
          <w:kern w:val="2"/>
          <w:sz w:val="32"/>
          <w:szCs w:val="32"/>
          <w:lang w:val="en-US" w:eastAsia="zh-CN" w:bidi="ar-SA"/>
        </w:rPr>
        <w:t>计分标准该项得分10分。</w:t>
      </w:r>
    </w:p>
    <w:p w14:paraId="36D337FB">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contextualSpacing/>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 xml:space="preserve">   </w:t>
      </w:r>
      <w:r>
        <w:rPr>
          <w:rFonts w:hint="eastAsia" w:ascii="楷体_GB2312" w:hAnsi="楷体_GB2312" w:eastAsia="楷体_GB2312" w:cs="楷体_GB2312"/>
          <w:b/>
          <w:bCs/>
          <w:sz w:val="32"/>
          <w:szCs w:val="32"/>
          <w:lang w:val="en-US" w:eastAsia="zh-CN"/>
        </w:rPr>
        <w:t xml:space="preserve"> （二）结果应用情况（自评得分10分）</w:t>
      </w:r>
    </w:p>
    <w:p w14:paraId="3CD07790">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contextualSpacing/>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机关</w:t>
      </w:r>
      <w:r>
        <w:rPr>
          <w:rFonts w:hint="eastAsia" w:ascii="仿宋_GB2312" w:hAnsi="仿宋_GB2312" w:eastAsia="仿宋_GB2312" w:cs="仿宋_GB2312"/>
          <w:color w:val="auto"/>
          <w:sz w:val="32"/>
          <w:szCs w:val="32"/>
          <w:highlight w:val="none"/>
        </w:rPr>
        <w:t>严格按照相关要求，将部门绩效目标、部门整体绩效自评情况</w:t>
      </w:r>
      <w:r>
        <w:rPr>
          <w:rFonts w:hint="eastAsia" w:ascii="仿宋_GB2312" w:hAnsi="仿宋_GB2312" w:eastAsia="仿宋_GB2312" w:cs="仿宋_GB2312"/>
          <w:color w:val="auto"/>
          <w:sz w:val="32"/>
          <w:szCs w:val="32"/>
          <w:highlight w:val="none"/>
          <w:lang w:val="en-US" w:eastAsia="zh-CN"/>
        </w:rPr>
        <w:t>及决算情况</w:t>
      </w:r>
      <w:r>
        <w:rPr>
          <w:rFonts w:hint="eastAsia" w:ascii="仿宋_GB2312" w:hAnsi="仿宋_GB2312" w:eastAsia="仿宋_GB2312" w:cs="仿宋_GB2312"/>
          <w:color w:val="auto"/>
          <w:sz w:val="32"/>
          <w:szCs w:val="32"/>
          <w:highlight w:val="none"/>
        </w:rPr>
        <w:t>向社会公开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在日常绩效管理过程中产生问题及时进行整改。</w:t>
      </w: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年绩效管理结果良好，</w:t>
      </w:r>
      <w:r>
        <w:rPr>
          <w:rFonts w:hint="eastAsia" w:ascii="仿宋_GB2312" w:hAnsi="仿宋_GB2312" w:eastAsia="仿宋_GB2312" w:cs="仿宋_GB2312"/>
          <w:color w:val="auto"/>
          <w:sz w:val="32"/>
          <w:szCs w:val="32"/>
          <w:highlight w:val="none"/>
          <w:lang w:val="en-US" w:eastAsia="zh-CN"/>
        </w:rPr>
        <w:t>并</w:t>
      </w:r>
      <w:r>
        <w:rPr>
          <w:rFonts w:hint="eastAsia" w:ascii="仿宋_GB2312" w:hAnsi="仿宋_GB2312" w:eastAsia="仿宋_GB2312" w:cs="仿宋_GB2312"/>
          <w:sz w:val="32"/>
          <w:szCs w:val="32"/>
          <w:lang w:val="en-US" w:eastAsia="zh-CN"/>
        </w:rPr>
        <w:t>按要求及时向财政部门反馈结果及应用情况，</w:t>
      </w:r>
      <w:r>
        <w:rPr>
          <w:rFonts w:hint="eastAsia" w:ascii="仿宋_GB2312" w:hAnsi="仿宋_GB2312" w:eastAsia="仿宋_GB2312" w:cs="仿宋_GB2312"/>
          <w:b w:val="0"/>
          <w:bCs w:val="0"/>
          <w:color w:val="auto"/>
          <w:sz w:val="32"/>
          <w:szCs w:val="32"/>
          <w:lang w:val="en-US" w:eastAsia="zh-CN"/>
        </w:rPr>
        <w:t>根据</w:t>
      </w:r>
      <w:r>
        <w:rPr>
          <w:rFonts w:hint="eastAsia" w:ascii="仿宋_GB2312" w:hAnsi="仿宋_GB2312" w:eastAsia="仿宋_GB2312" w:cs="仿宋_GB2312"/>
          <w:b w:val="0"/>
          <w:bCs w:val="0"/>
          <w:color w:val="auto"/>
          <w:kern w:val="2"/>
          <w:sz w:val="32"/>
          <w:szCs w:val="32"/>
          <w:lang w:val="en-US" w:eastAsia="zh-CN" w:bidi="ar-SA"/>
        </w:rPr>
        <w:t>计分标准该项得分10分</w:t>
      </w:r>
      <w:r>
        <w:rPr>
          <w:rFonts w:hint="eastAsia" w:ascii="仿宋_GB2312" w:hAnsi="仿宋_GB2312" w:eastAsia="仿宋_GB2312" w:cs="仿宋_GB2312"/>
          <w:color w:val="auto"/>
          <w:sz w:val="32"/>
          <w:szCs w:val="32"/>
          <w:highlight w:val="none"/>
        </w:rPr>
        <w:t>。</w:t>
      </w:r>
    </w:p>
    <w:p w14:paraId="16D5555E">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contextualSpacing/>
        <w:jc w:val="both"/>
        <w:textAlignment w:val="auto"/>
        <w:rPr>
          <w:rFonts w:hint="default" w:ascii="Times New Roman" w:hAnsi="Times New Roman" w:eastAsia="黑体" w:cs="Times New Roman"/>
          <w:color w:val="000000"/>
          <w:kern w:val="0"/>
          <w:sz w:val="32"/>
          <w:szCs w:val="32"/>
          <w:shd w:val="clear" w:color="auto" w:fill="FFFFFF"/>
        </w:rPr>
      </w:pPr>
      <w:r>
        <w:rPr>
          <w:rFonts w:hint="default" w:ascii="Times New Roman" w:hAnsi="Times New Roman" w:eastAsia="黑体" w:cs="Times New Roman"/>
          <w:color w:val="000000"/>
          <w:kern w:val="0"/>
          <w:sz w:val="32"/>
          <w:szCs w:val="32"/>
          <w:shd w:val="clear" w:color="auto" w:fill="FFFFFF"/>
        </w:rPr>
        <w:t>四、评价结论及建议</w:t>
      </w:r>
    </w:p>
    <w:p w14:paraId="63C1147B">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contextualSpacing/>
        <w:jc w:val="left"/>
        <w:rPr>
          <w:rFonts w:hint="default" w:ascii="楷体_GB2312" w:hAnsi="楷体_GB2312" w:eastAsia="楷体_GB2312" w:cs="楷体_GB2312"/>
          <w:b/>
          <w:bCs/>
          <w:sz w:val="32"/>
          <w:szCs w:val="32"/>
          <w:lang w:val="zh-CN" w:eastAsia="zh-CN"/>
        </w:rPr>
      </w:pPr>
      <w:r>
        <w:rPr>
          <w:rFonts w:hint="default" w:ascii="楷体_GB2312" w:hAnsi="楷体_GB2312" w:eastAsia="楷体_GB2312" w:cs="楷体_GB2312"/>
          <w:b/>
          <w:bCs/>
          <w:sz w:val="32"/>
          <w:szCs w:val="32"/>
          <w:lang w:val="zh-CN" w:eastAsia="zh-CN"/>
        </w:rPr>
        <w:t>（一）评价结论</w:t>
      </w:r>
    </w:p>
    <w:p w14:paraId="1A677F15">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contextualSpacing/>
        <w:jc w:val="both"/>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2023年我单位全面完成各项工作任务，按照预算绩效管理要求，对2023年整体支出开展绩效自评，自评得分87.6分。</w:t>
      </w:r>
    </w:p>
    <w:p w14:paraId="0B8FF1FF">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contextualSpacing/>
        <w:jc w:val="left"/>
        <w:rPr>
          <w:rFonts w:hint="default" w:ascii="楷体_GB2312" w:hAnsi="楷体_GB2312" w:eastAsia="楷体_GB2312" w:cs="楷体_GB2312"/>
          <w:b/>
          <w:bCs/>
          <w:sz w:val="32"/>
          <w:szCs w:val="32"/>
          <w:lang w:val="zh-CN" w:eastAsia="zh-CN"/>
        </w:rPr>
      </w:pPr>
      <w:r>
        <w:rPr>
          <w:rFonts w:hint="default" w:ascii="楷体_GB2312" w:hAnsi="楷体_GB2312" w:eastAsia="楷体_GB2312" w:cs="楷体_GB2312"/>
          <w:b/>
          <w:bCs/>
          <w:sz w:val="32"/>
          <w:szCs w:val="32"/>
          <w:lang w:val="zh-CN" w:eastAsia="zh-CN"/>
        </w:rPr>
        <w:t>（二）存在问题</w:t>
      </w:r>
    </w:p>
    <w:p w14:paraId="0909F763">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contextualSpacing/>
        <w:jc w:val="both"/>
        <w:textAlignment w:val="auto"/>
        <w:rPr>
          <w:rFonts w:hint="default" w:ascii="仿宋_GB2312" w:hAnsi="仿宋_GB2312" w:eastAsia="仿宋_GB2312" w:cs="仿宋_GB2312"/>
          <w:sz w:val="32"/>
          <w:szCs w:val="32"/>
          <w:lang w:val="zh-CN" w:eastAsia="zh-CN"/>
        </w:rPr>
      </w:pPr>
      <w:r>
        <w:rPr>
          <w:rFonts w:hint="default" w:ascii="仿宋_GB2312" w:hAnsi="仿宋_GB2312" w:eastAsia="仿宋_GB2312" w:cs="仿宋_GB2312"/>
          <w:sz w:val="32"/>
          <w:szCs w:val="32"/>
          <w:lang w:val="en-US" w:eastAsia="zh-CN"/>
        </w:rPr>
        <w:t>202</w:t>
      </w: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US" w:eastAsia="zh-CN"/>
        </w:rPr>
        <w:t>年我</w:t>
      </w:r>
      <w:r>
        <w:rPr>
          <w:rFonts w:hint="eastAsia" w:ascii="仿宋_GB2312" w:hAnsi="仿宋_GB2312" w:eastAsia="仿宋_GB2312" w:cs="仿宋_GB2312"/>
          <w:sz w:val="32"/>
          <w:szCs w:val="32"/>
          <w:lang w:val="en-US" w:eastAsia="zh-CN"/>
        </w:rPr>
        <w:t>单位</w:t>
      </w:r>
      <w:r>
        <w:rPr>
          <w:rFonts w:hint="default" w:ascii="仿宋_GB2312" w:hAnsi="仿宋_GB2312" w:eastAsia="仿宋_GB2312" w:cs="仿宋_GB2312"/>
          <w:sz w:val="32"/>
          <w:szCs w:val="32"/>
          <w:lang w:val="en-US" w:eastAsia="zh-CN"/>
        </w:rPr>
        <w:t>综合绩效考核取得了一定的成绩，但仍存在着一些</w:t>
      </w:r>
      <w:r>
        <w:rPr>
          <w:rFonts w:hint="eastAsia" w:ascii="仿宋_GB2312" w:hAnsi="仿宋_GB2312" w:eastAsia="仿宋_GB2312" w:cs="仿宋_GB2312"/>
          <w:sz w:val="32"/>
          <w:szCs w:val="32"/>
          <w:lang w:val="en-US" w:eastAsia="zh-CN"/>
        </w:rPr>
        <w:t>不足，主要表现在预算编制精准性还需提升、预算编制还需更加科学合理</w:t>
      </w:r>
      <w:r>
        <w:rPr>
          <w:rFonts w:hint="default" w:ascii="仿宋_GB2312" w:hAnsi="仿宋_GB2312" w:eastAsia="仿宋_GB2312" w:cs="仿宋_GB2312"/>
          <w:sz w:val="32"/>
          <w:szCs w:val="32"/>
          <w:lang w:val="en-US" w:eastAsia="zh-CN"/>
        </w:rPr>
        <w:t>。</w:t>
      </w:r>
    </w:p>
    <w:p w14:paraId="4F589D55">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contextualSpacing/>
        <w:jc w:val="left"/>
        <w:rPr>
          <w:rFonts w:hint="default" w:ascii="楷体_GB2312" w:hAnsi="楷体_GB2312" w:eastAsia="楷体_GB2312" w:cs="楷体_GB2312"/>
          <w:b/>
          <w:bCs/>
          <w:sz w:val="32"/>
          <w:szCs w:val="32"/>
          <w:lang w:val="zh-CN" w:eastAsia="zh-CN"/>
        </w:rPr>
      </w:pPr>
      <w:r>
        <w:rPr>
          <w:rFonts w:hint="default" w:ascii="楷体_GB2312" w:hAnsi="楷体_GB2312" w:eastAsia="楷体_GB2312" w:cs="楷体_GB2312"/>
          <w:b/>
          <w:bCs/>
          <w:sz w:val="32"/>
          <w:szCs w:val="32"/>
          <w:lang w:val="zh-CN" w:eastAsia="zh-CN"/>
        </w:rPr>
        <w:t>（三）改进建议</w:t>
      </w:r>
    </w:p>
    <w:p w14:paraId="0536CF6E">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contextualSpacing/>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针对存在问题，</w:t>
      </w:r>
      <w:r>
        <w:rPr>
          <w:rFonts w:hint="eastAsia" w:ascii="仿宋_GB2312" w:hAnsi="仿宋_GB2312" w:eastAsia="仿宋_GB2312" w:cs="仿宋_GB2312"/>
          <w:sz w:val="32"/>
          <w:szCs w:val="32"/>
          <w:lang w:val="en-US" w:eastAsia="zh-CN"/>
        </w:rPr>
        <w:t>下一步</w:t>
      </w:r>
      <w:r>
        <w:rPr>
          <w:rFonts w:hint="default" w:ascii="仿宋_GB2312" w:hAnsi="仿宋_GB2312" w:eastAsia="仿宋_GB2312" w:cs="仿宋_GB2312"/>
          <w:sz w:val="32"/>
          <w:szCs w:val="32"/>
          <w:lang w:val="en-US" w:eastAsia="zh-CN"/>
        </w:rPr>
        <w:t>我们将</w:t>
      </w:r>
      <w:r>
        <w:rPr>
          <w:rFonts w:hint="eastAsia" w:ascii="仿宋_GB2312" w:hAnsi="仿宋_GB2312" w:eastAsia="仿宋_GB2312" w:cs="仿宋_GB2312"/>
          <w:sz w:val="32"/>
          <w:szCs w:val="32"/>
          <w:lang w:val="en-US" w:eastAsia="zh-CN"/>
        </w:rPr>
        <w:t>进一步建立完善预算支出分析制度机制，加强预算编制执行管理</w:t>
      </w:r>
      <w:r>
        <w:rPr>
          <w:rFonts w:hint="default" w:ascii="仿宋_GB2312" w:hAnsi="仿宋_GB2312" w:eastAsia="仿宋_GB2312" w:cs="仿宋_GB2312"/>
          <w:sz w:val="32"/>
          <w:szCs w:val="32"/>
          <w:lang w:val="en-US" w:eastAsia="zh-CN"/>
        </w:rPr>
        <w:t>。一是加强与各</w:t>
      </w:r>
      <w:r>
        <w:rPr>
          <w:rFonts w:hint="eastAsia" w:ascii="仿宋_GB2312" w:hAnsi="仿宋_GB2312" w:eastAsia="仿宋_GB2312" w:cs="仿宋_GB2312"/>
          <w:sz w:val="32"/>
          <w:szCs w:val="32"/>
          <w:lang w:val="en-US" w:eastAsia="zh-CN"/>
        </w:rPr>
        <w:t>委室</w:t>
      </w:r>
      <w:r>
        <w:rPr>
          <w:rFonts w:hint="default" w:ascii="仿宋_GB2312" w:hAnsi="仿宋_GB2312" w:eastAsia="仿宋_GB2312" w:cs="仿宋_GB2312"/>
          <w:sz w:val="32"/>
          <w:szCs w:val="32"/>
          <w:lang w:val="en-US" w:eastAsia="zh-CN"/>
        </w:rPr>
        <w:t>收支预算编制沟通，夯实预算基础工作，提高预算编制质量；二是</w:t>
      </w:r>
      <w:r>
        <w:rPr>
          <w:rFonts w:hint="eastAsia" w:ascii="仿宋_GB2312" w:hAnsi="仿宋_GB2312" w:eastAsia="仿宋_GB2312" w:cs="仿宋_GB2312"/>
          <w:sz w:val="32"/>
          <w:szCs w:val="32"/>
          <w:lang w:val="en-US" w:eastAsia="zh-CN"/>
        </w:rPr>
        <w:t>强化政策研究</w:t>
      </w:r>
      <w:r>
        <w:rPr>
          <w:rFonts w:hint="default" w:ascii="仿宋_GB2312" w:hAnsi="仿宋_GB2312" w:eastAsia="仿宋_GB2312" w:cs="仿宋_GB2312"/>
          <w:sz w:val="32"/>
          <w:szCs w:val="32"/>
          <w:lang w:val="en-US" w:eastAsia="zh-CN"/>
        </w:rPr>
        <w:t>，加强项目绩效目标审核；三是</w:t>
      </w:r>
      <w:r>
        <w:rPr>
          <w:rFonts w:hint="eastAsia" w:ascii="仿宋_GB2312" w:hAnsi="仿宋_GB2312" w:eastAsia="仿宋_GB2312" w:cs="仿宋_GB2312"/>
          <w:sz w:val="32"/>
          <w:szCs w:val="32"/>
          <w:lang w:val="en-US" w:eastAsia="zh-CN"/>
        </w:rPr>
        <w:t>加强</w:t>
      </w:r>
      <w:r>
        <w:rPr>
          <w:rFonts w:hint="default" w:ascii="仿宋_GB2312" w:hAnsi="仿宋_GB2312" w:eastAsia="仿宋_GB2312" w:cs="仿宋_GB2312"/>
          <w:sz w:val="32"/>
          <w:szCs w:val="32"/>
          <w:lang w:val="en-US" w:eastAsia="zh-CN"/>
        </w:rPr>
        <w:t>项目执行</w:t>
      </w:r>
      <w:r>
        <w:rPr>
          <w:rFonts w:hint="eastAsia" w:ascii="仿宋_GB2312" w:hAnsi="仿宋_GB2312" w:eastAsia="仿宋_GB2312" w:cs="仿宋_GB2312"/>
          <w:sz w:val="32"/>
          <w:szCs w:val="32"/>
          <w:lang w:val="en-US" w:eastAsia="zh-CN"/>
        </w:rPr>
        <w:t>监控</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对全年项目</w:t>
      </w:r>
      <w:r>
        <w:rPr>
          <w:rFonts w:hint="default" w:ascii="仿宋_GB2312" w:hAnsi="仿宋_GB2312" w:eastAsia="仿宋_GB2312" w:cs="仿宋_GB2312"/>
          <w:sz w:val="32"/>
          <w:szCs w:val="32"/>
          <w:lang w:val="en-US" w:eastAsia="zh-CN"/>
        </w:rPr>
        <w:t>提早规划，提前实施，确保项目顺利实施，提高财政资金使用效益。</w:t>
      </w:r>
    </w:p>
    <w:p w14:paraId="4A0DF989">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仿宋_GB2312" w:cs="Times New Roman"/>
          <w:color w:val="auto"/>
          <w:sz w:val="32"/>
          <w:szCs w:val="32"/>
          <w:highlight w:val="none"/>
          <w:lang w:val="zh-CN"/>
        </w:rPr>
      </w:pPr>
    </w:p>
    <w:p w14:paraId="0EBE4D3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p>
    <w:p w14:paraId="26169149">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contextualSpacing/>
        <w:jc w:val="left"/>
        <w:rPr>
          <w:rFonts w:hint="default" w:ascii="Times New Roman" w:hAnsi="Times New Roman" w:cs="Times New Roman"/>
          <w:sz w:val="32"/>
          <w:szCs w:val="32"/>
          <w:lang w:val="en-US" w:eastAsia="zh-CN"/>
        </w:rPr>
      </w:pPr>
    </w:p>
    <w:p w14:paraId="1CD7F63A">
      <w:pPr>
        <w:keepNext w:val="0"/>
        <w:keepLines w:val="0"/>
        <w:pageBreakBefore w:val="0"/>
        <w:widowControl w:val="0"/>
        <w:kinsoku/>
        <w:wordWrap/>
        <w:overflowPunct w:val="0"/>
        <w:topLinePunct w:val="0"/>
        <w:autoSpaceDE/>
        <w:autoSpaceDN/>
        <w:bidi w:val="0"/>
        <w:adjustRightInd w:val="0"/>
        <w:snapToGrid w:val="0"/>
        <w:spacing w:line="570" w:lineRule="exact"/>
        <w:ind w:firstLine="422" w:firstLineChars="200"/>
        <w:contextualSpacing/>
        <w:jc w:val="left"/>
        <w:rPr>
          <w:rFonts w:hint="default" w:ascii="Times New Roman" w:hAnsi="Times New Roman" w:cs="Times New Roman"/>
          <w:b/>
          <w:bCs/>
          <w:color w:val="auto"/>
          <w:kern w:val="0"/>
          <w:highlight w:val="none"/>
          <w:shd w:val="clear" w:color="auto" w:fill="FFFFFF"/>
          <w:lang w:val="en-US" w:eastAsia="zh-CN"/>
        </w:rPr>
      </w:pPr>
    </w:p>
    <w:p w14:paraId="5DBE5CBB">
      <w:pPr>
        <w:pStyle w:val="2"/>
        <w:keepNext w:val="0"/>
        <w:keepLines w:val="0"/>
        <w:pageBreakBefore w:val="0"/>
        <w:kinsoku/>
        <w:topLinePunct w:val="0"/>
        <w:autoSpaceDE/>
        <w:autoSpaceDN/>
        <w:bidi w:val="0"/>
        <w:spacing w:line="570" w:lineRule="exact"/>
        <w:rPr>
          <w:rFonts w:hint="default"/>
          <w:lang w:val="en-US" w:eastAsia="zh-CN"/>
        </w:rPr>
      </w:pPr>
    </w:p>
    <w:p w14:paraId="2BFF2181">
      <w:pPr>
        <w:keepNext w:val="0"/>
        <w:keepLines w:val="0"/>
        <w:pageBreakBefore w:val="0"/>
        <w:widowControl w:val="0"/>
        <w:kinsoku/>
        <w:wordWrap/>
        <w:overflowPunct w:val="0"/>
        <w:topLinePunct w:val="0"/>
        <w:autoSpaceDE/>
        <w:autoSpaceDN/>
        <w:bidi w:val="0"/>
        <w:adjustRightInd w:val="0"/>
        <w:snapToGrid w:val="0"/>
        <w:spacing w:line="570" w:lineRule="exact"/>
        <w:contextualSpacing/>
        <w:jc w:val="left"/>
        <w:textAlignment w:val="auto"/>
        <w:rPr>
          <w:rFonts w:hint="default" w:ascii="Times New Roman" w:hAnsi="Times New Roman" w:eastAsia="黑体" w:cs="Times New Roman"/>
          <w:color w:val="auto"/>
          <w:kern w:val="0"/>
          <w:sz w:val="32"/>
          <w:szCs w:val="32"/>
          <w:highlight w:val="none"/>
          <w:shd w:val="clear" w:color="auto" w:fill="FFFFFF"/>
          <w:lang w:val="en-US" w:eastAsia="zh-CN"/>
        </w:rPr>
      </w:pPr>
    </w:p>
    <w:p w14:paraId="35B8BFB4">
      <w:pPr>
        <w:keepNext w:val="0"/>
        <w:keepLines w:val="0"/>
        <w:pageBreakBefore w:val="0"/>
        <w:widowControl w:val="0"/>
        <w:kinsoku/>
        <w:wordWrap/>
        <w:overflowPunct w:val="0"/>
        <w:topLinePunct w:val="0"/>
        <w:autoSpaceDE/>
        <w:autoSpaceDN/>
        <w:bidi w:val="0"/>
        <w:adjustRightInd w:val="0"/>
        <w:snapToGrid w:val="0"/>
        <w:spacing w:line="570" w:lineRule="exact"/>
        <w:contextualSpacing/>
        <w:jc w:val="left"/>
        <w:textAlignment w:val="auto"/>
        <w:rPr>
          <w:rFonts w:hint="default" w:ascii="Times New Roman" w:hAnsi="Times New Roman" w:eastAsia="黑体" w:cs="Times New Roman"/>
          <w:color w:val="auto"/>
          <w:kern w:val="0"/>
          <w:sz w:val="32"/>
          <w:szCs w:val="32"/>
          <w:highlight w:val="none"/>
          <w:shd w:val="clear" w:color="auto" w:fill="FFFFFF"/>
          <w:lang w:val="en-US" w:eastAsia="zh-CN"/>
        </w:rPr>
      </w:pPr>
    </w:p>
    <w:p w14:paraId="35E5AB17">
      <w:pPr>
        <w:keepNext w:val="0"/>
        <w:keepLines w:val="0"/>
        <w:pageBreakBefore w:val="0"/>
        <w:widowControl w:val="0"/>
        <w:kinsoku/>
        <w:wordWrap/>
        <w:overflowPunct w:val="0"/>
        <w:topLinePunct w:val="0"/>
        <w:autoSpaceDE/>
        <w:autoSpaceDN/>
        <w:bidi w:val="0"/>
        <w:adjustRightInd w:val="0"/>
        <w:snapToGrid w:val="0"/>
        <w:spacing w:line="570" w:lineRule="exact"/>
        <w:contextualSpacing/>
        <w:jc w:val="left"/>
        <w:textAlignment w:val="auto"/>
        <w:rPr>
          <w:rFonts w:hint="default" w:ascii="Times New Roman" w:hAnsi="Times New Roman" w:eastAsia="黑体" w:cs="Times New Roman"/>
          <w:color w:val="auto"/>
          <w:kern w:val="0"/>
          <w:sz w:val="32"/>
          <w:szCs w:val="32"/>
          <w:highlight w:val="none"/>
          <w:shd w:val="clear" w:color="auto" w:fill="FFFFFF"/>
          <w:lang w:val="en-US" w:eastAsia="zh-CN"/>
        </w:rPr>
      </w:pPr>
    </w:p>
    <w:p w14:paraId="3158A174">
      <w:pPr>
        <w:pStyle w:val="2"/>
        <w:keepNext w:val="0"/>
        <w:keepLines w:val="0"/>
        <w:pageBreakBefore w:val="0"/>
        <w:widowControl w:val="0"/>
        <w:kinsoku/>
        <w:wordWrap/>
        <w:topLinePunct w:val="0"/>
        <w:autoSpaceDE/>
        <w:autoSpaceDN/>
        <w:bidi w:val="0"/>
        <w:adjustRightInd w:val="0"/>
        <w:snapToGrid w:val="0"/>
        <w:spacing w:line="570" w:lineRule="exact"/>
        <w:ind w:left="0" w:leftChars="0" w:firstLine="0" w:firstLineChars="0"/>
        <w:textAlignment w:val="auto"/>
        <w:rPr>
          <w:rFonts w:hint="default" w:ascii="Times New Roman" w:hAnsi="Times New Roman" w:cs="Times New Roman"/>
          <w:lang w:val="en-US" w:eastAsia="zh-CN"/>
        </w:rPr>
      </w:pPr>
    </w:p>
    <w:p w14:paraId="23CADD8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方正小标宋简体" w:cs="Times New Roman"/>
          <w:i w:val="0"/>
          <w:iCs w:val="0"/>
          <w:color w:val="auto"/>
          <w:kern w:val="0"/>
          <w:sz w:val="44"/>
          <w:szCs w:val="44"/>
          <w:highlight w:val="none"/>
          <w:u w:val="none"/>
          <w:lang w:val="en-US" w:eastAsia="zh-CN" w:bidi="ar"/>
        </w:rPr>
      </w:pPr>
      <w:r>
        <w:rPr>
          <w:rFonts w:hint="default" w:ascii="Times New Roman" w:hAnsi="Times New Roman" w:eastAsia="方正小标宋简体" w:cs="Times New Roman"/>
          <w:i w:val="0"/>
          <w:iCs w:val="0"/>
          <w:color w:val="auto"/>
          <w:kern w:val="0"/>
          <w:sz w:val="44"/>
          <w:szCs w:val="44"/>
          <w:highlight w:val="none"/>
          <w:u w:val="none"/>
          <w:lang w:val="en-US" w:eastAsia="zh-CN" w:bidi="ar"/>
        </w:rPr>
        <w:t>202</w:t>
      </w:r>
      <w:r>
        <w:rPr>
          <w:rFonts w:hint="eastAsia" w:eastAsia="方正小标宋简体" w:cs="Times New Roman"/>
          <w:i w:val="0"/>
          <w:iCs w:val="0"/>
          <w:color w:val="auto"/>
          <w:kern w:val="0"/>
          <w:sz w:val="44"/>
          <w:szCs w:val="44"/>
          <w:highlight w:val="none"/>
          <w:u w:val="none"/>
          <w:lang w:val="en-US" w:eastAsia="zh-CN" w:bidi="ar"/>
        </w:rPr>
        <w:t>3</w:t>
      </w:r>
      <w:r>
        <w:rPr>
          <w:rFonts w:hint="default" w:ascii="Times New Roman" w:hAnsi="Times New Roman" w:eastAsia="方正小标宋简体" w:cs="Times New Roman"/>
          <w:i w:val="0"/>
          <w:iCs w:val="0"/>
          <w:color w:val="auto"/>
          <w:kern w:val="0"/>
          <w:sz w:val="44"/>
          <w:szCs w:val="44"/>
          <w:highlight w:val="none"/>
          <w:u w:val="none"/>
          <w:lang w:val="en-US" w:eastAsia="zh-CN" w:bidi="ar"/>
        </w:rPr>
        <w:t>年</w:t>
      </w:r>
      <w:r>
        <w:rPr>
          <w:rFonts w:hint="eastAsia" w:eastAsia="方正小标宋简体" w:cs="Times New Roman"/>
          <w:i w:val="0"/>
          <w:iCs w:val="0"/>
          <w:color w:val="auto"/>
          <w:kern w:val="0"/>
          <w:sz w:val="44"/>
          <w:szCs w:val="44"/>
          <w:highlight w:val="none"/>
          <w:u w:val="none"/>
          <w:lang w:val="en-US" w:eastAsia="zh-CN" w:bidi="ar"/>
        </w:rPr>
        <w:t>政协</w:t>
      </w:r>
      <w:r>
        <w:rPr>
          <w:rFonts w:hint="default" w:ascii="Times New Roman" w:hAnsi="Times New Roman" w:eastAsia="方正小标宋简体" w:cs="Times New Roman"/>
          <w:i w:val="0"/>
          <w:iCs w:val="0"/>
          <w:color w:val="auto"/>
          <w:kern w:val="0"/>
          <w:sz w:val="44"/>
          <w:szCs w:val="44"/>
          <w:highlight w:val="none"/>
          <w:u w:val="none"/>
          <w:lang w:val="en-US" w:eastAsia="zh-CN" w:bidi="ar"/>
        </w:rPr>
        <w:t>部门整体支出绩效评价</w:t>
      </w:r>
    </w:p>
    <w:p w14:paraId="4F1BE9C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方正小标宋简体" w:cs="Times New Roman"/>
          <w:i w:val="0"/>
          <w:iCs w:val="0"/>
          <w:color w:val="auto"/>
          <w:sz w:val="44"/>
          <w:szCs w:val="44"/>
          <w:highlight w:val="none"/>
          <w:u w:val="none"/>
        </w:rPr>
      </w:pPr>
      <w:r>
        <w:rPr>
          <w:rFonts w:hint="default" w:ascii="Times New Roman" w:hAnsi="Times New Roman" w:eastAsia="方正小标宋简体" w:cs="Times New Roman"/>
          <w:i w:val="0"/>
          <w:iCs w:val="0"/>
          <w:color w:val="auto"/>
          <w:kern w:val="0"/>
          <w:sz w:val="44"/>
          <w:szCs w:val="44"/>
          <w:highlight w:val="none"/>
          <w:u w:val="none"/>
          <w:lang w:val="en-US" w:eastAsia="zh-CN" w:bidi="ar"/>
        </w:rPr>
        <w:t>指标体系</w:t>
      </w:r>
    </w:p>
    <w:tbl>
      <w:tblPr>
        <w:tblStyle w:val="20"/>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220"/>
        <w:gridCol w:w="1260"/>
        <w:gridCol w:w="765"/>
        <w:gridCol w:w="990"/>
        <w:gridCol w:w="975"/>
        <w:gridCol w:w="2265"/>
        <w:gridCol w:w="735"/>
      </w:tblGrid>
      <w:tr w14:paraId="635C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Header/>
          <w:jc w:val="center"/>
        </w:trPr>
        <w:tc>
          <w:tcPr>
            <w:tcW w:w="3548" w:type="dxa"/>
            <w:gridSpan w:val="3"/>
            <w:shd w:val="clear" w:color="auto" w:fill="auto"/>
            <w:vAlign w:val="center"/>
          </w:tcPr>
          <w:p w14:paraId="2B2D96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绩效指标</w:t>
            </w:r>
          </w:p>
        </w:tc>
        <w:tc>
          <w:tcPr>
            <w:tcW w:w="765" w:type="dxa"/>
            <w:vMerge w:val="restart"/>
            <w:shd w:val="clear" w:color="auto" w:fill="FFFFFF"/>
            <w:vAlign w:val="center"/>
          </w:tcPr>
          <w:p w14:paraId="19EB297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指标分值</w:t>
            </w:r>
          </w:p>
        </w:tc>
        <w:tc>
          <w:tcPr>
            <w:tcW w:w="990" w:type="dxa"/>
            <w:vMerge w:val="restart"/>
            <w:shd w:val="clear" w:color="auto" w:fill="FFFFFF"/>
            <w:vAlign w:val="center"/>
          </w:tcPr>
          <w:p w14:paraId="6A4ED6C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目标值</w:t>
            </w:r>
          </w:p>
        </w:tc>
        <w:tc>
          <w:tcPr>
            <w:tcW w:w="975" w:type="dxa"/>
            <w:vMerge w:val="restart"/>
            <w:shd w:val="clear" w:color="auto" w:fill="FFFFFF"/>
            <w:vAlign w:val="center"/>
          </w:tcPr>
          <w:p w14:paraId="0B996AE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完成值</w:t>
            </w:r>
          </w:p>
        </w:tc>
        <w:tc>
          <w:tcPr>
            <w:tcW w:w="2265" w:type="dxa"/>
            <w:vMerge w:val="restart"/>
            <w:shd w:val="clear" w:color="auto" w:fill="FFFFFF"/>
            <w:vAlign w:val="center"/>
          </w:tcPr>
          <w:p w14:paraId="13F2971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评价过程（只写扣分项的原因）</w:t>
            </w:r>
          </w:p>
        </w:tc>
        <w:tc>
          <w:tcPr>
            <w:tcW w:w="735" w:type="dxa"/>
            <w:vMerge w:val="restart"/>
            <w:shd w:val="clear" w:color="auto" w:fill="FFFFFF"/>
            <w:vAlign w:val="center"/>
          </w:tcPr>
          <w:p w14:paraId="6FC5B52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自评得分</w:t>
            </w:r>
          </w:p>
        </w:tc>
      </w:tr>
      <w:tr w14:paraId="17DE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1068" w:type="dxa"/>
            <w:shd w:val="clear" w:color="auto" w:fill="auto"/>
            <w:vAlign w:val="center"/>
          </w:tcPr>
          <w:p w14:paraId="0A2D4C7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kern w:val="0"/>
                <w:sz w:val="24"/>
                <w:szCs w:val="24"/>
                <w:highlight w:val="none"/>
                <w:u w:val="none"/>
                <w:lang w:val="en-US" w:eastAsia="zh-CN" w:bidi="ar"/>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一级</w:t>
            </w:r>
          </w:p>
          <w:p w14:paraId="439CF8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指标</w:t>
            </w:r>
          </w:p>
        </w:tc>
        <w:tc>
          <w:tcPr>
            <w:tcW w:w="1220" w:type="dxa"/>
            <w:shd w:val="clear" w:color="auto" w:fill="auto"/>
            <w:vAlign w:val="center"/>
          </w:tcPr>
          <w:p w14:paraId="3ADE725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kern w:val="0"/>
                <w:sz w:val="24"/>
                <w:szCs w:val="24"/>
                <w:highlight w:val="none"/>
                <w:u w:val="none"/>
                <w:lang w:val="en-US" w:eastAsia="zh-CN" w:bidi="ar"/>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二级</w:t>
            </w:r>
          </w:p>
          <w:p w14:paraId="18C9EDD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指标</w:t>
            </w:r>
          </w:p>
        </w:tc>
        <w:tc>
          <w:tcPr>
            <w:tcW w:w="1260" w:type="dxa"/>
            <w:shd w:val="clear" w:color="auto" w:fill="auto"/>
            <w:vAlign w:val="center"/>
          </w:tcPr>
          <w:p w14:paraId="0236991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kern w:val="0"/>
                <w:sz w:val="24"/>
                <w:szCs w:val="24"/>
                <w:highlight w:val="none"/>
                <w:u w:val="none"/>
                <w:lang w:val="en-US" w:eastAsia="zh-CN" w:bidi="ar"/>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三级</w:t>
            </w:r>
          </w:p>
          <w:p w14:paraId="698063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指标</w:t>
            </w:r>
          </w:p>
        </w:tc>
        <w:tc>
          <w:tcPr>
            <w:tcW w:w="765" w:type="dxa"/>
            <w:vMerge w:val="continue"/>
            <w:shd w:val="clear" w:color="auto" w:fill="FFFFFF"/>
            <w:vAlign w:val="center"/>
          </w:tcPr>
          <w:p w14:paraId="144C40C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黑体" w:cs="Times New Roman"/>
                <w:b w:val="0"/>
                <w:bCs w:val="0"/>
                <w:i w:val="0"/>
                <w:iCs w:val="0"/>
                <w:color w:val="auto"/>
                <w:sz w:val="24"/>
                <w:szCs w:val="24"/>
                <w:highlight w:val="none"/>
                <w:u w:val="none"/>
              </w:rPr>
            </w:pPr>
          </w:p>
        </w:tc>
        <w:tc>
          <w:tcPr>
            <w:tcW w:w="990" w:type="dxa"/>
            <w:vMerge w:val="continue"/>
            <w:shd w:val="clear" w:color="auto" w:fill="FFFFFF"/>
            <w:vAlign w:val="center"/>
          </w:tcPr>
          <w:p w14:paraId="457E0D3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黑体" w:cs="Times New Roman"/>
                <w:b w:val="0"/>
                <w:bCs w:val="0"/>
                <w:i w:val="0"/>
                <w:iCs w:val="0"/>
                <w:color w:val="auto"/>
                <w:sz w:val="24"/>
                <w:szCs w:val="24"/>
                <w:highlight w:val="none"/>
                <w:u w:val="none"/>
              </w:rPr>
            </w:pPr>
          </w:p>
        </w:tc>
        <w:tc>
          <w:tcPr>
            <w:tcW w:w="975" w:type="dxa"/>
            <w:vMerge w:val="continue"/>
            <w:shd w:val="clear" w:color="auto" w:fill="FFFFFF"/>
            <w:vAlign w:val="center"/>
          </w:tcPr>
          <w:p w14:paraId="48E1B09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黑体" w:cs="Times New Roman"/>
                <w:b w:val="0"/>
                <w:bCs w:val="0"/>
                <w:i w:val="0"/>
                <w:iCs w:val="0"/>
                <w:color w:val="auto"/>
                <w:sz w:val="24"/>
                <w:szCs w:val="24"/>
                <w:highlight w:val="none"/>
                <w:u w:val="none"/>
              </w:rPr>
            </w:pPr>
          </w:p>
        </w:tc>
        <w:tc>
          <w:tcPr>
            <w:tcW w:w="2265" w:type="dxa"/>
            <w:vMerge w:val="continue"/>
            <w:shd w:val="clear" w:color="auto" w:fill="FFFFFF"/>
            <w:vAlign w:val="center"/>
          </w:tcPr>
          <w:p w14:paraId="6A838F4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黑体" w:cs="Times New Roman"/>
                <w:b w:val="0"/>
                <w:bCs w:val="0"/>
                <w:i w:val="0"/>
                <w:iCs w:val="0"/>
                <w:color w:val="auto"/>
                <w:sz w:val="24"/>
                <w:szCs w:val="24"/>
                <w:highlight w:val="none"/>
                <w:u w:val="none"/>
              </w:rPr>
            </w:pPr>
          </w:p>
        </w:tc>
        <w:tc>
          <w:tcPr>
            <w:tcW w:w="735" w:type="dxa"/>
            <w:vMerge w:val="continue"/>
            <w:shd w:val="clear" w:color="auto" w:fill="FFFFFF"/>
            <w:vAlign w:val="center"/>
          </w:tcPr>
          <w:p w14:paraId="61D6334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黑体" w:cs="Times New Roman"/>
                <w:b w:val="0"/>
                <w:bCs w:val="0"/>
                <w:i w:val="0"/>
                <w:iCs w:val="0"/>
                <w:color w:val="auto"/>
                <w:sz w:val="24"/>
                <w:szCs w:val="24"/>
                <w:highlight w:val="none"/>
                <w:u w:val="none"/>
              </w:rPr>
            </w:pPr>
          </w:p>
        </w:tc>
      </w:tr>
      <w:tr w14:paraId="4C10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restart"/>
            <w:vAlign w:val="center"/>
          </w:tcPr>
          <w:p w14:paraId="4CA506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部门预算管理</w:t>
            </w:r>
          </w:p>
          <w:p w14:paraId="01FDA88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（80分）</w:t>
            </w:r>
          </w:p>
        </w:tc>
        <w:tc>
          <w:tcPr>
            <w:tcW w:w="1220" w:type="dxa"/>
            <w:vMerge w:val="restart"/>
            <w:vAlign w:val="center"/>
          </w:tcPr>
          <w:p w14:paraId="030B99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预算编制</w:t>
            </w:r>
          </w:p>
          <w:p w14:paraId="481606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（30分）</w:t>
            </w:r>
          </w:p>
        </w:tc>
        <w:tc>
          <w:tcPr>
            <w:tcW w:w="1260" w:type="dxa"/>
            <w:vAlign w:val="center"/>
          </w:tcPr>
          <w:p w14:paraId="1A04C23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目标制定</w:t>
            </w:r>
          </w:p>
        </w:tc>
        <w:tc>
          <w:tcPr>
            <w:tcW w:w="765" w:type="dxa"/>
            <w:vAlign w:val="center"/>
          </w:tcPr>
          <w:p w14:paraId="28874C6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39DA90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2ACDF8D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1F59FD4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46C4F78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r>
      <w:tr w14:paraId="3485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1068" w:type="dxa"/>
            <w:vMerge w:val="continue"/>
            <w:vAlign w:val="center"/>
          </w:tcPr>
          <w:p w14:paraId="59FF127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66C8234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63D574D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目标完成</w:t>
            </w:r>
          </w:p>
        </w:tc>
        <w:tc>
          <w:tcPr>
            <w:tcW w:w="765" w:type="dxa"/>
            <w:vAlign w:val="center"/>
          </w:tcPr>
          <w:p w14:paraId="4C32FB6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2C02FBD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667EF59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6E690C1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cs="Times New Roman"/>
                <w:i w:val="0"/>
                <w:iCs w:val="0"/>
                <w:color w:val="000000"/>
                <w:sz w:val="24"/>
                <w:szCs w:val="24"/>
                <w:u w:val="none"/>
                <w:lang w:val="en-US" w:eastAsia="zh-CN"/>
              </w:rPr>
              <w:t>文史资料费因此项目实施条件不充分，实际完成情况未达到预期绩效目标</w:t>
            </w:r>
          </w:p>
        </w:tc>
        <w:tc>
          <w:tcPr>
            <w:tcW w:w="735" w:type="dxa"/>
            <w:vAlign w:val="center"/>
          </w:tcPr>
          <w:p w14:paraId="1BD02E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color w:val="auto"/>
                <w:kern w:val="0"/>
                <w:sz w:val="24"/>
                <w:szCs w:val="24"/>
                <w:highlight w:val="none"/>
                <w:u w:val="none"/>
                <w:lang w:val="en-US" w:eastAsia="zh-CN" w:bidi="ar"/>
              </w:rPr>
              <w:t>8.9</w:t>
            </w:r>
          </w:p>
        </w:tc>
      </w:tr>
      <w:tr w14:paraId="61D2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496FCBD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02ABFC5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62C29B8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编制准确</w:t>
            </w:r>
          </w:p>
        </w:tc>
        <w:tc>
          <w:tcPr>
            <w:tcW w:w="765" w:type="dxa"/>
            <w:vAlign w:val="center"/>
          </w:tcPr>
          <w:p w14:paraId="7BE795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6914E9C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3E20A8A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color w:val="auto"/>
                <w:sz w:val="24"/>
                <w:szCs w:val="24"/>
                <w:highlight w:val="none"/>
                <w:u w:val="none"/>
                <w:lang w:val="en-US" w:eastAsia="zh-CN"/>
              </w:rPr>
              <w:t>10</w:t>
            </w:r>
          </w:p>
        </w:tc>
        <w:tc>
          <w:tcPr>
            <w:tcW w:w="2265" w:type="dxa"/>
            <w:vAlign w:val="center"/>
          </w:tcPr>
          <w:p w14:paraId="2BF4EAF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color w:val="000000"/>
                <w:sz w:val="24"/>
                <w:szCs w:val="24"/>
                <w:u w:val="none"/>
                <w:lang w:val="en-US" w:eastAsia="zh-CN"/>
              </w:rPr>
              <w:t>年初预算编制不够精准，年中进行项目资金内部调剂</w:t>
            </w:r>
          </w:p>
        </w:tc>
        <w:tc>
          <w:tcPr>
            <w:tcW w:w="735" w:type="dxa"/>
            <w:vAlign w:val="center"/>
          </w:tcPr>
          <w:p w14:paraId="0FCF376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color w:val="auto"/>
                <w:kern w:val="0"/>
                <w:sz w:val="24"/>
                <w:szCs w:val="24"/>
                <w:highlight w:val="none"/>
                <w:u w:val="none"/>
                <w:lang w:val="en-US" w:eastAsia="zh-CN" w:bidi="ar"/>
              </w:rPr>
              <w:t>8.7</w:t>
            </w:r>
          </w:p>
        </w:tc>
      </w:tr>
      <w:tr w14:paraId="7CD8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62BF954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restart"/>
            <w:vAlign w:val="center"/>
          </w:tcPr>
          <w:p w14:paraId="3644591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预算执行</w:t>
            </w:r>
          </w:p>
          <w:p w14:paraId="62F2ABB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（30分）</w:t>
            </w:r>
          </w:p>
        </w:tc>
        <w:tc>
          <w:tcPr>
            <w:tcW w:w="1260" w:type="dxa"/>
            <w:vAlign w:val="center"/>
          </w:tcPr>
          <w:p w14:paraId="58106D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支出控制</w:t>
            </w:r>
          </w:p>
        </w:tc>
        <w:tc>
          <w:tcPr>
            <w:tcW w:w="765" w:type="dxa"/>
            <w:vAlign w:val="center"/>
          </w:tcPr>
          <w:p w14:paraId="28EBC52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3F04CAE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6E0BE40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76916B6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609CDCD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10</w:t>
            </w:r>
          </w:p>
        </w:tc>
      </w:tr>
      <w:tr w14:paraId="7F92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4A45F28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6FACCAA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5C722C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动态调整</w:t>
            </w:r>
          </w:p>
        </w:tc>
        <w:tc>
          <w:tcPr>
            <w:tcW w:w="765" w:type="dxa"/>
            <w:vAlign w:val="center"/>
          </w:tcPr>
          <w:p w14:paraId="47BF643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3AD127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0ED3475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0528AAE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3AA85EB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r>
      <w:tr w14:paraId="2D68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068" w:type="dxa"/>
            <w:vMerge w:val="continue"/>
            <w:vAlign w:val="center"/>
          </w:tcPr>
          <w:p w14:paraId="50C27D3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7824B10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208AAF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执行进度</w:t>
            </w:r>
          </w:p>
        </w:tc>
        <w:tc>
          <w:tcPr>
            <w:tcW w:w="765" w:type="dxa"/>
            <w:vAlign w:val="center"/>
          </w:tcPr>
          <w:p w14:paraId="695FF4D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5580603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51F5993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2C8D175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5D0E98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color w:val="auto"/>
                <w:kern w:val="0"/>
                <w:sz w:val="24"/>
                <w:szCs w:val="24"/>
                <w:highlight w:val="none"/>
                <w:u w:val="none"/>
                <w:lang w:val="en-US" w:eastAsia="zh-CN" w:bidi="ar"/>
              </w:rPr>
              <w:t>10</w:t>
            </w:r>
          </w:p>
        </w:tc>
      </w:tr>
      <w:tr w14:paraId="3383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1B78DB5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restart"/>
            <w:vAlign w:val="center"/>
          </w:tcPr>
          <w:p w14:paraId="37435B8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完成结果</w:t>
            </w:r>
          </w:p>
          <w:p w14:paraId="0C397D6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（20分）</w:t>
            </w:r>
          </w:p>
        </w:tc>
        <w:tc>
          <w:tcPr>
            <w:tcW w:w="1260" w:type="dxa"/>
            <w:vAlign w:val="center"/>
          </w:tcPr>
          <w:p w14:paraId="70A66DA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预算完成</w:t>
            </w:r>
          </w:p>
        </w:tc>
        <w:tc>
          <w:tcPr>
            <w:tcW w:w="765" w:type="dxa"/>
            <w:vAlign w:val="center"/>
          </w:tcPr>
          <w:p w14:paraId="2617895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21D5610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0B955EC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0CFBBB2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753B0D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10</w:t>
            </w:r>
          </w:p>
        </w:tc>
      </w:tr>
      <w:tr w14:paraId="154B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5B059BB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63DBFB1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7854631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违规记录</w:t>
            </w:r>
          </w:p>
        </w:tc>
        <w:tc>
          <w:tcPr>
            <w:tcW w:w="765" w:type="dxa"/>
            <w:vAlign w:val="center"/>
          </w:tcPr>
          <w:p w14:paraId="51FCD0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041B907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75" w:type="dxa"/>
            <w:vAlign w:val="center"/>
          </w:tcPr>
          <w:p w14:paraId="3C349ED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2265" w:type="dxa"/>
            <w:vAlign w:val="center"/>
          </w:tcPr>
          <w:p w14:paraId="6FE680D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7502450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r>
      <w:tr w14:paraId="0A56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restart"/>
            <w:vAlign w:val="center"/>
          </w:tcPr>
          <w:p w14:paraId="7F7DFCA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绩效结果应用</w:t>
            </w: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（10分）</w:t>
            </w:r>
          </w:p>
        </w:tc>
        <w:tc>
          <w:tcPr>
            <w:tcW w:w="1220" w:type="dxa"/>
            <w:vMerge w:val="restart"/>
            <w:vAlign w:val="center"/>
          </w:tcPr>
          <w:p w14:paraId="01BE2FB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信息公开</w:t>
            </w:r>
          </w:p>
          <w:p w14:paraId="11D2BC9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（6分）</w:t>
            </w:r>
          </w:p>
        </w:tc>
        <w:tc>
          <w:tcPr>
            <w:tcW w:w="1260" w:type="dxa"/>
            <w:vAlign w:val="center"/>
          </w:tcPr>
          <w:p w14:paraId="36EDB4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目标公开</w:t>
            </w:r>
          </w:p>
        </w:tc>
        <w:tc>
          <w:tcPr>
            <w:tcW w:w="765" w:type="dxa"/>
            <w:vAlign w:val="center"/>
          </w:tcPr>
          <w:p w14:paraId="30C33AD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990" w:type="dxa"/>
            <w:vAlign w:val="center"/>
          </w:tcPr>
          <w:p w14:paraId="3F2863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975" w:type="dxa"/>
            <w:vAlign w:val="center"/>
          </w:tcPr>
          <w:p w14:paraId="1A09ACE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2265" w:type="dxa"/>
            <w:vAlign w:val="center"/>
          </w:tcPr>
          <w:p w14:paraId="443E347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10FCF29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r>
      <w:tr w14:paraId="0D74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0CB0D22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2415A97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40E064E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自评公开</w:t>
            </w:r>
          </w:p>
        </w:tc>
        <w:tc>
          <w:tcPr>
            <w:tcW w:w="765" w:type="dxa"/>
            <w:vAlign w:val="center"/>
          </w:tcPr>
          <w:p w14:paraId="5320A6C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990" w:type="dxa"/>
            <w:vAlign w:val="center"/>
          </w:tcPr>
          <w:p w14:paraId="4337284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975" w:type="dxa"/>
            <w:vAlign w:val="center"/>
          </w:tcPr>
          <w:p w14:paraId="5143655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2265" w:type="dxa"/>
            <w:vAlign w:val="center"/>
          </w:tcPr>
          <w:p w14:paraId="5A5B2A2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57FA94B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r>
      <w:tr w14:paraId="2490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restart"/>
            <w:vAlign w:val="center"/>
          </w:tcPr>
          <w:p w14:paraId="7780FA6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绩效结果应用</w:t>
            </w: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（10分）</w:t>
            </w:r>
          </w:p>
        </w:tc>
        <w:tc>
          <w:tcPr>
            <w:tcW w:w="1220" w:type="dxa"/>
            <w:vMerge w:val="restart"/>
            <w:vAlign w:val="center"/>
          </w:tcPr>
          <w:p w14:paraId="003355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整改反馈</w:t>
            </w:r>
          </w:p>
          <w:p w14:paraId="3E1580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（4分）</w:t>
            </w:r>
          </w:p>
        </w:tc>
        <w:tc>
          <w:tcPr>
            <w:tcW w:w="1260" w:type="dxa"/>
            <w:vAlign w:val="center"/>
          </w:tcPr>
          <w:p w14:paraId="73AA65B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结果整改</w:t>
            </w:r>
          </w:p>
        </w:tc>
        <w:tc>
          <w:tcPr>
            <w:tcW w:w="765" w:type="dxa"/>
            <w:vAlign w:val="center"/>
          </w:tcPr>
          <w:p w14:paraId="0FBB05B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990" w:type="dxa"/>
            <w:vAlign w:val="center"/>
          </w:tcPr>
          <w:p w14:paraId="093338B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975" w:type="dxa"/>
            <w:vAlign w:val="center"/>
          </w:tcPr>
          <w:p w14:paraId="2C3F0B6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2265" w:type="dxa"/>
            <w:vAlign w:val="center"/>
          </w:tcPr>
          <w:p w14:paraId="1D90A5E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5E903F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r>
      <w:tr w14:paraId="4AB4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vMerge w:val="continue"/>
            <w:vAlign w:val="center"/>
          </w:tcPr>
          <w:p w14:paraId="565AF90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20" w:type="dxa"/>
            <w:vMerge w:val="continue"/>
            <w:vAlign w:val="center"/>
          </w:tcPr>
          <w:p w14:paraId="768EC85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1260" w:type="dxa"/>
            <w:vAlign w:val="center"/>
          </w:tcPr>
          <w:p w14:paraId="3D1EAC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应用反馈</w:t>
            </w:r>
          </w:p>
        </w:tc>
        <w:tc>
          <w:tcPr>
            <w:tcW w:w="765" w:type="dxa"/>
            <w:vAlign w:val="center"/>
          </w:tcPr>
          <w:p w14:paraId="7CE6435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990" w:type="dxa"/>
            <w:vAlign w:val="center"/>
          </w:tcPr>
          <w:p w14:paraId="2EE1631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975" w:type="dxa"/>
            <w:vAlign w:val="center"/>
          </w:tcPr>
          <w:p w14:paraId="512F0DB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2265" w:type="dxa"/>
            <w:vAlign w:val="center"/>
          </w:tcPr>
          <w:p w14:paraId="30A49E2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25EA8B6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r>
      <w:tr w14:paraId="33A9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68" w:type="dxa"/>
            <w:vAlign w:val="center"/>
          </w:tcPr>
          <w:p w14:paraId="5A6C998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自评</w:t>
            </w:r>
          </w:p>
          <w:p w14:paraId="3E9FABE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质量</w:t>
            </w:r>
          </w:p>
          <w:p w14:paraId="6633962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10分）</w:t>
            </w:r>
          </w:p>
        </w:tc>
        <w:tc>
          <w:tcPr>
            <w:tcW w:w="1220" w:type="dxa"/>
            <w:vAlign w:val="center"/>
          </w:tcPr>
          <w:p w14:paraId="3A28482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自评质量</w:t>
            </w:r>
          </w:p>
          <w:p w14:paraId="47C06BF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spacing w:val="-20"/>
                <w:kern w:val="0"/>
                <w:sz w:val="24"/>
                <w:szCs w:val="24"/>
                <w:highlight w:val="none"/>
                <w:u w:val="none"/>
                <w:lang w:val="en-US" w:eastAsia="zh-CN" w:bidi="ar"/>
              </w:rPr>
              <w:t>（10分）</w:t>
            </w:r>
          </w:p>
        </w:tc>
        <w:tc>
          <w:tcPr>
            <w:tcW w:w="1260" w:type="dxa"/>
            <w:vAlign w:val="center"/>
          </w:tcPr>
          <w:p w14:paraId="4564CEB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自评准确</w:t>
            </w:r>
          </w:p>
        </w:tc>
        <w:tc>
          <w:tcPr>
            <w:tcW w:w="765" w:type="dxa"/>
            <w:vAlign w:val="center"/>
          </w:tcPr>
          <w:p w14:paraId="581371C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990" w:type="dxa"/>
            <w:vAlign w:val="center"/>
          </w:tcPr>
          <w:p w14:paraId="1059F89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975" w:type="dxa"/>
            <w:vAlign w:val="center"/>
          </w:tcPr>
          <w:p w14:paraId="2A3C5C3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2265" w:type="dxa"/>
            <w:vAlign w:val="center"/>
          </w:tcPr>
          <w:p w14:paraId="0470D6B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741075A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r>
      <w:tr w14:paraId="751C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88" w:type="dxa"/>
            <w:gridSpan w:val="2"/>
            <w:vAlign w:val="center"/>
          </w:tcPr>
          <w:p w14:paraId="13709BF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自评总分</w:t>
            </w:r>
          </w:p>
        </w:tc>
        <w:tc>
          <w:tcPr>
            <w:tcW w:w="1260" w:type="dxa"/>
            <w:vAlign w:val="center"/>
          </w:tcPr>
          <w:p w14:paraId="3B6A308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765" w:type="dxa"/>
            <w:vAlign w:val="center"/>
          </w:tcPr>
          <w:p w14:paraId="78BE1DF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color w:val="auto"/>
                <w:sz w:val="24"/>
                <w:szCs w:val="24"/>
                <w:highlight w:val="none"/>
                <w:u w:val="none"/>
                <w:lang w:val="en-US" w:eastAsia="zh-CN"/>
              </w:rPr>
              <w:t>90</w:t>
            </w:r>
          </w:p>
        </w:tc>
        <w:tc>
          <w:tcPr>
            <w:tcW w:w="990" w:type="dxa"/>
            <w:vAlign w:val="center"/>
          </w:tcPr>
          <w:p w14:paraId="10C9605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lang w:val="en-US" w:eastAsia="zh-CN"/>
              </w:rPr>
            </w:pPr>
          </w:p>
        </w:tc>
        <w:tc>
          <w:tcPr>
            <w:tcW w:w="975" w:type="dxa"/>
            <w:vAlign w:val="center"/>
          </w:tcPr>
          <w:p w14:paraId="4D89F9E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rPr>
            </w:pPr>
          </w:p>
        </w:tc>
        <w:tc>
          <w:tcPr>
            <w:tcW w:w="2265" w:type="dxa"/>
            <w:vAlign w:val="center"/>
          </w:tcPr>
          <w:p w14:paraId="16A8BE4D">
            <w:pPr>
              <w:keepNext w:val="0"/>
              <w:keepLines w:val="0"/>
              <w:pageBreakBefore w:val="0"/>
              <w:widowControl w:val="0"/>
              <w:kinsoku/>
              <w:wordWrap/>
              <w:overflowPunct w:val="0"/>
              <w:topLinePunct w:val="0"/>
              <w:autoSpaceDE/>
              <w:autoSpaceDN/>
              <w:bidi w:val="0"/>
              <w:adjustRightInd w:val="0"/>
              <w:snapToGrid w:val="0"/>
              <w:spacing w:line="570" w:lineRule="exact"/>
              <w:rPr>
                <w:rFonts w:hint="default" w:ascii="Times New Roman" w:hAnsi="Times New Roman" w:eastAsia="仿宋_GB2312" w:cs="Times New Roman"/>
                <w:i w:val="0"/>
                <w:iCs w:val="0"/>
                <w:color w:val="auto"/>
                <w:sz w:val="24"/>
                <w:szCs w:val="24"/>
                <w:highlight w:val="none"/>
                <w:u w:val="none"/>
              </w:rPr>
            </w:pPr>
          </w:p>
        </w:tc>
        <w:tc>
          <w:tcPr>
            <w:tcW w:w="735" w:type="dxa"/>
            <w:vAlign w:val="center"/>
          </w:tcPr>
          <w:p w14:paraId="5D059B5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8</w:t>
            </w:r>
            <w:r>
              <w:rPr>
                <w:rFonts w:hint="eastAsia" w:ascii="Times New Roman" w:hAnsi="Times New Roman" w:cs="Times New Roman"/>
                <w:i w:val="0"/>
                <w:iCs w:val="0"/>
                <w:color w:val="auto"/>
                <w:sz w:val="24"/>
                <w:szCs w:val="24"/>
                <w:highlight w:val="none"/>
                <w:u w:val="none"/>
                <w:lang w:val="en-US" w:eastAsia="zh-CN"/>
              </w:rPr>
              <w:t>7.6</w:t>
            </w:r>
          </w:p>
        </w:tc>
      </w:tr>
    </w:tbl>
    <w:p w14:paraId="59DB1BFA">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sectPr>
          <w:footerReference r:id="rId6" w:type="first"/>
          <w:footerReference r:id="rId5" w:type="default"/>
          <w:pgSz w:w="11906" w:h="16838"/>
          <w:pgMar w:top="1440" w:right="1800" w:bottom="1440" w:left="1800" w:header="851" w:footer="992" w:gutter="0"/>
          <w:pgNumType w:fmt="decimal" w:start="1"/>
          <w:cols w:space="425" w:num="1"/>
          <w:docGrid w:type="lines" w:linePitch="312" w:charSpace="0"/>
        </w:sectPr>
      </w:pPr>
    </w:p>
    <w:p w14:paraId="73334837">
      <w:pPr>
        <w:pStyle w:val="2"/>
        <w:ind w:left="0" w:leftChars="0" w:firstLine="0" w:firstLineChars="0"/>
        <w:rPr>
          <w:rFonts w:hint="eastAsia"/>
          <w:lang w:val="en-US" w:eastAsia="zh-CN"/>
        </w:rPr>
      </w:pPr>
      <w:r>
        <w:rPr>
          <w:rFonts w:hint="eastAsia"/>
          <w:lang w:val="en-US" w:eastAsia="zh-CN"/>
        </w:rPr>
        <w:t>附表：</w:t>
      </w:r>
    </w:p>
    <w:tbl>
      <w:tblPr>
        <w:tblStyle w:val="20"/>
        <w:tblW w:w="126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4"/>
        <w:gridCol w:w="1824"/>
        <w:gridCol w:w="1581"/>
        <w:gridCol w:w="2013"/>
        <w:gridCol w:w="468"/>
        <w:gridCol w:w="1494"/>
        <w:gridCol w:w="468"/>
        <w:gridCol w:w="980"/>
        <w:gridCol w:w="486"/>
        <w:gridCol w:w="486"/>
        <w:gridCol w:w="2271"/>
      </w:tblGrid>
      <w:tr w14:paraId="3972E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E56C0C">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5F878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F44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2D7C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51090322T000000347346-信息化建设经费</w:t>
            </w:r>
          </w:p>
        </w:tc>
      </w:tr>
      <w:tr w14:paraId="64BA4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C32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7C4D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24AED72B">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012E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144D4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CF8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6991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6BFA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F5BA9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23C6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D6967">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FC1DA">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4386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根据单位工作安排，确保单位全年网络畅通，对信息化建设设施设备进行维护维修，确保区政协信息化建设工作的正常运转。</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71E65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开展电脑、打印机、网络专线、短信群发平台等维修维护20余次，购买订阅中国移动云MAS、云视讯高清视频、集团专线维护等服务，网络通畅率、支付准确率、定期缴费率、维护服务达标率、网络使用人员满意率100%，项目支出9.33万元。</w:t>
            </w:r>
          </w:p>
        </w:tc>
      </w:tr>
      <w:tr w14:paraId="5F920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28101">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36C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4D1E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对政协官网、微信公众号、委员微信群等宣传阵地管理，及时宣传党的新理论新思想和重大决策部署，牢牢把住政协意识形态工作的领导权和主动权，全年在人民政协报、四川政协报、遂宁新闻网等媒体上刊发新闻稿件20余篇，利用船山政协微信平台刊发信息50篇，讲好了政协故事。全年对电脑、打印机、网络专线、短信群发平台等信息化建设设施设备进行维修维护20余次，购买订阅中国移动云MAS、云视讯高清视频、集团专线维护等服务，承办好“同心共建现代化四川”动员部署电视电话会议等，确保了信息化建设工作正常开展。</w:t>
            </w:r>
          </w:p>
        </w:tc>
      </w:tr>
      <w:tr w14:paraId="1E6A3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DF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3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A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3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0E63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8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1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B3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E7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7884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80227">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46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82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F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9.33</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C0D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5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25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AC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1E835">
            <w:pPr>
              <w:rPr>
                <w:rFonts w:hint="eastAsia" w:ascii="黑体" w:hAnsi="黑体" w:eastAsia="黑体" w:cs="黑体"/>
                <w:i/>
                <w:iCs/>
                <w:color w:val="000000"/>
                <w:sz w:val="18"/>
                <w:szCs w:val="18"/>
                <w:u w:val="none"/>
              </w:rPr>
            </w:pPr>
          </w:p>
        </w:tc>
      </w:tr>
      <w:tr w14:paraId="587EA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ED51F">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51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4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27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9.33</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5BA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2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B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ED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14ECB">
            <w:pPr>
              <w:rPr>
                <w:rFonts w:hint="eastAsia" w:ascii="黑体" w:hAnsi="黑体" w:eastAsia="黑体" w:cs="黑体"/>
                <w:i/>
                <w:iCs/>
                <w:color w:val="000000"/>
                <w:sz w:val="18"/>
                <w:szCs w:val="18"/>
                <w:u w:val="none"/>
              </w:rPr>
            </w:pPr>
          </w:p>
        </w:tc>
      </w:tr>
      <w:tr w14:paraId="4CC22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66074">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4F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3B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61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19E4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FA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9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B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B4EBE">
            <w:pPr>
              <w:rPr>
                <w:rFonts w:hint="eastAsia" w:ascii="黑体" w:hAnsi="黑体" w:eastAsia="黑体" w:cs="黑体"/>
                <w:i/>
                <w:iCs/>
                <w:color w:val="000000"/>
                <w:sz w:val="18"/>
                <w:szCs w:val="18"/>
                <w:u w:val="none"/>
              </w:rPr>
            </w:pPr>
          </w:p>
        </w:tc>
      </w:tr>
      <w:tr w14:paraId="76652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CA413">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0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B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6E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C18F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4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33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1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E1CD1">
            <w:pPr>
              <w:rPr>
                <w:rFonts w:hint="eastAsia" w:ascii="黑体" w:hAnsi="黑体" w:eastAsia="黑体" w:cs="黑体"/>
                <w:i/>
                <w:iCs/>
                <w:color w:val="000000"/>
                <w:sz w:val="18"/>
                <w:szCs w:val="18"/>
                <w:u w:val="none"/>
              </w:rPr>
            </w:pPr>
          </w:p>
        </w:tc>
      </w:tr>
      <w:tr w14:paraId="6163A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FBE3B">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BF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F1F0">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DB51">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478D56">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E63C">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B7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9D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4D5C5">
            <w:pPr>
              <w:rPr>
                <w:rFonts w:hint="eastAsia" w:ascii="黑体" w:hAnsi="黑体" w:eastAsia="黑体" w:cs="黑体"/>
                <w:i/>
                <w:iCs/>
                <w:color w:val="000000"/>
                <w:sz w:val="18"/>
                <w:szCs w:val="18"/>
                <w:u w:val="none"/>
              </w:rPr>
            </w:pPr>
          </w:p>
        </w:tc>
      </w:tr>
      <w:tr w14:paraId="0DCC2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83C4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02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F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4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B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DF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B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6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85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2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C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D2F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24A8">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99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B0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C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设施设备维护次数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2A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F5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52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652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D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B3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D345">
            <w:pPr>
              <w:jc w:val="center"/>
              <w:rPr>
                <w:rFonts w:hint="eastAsia" w:ascii="微软雅黑" w:hAnsi="微软雅黑" w:eastAsia="微软雅黑" w:cs="微软雅黑"/>
                <w:i/>
                <w:iCs/>
                <w:color w:val="000000"/>
                <w:sz w:val="16"/>
                <w:szCs w:val="16"/>
                <w:u w:val="none"/>
              </w:rPr>
            </w:pPr>
          </w:p>
        </w:tc>
      </w:tr>
      <w:tr w14:paraId="1042C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4A41B">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91792">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1C58D">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9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购买通讯公司服务数量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80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F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63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F07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24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E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3825">
            <w:pPr>
              <w:jc w:val="center"/>
              <w:rPr>
                <w:rFonts w:hint="eastAsia" w:ascii="微软雅黑" w:hAnsi="微软雅黑" w:eastAsia="微软雅黑" w:cs="微软雅黑"/>
                <w:i/>
                <w:iCs/>
                <w:color w:val="000000"/>
                <w:sz w:val="16"/>
                <w:szCs w:val="16"/>
                <w:u w:val="none"/>
              </w:rPr>
            </w:pPr>
          </w:p>
        </w:tc>
      </w:tr>
      <w:tr w14:paraId="4A468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AADD7">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C3214">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6FA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A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维护服务达标率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C4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F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78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6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0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C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B71A">
            <w:pPr>
              <w:jc w:val="center"/>
              <w:rPr>
                <w:rFonts w:hint="eastAsia" w:ascii="微软雅黑" w:hAnsi="微软雅黑" w:eastAsia="微软雅黑" w:cs="微软雅黑"/>
                <w:i/>
                <w:iCs/>
                <w:color w:val="000000"/>
                <w:sz w:val="16"/>
                <w:szCs w:val="16"/>
                <w:u w:val="none"/>
              </w:rPr>
            </w:pPr>
          </w:p>
        </w:tc>
      </w:tr>
      <w:tr w14:paraId="3D3FC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DA2D8">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10549">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760F3">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6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支付准确率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6C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0F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4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C1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20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6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523B">
            <w:pPr>
              <w:jc w:val="center"/>
              <w:rPr>
                <w:rFonts w:hint="eastAsia" w:ascii="微软雅黑" w:hAnsi="微软雅黑" w:eastAsia="微软雅黑" w:cs="微软雅黑"/>
                <w:i/>
                <w:iCs/>
                <w:color w:val="000000"/>
                <w:sz w:val="16"/>
                <w:szCs w:val="16"/>
                <w:u w:val="none"/>
              </w:rPr>
            </w:pPr>
          </w:p>
        </w:tc>
      </w:tr>
      <w:tr w14:paraId="277AE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0297D">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306D1">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E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C0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定期缴费率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9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9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E6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0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2D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4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B649">
            <w:pPr>
              <w:jc w:val="center"/>
              <w:rPr>
                <w:rFonts w:hint="eastAsia" w:ascii="微软雅黑" w:hAnsi="微软雅黑" w:eastAsia="微软雅黑" w:cs="微软雅黑"/>
                <w:i/>
                <w:iCs/>
                <w:color w:val="000000"/>
                <w:sz w:val="16"/>
                <w:szCs w:val="16"/>
                <w:u w:val="none"/>
              </w:rPr>
            </w:pPr>
          </w:p>
        </w:tc>
      </w:tr>
      <w:tr w14:paraId="671B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413BB">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10E1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61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D0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网络通畅率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48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A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E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78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B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BE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E517">
            <w:pPr>
              <w:jc w:val="center"/>
              <w:rPr>
                <w:rFonts w:hint="eastAsia" w:ascii="微软雅黑" w:hAnsi="微软雅黑" w:eastAsia="微软雅黑" w:cs="微软雅黑"/>
                <w:i/>
                <w:iCs/>
                <w:color w:val="000000"/>
                <w:sz w:val="16"/>
                <w:szCs w:val="16"/>
                <w:u w:val="none"/>
              </w:rPr>
            </w:pPr>
          </w:p>
        </w:tc>
      </w:tr>
      <w:tr w14:paraId="1BBD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B3203">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7F3BD">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FD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7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财政监督管理制度健全性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4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5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47C6">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97A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E7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25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D70D">
            <w:pPr>
              <w:jc w:val="center"/>
              <w:rPr>
                <w:rFonts w:hint="eastAsia" w:ascii="微软雅黑" w:hAnsi="微软雅黑" w:eastAsia="微软雅黑" w:cs="微软雅黑"/>
                <w:i/>
                <w:iCs/>
                <w:color w:val="000000"/>
                <w:sz w:val="16"/>
                <w:szCs w:val="16"/>
                <w:u w:val="none"/>
              </w:rPr>
            </w:pPr>
          </w:p>
        </w:tc>
      </w:tr>
      <w:tr w14:paraId="3810B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5B3EA">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D0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AE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4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网络使用人员满意度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E9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9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14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C50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F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E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8845">
            <w:pPr>
              <w:jc w:val="center"/>
              <w:rPr>
                <w:rFonts w:hint="eastAsia" w:ascii="微软雅黑" w:hAnsi="微软雅黑" w:eastAsia="微软雅黑" w:cs="微软雅黑"/>
                <w:i/>
                <w:iCs/>
                <w:color w:val="000000"/>
                <w:sz w:val="16"/>
                <w:szCs w:val="16"/>
                <w:u w:val="none"/>
              </w:rPr>
            </w:pPr>
          </w:p>
        </w:tc>
      </w:tr>
      <w:tr w14:paraId="7124E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68181">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69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ED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74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C9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C3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A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B47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9.33</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3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4F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E62B">
            <w:pPr>
              <w:jc w:val="center"/>
              <w:rPr>
                <w:rFonts w:hint="eastAsia" w:ascii="微软雅黑" w:hAnsi="微软雅黑" w:eastAsia="微软雅黑" w:cs="微软雅黑"/>
                <w:i/>
                <w:iCs/>
                <w:color w:val="000000"/>
                <w:sz w:val="16"/>
                <w:szCs w:val="16"/>
                <w:u w:val="none"/>
              </w:rPr>
            </w:pPr>
          </w:p>
        </w:tc>
      </w:tr>
      <w:tr w14:paraId="059E7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3B1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2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4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59D2">
            <w:pPr>
              <w:rPr>
                <w:rFonts w:hint="eastAsia" w:ascii="宋体" w:hAnsi="宋体" w:eastAsia="宋体" w:cs="宋体"/>
                <w:i w:val="0"/>
                <w:iCs w:val="0"/>
                <w:color w:val="000000"/>
                <w:sz w:val="18"/>
                <w:szCs w:val="18"/>
                <w:u w:val="none"/>
              </w:rPr>
            </w:pPr>
          </w:p>
        </w:tc>
      </w:tr>
      <w:tr w14:paraId="5E6B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C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4BD5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项目自评得分100分，根据年度工作安排和财政预算批复，网络通畅率、网络使用人员满意率达100%，圆满保障了机关信息化工作正常开展，初步实现预期目标。</w:t>
            </w:r>
          </w:p>
        </w:tc>
      </w:tr>
      <w:tr w14:paraId="3DAD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8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B44DB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9694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54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85A57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FCC6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1849A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项目负责人：何鸿</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174ED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4EC68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50EEB892">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048702D3">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5DCEC0FC">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46061729">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4ACC3A02">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2FCE986B">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61FA0797">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089E49CE">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10876D23">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403AA8DB">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1E1A517D">
            <w:pPr>
              <w:rPr>
                <w:rFonts w:hint="eastAsia" w:ascii="宋体" w:hAnsi="宋体" w:eastAsia="宋体" w:cs="宋体"/>
                <w:i w:val="0"/>
                <w:iCs w:val="0"/>
                <w:color w:val="000000"/>
                <w:sz w:val="18"/>
                <w:szCs w:val="18"/>
                <w:u w:val="none"/>
              </w:rPr>
            </w:pPr>
          </w:p>
        </w:tc>
      </w:tr>
      <w:tr w14:paraId="1D41C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4216F4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730F5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182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B3383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51090322T000000347371-会议费</w:t>
            </w:r>
          </w:p>
        </w:tc>
      </w:tr>
      <w:tr w14:paraId="61027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5510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CC8E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2B2D5EE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E03D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32C98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9AC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BC5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848F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3F706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0DC7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C65AE">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7EE85">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CE0F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单位工作安排，该项目用于召开区政协委员全体会议、双月协商会议、召开常委会、“有事来协商”等会议，其中印刷资料400份以上（13万元）、会场布置（5万元）、会议宣传（10万元）、会场租赁10次以上（7万元）、会议用餐12万元、会议住宿费（3万元），确保区政协会议正常开展。</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03F03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全年完成会议租赁18次，会场布置1次，印制资料5000份，用餐700人次，宣传媒体1家，会场布置达标率、印刷资料合格率、人员用餐率、新闻发布准确率、参会人员满意度均达到100%，项目支出65万元。</w:t>
            </w:r>
          </w:p>
        </w:tc>
      </w:tr>
      <w:tr w14:paraId="56646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ABFF7">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6D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08201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组织召开政协常委会</w:t>
            </w:r>
            <w:r>
              <w:rPr>
                <w:rFonts w:hint="eastAsia" w:ascii="宋体" w:hAnsi="宋体" w:cs="宋体"/>
                <w:i w:val="0"/>
                <w:iCs w:val="0"/>
                <w:color w:val="000000"/>
                <w:kern w:val="0"/>
                <w:sz w:val="18"/>
                <w:szCs w:val="18"/>
                <w:u w:val="none"/>
                <w:lang w:val="en-US" w:eastAsia="zh-CN" w:bidi="ar"/>
              </w:rPr>
              <w:t>会</w:t>
            </w:r>
            <w:r>
              <w:rPr>
                <w:rFonts w:ascii="宋体" w:hAnsi="宋体" w:eastAsia="宋体" w:cs="宋体"/>
                <w:i w:val="0"/>
                <w:iCs w:val="0"/>
                <w:color w:val="000000"/>
                <w:kern w:val="0"/>
                <w:sz w:val="18"/>
                <w:szCs w:val="18"/>
                <w:u w:val="none"/>
                <w:lang w:val="en-US" w:eastAsia="zh-CN" w:bidi="ar"/>
              </w:rPr>
              <w:t>议、党组会议、主席会议、党组理论学习中心组学习50余次，圆满完成区政协五届三次会议各项任务，教育引导政协委员和政协机关干部坚定捍卫“两个确立”</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坚决做到“两个维护”，自觉在思想上政治上行动上同以习近平同志为核心的党中央保持高度一致，为履行好政治协商、民主监督、参政议政职能职责提供了保障。</w:t>
            </w:r>
          </w:p>
        </w:tc>
      </w:tr>
      <w:tr w14:paraId="46368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BB0A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52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0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D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1E5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A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B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2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33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16F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A001E">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2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AA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7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15F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D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00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F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CD5B1">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因会议地点变更，增加了会议成本，考虑区级财政资金紧张，从本单位其他项目中调剂15万元到本项目，项目支出共计65万元</w:t>
            </w:r>
          </w:p>
        </w:tc>
      </w:tr>
      <w:tr w14:paraId="7D4D0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04638">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3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FC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49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FA7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6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5B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6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044E6">
            <w:pPr>
              <w:rPr>
                <w:rFonts w:hint="eastAsia" w:ascii="黑体" w:hAnsi="黑体" w:eastAsia="黑体" w:cs="黑体"/>
                <w:i/>
                <w:iCs/>
                <w:color w:val="000000"/>
                <w:sz w:val="18"/>
                <w:szCs w:val="18"/>
                <w:u w:val="none"/>
              </w:rPr>
            </w:pPr>
          </w:p>
        </w:tc>
      </w:tr>
      <w:tr w14:paraId="20D3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5E250">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6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C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FD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BA9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10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8D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B8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FEBEB">
            <w:pPr>
              <w:rPr>
                <w:rFonts w:hint="eastAsia" w:ascii="黑体" w:hAnsi="黑体" w:eastAsia="黑体" w:cs="黑体"/>
                <w:i/>
                <w:iCs/>
                <w:color w:val="000000"/>
                <w:sz w:val="18"/>
                <w:szCs w:val="18"/>
                <w:u w:val="none"/>
              </w:rPr>
            </w:pPr>
          </w:p>
        </w:tc>
      </w:tr>
      <w:tr w14:paraId="31910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F301F">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B1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E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2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2098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1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C5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DD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E2F5">
            <w:pPr>
              <w:rPr>
                <w:rFonts w:hint="eastAsia" w:ascii="黑体" w:hAnsi="黑体" w:eastAsia="黑体" w:cs="黑体"/>
                <w:i/>
                <w:iCs/>
                <w:color w:val="000000"/>
                <w:sz w:val="18"/>
                <w:szCs w:val="18"/>
                <w:u w:val="none"/>
              </w:rPr>
            </w:pPr>
          </w:p>
        </w:tc>
      </w:tr>
      <w:tr w14:paraId="5561B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C8834">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5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3CDE">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39E9">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D1FA0F">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9440">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C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3B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06177">
            <w:pPr>
              <w:rPr>
                <w:rFonts w:hint="eastAsia" w:ascii="黑体" w:hAnsi="黑体" w:eastAsia="黑体" w:cs="黑体"/>
                <w:i/>
                <w:iCs/>
                <w:color w:val="000000"/>
                <w:sz w:val="18"/>
                <w:szCs w:val="18"/>
                <w:u w:val="none"/>
              </w:rPr>
            </w:pPr>
          </w:p>
        </w:tc>
      </w:tr>
      <w:tr w14:paraId="02A09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B40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70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2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70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3A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9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8D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0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4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E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9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275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BA311">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EB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3D0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9F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合作媒体数量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D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01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CF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26D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4A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A8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0740">
            <w:pPr>
              <w:jc w:val="center"/>
              <w:rPr>
                <w:rFonts w:hint="eastAsia" w:ascii="微软雅黑" w:hAnsi="微软雅黑" w:eastAsia="微软雅黑" w:cs="微软雅黑"/>
                <w:i/>
                <w:iCs/>
                <w:color w:val="000000"/>
                <w:sz w:val="16"/>
                <w:szCs w:val="16"/>
                <w:u w:val="none"/>
              </w:rPr>
            </w:pPr>
          </w:p>
        </w:tc>
      </w:tr>
      <w:tr w14:paraId="15E8B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1C109">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E8568">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67F35">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D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用餐人数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55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9E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67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E4B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0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4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4BEE">
            <w:pPr>
              <w:jc w:val="center"/>
              <w:rPr>
                <w:rFonts w:hint="eastAsia" w:ascii="微软雅黑" w:hAnsi="微软雅黑" w:eastAsia="微软雅黑" w:cs="微软雅黑"/>
                <w:i/>
                <w:iCs/>
                <w:color w:val="000000"/>
                <w:sz w:val="16"/>
                <w:szCs w:val="16"/>
                <w:u w:val="none"/>
              </w:rPr>
            </w:pPr>
          </w:p>
        </w:tc>
      </w:tr>
      <w:tr w14:paraId="52B1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B49CA">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F454">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DC90C">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D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印制资料数量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C6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54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F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B24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C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D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5CAE">
            <w:pPr>
              <w:jc w:val="center"/>
              <w:rPr>
                <w:rFonts w:hint="eastAsia" w:ascii="微软雅黑" w:hAnsi="微软雅黑" w:eastAsia="微软雅黑" w:cs="微软雅黑"/>
                <w:i/>
                <w:iCs/>
                <w:color w:val="000000"/>
                <w:sz w:val="16"/>
                <w:szCs w:val="16"/>
                <w:u w:val="none"/>
              </w:rPr>
            </w:pPr>
          </w:p>
        </w:tc>
      </w:tr>
      <w:tr w14:paraId="74437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C47A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43A46">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2FBA0">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F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会场租赁次数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53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D3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74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5AA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18</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F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8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CF8C">
            <w:pPr>
              <w:jc w:val="center"/>
              <w:rPr>
                <w:rFonts w:hint="eastAsia" w:ascii="微软雅黑" w:hAnsi="微软雅黑" w:eastAsia="微软雅黑" w:cs="微软雅黑"/>
                <w:i/>
                <w:iCs/>
                <w:color w:val="000000"/>
                <w:sz w:val="16"/>
                <w:szCs w:val="16"/>
                <w:u w:val="none"/>
              </w:rPr>
            </w:pPr>
          </w:p>
        </w:tc>
      </w:tr>
      <w:tr w14:paraId="3F7F8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2AB6A">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25CEA">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A9C3D">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3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会场布置次数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7F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AD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A9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6F7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2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AC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C5AE">
            <w:pPr>
              <w:jc w:val="center"/>
              <w:rPr>
                <w:rFonts w:hint="eastAsia" w:ascii="微软雅黑" w:hAnsi="微软雅黑" w:eastAsia="微软雅黑" w:cs="微软雅黑"/>
                <w:i/>
                <w:iCs/>
                <w:color w:val="000000"/>
                <w:sz w:val="16"/>
                <w:szCs w:val="16"/>
                <w:u w:val="none"/>
              </w:rPr>
            </w:pPr>
          </w:p>
        </w:tc>
      </w:tr>
      <w:tr w14:paraId="13DFD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6A513">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C237C">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FF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2E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人员用餐率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1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C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9E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90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A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9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E3AE">
            <w:pPr>
              <w:jc w:val="center"/>
              <w:rPr>
                <w:rFonts w:hint="eastAsia" w:ascii="微软雅黑" w:hAnsi="微软雅黑" w:eastAsia="微软雅黑" w:cs="微软雅黑"/>
                <w:i/>
                <w:iCs/>
                <w:color w:val="000000"/>
                <w:sz w:val="16"/>
                <w:szCs w:val="16"/>
                <w:u w:val="none"/>
              </w:rPr>
            </w:pPr>
          </w:p>
        </w:tc>
      </w:tr>
      <w:tr w14:paraId="71CF1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11EE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B0D12">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389CB">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1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印制资料合格率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5B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60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B0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75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B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98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A978">
            <w:pPr>
              <w:jc w:val="center"/>
              <w:rPr>
                <w:rFonts w:hint="eastAsia" w:ascii="微软雅黑" w:hAnsi="微软雅黑" w:eastAsia="微软雅黑" w:cs="微软雅黑"/>
                <w:i/>
                <w:iCs/>
                <w:color w:val="000000"/>
                <w:sz w:val="16"/>
                <w:szCs w:val="16"/>
                <w:u w:val="none"/>
              </w:rPr>
            </w:pPr>
          </w:p>
        </w:tc>
      </w:tr>
      <w:tr w14:paraId="1EACE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8C5F0">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C47AD">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3AB51">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25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会场布置达标率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CA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A4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C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E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2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B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514A">
            <w:pPr>
              <w:jc w:val="center"/>
              <w:rPr>
                <w:rFonts w:hint="eastAsia" w:ascii="微软雅黑" w:hAnsi="微软雅黑" w:eastAsia="微软雅黑" w:cs="微软雅黑"/>
                <w:i/>
                <w:iCs/>
                <w:color w:val="000000"/>
                <w:sz w:val="16"/>
                <w:szCs w:val="16"/>
                <w:u w:val="none"/>
              </w:rPr>
            </w:pPr>
          </w:p>
        </w:tc>
      </w:tr>
      <w:tr w14:paraId="2171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DD240">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7B698">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4420E">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5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会场达标率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9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9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ED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B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FA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58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2929">
            <w:pPr>
              <w:jc w:val="center"/>
              <w:rPr>
                <w:rFonts w:hint="eastAsia" w:ascii="微软雅黑" w:hAnsi="微软雅黑" w:eastAsia="微软雅黑" w:cs="微软雅黑"/>
                <w:i/>
                <w:iCs/>
                <w:color w:val="000000"/>
                <w:sz w:val="16"/>
                <w:szCs w:val="16"/>
                <w:u w:val="none"/>
              </w:rPr>
            </w:pPr>
          </w:p>
        </w:tc>
      </w:tr>
      <w:tr w14:paraId="4C00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212D7">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9027D">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4EA13">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E6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合作媒体新闻发布准确率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F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FD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CD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135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08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8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D677">
            <w:pPr>
              <w:jc w:val="center"/>
              <w:rPr>
                <w:rFonts w:hint="eastAsia" w:ascii="微软雅黑" w:hAnsi="微软雅黑" w:eastAsia="微软雅黑" w:cs="微软雅黑"/>
                <w:i/>
                <w:iCs/>
                <w:color w:val="000000"/>
                <w:sz w:val="16"/>
                <w:szCs w:val="16"/>
                <w:u w:val="none"/>
              </w:rPr>
            </w:pPr>
          </w:p>
        </w:tc>
      </w:tr>
      <w:tr w14:paraId="1EB4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46EE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68C76">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4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43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A9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D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3F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ACA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1B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7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5F6F">
            <w:pPr>
              <w:jc w:val="center"/>
              <w:rPr>
                <w:rFonts w:hint="eastAsia" w:ascii="微软雅黑" w:hAnsi="微软雅黑" w:eastAsia="微软雅黑" w:cs="微软雅黑"/>
                <w:i/>
                <w:iCs/>
                <w:color w:val="000000"/>
                <w:sz w:val="16"/>
                <w:szCs w:val="16"/>
                <w:u w:val="none"/>
              </w:rPr>
            </w:pPr>
          </w:p>
        </w:tc>
      </w:tr>
      <w:tr w14:paraId="16790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A82D0">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070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F7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9A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会议成功召开</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22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8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A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46F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13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C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36BF">
            <w:pPr>
              <w:jc w:val="center"/>
              <w:rPr>
                <w:rFonts w:hint="eastAsia" w:ascii="微软雅黑" w:hAnsi="微软雅黑" w:eastAsia="微软雅黑" w:cs="微软雅黑"/>
                <w:i/>
                <w:iCs/>
                <w:color w:val="000000"/>
                <w:sz w:val="16"/>
                <w:szCs w:val="16"/>
                <w:u w:val="none"/>
              </w:rPr>
            </w:pPr>
          </w:p>
        </w:tc>
      </w:tr>
      <w:tr w14:paraId="34E1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AD455">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4BB0D">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0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F3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内控财务制度健全性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A7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B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A97">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6DB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E3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F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4F0F">
            <w:pPr>
              <w:jc w:val="center"/>
              <w:rPr>
                <w:rFonts w:hint="eastAsia" w:ascii="微软雅黑" w:hAnsi="微软雅黑" w:eastAsia="微软雅黑" w:cs="微软雅黑"/>
                <w:i/>
                <w:iCs/>
                <w:color w:val="000000"/>
                <w:sz w:val="16"/>
                <w:szCs w:val="16"/>
                <w:u w:val="none"/>
              </w:rPr>
            </w:pPr>
          </w:p>
        </w:tc>
      </w:tr>
      <w:tr w14:paraId="09D78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EEC76">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5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E6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B0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参会人员满意度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C4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8C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D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D6E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7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95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A5BF">
            <w:pPr>
              <w:jc w:val="center"/>
              <w:rPr>
                <w:rFonts w:hint="eastAsia" w:ascii="微软雅黑" w:hAnsi="微软雅黑" w:eastAsia="微软雅黑" w:cs="微软雅黑"/>
                <w:i/>
                <w:iCs/>
                <w:color w:val="000000"/>
                <w:sz w:val="16"/>
                <w:szCs w:val="16"/>
                <w:u w:val="none"/>
              </w:rPr>
            </w:pPr>
          </w:p>
        </w:tc>
      </w:tr>
      <w:tr w14:paraId="2C4AE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B2A75">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FE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C1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D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AC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5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91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C4C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65</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C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4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AD0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因政协会议地点变更等原因导致年初预算不足</w:t>
            </w:r>
          </w:p>
        </w:tc>
      </w:tr>
      <w:tr w14:paraId="0356B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71F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0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4A0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B013">
            <w:pPr>
              <w:rPr>
                <w:rFonts w:hint="eastAsia" w:ascii="宋体" w:hAnsi="宋体" w:eastAsia="宋体" w:cs="宋体"/>
                <w:i w:val="0"/>
                <w:iCs w:val="0"/>
                <w:color w:val="000000"/>
                <w:sz w:val="18"/>
                <w:szCs w:val="18"/>
                <w:u w:val="none"/>
              </w:rPr>
            </w:pPr>
          </w:p>
        </w:tc>
      </w:tr>
      <w:tr w14:paraId="2D54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7B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A8E13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项目自评得分95分，根据年度工作安排和财政预算批复，圆满完成政协全体会议、常委会会议、主席会议、相关协商会议等工作任务，保证了会议正常召开，参会人员满意度100%，初步实现预期目标。</w:t>
            </w:r>
          </w:p>
        </w:tc>
      </w:tr>
      <w:tr w14:paraId="65F10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4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F20ACB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因会议地点变更，增加了会议成本，年中从其他项目调剂费用到本项目，一定程度上说明预算不够精准的问题。</w:t>
            </w:r>
          </w:p>
        </w:tc>
      </w:tr>
      <w:tr w14:paraId="01BA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64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A26AB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进一步建立完善预算支出分析制度机制，加强预算编制精准性。</w:t>
            </w:r>
          </w:p>
        </w:tc>
      </w:tr>
      <w:tr w14:paraId="7A1D1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540D3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项目负责人：唐斌</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0FA3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69AF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19456417">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28BA48FF">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22F554CF">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741E3389">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471EED45">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6C260747">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11983FD3">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353285C9">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568274AE">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060C74DC">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4BD2F8F9">
            <w:pPr>
              <w:rPr>
                <w:rFonts w:hint="eastAsia" w:ascii="宋体" w:hAnsi="宋体" w:eastAsia="宋体" w:cs="宋体"/>
                <w:i w:val="0"/>
                <w:iCs w:val="0"/>
                <w:color w:val="000000"/>
                <w:sz w:val="18"/>
                <w:szCs w:val="18"/>
                <w:u w:val="none"/>
              </w:rPr>
            </w:pPr>
          </w:p>
        </w:tc>
      </w:tr>
      <w:tr w14:paraId="56013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D8F29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5ABDB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347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38C5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51090322T000000347405-政协委员活动经费</w:t>
            </w:r>
          </w:p>
        </w:tc>
      </w:tr>
      <w:tr w14:paraId="48771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E53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7A67F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69E8D90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DA80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4FFA7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5F9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8EAA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4EF6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C8C49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748D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F5009">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9624E">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C1BA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根据单位工作安排，为政协委员订阅报刊杂志，组织支持政协委员开展活动4次以上，为委员履职提供保障。</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6E8F2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组织活动60余次，为政协委员、机关干部订阅《人民政协报》10份、《四川政协报》400份、《中国政协》杂志1本，报刊杂志订阅精准率、委员参与率、完成及时率、工作开展率、委员满意度均达100%，项目支出14.35万元。</w:t>
            </w:r>
          </w:p>
        </w:tc>
      </w:tr>
      <w:tr w14:paraId="69B50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57583">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C0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9D48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委员参与“同心共建现代化四川”船山专项行动等五项行动，围绕区委区府中心工作等开展监督性视察、调研走访、重点提案督办及协商活动，扎实推进“我为群众办实事”和委员履职“服务为民”活动，助力完成老旧小区升级改造、农村人居环境提升等民生实事20余项，收集上报社情民意40余篇，开展小微协商40余场，作为全市唯一区县在省政协“同心共建现代化四川”专项行动专刊刊发、《“坝坝会”破解农贸市场管理难题》等小微协商被人民政协报、学习强国等媒体平台报道。全年为政协委员、机关干部订阅《人民政协报》、《四川政协报》和《中国政协》杂志400余份，进一步提升了委员履职能力、展示了委员履职风采。</w:t>
            </w:r>
          </w:p>
        </w:tc>
      </w:tr>
      <w:tr w14:paraId="1BE2B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8F7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D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4F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BC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E44C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BF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94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54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C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C30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B1BBC">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A0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7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9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0C6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57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30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C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BBFEA">
            <w:pPr>
              <w:rPr>
                <w:rFonts w:hint="eastAsia" w:ascii="黑体" w:hAnsi="黑体" w:eastAsia="黑体" w:cs="黑体"/>
                <w:i/>
                <w:iCs/>
                <w:color w:val="000000"/>
                <w:sz w:val="18"/>
                <w:szCs w:val="18"/>
                <w:u w:val="none"/>
              </w:rPr>
            </w:pPr>
          </w:p>
        </w:tc>
      </w:tr>
      <w:tr w14:paraId="13967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E4BC9">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31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C4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5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142A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A0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FB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3C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1393A">
            <w:pPr>
              <w:rPr>
                <w:rFonts w:hint="eastAsia" w:ascii="黑体" w:hAnsi="黑体" w:eastAsia="黑体" w:cs="黑体"/>
                <w:i/>
                <w:iCs/>
                <w:color w:val="000000"/>
                <w:sz w:val="18"/>
                <w:szCs w:val="18"/>
                <w:u w:val="none"/>
              </w:rPr>
            </w:pPr>
          </w:p>
        </w:tc>
      </w:tr>
      <w:tr w14:paraId="6B2A6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719C7">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D4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3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47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3BA7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3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F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9F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F0758">
            <w:pPr>
              <w:rPr>
                <w:rFonts w:hint="eastAsia" w:ascii="黑体" w:hAnsi="黑体" w:eastAsia="黑体" w:cs="黑体"/>
                <w:i/>
                <w:iCs/>
                <w:color w:val="000000"/>
                <w:sz w:val="18"/>
                <w:szCs w:val="18"/>
                <w:u w:val="none"/>
              </w:rPr>
            </w:pPr>
          </w:p>
        </w:tc>
      </w:tr>
      <w:tr w14:paraId="43466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408D2">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BA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35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78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69C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E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6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B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5B20A">
            <w:pPr>
              <w:rPr>
                <w:rFonts w:hint="eastAsia" w:ascii="黑体" w:hAnsi="黑体" w:eastAsia="黑体" w:cs="黑体"/>
                <w:i/>
                <w:iCs/>
                <w:color w:val="000000"/>
                <w:sz w:val="18"/>
                <w:szCs w:val="18"/>
                <w:u w:val="none"/>
              </w:rPr>
            </w:pPr>
          </w:p>
        </w:tc>
      </w:tr>
      <w:tr w14:paraId="17D4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88573">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7A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8971">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50A6">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B6C9F0">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98D2">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C5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18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9C1C4">
            <w:pPr>
              <w:rPr>
                <w:rFonts w:hint="eastAsia" w:ascii="黑体" w:hAnsi="黑体" w:eastAsia="黑体" w:cs="黑体"/>
                <w:i/>
                <w:iCs/>
                <w:color w:val="000000"/>
                <w:sz w:val="18"/>
                <w:szCs w:val="18"/>
                <w:u w:val="none"/>
              </w:rPr>
            </w:pPr>
          </w:p>
        </w:tc>
      </w:tr>
      <w:tr w14:paraId="48792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23F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AA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3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60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77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25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53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1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41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B9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C1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C3E5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7CC6">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0B7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24F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FD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组织支持政协委员开展活动次数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C4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AF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CC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EDA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7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72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42AC">
            <w:pPr>
              <w:jc w:val="center"/>
              <w:rPr>
                <w:rFonts w:hint="eastAsia" w:ascii="微软雅黑" w:hAnsi="微软雅黑" w:eastAsia="微软雅黑" w:cs="微软雅黑"/>
                <w:i/>
                <w:iCs/>
                <w:color w:val="000000"/>
                <w:sz w:val="16"/>
                <w:szCs w:val="16"/>
                <w:u w:val="none"/>
              </w:rPr>
            </w:pPr>
          </w:p>
        </w:tc>
      </w:tr>
      <w:tr w14:paraId="16886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34EBA">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46F58">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28038">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0B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订阅报刊杂志数量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B8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8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D8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29F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411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8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7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F665">
            <w:pPr>
              <w:jc w:val="center"/>
              <w:rPr>
                <w:rFonts w:hint="eastAsia" w:ascii="微软雅黑" w:hAnsi="微软雅黑" w:eastAsia="微软雅黑" w:cs="微软雅黑"/>
                <w:i/>
                <w:iCs/>
                <w:color w:val="000000"/>
                <w:sz w:val="16"/>
                <w:szCs w:val="16"/>
                <w:u w:val="none"/>
              </w:rPr>
            </w:pPr>
          </w:p>
        </w:tc>
      </w:tr>
      <w:tr w14:paraId="7435B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3ABEC">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80BBF">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6C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CB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委员参与率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82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B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7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52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5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75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65CF">
            <w:pPr>
              <w:jc w:val="center"/>
              <w:rPr>
                <w:rFonts w:hint="eastAsia" w:ascii="微软雅黑" w:hAnsi="微软雅黑" w:eastAsia="微软雅黑" w:cs="微软雅黑"/>
                <w:i/>
                <w:iCs/>
                <w:color w:val="000000"/>
                <w:sz w:val="16"/>
                <w:szCs w:val="16"/>
                <w:u w:val="none"/>
              </w:rPr>
            </w:pPr>
          </w:p>
        </w:tc>
      </w:tr>
      <w:tr w14:paraId="5900F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56F3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13D79">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68A3A">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1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报刊杂志订阅精准率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5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9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4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52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4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4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617C">
            <w:pPr>
              <w:jc w:val="center"/>
              <w:rPr>
                <w:rFonts w:hint="eastAsia" w:ascii="微软雅黑" w:hAnsi="微软雅黑" w:eastAsia="微软雅黑" w:cs="微软雅黑"/>
                <w:i/>
                <w:iCs/>
                <w:color w:val="000000"/>
                <w:sz w:val="16"/>
                <w:szCs w:val="16"/>
                <w:u w:val="none"/>
              </w:rPr>
            </w:pPr>
          </w:p>
        </w:tc>
      </w:tr>
      <w:tr w14:paraId="10FA1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A564F">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86F91">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D1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7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7E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A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0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EC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F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DC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E16F">
            <w:pPr>
              <w:jc w:val="center"/>
              <w:rPr>
                <w:rFonts w:hint="eastAsia" w:ascii="微软雅黑" w:hAnsi="微软雅黑" w:eastAsia="微软雅黑" w:cs="微软雅黑"/>
                <w:i/>
                <w:iCs/>
                <w:color w:val="000000"/>
                <w:sz w:val="16"/>
                <w:szCs w:val="16"/>
                <w:u w:val="none"/>
              </w:rPr>
            </w:pPr>
          </w:p>
        </w:tc>
      </w:tr>
      <w:tr w14:paraId="1900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153FA">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2D8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7F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8E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政协委员工作开展转率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7F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6E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47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7C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2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7E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CC86">
            <w:pPr>
              <w:jc w:val="center"/>
              <w:rPr>
                <w:rFonts w:hint="eastAsia" w:ascii="微软雅黑" w:hAnsi="微软雅黑" w:eastAsia="微软雅黑" w:cs="微软雅黑"/>
                <w:i/>
                <w:iCs/>
                <w:color w:val="000000"/>
                <w:sz w:val="16"/>
                <w:szCs w:val="16"/>
                <w:u w:val="none"/>
              </w:rPr>
            </w:pPr>
          </w:p>
        </w:tc>
      </w:tr>
      <w:tr w14:paraId="1B5C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8B48">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58702">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D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5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财政监督管理制度健全性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2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B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BD5E">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90C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2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E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A22D">
            <w:pPr>
              <w:jc w:val="center"/>
              <w:rPr>
                <w:rFonts w:hint="eastAsia" w:ascii="微软雅黑" w:hAnsi="微软雅黑" w:eastAsia="微软雅黑" w:cs="微软雅黑"/>
                <w:i/>
                <w:iCs/>
                <w:color w:val="000000"/>
                <w:sz w:val="16"/>
                <w:szCs w:val="16"/>
                <w:u w:val="none"/>
              </w:rPr>
            </w:pPr>
          </w:p>
        </w:tc>
      </w:tr>
      <w:tr w14:paraId="38A5B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CE392">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7C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6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6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政协委员满意度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2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1D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6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7AE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3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DA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87B7">
            <w:pPr>
              <w:jc w:val="center"/>
              <w:rPr>
                <w:rFonts w:hint="eastAsia" w:ascii="微软雅黑" w:hAnsi="微软雅黑" w:eastAsia="微软雅黑" w:cs="微软雅黑"/>
                <w:i/>
                <w:iCs/>
                <w:color w:val="000000"/>
                <w:sz w:val="16"/>
                <w:szCs w:val="16"/>
                <w:u w:val="none"/>
              </w:rPr>
            </w:pPr>
          </w:p>
        </w:tc>
      </w:tr>
      <w:tr w14:paraId="66383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BE032">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B0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80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0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78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4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14.35</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C1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7AF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14.35</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E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3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7C0F">
            <w:pPr>
              <w:jc w:val="center"/>
              <w:rPr>
                <w:rFonts w:hint="eastAsia" w:ascii="微软雅黑" w:hAnsi="微软雅黑" w:eastAsia="微软雅黑" w:cs="微软雅黑"/>
                <w:i/>
                <w:iCs/>
                <w:color w:val="000000"/>
                <w:sz w:val="16"/>
                <w:szCs w:val="16"/>
                <w:u w:val="none"/>
              </w:rPr>
            </w:pPr>
          </w:p>
        </w:tc>
      </w:tr>
      <w:tr w14:paraId="7EC3D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31A9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E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C6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F11E">
            <w:pPr>
              <w:rPr>
                <w:rFonts w:hint="eastAsia" w:ascii="宋体" w:hAnsi="宋体" w:eastAsia="宋体" w:cs="宋体"/>
                <w:i w:val="0"/>
                <w:iCs w:val="0"/>
                <w:color w:val="000000"/>
                <w:sz w:val="18"/>
                <w:szCs w:val="18"/>
                <w:u w:val="none"/>
              </w:rPr>
            </w:pPr>
          </w:p>
        </w:tc>
      </w:tr>
      <w:tr w14:paraId="0BFC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4D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19418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项目自评得分100分，根据年度工作安排和财政预算批复，报刊杂志订阅精准率、委员参与率、完成及时率、工作开展率、委员满意度均达100%，展示了委员履职成效，初步实现预期目标。</w:t>
            </w:r>
          </w:p>
        </w:tc>
      </w:tr>
      <w:tr w14:paraId="7759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95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4DA6B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03F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B7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48379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CAE1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69BA5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项目负责人：邓雪彬</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B6F54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615A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6D7EC606">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77A31DC8">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23396000">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78E6A0FA">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1CF6D936">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4BD54EF9">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1B81CCF0">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6890EC11">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249F3C2E">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15D84B28">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75A87813">
            <w:pPr>
              <w:rPr>
                <w:rFonts w:hint="eastAsia" w:ascii="宋体" w:hAnsi="宋体" w:eastAsia="宋体" w:cs="宋体"/>
                <w:i w:val="0"/>
                <w:iCs w:val="0"/>
                <w:color w:val="000000"/>
                <w:sz w:val="18"/>
                <w:szCs w:val="18"/>
                <w:u w:val="none"/>
              </w:rPr>
            </w:pPr>
          </w:p>
        </w:tc>
      </w:tr>
      <w:tr w14:paraId="03A41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18BBF1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12B2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7267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0B5C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51090322T000000347440-基层政治协商工作指导经费</w:t>
            </w:r>
          </w:p>
        </w:tc>
      </w:tr>
      <w:tr w14:paraId="2276B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244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6DDD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70A874B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5F2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1028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B5A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37C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29B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820F9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725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A4F6D">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DD3B2">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641F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根据工作安排，该项目总投入4.8万元，主要用于组织基层开展政协业务工作，到基层联系指导业务工作400人次以上，提高基层政协工作业务水平。</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D8CF8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组织机关干部2000余人次，深入乡镇（村）、街道（社区）、界别委员工作室等指导基层开展调研视察及“有事来协商”、“同心共建现代化四川”船山专项行动等工作，出差人员到岗率、完成及时率、基层政协工作正常开展率、工作满意度达100%，项目支出4.34万元。</w:t>
            </w:r>
          </w:p>
        </w:tc>
      </w:tr>
      <w:tr w14:paraId="53F3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9A10D">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A6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0378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充分发挥专门协商机构作用，深入各乡镇（街道）、村（社区）及界别委员工作室推进协商、调研、视察活动，形成高质量协商意见18篇，24项协商意见实现成果转化，协调解决停车难等问题，督办“关于进一步提振中小微企业发展信心”等重点提案。抓好“有事来协商”升级版工作，在乡镇（街道）全覆盖建立委员联络站12个，指导各联络站、界别委员工作室开展好“有事来协商”工作，全年开展小微协商40余场，推动解决群众急难愁盼问题50余个，《小微协商助百年老街展新颜》等案例被人民政协报等媒体报道，基层政协工作业务水平不断提升。</w:t>
            </w:r>
          </w:p>
        </w:tc>
      </w:tr>
      <w:tr w14:paraId="3A0A8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E572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96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B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D2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E416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3E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B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48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F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C390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9FA30">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D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1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3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4.34</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0E9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0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B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0D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74D98">
            <w:pPr>
              <w:rPr>
                <w:rFonts w:hint="eastAsia" w:ascii="黑体" w:hAnsi="黑体" w:eastAsia="黑体" w:cs="黑体"/>
                <w:i/>
                <w:iCs/>
                <w:color w:val="000000"/>
                <w:sz w:val="18"/>
                <w:szCs w:val="18"/>
                <w:u w:val="none"/>
              </w:rPr>
            </w:pPr>
          </w:p>
        </w:tc>
      </w:tr>
      <w:tr w14:paraId="3E4DB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22A76">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5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5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0B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4.34</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C60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9E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8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E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02ABC">
            <w:pPr>
              <w:rPr>
                <w:rFonts w:hint="eastAsia" w:ascii="黑体" w:hAnsi="黑体" w:eastAsia="黑体" w:cs="黑体"/>
                <w:i/>
                <w:iCs/>
                <w:color w:val="000000"/>
                <w:sz w:val="18"/>
                <w:szCs w:val="18"/>
                <w:u w:val="none"/>
              </w:rPr>
            </w:pPr>
          </w:p>
        </w:tc>
      </w:tr>
      <w:tr w14:paraId="7990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7F8AD">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2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0B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5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8A61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E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7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D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CC2FF">
            <w:pPr>
              <w:rPr>
                <w:rFonts w:hint="eastAsia" w:ascii="黑体" w:hAnsi="黑体" w:eastAsia="黑体" w:cs="黑体"/>
                <w:i/>
                <w:iCs/>
                <w:color w:val="000000"/>
                <w:sz w:val="18"/>
                <w:szCs w:val="18"/>
                <w:u w:val="none"/>
              </w:rPr>
            </w:pPr>
          </w:p>
        </w:tc>
      </w:tr>
      <w:tr w14:paraId="0033D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AF035">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A3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8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FE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943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6C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7B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DE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50E55">
            <w:pPr>
              <w:rPr>
                <w:rFonts w:hint="eastAsia" w:ascii="黑体" w:hAnsi="黑体" w:eastAsia="黑体" w:cs="黑体"/>
                <w:i/>
                <w:iCs/>
                <w:color w:val="000000"/>
                <w:sz w:val="18"/>
                <w:szCs w:val="18"/>
                <w:u w:val="none"/>
              </w:rPr>
            </w:pPr>
          </w:p>
        </w:tc>
      </w:tr>
      <w:tr w14:paraId="51CC8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9AE21">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CC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732F">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87B1">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38394D">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B508">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57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2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72313">
            <w:pPr>
              <w:rPr>
                <w:rFonts w:hint="eastAsia" w:ascii="黑体" w:hAnsi="黑体" w:eastAsia="黑体" w:cs="黑体"/>
                <w:i/>
                <w:iCs/>
                <w:color w:val="000000"/>
                <w:sz w:val="18"/>
                <w:szCs w:val="18"/>
                <w:u w:val="none"/>
              </w:rPr>
            </w:pPr>
          </w:p>
        </w:tc>
      </w:tr>
      <w:tr w14:paraId="4A6FA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80F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C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B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C1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87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2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D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E1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4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17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BD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EF79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BFF9E">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62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6C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1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出差人数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6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9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7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5CB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0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2C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B9F0">
            <w:pPr>
              <w:jc w:val="center"/>
              <w:rPr>
                <w:rFonts w:hint="eastAsia" w:ascii="微软雅黑" w:hAnsi="微软雅黑" w:eastAsia="微软雅黑" w:cs="微软雅黑"/>
                <w:i/>
                <w:iCs/>
                <w:color w:val="000000"/>
                <w:sz w:val="16"/>
                <w:szCs w:val="16"/>
                <w:u w:val="none"/>
              </w:rPr>
            </w:pPr>
          </w:p>
        </w:tc>
      </w:tr>
      <w:tr w14:paraId="7657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964DF">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1E7A4">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EA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95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出差人员到岗率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6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4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7F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88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B7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0A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333D">
            <w:pPr>
              <w:jc w:val="center"/>
              <w:rPr>
                <w:rFonts w:hint="eastAsia" w:ascii="微软雅黑" w:hAnsi="微软雅黑" w:eastAsia="微软雅黑" w:cs="微软雅黑"/>
                <w:i/>
                <w:iCs/>
                <w:color w:val="000000"/>
                <w:sz w:val="16"/>
                <w:szCs w:val="16"/>
                <w:u w:val="none"/>
              </w:rPr>
            </w:pPr>
          </w:p>
        </w:tc>
      </w:tr>
      <w:tr w14:paraId="74683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42607">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39AE3">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3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C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5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D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E9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6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77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BC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E44A">
            <w:pPr>
              <w:jc w:val="center"/>
              <w:rPr>
                <w:rFonts w:hint="eastAsia" w:ascii="微软雅黑" w:hAnsi="微软雅黑" w:eastAsia="微软雅黑" w:cs="微软雅黑"/>
                <w:i/>
                <w:iCs/>
                <w:color w:val="000000"/>
                <w:sz w:val="16"/>
                <w:szCs w:val="16"/>
                <w:u w:val="none"/>
              </w:rPr>
            </w:pPr>
          </w:p>
        </w:tc>
      </w:tr>
      <w:tr w14:paraId="5BAEE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BEB92">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BF6D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8F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5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基层政协工作正常开展率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36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3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97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EC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AD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E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4607">
            <w:pPr>
              <w:jc w:val="center"/>
              <w:rPr>
                <w:rFonts w:hint="eastAsia" w:ascii="微软雅黑" w:hAnsi="微软雅黑" w:eastAsia="微软雅黑" w:cs="微软雅黑"/>
                <w:i/>
                <w:iCs/>
                <w:color w:val="000000"/>
                <w:sz w:val="16"/>
                <w:szCs w:val="16"/>
                <w:u w:val="none"/>
              </w:rPr>
            </w:pPr>
          </w:p>
        </w:tc>
      </w:tr>
      <w:tr w14:paraId="0C83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EA213">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9B9AF">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49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AA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内控财务制度健全性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4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E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2A1D">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737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E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C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0785">
            <w:pPr>
              <w:jc w:val="center"/>
              <w:rPr>
                <w:rFonts w:hint="eastAsia" w:ascii="微软雅黑" w:hAnsi="微软雅黑" w:eastAsia="微软雅黑" w:cs="微软雅黑"/>
                <w:i/>
                <w:iCs/>
                <w:color w:val="000000"/>
                <w:sz w:val="16"/>
                <w:szCs w:val="16"/>
                <w:u w:val="none"/>
              </w:rPr>
            </w:pPr>
          </w:p>
        </w:tc>
      </w:tr>
      <w:tr w14:paraId="6145F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F93D3">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1A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8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基层政协工作人员满意度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8F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A6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EA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2D8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4B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08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AB3F">
            <w:pPr>
              <w:jc w:val="center"/>
              <w:rPr>
                <w:rFonts w:hint="eastAsia" w:ascii="微软雅黑" w:hAnsi="微软雅黑" w:eastAsia="微软雅黑" w:cs="微软雅黑"/>
                <w:i/>
                <w:iCs/>
                <w:color w:val="000000"/>
                <w:sz w:val="16"/>
                <w:szCs w:val="16"/>
                <w:u w:val="none"/>
              </w:rPr>
            </w:pPr>
          </w:p>
        </w:tc>
      </w:tr>
      <w:tr w14:paraId="4F816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9A0A2">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22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0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57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A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7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E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19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4.34</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83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0D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B613">
            <w:pPr>
              <w:jc w:val="center"/>
              <w:rPr>
                <w:rFonts w:hint="eastAsia" w:ascii="微软雅黑" w:hAnsi="微软雅黑" w:eastAsia="微软雅黑" w:cs="微软雅黑"/>
                <w:i/>
                <w:iCs/>
                <w:color w:val="000000"/>
                <w:sz w:val="16"/>
                <w:szCs w:val="16"/>
                <w:u w:val="none"/>
              </w:rPr>
            </w:pPr>
          </w:p>
        </w:tc>
      </w:tr>
      <w:tr w14:paraId="2ED33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C9A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1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B5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F8B8">
            <w:pPr>
              <w:rPr>
                <w:rFonts w:hint="eastAsia" w:ascii="宋体" w:hAnsi="宋体" w:eastAsia="宋体" w:cs="宋体"/>
                <w:i w:val="0"/>
                <w:iCs w:val="0"/>
                <w:color w:val="000000"/>
                <w:sz w:val="18"/>
                <w:szCs w:val="18"/>
                <w:u w:val="none"/>
              </w:rPr>
            </w:pPr>
          </w:p>
        </w:tc>
      </w:tr>
      <w:tr w14:paraId="0F9B5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E3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125B8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100分，根据年度工作安排和财政预算批复，出差人员到岗率、完成及时率、基层政协工作正常开展率、工作满意度达100%，为基层政协工作正常开展提供了保障，推动基层政协工作水平进一步提升，初步实现预期目标。</w:t>
            </w:r>
          </w:p>
        </w:tc>
      </w:tr>
      <w:tr w14:paraId="3B44F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31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BF047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EE20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5B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05E42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7750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6560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项目负责人：邓雪彬</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E8984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31645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2C586428">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6444FDC5">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6AD1870D">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01280126">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5D5A1910">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21E269B2">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61D2686D">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43946115">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5DE827E8">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0EFBC07C">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0485E36A">
            <w:pPr>
              <w:rPr>
                <w:rFonts w:hint="eastAsia" w:ascii="宋体" w:hAnsi="宋体" w:eastAsia="宋体" w:cs="宋体"/>
                <w:i w:val="0"/>
                <w:iCs w:val="0"/>
                <w:color w:val="000000"/>
                <w:sz w:val="18"/>
                <w:szCs w:val="18"/>
                <w:u w:val="none"/>
              </w:rPr>
            </w:pPr>
          </w:p>
        </w:tc>
      </w:tr>
      <w:tr w14:paraId="14A6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0512DA">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51D9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3C8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6E42A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51090322T000007228095-办公设备购置费</w:t>
            </w:r>
          </w:p>
        </w:tc>
      </w:tr>
      <w:tr w14:paraId="4BE6A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E2A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AA4DC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33DC889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B28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1492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B2A4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936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EA6B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C808F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6479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EC1B8">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2790D">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BACAB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通过添置会议设施设备，用最小采购成本，发挥出会议设施最大使用效率，最大程度惠及最多人群。</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10CC2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全年采购会议桌40张、办公椅124张，专业功放、音响、调音台、音频处理器等会议音响设备50余个、空调6个等，产品合格率、完成及时率、使用人员满意度均达到100%，项目完成29.76万元。</w:t>
            </w:r>
          </w:p>
        </w:tc>
      </w:tr>
      <w:tr w14:paraId="0ADCF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30783">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55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364F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开招标采购会议桌、主席台等40张、办公椅124张，专业功放、音响、调音台、音频处理器等会议音响设备50余个、空调6个，维修维护安装空调10次，产品合格率、完成及时率、使用人员满意度均达到100%，项目完成29.76万元，确保了会议正常开展。</w:t>
            </w:r>
          </w:p>
        </w:tc>
      </w:tr>
      <w:tr w14:paraId="53C5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9D75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26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D1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06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0A5F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A6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F6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23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8F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606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D59DB">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8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DB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CF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29.76</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DC4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29.76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D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7B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0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9795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该项目2022年施工建设，且追加资金，但因财政等原因未能支付，2023年年中增加预算29.76万元</w:t>
            </w:r>
          </w:p>
        </w:tc>
      </w:tr>
      <w:tr w14:paraId="5436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8EF9D">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6A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F3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9B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29.76</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C67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29.76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C7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A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5B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99109">
            <w:pPr>
              <w:rPr>
                <w:rFonts w:hint="eastAsia" w:ascii="黑体" w:hAnsi="黑体" w:eastAsia="黑体" w:cs="黑体"/>
                <w:i/>
                <w:iCs/>
                <w:color w:val="000000"/>
                <w:sz w:val="18"/>
                <w:szCs w:val="18"/>
                <w:u w:val="none"/>
              </w:rPr>
            </w:pPr>
          </w:p>
        </w:tc>
      </w:tr>
      <w:tr w14:paraId="3A7D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0BE70">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B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54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1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6F81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2F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30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8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AD191">
            <w:pPr>
              <w:rPr>
                <w:rFonts w:hint="eastAsia" w:ascii="黑体" w:hAnsi="黑体" w:eastAsia="黑体" w:cs="黑体"/>
                <w:i/>
                <w:iCs/>
                <w:color w:val="000000"/>
                <w:sz w:val="18"/>
                <w:szCs w:val="18"/>
                <w:u w:val="none"/>
              </w:rPr>
            </w:pPr>
          </w:p>
        </w:tc>
      </w:tr>
      <w:tr w14:paraId="5F8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CC5F3">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DF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52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E2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2C31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6D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FE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C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2F2C6">
            <w:pPr>
              <w:rPr>
                <w:rFonts w:hint="eastAsia" w:ascii="黑体" w:hAnsi="黑体" w:eastAsia="黑体" w:cs="黑体"/>
                <w:i/>
                <w:iCs/>
                <w:color w:val="000000"/>
                <w:sz w:val="18"/>
                <w:szCs w:val="18"/>
                <w:u w:val="none"/>
              </w:rPr>
            </w:pPr>
          </w:p>
        </w:tc>
      </w:tr>
      <w:tr w14:paraId="6A748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EDAFA">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E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F320">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C337">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80D7BB">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6725">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B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59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03B5E">
            <w:pPr>
              <w:rPr>
                <w:rFonts w:hint="eastAsia" w:ascii="黑体" w:hAnsi="黑体" w:eastAsia="黑体" w:cs="黑体"/>
                <w:i/>
                <w:iCs/>
                <w:color w:val="000000"/>
                <w:sz w:val="18"/>
                <w:szCs w:val="18"/>
                <w:u w:val="none"/>
              </w:rPr>
            </w:pPr>
          </w:p>
        </w:tc>
      </w:tr>
      <w:tr w14:paraId="68F6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5F6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27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4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4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92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33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D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C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5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A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D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0998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9315">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D96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75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A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购买桌椅数量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F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EE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E7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张</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751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160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1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6B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7339">
            <w:pPr>
              <w:jc w:val="center"/>
              <w:rPr>
                <w:rFonts w:hint="eastAsia" w:ascii="微软雅黑" w:hAnsi="微软雅黑" w:eastAsia="微软雅黑" w:cs="微软雅黑"/>
                <w:i/>
                <w:iCs/>
                <w:color w:val="000000"/>
                <w:sz w:val="16"/>
                <w:szCs w:val="16"/>
                <w:u w:val="none"/>
              </w:rPr>
            </w:pPr>
          </w:p>
        </w:tc>
      </w:tr>
      <w:tr w14:paraId="5B59C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E883B">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BF4C6">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0E329">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1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购买音响设备数量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15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8A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6C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5D9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0E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FA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AADD">
            <w:pPr>
              <w:jc w:val="center"/>
              <w:rPr>
                <w:rFonts w:hint="eastAsia" w:ascii="微软雅黑" w:hAnsi="微软雅黑" w:eastAsia="微软雅黑" w:cs="微软雅黑"/>
                <w:i/>
                <w:iCs/>
                <w:color w:val="000000"/>
                <w:sz w:val="16"/>
                <w:szCs w:val="16"/>
                <w:u w:val="none"/>
              </w:rPr>
            </w:pPr>
          </w:p>
        </w:tc>
      </w:tr>
      <w:tr w14:paraId="403BA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D8B57">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69978">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23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6E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桌椅合格率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C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3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60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7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1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3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A67E">
            <w:pPr>
              <w:jc w:val="center"/>
              <w:rPr>
                <w:rFonts w:hint="eastAsia" w:ascii="微软雅黑" w:hAnsi="微软雅黑" w:eastAsia="微软雅黑" w:cs="微软雅黑"/>
                <w:i/>
                <w:iCs/>
                <w:color w:val="000000"/>
                <w:sz w:val="16"/>
                <w:szCs w:val="16"/>
                <w:u w:val="none"/>
              </w:rPr>
            </w:pPr>
          </w:p>
        </w:tc>
      </w:tr>
      <w:tr w14:paraId="1A7AA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55E30">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56455">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D6EE">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1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音响设备合格率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22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D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C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8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27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A3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8B57">
            <w:pPr>
              <w:jc w:val="center"/>
              <w:rPr>
                <w:rFonts w:hint="eastAsia" w:ascii="微软雅黑" w:hAnsi="微软雅黑" w:eastAsia="微软雅黑" w:cs="微软雅黑"/>
                <w:i/>
                <w:iCs/>
                <w:color w:val="000000"/>
                <w:sz w:val="16"/>
                <w:szCs w:val="16"/>
                <w:u w:val="none"/>
              </w:rPr>
            </w:pPr>
          </w:p>
        </w:tc>
      </w:tr>
      <w:tr w14:paraId="45C0E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68849">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43622">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D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AA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42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B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4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B2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5A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D7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8B1F">
            <w:pPr>
              <w:jc w:val="center"/>
              <w:rPr>
                <w:rFonts w:hint="eastAsia" w:ascii="微软雅黑" w:hAnsi="微软雅黑" w:eastAsia="微软雅黑" w:cs="微软雅黑"/>
                <w:i/>
                <w:iCs/>
                <w:color w:val="000000"/>
                <w:sz w:val="16"/>
                <w:szCs w:val="16"/>
                <w:u w:val="none"/>
              </w:rPr>
            </w:pPr>
          </w:p>
        </w:tc>
      </w:tr>
      <w:tr w14:paraId="37A3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84B48">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C0E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4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F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满足会议正常开展</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E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55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31C2">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C38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6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02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C5AD">
            <w:pPr>
              <w:jc w:val="center"/>
              <w:rPr>
                <w:rFonts w:hint="eastAsia" w:ascii="微软雅黑" w:hAnsi="微软雅黑" w:eastAsia="微软雅黑" w:cs="微软雅黑"/>
                <w:i/>
                <w:iCs/>
                <w:color w:val="000000"/>
                <w:sz w:val="16"/>
                <w:szCs w:val="16"/>
                <w:u w:val="none"/>
              </w:rPr>
            </w:pPr>
          </w:p>
        </w:tc>
      </w:tr>
      <w:tr w14:paraId="2EA2D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BAB7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BDBC6">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A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4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资金监管健全性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6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7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F0DC">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A3A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C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C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5FA5">
            <w:pPr>
              <w:jc w:val="center"/>
              <w:rPr>
                <w:rFonts w:hint="eastAsia" w:ascii="微软雅黑" w:hAnsi="微软雅黑" w:eastAsia="微软雅黑" w:cs="微软雅黑"/>
                <w:i/>
                <w:iCs/>
                <w:color w:val="000000"/>
                <w:sz w:val="16"/>
                <w:szCs w:val="16"/>
                <w:u w:val="none"/>
              </w:rPr>
            </w:pPr>
          </w:p>
        </w:tc>
      </w:tr>
      <w:tr w14:paraId="1491E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7EC25">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6C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6F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84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委员满意度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D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0B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99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FEB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C5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80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4773">
            <w:pPr>
              <w:jc w:val="center"/>
              <w:rPr>
                <w:rFonts w:hint="eastAsia" w:ascii="微软雅黑" w:hAnsi="微软雅黑" w:eastAsia="微软雅黑" w:cs="微软雅黑"/>
                <w:i/>
                <w:iCs/>
                <w:color w:val="000000"/>
                <w:sz w:val="16"/>
                <w:szCs w:val="16"/>
                <w:u w:val="none"/>
              </w:rPr>
            </w:pPr>
          </w:p>
        </w:tc>
      </w:tr>
      <w:tr w14:paraId="18A2C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765D4">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38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4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6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D8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0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29.76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B9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0D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29.76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3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88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8895">
            <w:pPr>
              <w:jc w:val="center"/>
              <w:rPr>
                <w:rFonts w:hint="eastAsia" w:ascii="微软雅黑" w:hAnsi="微软雅黑" w:eastAsia="微软雅黑" w:cs="微软雅黑"/>
                <w:i/>
                <w:iCs/>
                <w:color w:val="000000"/>
                <w:sz w:val="16"/>
                <w:szCs w:val="16"/>
                <w:u w:val="none"/>
              </w:rPr>
            </w:pPr>
          </w:p>
        </w:tc>
      </w:tr>
      <w:tr w14:paraId="642DB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31B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B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0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A186">
            <w:pPr>
              <w:rPr>
                <w:rFonts w:hint="eastAsia" w:ascii="宋体" w:hAnsi="宋体" w:eastAsia="宋体" w:cs="宋体"/>
                <w:i w:val="0"/>
                <w:iCs w:val="0"/>
                <w:color w:val="000000"/>
                <w:sz w:val="18"/>
                <w:szCs w:val="18"/>
                <w:u w:val="none"/>
              </w:rPr>
            </w:pPr>
          </w:p>
        </w:tc>
      </w:tr>
      <w:tr w14:paraId="43863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E7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72132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项目自评得分100分，根据年度工作安排和财政预算批复，产品合格率、完成及时率、使用人员满意度均达到100%，完成会议设施设备购置，保障了机关会议需要，初步实现预期目标。</w:t>
            </w:r>
          </w:p>
        </w:tc>
      </w:tr>
      <w:tr w14:paraId="6DE9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D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70A03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601E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8C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901D58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E676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BF9ED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项目负责人：邓雪彬</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705EB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60A30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306B6C86">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7592642D">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2EF7D2B8">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4B7E7500">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7A059602">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5AB9CD4E">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5D1CF714">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78CC24C1">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212D0D53">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1282CFC1">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6F27AF3A">
            <w:pPr>
              <w:rPr>
                <w:rFonts w:hint="eastAsia" w:ascii="宋体" w:hAnsi="宋体" w:eastAsia="宋体" w:cs="宋体"/>
                <w:i w:val="0"/>
                <w:iCs w:val="0"/>
                <w:color w:val="000000"/>
                <w:sz w:val="18"/>
                <w:szCs w:val="18"/>
                <w:u w:val="none"/>
              </w:rPr>
            </w:pPr>
          </w:p>
        </w:tc>
      </w:tr>
      <w:tr w14:paraId="1425A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808C19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7F462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86A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CE14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51090323T000007754146-书香政协工作经费</w:t>
            </w:r>
          </w:p>
        </w:tc>
      </w:tr>
      <w:tr w14:paraId="3843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07B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B45F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626B18C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75D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51DE2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A19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233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626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99615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3522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27396">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C9595">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76BF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该项目共计投入8万元，主要用于“书香政协”建设，其中购置书、纸、笔墨等物资3万元以内，开展读书活动和各类书画摄影活动4次以上，通过读书活动和各类书画摄影活动，促进政协委员和机关干部进一步提升履职能力。</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8B3FD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举办“学习新思想、践行新使命、奋进新征程”“同心共读革命史、履职奋进新征程”等线上线下读书活动40余次，向委员分享购买书籍200余册，书籍阅读率、活动人员到岗率、完成及时率、活动参与人员满意度达100%，财政监督管理制度健全，项目支出7.92万元。</w:t>
            </w:r>
          </w:p>
        </w:tc>
      </w:tr>
      <w:tr w14:paraId="25EA8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5871C">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3C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E07F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深化“书香政协”建设，打造“悦读空间”“合言阅舍”等线下读书平台，分享《习近平走进百姓家》《解读中国经济》等经典好书，举办“学习新思想、践行新使命、奋进新征程”“同心共读革命史、履职奋进新征程”等线上线下读书活动40余次，形成的优秀作品被市政协“书香遂悦”公众号刊登，向委员分享赠阅《为什么是中国》等书籍200余册，船山区政协被市政协评为“学习新思想、践行新使命、奋进新征程”主题读书与实践活动2023年度先进集体，4名同志被评为“学习新思想、践行新使命、奋进新征程”主题读书与实践活动先进个人，在政协机关干部和政协委员中营造了浓厚的读书氛围，充分调动了委员读书积极性，不断提升了履职效能。</w:t>
            </w:r>
          </w:p>
        </w:tc>
      </w:tr>
      <w:tr w14:paraId="13C75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85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0E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62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3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4B1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63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92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06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2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8303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54B1">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BA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6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A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7.92</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5D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7.92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1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CF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6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74D01">
            <w:pPr>
              <w:rPr>
                <w:rFonts w:hint="eastAsia" w:ascii="黑体" w:hAnsi="黑体" w:eastAsia="黑体" w:cs="黑体"/>
                <w:i/>
                <w:iCs/>
                <w:color w:val="000000"/>
                <w:sz w:val="18"/>
                <w:szCs w:val="18"/>
                <w:u w:val="none"/>
              </w:rPr>
            </w:pPr>
          </w:p>
        </w:tc>
      </w:tr>
      <w:tr w14:paraId="43198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5FCEE">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EB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57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7D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7.92</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ACA9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7.92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C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7A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F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0A670">
            <w:pPr>
              <w:rPr>
                <w:rFonts w:hint="eastAsia" w:ascii="黑体" w:hAnsi="黑体" w:eastAsia="黑体" w:cs="黑体"/>
                <w:i/>
                <w:iCs/>
                <w:color w:val="000000"/>
                <w:sz w:val="18"/>
                <w:szCs w:val="18"/>
                <w:u w:val="none"/>
              </w:rPr>
            </w:pPr>
          </w:p>
        </w:tc>
      </w:tr>
      <w:tr w14:paraId="78832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16AAD">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7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41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3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E339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FA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AD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06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1FB8A">
            <w:pPr>
              <w:rPr>
                <w:rFonts w:hint="eastAsia" w:ascii="黑体" w:hAnsi="黑体" w:eastAsia="黑体" w:cs="黑体"/>
                <w:i/>
                <w:iCs/>
                <w:color w:val="000000"/>
                <w:sz w:val="18"/>
                <w:szCs w:val="18"/>
                <w:u w:val="none"/>
              </w:rPr>
            </w:pPr>
          </w:p>
        </w:tc>
      </w:tr>
      <w:tr w14:paraId="6FA2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42FAE">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D4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51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B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765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4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9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9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3CDEB">
            <w:pPr>
              <w:rPr>
                <w:rFonts w:hint="eastAsia" w:ascii="黑体" w:hAnsi="黑体" w:eastAsia="黑体" w:cs="黑体"/>
                <w:i/>
                <w:iCs/>
                <w:color w:val="000000"/>
                <w:sz w:val="18"/>
                <w:szCs w:val="18"/>
                <w:u w:val="none"/>
              </w:rPr>
            </w:pPr>
          </w:p>
        </w:tc>
      </w:tr>
      <w:tr w14:paraId="67BD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FDFDC">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5F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027C">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41F2">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374562">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F7AB">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E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1B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45419">
            <w:pPr>
              <w:rPr>
                <w:rFonts w:hint="eastAsia" w:ascii="黑体" w:hAnsi="黑体" w:eastAsia="黑体" w:cs="黑体"/>
                <w:i/>
                <w:iCs/>
                <w:color w:val="000000"/>
                <w:sz w:val="18"/>
                <w:szCs w:val="18"/>
                <w:u w:val="none"/>
              </w:rPr>
            </w:pPr>
          </w:p>
        </w:tc>
      </w:tr>
      <w:tr w14:paraId="23FC8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8DD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A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E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17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BB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34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8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1E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C6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13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F9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30CF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01B74">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E3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F85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F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购买书籍数量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3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5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03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481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0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E3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EFB8">
            <w:pPr>
              <w:jc w:val="center"/>
              <w:rPr>
                <w:rFonts w:hint="eastAsia" w:ascii="微软雅黑" w:hAnsi="微软雅黑" w:eastAsia="微软雅黑" w:cs="微软雅黑"/>
                <w:i/>
                <w:iCs/>
                <w:color w:val="000000"/>
                <w:sz w:val="16"/>
                <w:szCs w:val="16"/>
                <w:u w:val="none"/>
              </w:rPr>
            </w:pPr>
          </w:p>
        </w:tc>
      </w:tr>
      <w:tr w14:paraId="607DD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991B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5479A">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E2576">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7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开展活动次数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0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3A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F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579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63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73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58DC">
            <w:pPr>
              <w:jc w:val="center"/>
              <w:rPr>
                <w:rFonts w:hint="eastAsia" w:ascii="微软雅黑" w:hAnsi="微软雅黑" w:eastAsia="微软雅黑" w:cs="微软雅黑"/>
                <w:i/>
                <w:iCs/>
                <w:color w:val="000000"/>
                <w:sz w:val="16"/>
                <w:szCs w:val="16"/>
                <w:u w:val="none"/>
              </w:rPr>
            </w:pPr>
          </w:p>
        </w:tc>
      </w:tr>
      <w:tr w14:paraId="1E914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79E0A">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E39BC">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9DF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43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活动人员到岗率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C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68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3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4A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0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CD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22A4">
            <w:pPr>
              <w:jc w:val="center"/>
              <w:rPr>
                <w:rFonts w:hint="eastAsia" w:ascii="微软雅黑" w:hAnsi="微软雅黑" w:eastAsia="微软雅黑" w:cs="微软雅黑"/>
                <w:i/>
                <w:iCs/>
                <w:color w:val="000000"/>
                <w:sz w:val="16"/>
                <w:szCs w:val="16"/>
                <w:u w:val="none"/>
              </w:rPr>
            </w:pPr>
          </w:p>
        </w:tc>
      </w:tr>
      <w:tr w14:paraId="5C452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9B2DC">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C798D">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EBF1D">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39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书籍阅读率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6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1E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0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7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A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6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FBE5">
            <w:pPr>
              <w:jc w:val="center"/>
              <w:rPr>
                <w:rFonts w:hint="eastAsia" w:ascii="微软雅黑" w:hAnsi="微软雅黑" w:eastAsia="微软雅黑" w:cs="微软雅黑"/>
                <w:i/>
                <w:iCs/>
                <w:color w:val="000000"/>
                <w:sz w:val="16"/>
                <w:szCs w:val="16"/>
                <w:u w:val="none"/>
              </w:rPr>
            </w:pPr>
          </w:p>
        </w:tc>
      </w:tr>
      <w:tr w14:paraId="7A612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9A2E6">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837B6">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27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7D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AD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B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F4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1B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F7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4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2EF7">
            <w:pPr>
              <w:jc w:val="center"/>
              <w:rPr>
                <w:rFonts w:hint="eastAsia" w:ascii="微软雅黑" w:hAnsi="微软雅黑" w:eastAsia="微软雅黑" w:cs="微软雅黑"/>
                <w:i/>
                <w:iCs/>
                <w:color w:val="000000"/>
                <w:sz w:val="16"/>
                <w:szCs w:val="16"/>
                <w:u w:val="none"/>
              </w:rPr>
            </w:pPr>
          </w:p>
        </w:tc>
      </w:tr>
      <w:tr w14:paraId="27D91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4894F">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1A7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F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0F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书香政协氛围营造情况</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CD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3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有效</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C266">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895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有效</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11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0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5556">
            <w:pPr>
              <w:jc w:val="center"/>
              <w:rPr>
                <w:rFonts w:hint="eastAsia" w:ascii="微软雅黑" w:hAnsi="微软雅黑" w:eastAsia="微软雅黑" w:cs="微软雅黑"/>
                <w:i/>
                <w:iCs/>
                <w:color w:val="000000"/>
                <w:sz w:val="16"/>
                <w:szCs w:val="16"/>
                <w:u w:val="none"/>
              </w:rPr>
            </w:pPr>
          </w:p>
        </w:tc>
      </w:tr>
      <w:tr w14:paraId="4BAD1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9499B">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5206">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9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91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财政监督管理制度健全性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F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32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0A76">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8B6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A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47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696C">
            <w:pPr>
              <w:jc w:val="center"/>
              <w:rPr>
                <w:rFonts w:hint="eastAsia" w:ascii="微软雅黑" w:hAnsi="微软雅黑" w:eastAsia="微软雅黑" w:cs="微软雅黑"/>
                <w:i/>
                <w:iCs/>
                <w:color w:val="000000"/>
                <w:sz w:val="16"/>
                <w:szCs w:val="16"/>
                <w:u w:val="none"/>
              </w:rPr>
            </w:pPr>
          </w:p>
        </w:tc>
      </w:tr>
      <w:tr w14:paraId="4257B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52D6D">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5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8C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D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活动参与人员满意度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9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3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D2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4B3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C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D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E41C">
            <w:pPr>
              <w:jc w:val="center"/>
              <w:rPr>
                <w:rFonts w:hint="eastAsia" w:ascii="微软雅黑" w:hAnsi="微软雅黑" w:eastAsia="微软雅黑" w:cs="微软雅黑"/>
                <w:i/>
                <w:iCs/>
                <w:color w:val="000000"/>
                <w:sz w:val="16"/>
                <w:szCs w:val="16"/>
                <w:u w:val="none"/>
              </w:rPr>
            </w:pPr>
          </w:p>
        </w:tc>
      </w:tr>
      <w:tr w14:paraId="02F55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9212">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E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47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0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9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D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4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5C1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7.92</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85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5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0827">
            <w:pPr>
              <w:jc w:val="center"/>
              <w:rPr>
                <w:rFonts w:hint="eastAsia" w:ascii="微软雅黑" w:hAnsi="微软雅黑" w:eastAsia="微软雅黑" w:cs="微软雅黑"/>
                <w:i/>
                <w:iCs/>
                <w:color w:val="000000"/>
                <w:sz w:val="16"/>
                <w:szCs w:val="16"/>
                <w:u w:val="none"/>
              </w:rPr>
            </w:pPr>
          </w:p>
        </w:tc>
      </w:tr>
      <w:tr w14:paraId="07FF3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325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9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1D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F492">
            <w:pPr>
              <w:rPr>
                <w:rFonts w:hint="eastAsia" w:ascii="宋体" w:hAnsi="宋体" w:eastAsia="宋体" w:cs="宋体"/>
                <w:i w:val="0"/>
                <w:iCs w:val="0"/>
                <w:color w:val="000000"/>
                <w:sz w:val="18"/>
                <w:szCs w:val="18"/>
                <w:u w:val="none"/>
              </w:rPr>
            </w:pPr>
          </w:p>
        </w:tc>
      </w:tr>
      <w:tr w14:paraId="74A3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60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8ADA4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项目自评得分100分，根据年度工作安排和财政预算批复，书籍阅读率、活动人员到岗率、完成及时率、活动参与人员满意度达100%，财政监督管理制度健全，进一步推动“书香政协”建设，初步实现预期目标。</w:t>
            </w:r>
          </w:p>
        </w:tc>
      </w:tr>
      <w:tr w14:paraId="35E0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7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EDAE7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439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7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C54696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EA3A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58AA7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项目负责人：郑路茜</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8DF69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5D9CB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3801A53B">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6E9AE930">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2C4F4252">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079DB480">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20544AE5">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3BA1CFE4">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0BF7C248">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18548068">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201E53C0">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109501C2">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07AF08D3">
            <w:pPr>
              <w:rPr>
                <w:rFonts w:hint="eastAsia" w:ascii="宋体" w:hAnsi="宋体" w:eastAsia="宋体" w:cs="宋体"/>
                <w:i w:val="0"/>
                <w:iCs w:val="0"/>
                <w:color w:val="000000"/>
                <w:sz w:val="18"/>
                <w:szCs w:val="18"/>
                <w:u w:val="none"/>
              </w:rPr>
            </w:pPr>
          </w:p>
        </w:tc>
      </w:tr>
      <w:tr w14:paraId="7878D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B3581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4A7F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CAB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D043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51090323T000008244706-政协工作经费</w:t>
            </w:r>
          </w:p>
        </w:tc>
      </w:tr>
      <w:tr w14:paraId="44E65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B43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6E95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32C9011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246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25C9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1C12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0C9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3989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563A7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72A6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E340B">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A119E">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EA770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该项目总投入30万元，主要用于外出学习交流、考察、视察调研等支出，其中差旅费15万元，交通费5万元，用于开展工作</w:t>
            </w:r>
            <w:r>
              <w:rPr>
                <w:rFonts w:hint="eastAsia" w:ascii="宋体" w:hAnsi="宋体" w:cs="宋体"/>
                <w:i w:val="0"/>
                <w:iCs w:val="0"/>
                <w:color w:val="000000"/>
                <w:kern w:val="0"/>
                <w:sz w:val="18"/>
                <w:szCs w:val="18"/>
                <w:u w:val="none"/>
                <w:lang w:val="en-US" w:eastAsia="zh-CN" w:bidi="ar"/>
              </w:rPr>
              <w:t>及</w:t>
            </w:r>
            <w:r>
              <w:rPr>
                <w:rFonts w:ascii="宋体" w:hAnsi="宋体" w:eastAsia="宋体" w:cs="宋体"/>
                <w:i w:val="0"/>
                <w:iCs w:val="0"/>
                <w:color w:val="000000"/>
                <w:kern w:val="0"/>
                <w:sz w:val="18"/>
                <w:szCs w:val="18"/>
                <w:u w:val="none"/>
                <w:lang w:val="en-US" w:eastAsia="zh-CN" w:bidi="ar"/>
              </w:rPr>
              <w:t>其它支出10万元，外出开展学习交流和视察调研20次以上，通过开展学习交流和视察调研活动，提出更多有用的精准之言和务实之策，为推动全区高质量发展贡献政协力量。</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95BFA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全年组织外出学习交流、视察调研40余次，车辆租赁20余次，人员到岗率、租用车辆使用率、完成及时率、参与人员满意度均达100%，项目支出28.9万元。</w:t>
            </w:r>
          </w:p>
        </w:tc>
      </w:tr>
      <w:tr w14:paraId="307D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DC59D">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5B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EA26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以“同心共建现代化四川”船山专项行动为抓手，聚焦同心共建川渝合作“桥头堡”等五项行动，围绕“聚焦项目拼经济搞建设推动高质量发展”等课题，组织委员和相关部门开展调研协商和视察监督活动20余次，形成高质量协商意见18篇，24项协商意见实现成果转化；深化与各党派团体合作共事，通过大会议政发言、联组讨论、集体提案等方式协商议政；协商办理各民主党派、工商联、无党派人士提案62件，邀请党外人士参与调研、协商、视察活动300余人次，各民主党派和无党派人士在政协履职作用发挥更加充分；深化对外交流互动，前往理县、涪城区等地开展学习交流，推动政协工作互促互鉴，助力政协发挥好了专门协商机构作用，提升了政协服务中心大局贡献率。</w:t>
            </w:r>
          </w:p>
        </w:tc>
      </w:tr>
      <w:tr w14:paraId="55D2A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6BB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EC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F4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1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C8A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5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0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4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3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9473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D5A27">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B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8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4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28.90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604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28.90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F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1D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16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6C131">
            <w:pPr>
              <w:rPr>
                <w:rFonts w:hint="eastAsia" w:ascii="黑体" w:hAnsi="黑体" w:eastAsia="黑体" w:cs="黑体"/>
                <w:i/>
                <w:iCs/>
                <w:color w:val="000000"/>
                <w:sz w:val="18"/>
                <w:szCs w:val="18"/>
                <w:u w:val="none"/>
              </w:rPr>
            </w:pPr>
          </w:p>
        </w:tc>
      </w:tr>
      <w:tr w14:paraId="3BEF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F22AC">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0F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92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F3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28.90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28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28.90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2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C9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7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91E5F">
            <w:pPr>
              <w:rPr>
                <w:rFonts w:hint="eastAsia" w:ascii="黑体" w:hAnsi="黑体" w:eastAsia="黑体" w:cs="黑体"/>
                <w:i/>
                <w:iCs/>
                <w:color w:val="000000"/>
                <w:sz w:val="18"/>
                <w:szCs w:val="18"/>
                <w:u w:val="none"/>
              </w:rPr>
            </w:pPr>
          </w:p>
        </w:tc>
      </w:tr>
      <w:tr w14:paraId="1A07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904F3">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D8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A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53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5CF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7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43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0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7697D">
            <w:pPr>
              <w:rPr>
                <w:rFonts w:hint="eastAsia" w:ascii="黑体" w:hAnsi="黑体" w:eastAsia="黑体" w:cs="黑体"/>
                <w:i/>
                <w:iCs/>
                <w:color w:val="000000"/>
                <w:sz w:val="18"/>
                <w:szCs w:val="18"/>
                <w:u w:val="none"/>
              </w:rPr>
            </w:pPr>
          </w:p>
        </w:tc>
      </w:tr>
      <w:tr w14:paraId="0F83F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8309A">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F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C7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6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8FAA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C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36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16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E9760">
            <w:pPr>
              <w:rPr>
                <w:rFonts w:hint="eastAsia" w:ascii="黑体" w:hAnsi="黑体" w:eastAsia="黑体" w:cs="黑体"/>
                <w:i/>
                <w:iCs/>
                <w:color w:val="000000"/>
                <w:sz w:val="18"/>
                <w:szCs w:val="18"/>
                <w:u w:val="none"/>
              </w:rPr>
            </w:pPr>
          </w:p>
        </w:tc>
      </w:tr>
      <w:tr w14:paraId="1CD2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3EF01">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5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3817">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47FB">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EDA844">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ECAB">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3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FF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A8130">
            <w:pPr>
              <w:rPr>
                <w:rFonts w:hint="eastAsia" w:ascii="黑体" w:hAnsi="黑体" w:eastAsia="黑体" w:cs="黑体"/>
                <w:i/>
                <w:iCs/>
                <w:color w:val="000000"/>
                <w:sz w:val="18"/>
                <w:szCs w:val="18"/>
                <w:u w:val="none"/>
              </w:rPr>
            </w:pPr>
          </w:p>
        </w:tc>
      </w:tr>
      <w:tr w14:paraId="24B2E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BC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92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4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D7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18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E4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0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7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94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73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12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7E2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A3A00">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80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88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DB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租用车辆次数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5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97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A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E81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94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D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BFAD">
            <w:pPr>
              <w:jc w:val="center"/>
              <w:rPr>
                <w:rFonts w:hint="eastAsia" w:ascii="微软雅黑" w:hAnsi="微软雅黑" w:eastAsia="微软雅黑" w:cs="微软雅黑"/>
                <w:i/>
                <w:iCs/>
                <w:color w:val="000000"/>
                <w:sz w:val="16"/>
                <w:szCs w:val="16"/>
                <w:u w:val="none"/>
              </w:rPr>
            </w:pPr>
          </w:p>
        </w:tc>
      </w:tr>
      <w:tr w14:paraId="46A01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3F5D1">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16360">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79E2A">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1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外出学习交流、视察调研次数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5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F3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DE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1F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F8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EE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DBA4">
            <w:pPr>
              <w:jc w:val="center"/>
              <w:rPr>
                <w:rFonts w:hint="eastAsia" w:ascii="微软雅黑" w:hAnsi="微软雅黑" w:eastAsia="微软雅黑" w:cs="微软雅黑"/>
                <w:i/>
                <w:iCs/>
                <w:color w:val="000000"/>
                <w:sz w:val="16"/>
                <w:szCs w:val="16"/>
                <w:u w:val="none"/>
              </w:rPr>
            </w:pPr>
          </w:p>
        </w:tc>
      </w:tr>
      <w:tr w14:paraId="7723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A5CA9">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5D697">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37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C0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学习交流和视察调研人员到岗率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20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19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00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F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6E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D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11F9">
            <w:pPr>
              <w:jc w:val="center"/>
              <w:rPr>
                <w:rFonts w:hint="eastAsia" w:ascii="微软雅黑" w:hAnsi="微软雅黑" w:eastAsia="微软雅黑" w:cs="微软雅黑"/>
                <w:i/>
                <w:iCs/>
                <w:color w:val="000000"/>
                <w:sz w:val="16"/>
                <w:szCs w:val="16"/>
                <w:u w:val="none"/>
              </w:rPr>
            </w:pPr>
          </w:p>
        </w:tc>
      </w:tr>
      <w:tr w14:paraId="49D9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632E3">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7CFB0">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D7DC4">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BE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租用车辆使用率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D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9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7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A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1D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E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0278">
            <w:pPr>
              <w:jc w:val="center"/>
              <w:rPr>
                <w:rFonts w:hint="eastAsia" w:ascii="微软雅黑" w:hAnsi="微软雅黑" w:eastAsia="微软雅黑" w:cs="微软雅黑"/>
                <w:i/>
                <w:iCs/>
                <w:color w:val="000000"/>
                <w:sz w:val="16"/>
                <w:szCs w:val="16"/>
                <w:u w:val="none"/>
              </w:rPr>
            </w:pPr>
          </w:p>
        </w:tc>
      </w:tr>
      <w:tr w14:paraId="26ABD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B16B">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43A5D">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0B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6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B6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12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D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7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E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00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40FB">
            <w:pPr>
              <w:jc w:val="center"/>
              <w:rPr>
                <w:rFonts w:hint="eastAsia" w:ascii="微软雅黑" w:hAnsi="微软雅黑" w:eastAsia="微软雅黑" w:cs="微软雅黑"/>
                <w:i/>
                <w:iCs/>
                <w:color w:val="000000"/>
                <w:sz w:val="16"/>
                <w:szCs w:val="16"/>
                <w:u w:val="none"/>
              </w:rPr>
            </w:pPr>
          </w:p>
        </w:tc>
      </w:tr>
      <w:tr w14:paraId="5DA1D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31C48">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85E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C8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B2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政协工作有序推进</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5C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0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D896">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EA6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A7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54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4872">
            <w:pPr>
              <w:jc w:val="center"/>
              <w:rPr>
                <w:rFonts w:hint="eastAsia" w:ascii="微软雅黑" w:hAnsi="微软雅黑" w:eastAsia="微软雅黑" w:cs="微软雅黑"/>
                <w:i/>
                <w:iCs/>
                <w:color w:val="000000"/>
                <w:sz w:val="16"/>
                <w:szCs w:val="16"/>
                <w:u w:val="none"/>
              </w:rPr>
            </w:pPr>
          </w:p>
        </w:tc>
      </w:tr>
      <w:tr w14:paraId="77D18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74EB">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C9CF">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6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6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财政监督管理制度健全性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0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2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73B1">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0DA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D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A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5081">
            <w:pPr>
              <w:jc w:val="center"/>
              <w:rPr>
                <w:rFonts w:hint="eastAsia" w:ascii="微软雅黑" w:hAnsi="微软雅黑" w:eastAsia="微软雅黑" w:cs="微软雅黑"/>
                <w:i/>
                <w:iCs/>
                <w:color w:val="000000"/>
                <w:sz w:val="16"/>
                <w:szCs w:val="16"/>
                <w:u w:val="none"/>
              </w:rPr>
            </w:pPr>
          </w:p>
        </w:tc>
      </w:tr>
      <w:tr w14:paraId="1EC6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A890C">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DA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6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2D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学习交流和视察调研参与人员满意度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4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D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D0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E04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1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24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467F">
            <w:pPr>
              <w:jc w:val="center"/>
              <w:rPr>
                <w:rFonts w:hint="eastAsia" w:ascii="微软雅黑" w:hAnsi="微软雅黑" w:eastAsia="微软雅黑" w:cs="微软雅黑"/>
                <w:i/>
                <w:iCs/>
                <w:color w:val="000000"/>
                <w:sz w:val="16"/>
                <w:szCs w:val="16"/>
                <w:u w:val="none"/>
              </w:rPr>
            </w:pPr>
          </w:p>
        </w:tc>
      </w:tr>
      <w:tr w14:paraId="42782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1649">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1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B8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CE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C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C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8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C66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28.9</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74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68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2429">
            <w:pPr>
              <w:jc w:val="center"/>
              <w:rPr>
                <w:rFonts w:hint="eastAsia" w:ascii="微软雅黑" w:hAnsi="微软雅黑" w:eastAsia="微软雅黑" w:cs="微软雅黑"/>
                <w:i/>
                <w:iCs/>
                <w:color w:val="000000"/>
                <w:sz w:val="16"/>
                <w:szCs w:val="16"/>
                <w:u w:val="none"/>
              </w:rPr>
            </w:pPr>
          </w:p>
        </w:tc>
      </w:tr>
      <w:tr w14:paraId="28785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4B65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D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D0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E871">
            <w:pPr>
              <w:rPr>
                <w:rFonts w:hint="eastAsia" w:ascii="宋体" w:hAnsi="宋体" w:eastAsia="宋体" w:cs="宋体"/>
                <w:i w:val="0"/>
                <w:iCs w:val="0"/>
                <w:color w:val="000000"/>
                <w:sz w:val="18"/>
                <w:szCs w:val="18"/>
                <w:u w:val="none"/>
              </w:rPr>
            </w:pPr>
          </w:p>
        </w:tc>
      </w:tr>
      <w:tr w14:paraId="72CA9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8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DEF98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得分100分，根据年度工作安排和财政预算批复，组织机关领导干部、政协常委及部分委员圆满完成外出学习交流、视察调研活动，参与人员满意度100%，履职质效进一步提高，保障了政协工作有序推进，初步实现预期目标。</w:t>
            </w:r>
          </w:p>
        </w:tc>
      </w:tr>
      <w:tr w14:paraId="682D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D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CD42D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AE6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3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117E8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EF53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31710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项目负责人：邓雪彬</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89D00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r w14:paraId="082E0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tcBorders>
              <w:top w:val="nil"/>
              <w:left w:val="nil"/>
              <w:bottom w:val="nil"/>
              <w:right w:val="nil"/>
            </w:tcBorders>
            <w:shd w:val="clear" w:color="auto" w:fill="auto"/>
            <w:vAlign w:val="center"/>
          </w:tcPr>
          <w:p w14:paraId="33BB4A2F">
            <w:pPr>
              <w:rPr>
                <w:rFonts w:hint="eastAsia" w:ascii="宋体" w:hAnsi="宋体" w:eastAsia="宋体" w:cs="宋体"/>
                <w:i w:val="0"/>
                <w:iCs w:val="0"/>
                <w:color w:val="000000"/>
                <w:sz w:val="18"/>
                <w:szCs w:val="18"/>
                <w:u w:val="none"/>
              </w:rPr>
            </w:pPr>
          </w:p>
        </w:tc>
        <w:tc>
          <w:tcPr>
            <w:tcW w:w="1847" w:type="dxa"/>
            <w:tcBorders>
              <w:top w:val="nil"/>
              <w:left w:val="nil"/>
              <w:bottom w:val="nil"/>
              <w:right w:val="nil"/>
            </w:tcBorders>
            <w:shd w:val="clear" w:color="auto" w:fill="auto"/>
            <w:vAlign w:val="center"/>
          </w:tcPr>
          <w:p w14:paraId="3219F025">
            <w:pPr>
              <w:rPr>
                <w:rFonts w:hint="eastAsia" w:ascii="宋体" w:hAnsi="宋体" w:eastAsia="宋体" w:cs="宋体"/>
                <w:i w:val="0"/>
                <w:iCs w:val="0"/>
                <w:color w:val="000000"/>
                <w:sz w:val="18"/>
                <w:szCs w:val="18"/>
                <w:u w:val="none"/>
              </w:rPr>
            </w:pPr>
          </w:p>
        </w:tc>
        <w:tc>
          <w:tcPr>
            <w:tcW w:w="1598" w:type="dxa"/>
            <w:tcBorders>
              <w:top w:val="nil"/>
              <w:left w:val="nil"/>
              <w:bottom w:val="nil"/>
              <w:right w:val="nil"/>
            </w:tcBorders>
            <w:shd w:val="clear" w:color="auto" w:fill="auto"/>
            <w:vAlign w:val="center"/>
          </w:tcPr>
          <w:p w14:paraId="7850EF20">
            <w:pPr>
              <w:rPr>
                <w:rFonts w:hint="eastAsia" w:ascii="宋体" w:hAnsi="宋体" w:eastAsia="宋体" w:cs="宋体"/>
                <w:i w:val="0"/>
                <w:iCs w:val="0"/>
                <w:color w:val="000000"/>
                <w:sz w:val="18"/>
                <w:szCs w:val="18"/>
                <w:u w:val="none"/>
              </w:rPr>
            </w:pPr>
          </w:p>
        </w:tc>
        <w:tc>
          <w:tcPr>
            <w:tcW w:w="2038" w:type="dxa"/>
            <w:tcBorders>
              <w:top w:val="nil"/>
              <w:left w:val="nil"/>
              <w:bottom w:val="nil"/>
              <w:right w:val="nil"/>
            </w:tcBorders>
            <w:shd w:val="clear" w:color="auto" w:fill="auto"/>
            <w:vAlign w:val="center"/>
          </w:tcPr>
          <w:p w14:paraId="13E69015">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28C85279">
            <w:pPr>
              <w:rPr>
                <w:rFonts w:hint="eastAsia" w:ascii="宋体" w:hAnsi="宋体" w:eastAsia="宋体" w:cs="宋体"/>
                <w:i w:val="0"/>
                <w:iCs w:val="0"/>
                <w:color w:val="000000"/>
                <w:sz w:val="18"/>
                <w:szCs w:val="18"/>
                <w:u w:val="none"/>
              </w:rPr>
            </w:pPr>
          </w:p>
        </w:tc>
        <w:tc>
          <w:tcPr>
            <w:tcW w:w="1509" w:type="dxa"/>
            <w:tcBorders>
              <w:top w:val="nil"/>
              <w:left w:val="nil"/>
              <w:bottom w:val="nil"/>
              <w:right w:val="nil"/>
            </w:tcBorders>
            <w:shd w:val="clear" w:color="auto" w:fill="auto"/>
            <w:vAlign w:val="center"/>
          </w:tcPr>
          <w:p w14:paraId="24FA84B5">
            <w:pPr>
              <w:rPr>
                <w:rFonts w:hint="eastAsia" w:ascii="宋体" w:hAnsi="宋体" w:eastAsia="宋体" w:cs="宋体"/>
                <w:i w:val="0"/>
                <w:iCs w:val="0"/>
                <w:color w:val="000000"/>
                <w:sz w:val="18"/>
                <w:szCs w:val="18"/>
                <w:u w:val="none"/>
              </w:rPr>
            </w:pPr>
          </w:p>
        </w:tc>
        <w:tc>
          <w:tcPr>
            <w:tcW w:w="469" w:type="dxa"/>
            <w:tcBorders>
              <w:top w:val="nil"/>
              <w:left w:val="nil"/>
              <w:bottom w:val="nil"/>
              <w:right w:val="nil"/>
            </w:tcBorders>
            <w:shd w:val="clear" w:color="auto" w:fill="auto"/>
            <w:vAlign w:val="center"/>
          </w:tcPr>
          <w:p w14:paraId="4531A0DF">
            <w:pPr>
              <w:rPr>
                <w:rFonts w:hint="eastAsia" w:ascii="宋体" w:hAnsi="宋体" w:eastAsia="宋体" w:cs="宋体"/>
                <w:i w:val="0"/>
                <w:iCs w:val="0"/>
                <w:color w:val="000000"/>
                <w:sz w:val="18"/>
                <w:szCs w:val="18"/>
                <w:u w:val="none"/>
              </w:rPr>
            </w:pPr>
          </w:p>
        </w:tc>
        <w:tc>
          <w:tcPr>
            <w:tcW w:w="982" w:type="dxa"/>
            <w:tcBorders>
              <w:top w:val="nil"/>
              <w:left w:val="nil"/>
              <w:bottom w:val="nil"/>
              <w:right w:val="nil"/>
            </w:tcBorders>
            <w:shd w:val="clear" w:color="auto" w:fill="auto"/>
            <w:vAlign w:val="center"/>
          </w:tcPr>
          <w:p w14:paraId="79834D62">
            <w:pPr>
              <w:rPr>
                <w:rFonts w:hint="eastAsia" w:ascii="宋体" w:hAnsi="宋体" w:eastAsia="宋体" w:cs="宋体"/>
                <w:i w:val="0"/>
                <w:iCs w:val="0"/>
                <w:color w:val="000000"/>
                <w:sz w:val="18"/>
                <w:szCs w:val="18"/>
                <w:u w:val="none"/>
              </w:rPr>
            </w:pPr>
          </w:p>
        </w:tc>
        <w:tc>
          <w:tcPr>
            <w:tcW w:w="455" w:type="dxa"/>
            <w:tcBorders>
              <w:top w:val="nil"/>
              <w:left w:val="nil"/>
              <w:bottom w:val="nil"/>
              <w:right w:val="nil"/>
            </w:tcBorders>
            <w:shd w:val="clear" w:color="auto" w:fill="auto"/>
            <w:vAlign w:val="center"/>
          </w:tcPr>
          <w:p w14:paraId="0E9E93E2">
            <w:pPr>
              <w:rPr>
                <w:rFonts w:hint="eastAsia" w:ascii="宋体" w:hAnsi="宋体" w:eastAsia="宋体" w:cs="宋体"/>
                <w:i w:val="0"/>
                <w:iCs w:val="0"/>
                <w:color w:val="000000"/>
                <w:sz w:val="18"/>
                <w:szCs w:val="18"/>
                <w:u w:val="none"/>
              </w:rPr>
            </w:pPr>
          </w:p>
        </w:tc>
        <w:tc>
          <w:tcPr>
            <w:tcW w:w="410" w:type="dxa"/>
            <w:tcBorders>
              <w:top w:val="nil"/>
              <w:left w:val="nil"/>
              <w:bottom w:val="nil"/>
              <w:right w:val="nil"/>
            </w:tcBorders>
            <w:shd w:val="clear" w:color="auto" w:fill="auto"/>
            <w:vAlign w:val="center"/>
          </w:tcPr>
          <w:p w14:paraId="64204137">
            <w:pPr>
              <w:rPr>
                <w:rFonts w:hint="eastAsia" w:ascii="宋体" w:hAnsi="宋体" w:eastAsia="宋体" w:cs="宋体"/>
                <w:i w:val="0"/>
                <w:iCs w:val="0"/>
                <w:color w:val="000000"/>
                <w:sz w:val="18"/>
                <w:szCs w:val="18"/>
                <w:u w:val="none"/>
              </w:rPr>
            </w:pPr>
          </w:p>
        </w:tc>
        <w:tc>
          <w:tcPr>
            <w:tcW w:w="2301" w:type="dxa"/>
            <w:tcBorders>
              <w:top w:val="nil"/>
              <w:left w:val="nil"/>
              <w:bottom w:val="nil"/>
              <w:right w:val="nil"/>
            </w:tcBorders>
            <w:shd w:val="clear" w:color="auto" w:fill="auto"/>
            <w:vAlign w:val="center"/>
          </w:tcPr>
          <w:p w14:paraId="2B57C682">
            <w:pPr>
              <w:rPr>
                <w:rFonts w:hint="eastAsia" w:ascii="宋体" w:hAnsi="宋体" w:eastAsia="宋体" w:cs="宋体"/>
                <w:i w:val="0"/>
                <w:iCs w:val="0"/>
                <w:color w:val="000000"/>
                <w:sz w:val="18"/>
                <w:szCs w:val="18"/>
                <w:u w:val="none"/>
              </w:rPr>
            </w:pPr>
          </w:p>
        </w:tc>
      </w:tr>
      <w:tr w14:paraId="4ECD2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1401963">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6D9F1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2C4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0A26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51090323T000009767135-政协委员培训费用</w:t>
            </w:r>
          </w:p>
        </w:tc>
      </w:tr>
      <w:tr w14:paraId="27FC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E22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59FB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中国人民政治协商会议四川省遂宁市船山区委员会部门</w:t>
            </w:r>
          </w:p>
        </w:tc>
        <w:tc>
          <w:tcPr>
            <w:tcW w:w="982" w:type="dxa"/>
            <w:tcBorders>
              <w:top w:val="nil"/>
              <w:left w:val="nil"/>
              <w:bottom w:val="nil"/>
              <w:right w:val="nil"/>
            </w:tcBorders>
            <w:shd w:val="clear" w:color="auto" w:fill="auto"/>
            <w:vAlign w:val="center"/>
          </w:tcPr>
          <w:p w14:paraId="3575B28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EE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中国人民政治协商会议四川省遂宁市船山区委员会</w:t>
            </w:r>
          </w:p>
        </w:tc>
      </w:tr>
      <w:tr w14:paraId="50408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5B6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9043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3EF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7F78F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9BCB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63695">
            <w:pP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D0448">
            <w:pPr>
              <w:rPr>
                <w:rFonts w:hint="eastAsia" w:ascii="宋体" w:hAnsi="宋体" w:eastAsia="宋体" w:cs="宋体"/>
                <w:i w:val="0"/>
                <w:iCs w:val="0"/>
                <w:color w:val="000000"/>
                <w:sz w:val="18"/>
                <w:szCs w:val="18"/>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DA6C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为进一步提升委员履职能力，更好地为船山发展建言献策，对部分船山区五届政协委员及机关干部开展履职能力提升培训，经培训后相关人员履职能力明显提升，政协工作质量和水平不断提高。</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53A29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组织50名政协委员及机关干部前往井冈山市根据地传统信念培训中心开展为期5天的船山区政协委员暨政协干部履职能力提升培训，每天培训课时6小时，参训人员到岗率、完成及时率、参训人员满意度均达到100%，项目支出14.19万元。</w:t>
            </w:r>
          </w:p>
        </w:tc>
      </w:tr>
      <w:tr w14:paraId="30627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0DCC4">
            <w:pP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60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1BAC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组织50名政协委员及机关干部于6月26日至30日，前往井冈山市根据地传统信念培训中心参加船山区政协委员暨政协干部履职能力提升培训，培训课程邀请专家学者围绕</w:t>
            </w:r>
            <w:r>
              <w:rPr>
                <w:rFonts w:hint="eastAsia" w:ascii="宋体" w:hAnsi="宋体" w:cs="宋体"/>
                <w:i w:val="0"/>
                <w:iCs w:val="0"/>
                <w:color w:val="000000"/>
                <w:kern w:val="0"/>
                <w:sz w:val="18"/>
                <w:szCs w:val="18"/>
                <w:u w:val="none"/>
                <w:lang w:val="en-US" w:eastAsia="zh-CN" w:bidi="ar"/>
              </w:rPr>
              <w:t>《开启全面建设社会主义现代化国家新征程的纲领性文献》《履行政协职能，恪尽委员责任》</w:t>
            </w:r>
            <w:r>
              <w:rPr>
                <w:rFonts w:ascii="宋体" w:hAnsi="宋体" w:eastAsia="宋体" w:cs="宋体"/>
                <w:i w:val="0"/>
                <w:iCs w:val="0"/>
                <w:color w:val="000000"/>
                <w:kern w:val="0"/>
                <w:sz w:val="18"/>
                <w:szCs w:val="18"/>
                <w:u w:val="none"/>
                <w:lang w:val="en-US" w:eastAsia="zh-CN" w:bidi="ar"/>
              </w:rPr>
              <w:t>等课题，开设5天辅导课程，每天培训课时6小时，参训人员到岗率、完成及时率、参训人员满意度均达到100%，项目支出14.19万元，政协工作质量和水平得到进一步提升。</w:t>
            </w:r>
          </w:p>
        </w:tc>
      </w:tr>
      <w:tr w14:paraId="1D252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CD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8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9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C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A1DA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B9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26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F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1A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A9C2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41337">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1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81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D6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14.19</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B7E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1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A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11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CE37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该项目为区委组织部统一安排，年中根据工作需要，从2023年财政预留预算资金中新增预算资金14.19万元</w:t>
            </w:r>
          </w:p>
        </w:tc>
      </w:tr>
      <w:tr w14:paraId="3B7A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6508E">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4D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3A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0C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14.19</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264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F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E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BE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91608">
            <w:pPr>
              <w:rPr>
                <w:rFonts w:hint="eastAsia" w:ascii="黑体" w:hAnsi="黑体" w:eastAsia="黑体" w:cs="黑体"/>
                <w:i/>
                <w:iCs/>
                <w:color w:val="000000"/>
                <w:sz w:val="18"/>
                <w:szCs w:val="18"/>
                <w:u w:val="none"/>
              </w:rPr>
            </w:pPr>
          </w:p>
        </w:tc>
      </w:tr>
      <w:tr w14:paraId="10CA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4F067">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1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E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5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F86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4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CA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9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B2B9F">
            <w:pPr>
              <w:rPr>
                <w:rFonts w:hint="eastAsia" w:ascii="黑体" w:hAnsi="黑体" w:eastAsia="黑体" w:cs="黑体"/>
                <w:i/>
                <w:iCs/>
                <w:color w:val="000000"/>
                <w:sz w:val="18"/>
                <w:szCs w:val="18"/>
                <w:u w:val="none"/>
              </w:rPr>
            </w:pPr>
          </w:p>
        </w:tc>
      </w:tr>
      <w:tr w14:paraId="1866D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88F89">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AA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98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33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2A28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43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EC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8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A82BF">
            <w:pPr>
              <w:rPr>
                <w:rFonts w:hint="eastAsia" w:ascii="黑体" w:hAnsi="黑体" w:eastAsia="黑体" w:cs="黑体"/>
                <w:i/>
                <w:iCs/>
                <w:color w:val="000000"/>
                <w:sz w:val="18"/>
                <w:szCs w:val="18"/>
                <w:u w:val="none"/>
              </w:rPr>
            </w:pPr>
          </w:p>
        </w:tc>
      </w:tr>
      <w:tr w14:paraId="64486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4D94A">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B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EAE5">
            <w:pPr>
              <w:jc w:val="center"/>
              <w:rPr>
                <w:rFonts w:hint="eastAsia" w:ascii="微软雅黑" w:hAnsi="微软雅黑" w:eastAsia="微软雅黑" w:cs="微软雅黑"/>
                <w:i/>
                <w:iCs/>
                <w:color w:val="000000"/>
                <w:sz w:val="16"/>
                <w:szCs w:val="16"/>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1761">
            <w:pPr>
              <w:jc w:val="center"/>
              <w:rPr>
                <w:rFonts w:hint="eastAsia" w:ascii="微软雅黑" w:hAnsi="微软雅黑" w:eastAsia="微软雅黑" w:cs="微软雅黑"/>
                <w:i/>
                <w:iCs/>
                <w:color w:val="000000"/>
                <w:sz w:val="16"/>
                <w:szCs w:val="16"/>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E4CBFB">
            <w:pPr>
              <w:jc w:val="center"/>
              <w:rPr>
                <w:rFonts w:hint="eastAsia" w:ascii="微软雅黑" w:hAnsi="微软雅黑" w:eastAsia="微软雅黑" w:cs="微软雅黑"/>
                <w:i/>
                <w:iCs/>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696E">
            <w:pPr>
              <w:jc w:val="center"/>
              <w:rPr>
                <w:rFonts w:hint="eastAsia" w:ascii="微软雅黑" w:hAnsi="微软雅黑" w:eastAsia="微软雅黑" w:cs="微软雅黑"/>
                <w:i/>
                <w:iCs/>
                <w:color w:val="000000"/>
                <w:sz w:val="16"/>
                <w:szCs w:val="16"/>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08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2B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7AF09">
            <w:pPr>
              <w:rPr>
                <w:rFonts w:hint="eastAsia" w:ascii="黑体" w:hAnsi="黑体" w:eastAsia="黑体" w:cs="黑体"/>
                <w:i/>
                <w:iCs/>
                <w:color w:val="000000"/>
                <w:sz w:val="18"/>
                <w:szCs w:val="18"/>
                <w:u w:val="none"/>
              </w:rPr>
            </w:pPr>
          </w:p>
        </w:tc>
      </w:tr>
      <w:tr w14:paraId="50E92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040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2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4E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4A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53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9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7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BD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C1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03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8E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EE46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6D222">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09C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4A2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3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参训人数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9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8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7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C7A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7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6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554B">
            <w:pPr>
              <w:jc w:val="center"/>
              <w:rPr>
                <w:rFonts w:hint="eastAsia" w:ascii="微软雅黑" w:hAnsi="微软雅黑" w:eastAsia="微软雅黑" w:cs="微软雅黑"/>
                <w:i/>
                <w:iCs/>
                <w:color w:val="000000"/>
                <w:sz w:val="16"/>
                <w:szCs w:val="16"/>
                <w:u w:val="none"/>
              </w:rPr>
            </w:pPr>
          </w:p>
        </w:tc>
      </w:tr>
      <w:tr w14:paraId="59594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12EB0">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C7DC4">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BBBEF">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06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培训总天数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17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9F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2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787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2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CDFB">
            <w:pPr>
              <w:jc w:val="center"/>
              <w:rPr>
                <w:rFonts w:hint="eastAsia" w:ascii="微软雅黑" w:hAnsi="微软雅黑" w:eastAsia="微软雅黑" w:cs="微软雅黑"/>
                <w:i/>
                <w:iCs/>
                <w:color w:val="000000"/>
                <w:sz w:val="16"/>
                <w:szCs w:val="16"/>
                <w:u w:val="none"/>
              </w:rPr>
            </w:pPr>
          </w:p>
        </w:tc>
      </w:tr>
      <w:tr w14:paraId="60FA1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A744C">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23FCE">
            <w:pPr>
              <w:jc w:val="center"/>
              <w:rPr>
                <w:rFonts w:hint="eastAsia" w:ascii="宋体" w:hAnsi="宋体" w:eastAsia="宋体" w:cs="宋体"/>
                <w:i w:val="0"/>
                <w:iCs w:val="0"/>
                <w:color w:val="000000"/>
                <w:sz w:val="18"/>
                <w:szCs w:val="18"/>
                <w:u w:val="none"/>
              </w:rPr>
            </w:pP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9934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F2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培训课时</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3D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E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0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小时/天</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E9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9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F7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6131">
            <w:pPr>
              <w:jc w:val="center"/>
              <w:rPr>
                <w:rFonts w:hint="eastAsia" w:ascii="微软雅黑" w:hAnsi="微软雅黑" w:eastAsia="微软雅黑" w:cs="微软雅黑"/>
                <w:i/>
                <w:iCs/>
                <w:color w:val="000000"/>
                <w:sz w:val="16"/>
                <w:szCs w:val="16"/>
                <w:u w:val="none"/>
              </w:rPr>
            </w:pPr>
          </w:p>
        </w:tc>
      </w:tr>
      <w:tr w14:paraId="7DD9B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2BB35">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BA029">
            <w:pPr>
              <w:jc w:val="center"/>
              <w:rPr>
                <w:rFonts w:hint="eastAsia" w:ascii="宋体" w:hAnsi="宋体" w:eastAsia="宋体" w:cs="宋体"/>
                <w:i w:val="0"/>
                <w:iCs w:val="0"/>
                <w:color w:val="000000"/>
                <w:sz w:val="18"/>
                <w:szCs w:val="18"/>
                <w:u w:val="none"/>
              </w:rPr>
            </w:pP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5876E">
            <w:pPr>
              <w:jc w:val="center"/>
              <w:rPr>
                <w:rFonts w:hint="eastAsia" w:ascii="宋体" w:hAnsi="宋体" w:eastAsia="宋体" w:cs="宋体"/>
                <w:i w:val="0"/>
                <w:iCs w:val="0"/>
                <w:color w:val="000000"/>
                <w:sz w:val="18"/>
                <w:szCs w:val="18"/>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0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参训人员到岗率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2B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2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3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A59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1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E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5B17">
            <w:pPr>
              <w:jc w:val="center"/>
              <w:rPr>
                <w:rFonts w:hint="eastAsia" w:ascii="微软雅黑" w:hAnsi="微软雅黑" w:eastAsia="微软雅黑" w:cs="微软雅黑"/>
                <w:i/>
                <w:iCs/>
                <w:color w:val="000000"/>
                <w:sz w:val="16"/>
                <w:szCs w:val="16"/>
                <w:u w:val="none"/>
              </w:rPr>
            </w:pPr>
          </w:p>
        </w:tc>
      </w:tr>
      <w:tr w14:paraId="2456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22DAD">
            <w:pPr>
              <w:jc w:val="center"/>
              <w:rPr>
                <w:rFonts w:hint="eastAsia" w:ascii="宋体" w:hAnsi="宋体" w:eastAsia="宋体" w:cs="宋体"/>
                <w:i w:val="0"/>
                <w:iCs w:val="0"/>
                <w:color w:val="000000"/>
                <w:sz w:val="18"/>
                <w:szCs w:val="18"/>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9299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C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CD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委员履职能力明显提升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AD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A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40E4">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818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好</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C0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A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1315">
            <w:pPr>
              <w:jc w:val="center"/>
              <w:rPr>
                <w:rFonts w:hint="eastAsia" w:ascii="微软雅黑" w:hAnsi="微软雅黑" w:eastAsia="微软雅黑" w:cs="微软雅黑"/>
                <w:i/>
                <w:iCs/>
                <w:color w:val="000000"/>
                <w:sz w:val="16"/>
                <w:szCs w:val="16"/>
                <w:u w:val="none"/>
              </w:rPr>
            </w:pPr>
          </w:p>
        </w:tc>
      </w:tr>
      <w:tr w14:paraId="72EE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6ED6D">
            <w:pPr>
              <w:jc w:val="center"/>
              <w:rPr>
                <w:rFonts w:hint="eastAsia" w:ascii="宋体" w:hAnsi="宋体" w:eastAsia="宋体" w:cs="宋体"/>
                <w:i w:val="0"/>
                <w:iCs w:val="0"/>
                <w:color w:val="000000"/>
                <w:sz w:val="18"/>
                <w:szCs w:val="18"/>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70945">
            <w:pPr>
              <w:jc w:val="center"/>
              <w:rPr>
                <w:rFonts w:hint="eastAsia" w:ascii="宋体" w:hAnsi="宋体" w:eastAsia="宋体" w:cs="宋体"/>
                <w:i w:val="0"/>
                <w:iCs w:val="0"/>
                <w:color w:val="000000"/>
                <w:sz w:val="18"/>
                <w:szCs w:val="18"/>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92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2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财政监督管理制度健全性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F8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F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5F7C">
            <w:pPr>
              <w:jc w:val="center"/>
              <w:rPr>
                <w:rFonts w:hint="eastAsia" w:ascii="宋体" w:hAnsi="宋体" w:eastAsia="宋体" w:cs="宋体"/>
                <w:i w:val="0"/>
                <w:iCs w:val="0"/>
                <w:color w:val="000000"/>
                <w:sz w:val="18"/>
                <w:szCs w:val="18"/>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4E4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8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96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5B6C">
            <w:pPr>
              <w:jc w:val="center"/>
              <w:rPr>
                <w:rFonts w:hint="eastAsia" w:ascii="微软雅黑" w:hAnsi="微软雅黑" w:eastAsia="微软雅黑" w:cs="微软雅黑"/>
                <w:i/>
                <w:iCs/>
                <w:color w:val="000000"/>
                <w:sz w:val="16"/>
                <w:szCs w:val="16"/>
                <w:u w:val="none"/>
              </w:rPr>
            </w:pPr>
          </w:p>
        </w:tc>
      </w:tr>
      <w:tr w14:paraId="33DE1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481D8">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AF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83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45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参训人</w:t>
            </w:r>
            <w:r>
              <w:rPr>
                <w:rFonts w:hint="eastAsia" w:ascii="宋体" w:hAnsi="宋体" w:cs="宋体"/>
                <w:i w:val="0"/>
                <w:iCs w:val="0"/>
                <w:color w:val="000000"/>
                <w:kern w:val="0"/>
                <w:sz w:val="18"/>
                <w:szCs w:val="18"/>
                <w:u w:val="none"/>
                <w:lang w:val="en-US" w:eastAsia="zh-CN" w:bidi="ar"/>
              </w:rPr>
              <w:t>员</w:t>
            </w:r>
            <w:r>
              <w:rPr>
                <w:rFonts w:ascii="宋体" w:hAnsi="宋体" w:eastAsia="宋体" w:cs="宋体"/>
                <w:i w:val="0"/>
                <w:iCs w:val="0"/>
                <w:color w:val="000000"/>
                <w:kern w:val="0"/>
                <w:sz w:val="18"/>
                <w:szCs w:val="18"/>
                <w:u w:val="none"/>
                <w:lang w:val="en-US" w:eastAsia="zh-CN" w:bidi="ar"/>
              </w:rPr>
              <w:t>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6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9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37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86E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40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DD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FB4D">
            <w:pPr>
              <w:jc w:val="center"/>
              <w:rPr>
                <w:rFonts w:hint="eastAsia" w:ascii="微软雅黑" w:hAnsi="微软雅黑" w:eastAsia="微软雅黑" w:cs="微软雅黑"/>
                <w:i/>
                <w:iCs/>
                <w:color w:val="000000"/>
                <w:sz w:val="16"/>
                <w:szCs w:val="16"/>
                <w:u w:val="none"/>
              </w:rPr>
            </w:pPr>
          </w:p>
        </w:tc>
      </w:tr>
      <w:tr w14:paraId="4C7CC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099D0">
            <w:pPr>
              <w:jc w:val="center"/>
              <w:rPr>
                <w:rFonts w:hint="eastAsia" w:ascii="宋体" w:hAnsi="宋体" w:eastAsia="宋体" w:cs="宋体"/>
                <w:i w:val="0"/>
                <w:iCs w:val="0"/>
                <w:color w:val="000000"/>
                <w:sz w:val="18"/>
                <w:szCs w:val="18"/>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4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1B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1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项目总投入</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C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7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14.19</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4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E45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14.19</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F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5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18B4">
            <w:pPr>
              <w:jc w:val="center"/>
              <w:rPr>
                <w:rFonts w:hint="eastAsia" w:ascii="微软雅黑" w:hAnsi="微软雅黑" w:eastAsia="微软雅黑" w:cs="微软雅黑"/>
                <w:i/>
                <w:iCs/>
                <w:color w:val="000000"/>
                <w:sz w:val="16"/>
                <w:szCs w:val="16"/>
                <w:u w:val="none"/>
              </w:rPr>
            </w:pPr>
          </w:p>
        </w:tc>
      </w:tr>
      <w:tr w14:paraId="026F3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37ED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8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CA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DCB9">
            <w:pPr>
              <w:rPr>
                <w:rFonts w:hint="eastAsia" w:ascii="宋体" w:hAnsi="宋体" w:eastAsia="宋体" w:cs="宋体"/>
                <w:i w:val="0"/>
                <w:iCs w:val="0"/>
                <w:color w:val="000000"/>
                <w:sz w:val="18"/>
                <w:szCs w:val="18"/>
                <w:u w:val="none"/>
              </w:rPr>
            </w:pPr>
          </w:p>
        </w:tc>
      </w:tr>
      <w:tr w14:paraId="40D5A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82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DE72D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项目自评总分100分，根据年度工作安排和财政预算批复，参训人员到岗率、完成及时率、参训人员满意度均达到100%，参训人员履职能力得到明显提升，政协工作质量和水平得到不断提高，初步实现预期目标。</w:t>
            </w:r>
          </w:p>
        </w:tc>
      </w:tr>
      <w:tr w14:paraId="1FB5B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D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60DC9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40BC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B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8900A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0F9D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7B28F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项目负责人：陈佳丽</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F136B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财务负责人：李聪</w:t>
            </w:r>
          </w:p>
        </w:tc>
      </w:tr>
    </w:tbl>
    <w:p w14:paraId="575DEE63">
      <w:pPr>
        <w:rPr>
          <w:rFonts w:hint="default"/>
          <w:lang w:val="en-US" w:eastAsia="zh-CN"/>
        </w:rPr>
      </w:pPr>
    </w:p>
    <w:p w14:paraId="0C34D7B8">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pPr>
    </w:p>
    <w:p w14:paraId="1A2209CB">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pPr>
    </w:p>
    <w:p w14:paraId="2AA75F0E">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pPr>
    </w:p>
    <w:p w14:paraId="0C94AD7F">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pPr>
    </w:p>
    <w:p w14:paraId="06752C39">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pPr>
    </w:p>
    <w:p w14:paraId="666A2D11">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r>
        <w:rPr>
          <w:rFonts w:hint="default" w:ascii="Times New Roman" w:hAnsi="Times New Roman" w:eastAsia="黑体" w:cs="Times New Roman"/>
          <w:bCs/>
          <w:color w:val="auto"/>
          <w:kern w:val="0"/>
          <w:sz w:val="32"/>
          <w:szCs w:val="32"/>
          <w:highlight w:val="none"/>
          <w:lang w:val="en-US" w:eastAsia="zh-CN"/>
        </w:rPr>
        <w:br w:type="page"/>
      </w:r>
    </w:p>
    <w:p w14:paraId="01560FC3">
      <w:pPr>
        <w:keepNext w:val="0"/>
        <w:keepLines w:val="0"/>
        <w:pageBreakBefore w:val="0"/>
        <w:widowControl w:val="0"/>
        <w:kinsoku/>
        <w:wordWrap/>
        <w:overflowPunct w:val="0"/>
        <w:topLinePunct w:val="0"/>
        <w:autoSpaceDE/>
        <w:autoSpaceDN/>
        <w:bidi w:val="0"/>
        <w:adjustRightInd w:val="0"/>
        <w:snapToGrid w:val="0"/>
        <w:spacing w:after="221" w:afterLines="50" w:line="570" w:lineRule="exact"/>
        <w:textAlignment w:val="auto"/>
        <w:rPr>
          <w:rFonts w:hint="default" w:ascii="Times New Roman" w:hAnsi="Times New Roman" w:eastAsia="黑体" w:cs="Times New Roman"/>
          <w:bCs/>
          <w:color w:val="auto"/>
          <w:kern w:val="0"/>
          <w:sz w:val="32"/>
          <w:szCs w:val="32"/>
          <w:highlight w:val="none"/>
          <w:lang w:val="en-US" w:eastAsia="zh-CN"/>
        </w:rPr>
      </w:pPr>
      <w:r>
        <w:rPr>
          <w:rFonts w:hint="default" w:ascii="Times New Roman" w:hAnsi="Times New Roman" w:eastAsia="黑体" w:cs="Times New Roman"/>
          <w:bCs/>
          <w:color w:val="auto"/>
          <w:kern w:val="0"/>
          <w:sz w:val="32"/>
          <w:szCs w:val="32"/>
          <w:highlight w:val="none"/>
          <w:lang w:val="en-US" w:eastAsia="zh-CN"/>
        </w:rPr>
        <w:t>附件</w:t>
      </w:r>
      <w:r>
        <w:rPr>
          <w:rFonts w:hint="eastAsia" w:eastAsia="黑体" w:cs="Times New Roman"/>
          <w:bCs/>
          <w:color w:val="auto"/>
          <w:kern w:val="0"/>
          <w:sz w:val="32"/>
          <w:szCs w:val="32"/>
          <w:highlight w:val="none"/>
          <w:lang w:val="en-US" w:eastAsia="zh-CN"/>
        </w:rPr>
        <w:t>2</w:t>
      </w:r>
    </w:p>
    <w:p w14:paraId="1DB217AA">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6C7DD0CB">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324C2490">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default" w:ascii="Times New Roman" w:hAnsi="Times New Roman" w:eastAsia="楷体_GB2312" w:cs="Times New Roman"/>
          <w:b/>
          <w:bCs/>
          <w:color w:val="auto"/>
          <w:sz w:val="32"/>
          <w:szCs w:val="32"/>
          <w:highlight w:val="none"/>
          <w:lang w:eastAsia="zh-CN"/>
        </w:rPr>
        <w:t>会议费</w:t>
      </w:r>
      <w:r>
        <w:rPr>
          <w:rFonts w:hint="default" w:ascii="Times New Roman" w:hAnsi="Times New Roman" w:eastAsia="楷体_GB2312" w:cs="Times New Roman"/>
          <w:b/>
          <w:bCs/>
          <w:color w:val="auto"/>
          <w:sz w:val="32"/>
          <w:szCs w:val="32"/>
          <w:highlight w:val="none"/>
        </w:rPr>
        <w:t>）</w:t>
      </w:r>
    </w:p>
    <w:p w14:paraId="329974BF">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0BCD4B9A">
      <w:pPr>
        <w:keepNext w:val="0"/>
        <w:keepLines w:val="0"/>
        <w:pageBreakBefore w:val="0"/>
        <w:widowControl w:val="0"/>
        <w:numPr>
          <w:ilvl w:val="0"/>
          <w:numId w:val="4"/>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基本情况</w:t>
      </w:r>
    </w:p>
    <w:p w14:paraId="62FA386A">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eastAsia" w:ascii="仿宋_GB2312" w:hAnsi="仿宋_GB2312" w:eastAsia="仿宋_GB2312" w:cs="仿宋_GB2312"/>
          <w:color w:val="auto"/>
          <w:kern w:val="0"/>
          <w:sz w:val="32"/>
          <w:szCs w:val="32"/>
          <w:highlight w:val="none"/>
          <w:shd w:val="clear" w:color="auto" w:fill="FFFFFF"/>
          <w:lang w:val="en-US" w:eastAsia="zh-CN"/>
        </w:rPr>
      </w:pPr>
      <w:r>
        <w:rPr>
          <w:rFonts w:hint="default" w:ascii="Times New Roman" w:hAnsi="Times New Roman" w:eastAsia="楷体_GB2312" w:cs="Times New Roman"/>
          <w:b/>
          <w:bCs/>
          <w:color w:val="auto"/>
          <w:sz w:val="32"/>
          <w:szCs w:val="32"/>
          <w:highlight w:val="none"/>
          <w:lang w:val="en-US" w:eastAsia="zh-CN"/>
        </w:rPr>
        <w:t>（一）项目概况。</w:t>
      </w:r>
      <w:r>
        <w:rPr>
          <w:rFonts w:hint="eastAsia" w:ascii="仿宋_GB2312" w:hAnsi="仿宋_GB2312" w:eastAsia="仿宋_GB2312" w:cs="仿宋_GB2312"/>
          <w:color w:val="000000"/>
          <w:sz w:val="32"/>
          <w:szCs w:val="32"/>
          <w:lang w:val="en-US" w:eastAsia="zh-CN"/>
        </w:rPr>
        <w:t>按照《中国人民政治协商会议章程》，政协</w:t>
      </w:r>
      <w:r>
        <w:rPr>
          <w:rFonts w:hint="eastAsia" w:ascii="仿宋_GB2312" w:hAnsi="仿宋_GB2312" w:eastAsia="仿宋_GB2312" w:cs="仿宋_GB2312"/>
          <w:color w:val="000000"/>
          <w:sz w:val="32"/>
          <w:szCs w:val="32"/>
        </w:rPr>
        <w:t>主要职能是政治协商、民主监督、参政议政，</w:t>
      </w:r>
      <w:r>
        <w:rPr>
          <w:rFonts w:hint="eastAsia" w:ascii="仿宋_GB2312" w:hAnsi="仿宋_GB2312" w:eastAsia="仿宋_GB2312" w:cs="仿宋_GB2312"/>
          <w:color w:val="000000"/>
          <w:sz w:val="32"/>
          <w:szCs w:val="32"/>
          <w:lang w:val="en-US" w:eastAsia="zh-CN"/>
        </w:rPr>
        <w:t>重要履职形式为召开全体会议、常委会会议、主席会议及</w:t>
      </w:r>
      <w:r>
        <w:rPr>
          <w:rFonts w:hint="eastAsia" w:ascii="仿宋_GB2312" w:hAnsi="仿宋_GB2312" w:eastAsia="仿宋_GB2312" w:cs="仿宋_GB2312"/>
          <w:color w:val="000000"/>
          <w:sz w:val="32"/>
          <w:szCs w:val="32"/>
        </w:rPr>
        <w:t>协商座谈会、对口协商会、提案办理协商会</w:t>
      </w:r>
      <w:r>
        <w:rPr>
          <w:rFonts w:hint="eastAsia" w:ascii="仿宋_GB2312" w:hAnsi="仿宋_GB2312" w:eastAsia="仿宋_GB2312" w:cs="仿宋_GB2312"/>
          <w:color w:val="000000"/>
          <w:sz w:val="32"/>
          <w:szCs w:val="32"/>
          <w:lang w:val="en-US" w:eastAsia="zh-CN"/>
        </w:rPr>
        <w:t>等。按照《章程》要求，全年需召开区政协五届三次全体会议、常委会会议及相关协商座谈会，该项目主要保障会议所需资料印刷、食宿、场地租赁及布置、媒体宣传等费用，确保会议正常召开，进一步提升履职质效，</w:t>
      </w:r>
      <w:r>
        <w:rPr>
          <w:rFonts w:hint="eastAsia" w:ascii="仿宋_GB2312" w:hAnsi="仿宋_GB2312" w:eastAsia="仿宋_GB2312" w:cs="仿宋_GB2312"/>
          <w:color w:val="auto"/>
          <w:sz w:val="32"/>
          <w:szCs w:val="32"/>
          <w:highlight w:val="none"/>
          <w:lang w:val="en-US" w:eastAsia="zh-CN"/>
        </w:rPr>
        <w:t>完成民主团结依法履行职责</w:t>
      </w:r>
      <w:r>
        <w:rPr>
          <w:rFonts w:hint="eastAsia" w:ascii="仿宋_GB2312" w:hAnsi="仿宋_GB2312" w:eastAsia="仿宋_GB2312" w:cs="仿宋_GB2312"/>
          <w:color w:val="auto"/>
          <w:kern w:val="0"/>
          <w:sz w:val="32"/>
          <w:szCs w:val="32"/>
          <w:highlight w:val="none"/>
          <w:shd w:val="clear" w:color="auto" w:fill="FFFFFF"/>
          <w:lang w:val="en-US" w:eastAsia="zh-CN"/>
        </w:rPr>
        <w:t>。</w:t>
      </w:r>
    </w:p>
    <w:p w14:paraId="2FA72766">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b/>
          <w:bCs/>
          <w:color w:val="auto"/>
          <w:kern w:val="2"/>
          <w:sz w:val="32"/>
          <w:szCs w:val="24"/>
          <w:highlight w:val="none"/>
          <w:lang w:val="en-US" w:eastAsia="zh-CN" w:bidi="ar-SA"/>
        </w:rPr>
        <w:t>（二）项目实施情况。</w:t>
      </w:r>
      <w:r>
        <w:rPr>
          <w:rFonts w:hint="eastAsia" w:ascii="仿宋_GB2312" w:hAnsi="仿宋_GB2312" w:eastAsia="仿宋_GB2312" w:cs="仿宋_GB2312"/>
          <w:color w:val="000000"/>
          <w:sz w:val="32"/>
          <w:szCs w:val="32"/>
          <w:lang w:val="en-US" w:eastAsia="zh-CN"/>
        </w:rPr>
        <w:t>项目计划场地租赁至少</w:t>
      </w:r>
      <w:r>
        <w:rPr>
          <w:rFonts w:hint="default" w:ascii="仿宋_GB2312" w:hAnsi="仿宋_GB2312" w:eastAsia="仿宋_GB2312" w:cs="仿宋_GB2312"/>
          <w:color w:val="000000"/>
          <w:sz w:val="32"/>
          <w:szCs w:val="32"/>
          <w:lang w:val="en-US" w:eastAsia="zh-CN"/>
        </w:rPr>
        <w:t>10次，</w:t>
      </w:r>
      <w:r>
        <w:rPr>
          <w:rFonts w:hint="eastAsia" w:ascii="仿宋_GB2312" w:hAnsi="仿宋_GB2312" w:eastAsia="仿宋_GB2312" w:cs="仿宋_GB2312"/>
          <w:color w:val="000000"/>
          <w:sz w:val="32"/>
          <w:szCs w:val="32"/>
          <w:lang w:val="en-US" w:eastAsia="zh-CN"/>
        </w:rPr>
        <w:t>会场布置至少1次，</w:t>
      </w:r>
      <w:r>
        <w:rPr>
          <w:rFonts w:hint="default" w:ascii="仿宋_GB2312" w:hAnsi="仿宋_GB2312" w:eastAsia="仿宋_GB2312" w:cs="仿宋_GB2312"/>
          <w:color w:val="000000"/>
          <w:sz w:val="32"/>
          <w:szCs w:val="32"/>
          <w:lang w:val="en-US" w:eastAsia="zh-CN"/>
        </w:rPr>
        <w:t>印</w:t>
      </w:r>
      <w:r>
        <w:rPr>
          <w:rFonts w:hint="eastAsia" w:ascii="仿宋_GB2312" w:hAnsi="仿宋_GB2312" w:eastAsia="仿宋_GB2312" w:cs="仿宋_GB2312"/>
          <w:color w:val="000000"/>
          <w:sz w:val="32"/>
          <w:szCs w:val="32"/>
          <w:lang w:val="en-US" w:eastAsia="zh-CN"/>
        </w:rPr>
        <w:t>制资料</w:t>
      </w:r>
      <w:r>
        <w:rPr>
          <w:rFonts w:hint="default" w:ascii="仿宋_GB2312" w:hAnsi="仿宋_GB2312" w:eastAsia="仿宋_GB2312" w:cs="仿宋_GB2312"/>
          <w:color w:val="000000"/>
          <w:sz w:val="32"/>
          <w:szCs w:val="32"/>
          <w:lang w:val="en-US" w:eastAsia="zh-CN"/>
        </w:rPr>
        <w:t>400份以上，</w:t>
      </w:r>
      <w:r>
        <w:rPr>
          <w:rFonts w:hint="eastAsia" w:ascii="仿宋_GB2312" w:hAnsi="仿宋_GB2312" w:eastAsia="仿宋_GB2312" w:cs="仿宋_GB2312"/>
          <w:color w:val="000000"/>
          <w:sz w:val="32"/>
          <w:szCs w:val="32"/>
          <w:lang w:val="en-US" w:eastAsia="zh-CN"/>
        </w:rPr>
        <w:t>保障至少600人次用餐，宣传合作媒体至少1家，会场布置达标率、完成及时率、</w:t>
      </w:r>
      <w:r>
        <w:rPr>
          <w:rFonts w:hint="default" w:ascii="仿宋_GB2312" w:hAnsi="仿宋_GB2312" w:eastAsia="仿宋_GB2312" w:cs="仿宋_GB2312"/>
          <w:color w:val="000000"/>
          <w:sz w:val="32"/>
          <w:szCs w:val="32"/>
          <w:lang w:val="en-US" w:eastAsia="zh-CN"/>
        </w:rPr>
        <w:t>印刷资料合格率</w:t>
      </w:r>
      <w:r>
        <w:rPr>
          <w:rFonts w:hint="eastAsia" w:ascii="仿宋_GB2312" w:hAnsi="仿宋_GB2312" w:eastAsia="仿宋_GB2312" w:cs="仿宋_GB2312"/>
          <w:color w:val="000000"/>
          <w:sz w:val="32"/>
          <w:szCs w:val="32"/>
          <w:lang w:val="en-US" w:eastAsia="zh-CN"/>
        </w:rPr>
        <w:t>、人员用餐率、新闻发布准确率均达到</w:t>
      </w:r>
      <w:r>
        <w:rPr>
          <w:rFonts w:hint="default" w:ascii="仿宋_GB2312" w:hAnsi="仿宋_GB2312" w:eastAsia="仿宋_GB2312" w:cs="仿宋_GB2312"/>
          <w:color w:val="000000"/>
          <w:sz w:val="32"/>
          <w:szCs w:val="32"/>
          <w:lang w:val="en-US" w:eastAsia="zh-CN"/>
        </w:rPr>
        <w:t>100%</w:t>
      </w:r>
      <w:r>
        <w:rPr>
          <w:rFonts w:hint="eastAsia" w:ascii="仿宋_GB2312" w:hAnsi="仿宋_GB2312" w:eastAsia="仿宋_GB2312" w:cs="仿宋_GB2312"/>
          <w:color w:val="000000"/>
          <w:sz w:val="32"/>
          <w:szCs w:val="32"/>
          <w:lang w:val="en-US" w:eastAsia="zh-CN"/>
        </w:rPr>
        <w:t>，</w:t>
      </w:r>
      <w:r>
        <w:rPr>
          <w:rFonts w:hint="default" w:ascii="仿宋_GB2312" w:hAnsi="仿宋_GB2312" w:eastAsia="仿宋_GB2312" w:cs="仿宋_GB2312"/>
          <w:color w:val="000000"/>
          <w:sz w:val="32"/>
          <w:szCs w:val="32"/>
          <w:lang w:val="en-US" w:eastAsia="zh-CN"/>
        </w:rPr>
        <w:t>参会人员满意率90%以上</w:t>
      </w:r>
      <w:r>
        <w:rPr>
          <w:rFonts w:hint="eastAsia" w:ascii="仿宋_GB2312" w:hAnsi="仿宋_GB2312" w:eastAsia="仿宋_GB2312" w:cs="仿宋_GB2312"/>
          <w:color w:val="000000"/>
          <w:sz w:val="32"/>
          <w:szCs w:val="32"/>
          <w:lang w:val="en-US" w:eastAsia="zh-CN"/>
        </w:rPr>
        <w:t>，总投入50万以内。</w:t>
      </w:r>
      <w:r>
        <w:rPr>
          <w:rFonts w:hint="default" w:ascii="仿宋_GB2312" w:hAnsi="仿宋_GB2312" w:eastAsia="仿宋_GB2312" w:cs="仿宋_GB2312"/>
          <w:color w:val="000000"/>
          <w:sz w:val="32"/>
          <w:szCs w:val="32"/>
          <w:lang w:val="en-US" w:eastAsia="zh-CN"/>
        </w:rPr>
        <w:t>该项目均按照有关规章制度和工作要求有序推进。</w:t>
      </w:r>
      <w:r>
        <w:rPr>
          <w:rFonts w:hint="eastAsia" w:ascii="仿宋_GB2312" w:hAnsi="仿宋_GB2312" w:eastAsia="仿宋_GB2312" w:cs="仿宋_GB2312"/>
          <w:color w:val="000000"/>
          <w:sz w:val="32"/>
          <w:szCs w:val="32"/>
          <w:lang w:val="en-US" w:eastAsia="zh-CN"/>
        </w:rPr>
        <w:t>全年完成会议租赁18次，会场布置1次，印制资料5000份，用餐700人次，宣传媒体1家，会场布置达标率、印刷资料合格率、人员用餐率、新闻发布准确率、参会人员满意度均达到</w:t>
      </w:r>
      <w:r>
        <w:rPr>
          <w:rFonts w:hint="default" w:ascii="仿宋_GB2312" w:hAnsi="仿宋_GB2312" w:eastAsia="仿宋_GB2312" w:cs="仿宋_GB2312"/>
          <w:color w:val="000000"/>
          <w:sz w:val="32"/>
          <w:szCs w:val="32"/>
          <w:lang w:val="en-US" w:eastAsia="zh-CN"/>
        </w:rPr>
        <w:t>100%</w:t>
      </w:r>
      <w:r>
        <w:rPr>
          <w:rFonts w:hint="eastAsia" w:ascii="仿宋_GB2312" w:hAnsi="仿宋_GB2312" w:eastAsia="仿宋_GB2312" w:cs="仿宋_GB2312"/>
          <w:color w:val="000000"/>
          <w:sz w:val="32"/>
          <w:szCs w:val="32"/>
          <w:lang w:val="en-US" w:eastAsia="zh-CN"/>
        </w:rPr>
        <w:t>，项目支出65万元，确保了会议高质高效召开，达到了会议预期目标。</w:t>
      </w:r>
    </w:p>
    <w:p w14:paraId="3CFF2BAB">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0"/>
        <w:jc w:val="both"/>
        <w:rPr>
          <w:rFonts w:hint="eastAsia" w:ascii="仿宋_GB2312" w:hAnsi="仿宋_GB2312" w:eastAsia="仿宋_GB2312" w:cs="仿宋_GB2312"/>
          <w:color w:val="000000"/>
          <w:kern w:val="2"/>
          <w:sz w:val="32"/>
          <w:szCs w:val="32"/>
          <w:lang w:val="en-US" w:eastAsia="zh-CN" w:bidi="ar-SA"/>
        </w:rPr>
      </w:pPr>
      <w:r>
        <w:rPr>
          <w:rFonts w:hint="default" w:ascii="Times New Roman" w:hAnsi="Times New Roman" w:eastAsia="楷体_GB2312" w:cs="Times New Roman"/>
          <w:b/>
          <w:bCs/>
          <w:color w:val="auto"/>
          <w:kern w:val="2"/>
          <w:sz w:val="32"/>
          <w:szCs w:val="24"/>
          <w:highlight w:val="none"/>
          <w:lang w:val="en-US" w:eastAsia="zh-CN" w:bidi="ar-SA"/>
        </w:rPr>
        <w:t>（三）资金投入使用情况。</w:t>
      </w:r>
      <w:r>
        <w:rPr>
          <w:rFonts w:hint="default" w:ascii="仿宋_GB2312" w:hAnsi="仿宋_GB2312" w:eastAsia="仿宋_GB2312" w:cs="仿宋_GB2312"/>
          <w:color w:val="000000"/>
          <w:kern w:val="2"/>
          <w:sz w:val="32"/>
          <w:szCs w:val="32"/>
          <w:lang w:val="en-US" w:eastAsia="zh-CN" w:bidi="ar-SA"/>
        </w:rPr>
        <w:t>该项目202</w:t>
      </w:r>
      <w:r>
        <w:rPr>
          <w:rFonts w:hint="eastAsia" w:ascii="仿宋_GB2312" w:hAnsi="仿宋_GB2312" w:eastAsia="仿宋_GB2312" w:cs="仿宋_GB2312"/>
          <w:color w:val="000000"/>
          <w:kern w:val="2"/>
          <w:sz w:val="32"/>
          <w:szCs w:val="32"/>
          <w:lang w:val="en-US" w:eastAsia="zh-CN" w:bidi="ar-SA"/>
        </w:rPr>
        <w:t>3</w:t>
      </w:r>
      <w:r>
        <w:rPr>
          <w:rFonts w:hint="default" w:ascii="仿宋_GB2312" w:hAnsi="仿宋_GB2312" w:eastAsia="仿宋_GB2312" w:cs="仿宋_GB2312"/>
          <w:color w:val="000000"/>
          <w:kern w:val="2"/>
          <w:sz w:val="32"/>
          <w:szCs w:val="32"/>
          <w:lang w:val="en-US" w:eastAsia="zh-CN" w:bidi="ar-SA"/>
        </w:rPr>
        <w:t>年年初预算资金50万元，</w:t>
      </w:r>
      <w:r>
        <w:rPr>
          <w:rFonts w:hint="eastAsia" w:ascii="仿宋_GB2312" w:hAnsi="仿宋_GB2312" w:eastAsia="仿宋_GB2312" w:cs="仿宋_GB2312"/>
          <w:color w:val="000000"/>
          <w:kern w:val="2"/>
          <w:sz w:val="32"/>
          <w:szCs w:val="32"/>
          <w:lang w:val="en-US" w:eastAsia="zh-CN" w:bidi="ar-SA"/>
        </w:rPr>
        <w:t>年中从本单位其他项目调剂15万元，财政下达资金65万元，项目完成65</w:t>
      </w:r>
      <w:r>
        <w:rPr>
          <w:rFonts w:hint="default" w:ascii="仿宋_GB2312" w:hAnsi="仿宋_GB2312" w:eastAsia="仿宋_GB2312" w:cs="仿宋_GB2312"/>
          <w:color w:val="000000"/>
          <w:kern w:val="2"/>
          <w:sz w:val="32"/>
          <w:szCs w:val="32"/>
          <w:lang w:val="en-US" w:eastAsia="zh-CN" w:bidi="ar-SA"/>
        </w:rPr>
        <w:t>万元，完成率100%</w:t>
      </w:r>
      <w:r>
        <w:rPr>
          <w:rFonts w:hint="eastAsia" w:ascii="仿宋_GB2312" w:hAnsi="仿宋_GB2312" w:eastAsia="仿宋_GB2312" w:cs="仿宋_GB2312"/>
          <w:color w:val="000000"/>
          <w:kern w:val="2"/>
          <w:sz w:val="32"/>
          <w:szCs w:val="32"/>
          <w:lang w:val="en-US" w:eastAsia="zh-CN" w:bidi="ar-SA"/>
        </w:rPr>
        <w:t>。</w:t>
      </w:r>
    </w:p>
    <w:p w14:paraId="43932038">
      <w:pPr>
        <w:keepNext w:val="0"/>
        <w:keepLines w:val="0"/>
        <w:pageBreakBefore w:val="0"/>
        <w:widowControl w:val="0"/>
        <w:kinsoku/>
        <w:wordWrap/>
        <w:overflowPunct w:val="0"/>
        <w:topLinePunct w:val="0"/>
        <w:autoSpaceDE/>
        <w:autoSpaceDN/>
        <w:bidi w:val="0"/>
        <w:adjustRightInd w:val="0"/>
        <w:snapToGrid w:val="0"/>
        <w:spacing w:line="570" w:lineRule="exact"/>
        <w:ind w:firstLine="640"/>
        <w:rPr>
          <w:sz w:val="32"/>
          <w:szCs w:val="32"/>
        </w:rPr>
      </w:pPr>
      <w:r>
        <w:rPr>
          <w:rFonts w:hint="default" w:ascii="Times New Roman" w:hAnsi="Times New Roman" w:eastAsia="楷体_GB2312" w:cs="Times New Roman"/>
          <w:b/>
          <w:bCs/>
          <w:color w:val="auto"/>
          <w:sz w:val="32"/>
          <w:szCs w:val="32"/>
          <w:highlight w:val="none"/>
          <w:lang w:val="en-US" w:eastAsia="zh-CN"/>
        </w:rPr>
        <w:t>（四）项目绩效目标</w:t>
      </w:r>
    </w:p>
    <w:tbl>
      <w:tblPr>
        <w:tblStyle w:val="20"/>
        <w:tblpPr w:leftFromText="180" w:rightFromText="180" w:vertAnchor="text" w:horzAnchor="page" w:tblpXSpec="center" w:tblpY="304"/>
        <w:tblOverlap w:val="never"/>
        <w:tblW w:w="76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0"/>
        <w:gridCol w:w="1200"/>
        <w:gridCol w:w="1637"/>
        <w:gridCol w:w="1643"/>
        <w:gridCol w:w="1975"/>
      </w:tblGrid>
      <w:tr w14:paraId="7CF7B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00557591">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5450D8A4">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207309C6">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643" w:type="dxa"/>
            <w:tcBorders>
              <w:top w:val="single" w:color="000000" w:sz="4" w:space="0"/>
              <w:left w:val="single" w:color="000000" w:sz="4" w:space="0"/>
              <w:bottom w:val="single" w:color="000000" w:sz="4" w:space="0"/>
              <w:right w:val="single" w:color="000000" w:sz="4" w:space="0"/>
            </w:tcBorders>
            <w:vAlign w:val="center"/>
          </w:tcPr>
          <w:p w14:paraId="7FF211CE">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年度指标值</w:t>
            </w:r>
          </w:p>
        </w:tc>
        <w:tc>
          <w:tcPr>
            <w:tcW w:w="1975" w:type="dxa"/>
            <w:tcBorders>
              <w:top w:val="single" w:color="000000" w:sz="4" w:space="0"/>
              <w:left w:val="single" w:color="000000" w:sz="4" w:space="0"/>
              <w:bottom w:val="single" w:color="000000" w:sz="4" w:space="0"/>
              <w:right w:val="single" w:color="000000" w:sz="4" w:space="0"/>
            </w:tcBorders>
            <w:vAlign w:val="center"/>
          </w:tcPr>
          <w:p w14:paraId="5148CD12">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全年完成情况</w:t>
            </w:r>
          </w:p>
        </w:tc>
      </w:tr>
      <w:tr w14:paraId="1528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45BBAA7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3B1A7BD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6981A55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印制资料数量</w:t>
            </w:r>
          </w:p>
        </w:tc>
        <w:tc>
          <w:tcPr>
            <w:tcW w:w="1643" w:type="dxa"/>
            <w:tcBorders>
              <w:top w:val="single" w:color="000000" w:sz="4" w:space="0"/>
              <w:left w:val="single" w:color="000000" w:sz="4" w:space="0"/>
              <w:bottom w:val="single" w:color="000000" w:sz="4" w:space="0"/>
              <w:right w:val="single" w:color="000000" w:sz="4" w:space="0"/>
            </w:tcBorders>
            <w:vAlign w:val="center"/>
          </w:tcPr>
          <w:p w14:paraId="52B6A75E">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≥400份</w:t>
            </w:r>
          </w:p>
        </w:tc>
        <w:tc>
          <w:tcPr>
            <w:tcW w:w="1975" w:type="dxa"/>
            <w:tcBorders>
              <w:top w:val="single" w:color="000000" w:sz="4" w:space="0"/>
              <w:left w:val="single" w:color="000000" w:sz="4" w:space="0"/>
              <w:bottom w:val="single" w:color="000000" w:sz="4" w:space="0"/>
              <w:right w:val="single" w:color="000000" w:sz="4" w:space="0"/>
            </w:tcBorders>
            <w:vAlign w:val="center"/>
          </w:tcPr>
          <w:p w14:paraId="01C57CCA">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5000份</w:t>
            </w:r>
          </w:p>
        </w:tc>
      </w:tr>
      <w:tr w14:paraId="3877F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20692F6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6E30BA9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79EDB8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项目总成本</w:t>
            </w:r>
          </w:p>
        </w:tc>
        <w:tc>
          <w:tcPr>
            <w:tcW w:w="1643" w:type="dxa"/>
            <w:tcBorders>
              <w:top w:val="single" w:color="000000" w:sz="4" w:space="0"/>
              <w:left w:val="single" w:color="000000" w:sz="4" w:space="0"/>
              <w:bottom w:val="single" w:color="000000" w:sz="4" w:space="0"/>
              <w:right w:val="single" w:color="000000" w:sz="4" w:space="0"/>
            </w:tcBorders>
            <w:vAlign w:val="center"/>
          </w:tcPr>
          <w:p w14:paraId="5D4E947B">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≤50万元</w:t>
            </w:r>
          </w:p>
        </w:tc>
        <w:tc>
          <w:tcPr>
            <w:tcW w:w="1975" w:type="dxa"/>
            <w:tcBorders>
              <w:top w:val="single" w:color="000000" w:sz="4" w:space="0"/>
              <w:left w:val="single" w:color="000000" w:sz="4" w:space="0"/>
              <w:bottom w:val="single" w:color="000000" w:sz="4" w:space="0"/>
              <w:right w:val="single" w:color="000000" w:sz="4" w:space="0"/>
            </w:tcBorders>
            <w:vAlign w:val="center"/>
          </w:tcPr>
          <w:p w14:paraId="5E594451">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65万元</w:t>
            </w:r>
          </w:p>
        </w:tc>
      </w:tr>
      <w:tr w14:paraId="442B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4F20BBA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5BA2128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573FAE4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会场布置达标率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32399AFF">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5070719E">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330DE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001485A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23FA000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712CDF3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会场布置次数</w:t>
            </w:r>
          </w:p>
        </w:tc>
        <w:tc>
          <w:tcPr>
            <w:tcW w:w="1643" w:type="dxa"/>
            <w:tcBorders>
              <w:top w:val="single" w:color="000000" w:sz="4" w:space="0"/>
              <w:left w:val="single" w:color="000000" w:sz="4" w:space="0"/>
              <w:bottom w:val="single" w:color="000000" w:sz="4" w:space="0"/>
              <w:right w:val="single" w:color="000000" w:sz="4" w:space="0"/>
            </w:tcBorders>
            <w:vAlign w:val="center"/>
          </w:tcPr>
          <w:p w14:paraId="4B8F30F5">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≥1次</w:t>
            </w:r>
          </w:p>
        </w:tc>
        <w:tc>
          <w:tcPr>
            <w:tcW w:w="1975" w:type="dxa"/>
            <w:tcBorders>
              <w:top w:val="single" w:color="000000" w:sz="4" w:space="0"/>
              <w:left w:val="single" w:color="000000" w:sz="4" w:space="0"/>
              <w:bottom w:val="single" w:color="000000" w:sz="4" w:space="0"/>
              <w:right w:val="single" w:color="000000" w:sz="4" w:space="0"/>
            </w:tcBorders>
            <w:vAlign w:val="center"/>
          </w:tcPr>
          <w:p w14:paraId="2693CC5A">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1次</w:t>
            </w:r>
          </w:p>
        </w:tc>
      </w:tr>
      <w:tr w14:paraId="6516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0486C0A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60C2019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03590F8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会场租赁次数</w:t>
            </w:r>
          </w:p>
        </w:tc>
        <w:tc>
          <w:tcPr>
            <w:tcW w:w="1643" w:type="dxa"/>
            <w:tcBorders>
              <w:top w:val="single" w:color="000000" w:sz="4" w:space="0"/>
              <w:left w:val="single" w:color="000000" w:sz="4" w:space="0"/>
              <w:bottom w:val="single" w:color="000000" w:sz="4" w:space="0"/>
              <w:right w:val="single" w:color="000000" w:sz="4" w:space="0"/>
            </w:tcBorders>
            <w:vAlign w:val="center"/>
          </w:tcPr>
          <w:p w14:paraId="1411F39C">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≥10次</w:t>
            </w:r>
          </w:p>
        </w:tc>
        <w:tc>
          <w:tcPr>
            <w:tcW w:w="1975" w:type="dxa"/>
            <w:tcBorders>
              <w:top w:val="single" w:color="000000" w:sz="4" w:space="0"/>
              <w:left w:val="single" w:color="000000" w:sz="4" w:space="0"/>
              <w:bottom w:val="single" w:color="000000" w:sz="4" w:space="0"/>
              <w:right w:val="single" w:color="000000" w:sz="4" w:space="0"/>
            </w:tcBorders>
            <w:vAlign w:val="center"/>
          </w:tcPr>
          <w:p w14:paraId="26E0BC69">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18次</w:t>
            </w:r>
          </w:p>
        </w:tc>
      </w:tr>
      <w:tr w14:paraId="76C27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1AE15BC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1AB88D6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009F38F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用餐人数</w:t>
            </w:r>
          </w:p>
        </w:tc>
        <w:tc>
          <w:tcPr>
            <w:tcW w:w="1643" w:type="dxa"/>
            <w:tcBorders>
              <w:top w:val="single" w:color="000000" w:sz="4" w:space="0"/>
              <w:left w:val="single" w:color="000000" w:sz="4" w:space="0"/>
              <w:bottom w:val="single" w:color="000000" w:sz="4" w:space="0"/>
              <w:right w:val="single" w:color="000000" w:sz="4" w:space="0"/>
            </w:tcBorders>
            <w:vAlign w:val="center"/>
          </w:tcPr>
          <w:p w14:paraId="61BD5EA6">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≥600人次</w:t>
            </w:r>
          </w:p>
        </w:tc>
        <w:tc>
          <w:tcPr>
            <w:tcW w:w="1975" w:type="dxa"/>
            <w:tcBorders>
              <w:top w:val="single" w:color="000000" w:sz="4" w:space="0"/>
              <w:left w:val="single" w:color="000000" w:sz="4" w:space="0"/>
              <w:bottom w:val="single" w:color="000000" w:sz="4" w:space="0"/>
              <w:right w:val="single" w:color="000000" w:sz="4" w:space="0"/>
            </w:tcBorders>
            <w:vAlign w:val="center"/>
          </w:tcPr>
          <w:p w14:paraId="6453563C">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700人次</w:t>
            </w:r>
          </w:p>
        </w:tc>
      </w:tr>
      <w:tr w14:paraId="3DB8E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6804A6C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275B3FD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EAFAE7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印制资料合格率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2652E9CA">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02167E5D">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5F9B4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4B6C258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5D30405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427C533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人员用餐率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67428E0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5B382BE1">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7526D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1B1DCCF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73A41A3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2568565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会场达标率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4D3D6B4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06AA7857">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3CB9C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6A9FA9A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32CA89A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4266840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完成及时率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0BFEE58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1CD39A5B">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5E74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44380B6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2ED701E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0FFEAA6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合作媒体新闻发布准确率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763C995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1A965D56">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7C345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462D174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3DAB1E2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38B5A9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合作媒体数量</w:t>
            </w:r>
          </w:p>
        </w:tc>
        <w:tc>
          <w:tcPr>
            <w:tcW w:w="1643" w:type="dxa"/>
            <w:tcBorders>
              <w:top w:val="single" w:color="000000" w:sz="4" w:space="0"/>
              <w:left w:val="single" w:color="000000" w:sz="4" w:space="0"/>
              <w:bottom w:val="single" w:color="000000" w:sz="4" w:space="0"/>
              <w:right w:val="single" w:color="000000" w:sz="4" w:space="0"/>
            </w:tcBorders>
            <w:vAlign w:val="center"/>
          </w:tcPr>
          <w:p w14:paraId="2C545FD8">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≥1家</w:t>
            </w:r>
          </w:p>
        </w:tc>
        <w:tc>
          <w:tcPr>
            <w:tcW w:w="1975" w:type="dxa"/>
            <w:tcBorders>
              <w:top w:val="single" w:color="000000" w:sz="4" w:space="0"/>
              <w:left w:val="single" w:color="000000" w:sz="4" w:space="0"/>
              <w:bottom w:val="single" w:color="000000" w:sz="4" w:space="0"/>
              <w:right w:val="single" w:color="000000" w:sz="4" w:space="0"/>
            </w:tcBorders>
            <w:vAlign w:val="center"/>
          </w:tcPr>
          <w:p w14:paraId="491B9E32">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1家</w:t>
            </w:r>
          </w:p>
        </w:tc>
      </w:tr>
      <w:tr w14:paraId="57935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0D5A04D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63BB073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112D03A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内控财务制度健全性</w:t>
            </w:r>
          </w:p>
        </w:tc>
        <w:tc>
          <w:tcPr>
            <w:tcW w:w="1643" w:type="dxa"/>
            <w:tcBorders>
              <w:top w:val="single" w:color="000000" w:sz="4" w:space="0"/>
              <w:left w:val="single" w:color="000000" w:sz="4" w:space="0"/>
              <w:bottom w:val="single" w:color="000000" w:sz="4" w:space="0"/>
              <w:right w:val="single" w:color="000000" w:sz="4" w:space="0"/>
            </w:tcBorders>
            <w:vAlign w:val="center"/>
          </w:tcPr>
          <w:p w14:paraId="1585EB0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975" w:type="dxa"/>
            <w:tcBorders>
              <w:top w:val="single" w:color="000000" w:sz="4" w:space="0"/>
              <w:left w:val="single" w:color="000000" w:sz="4" w:space="0"/>
              <w:bottom w:val="single" w:color="000000" w:sz="4" w:space="0"/>
              <w:right w:val="single" w:color="000000" w:sz="4" w:space="0"/>
            </w:tcBorders>
            <w:vAlign w:val="center"/>
          </w:tcPr>
          <w:p w14:paraId="34BB4FC5">
            <w:pPr>
              <w:jc w:val="center"/>
              <w:rPr>
                <w:rFonts w:hint="eastAsia" w:ascii="等线" w:hAnsi="等线" w:eastAsia="等线" w:cs="等线"/>
                <w:i w:val="0"/>
                <w:iCs w:val="0"/>
                <w:color w:val="000000"/>
                <w:sz w:val="18"/>
                <w:szCs w:val="18"/>
                <w:u w:val="none"/>
                <w:lang w:eastAsia="zh-CN"/>
              </w:rPr>
            </w:pPr>
            <w:r>
              <w:rPr>
                <w:rFonts w:hint="eastAsia" w:ascii="等线" w:hAnsi="等线" w:eastAsia="等线" w:cs="等线"/>
                <w:i w:val="0"/>
                <w:iCs w:val="0"/>
                <w:color w:val="000000"/>
                <w:sz w:val="18"/>
                <w:szCs w:val="18"/>
                <w:u w:val="none"/>
                <w:lang w:val="en-US" w:eastAsia="zh-CN"/>
              </w:rPr>
              <w:t>优</w:t>
            </w:r>
          </w:p>
        </w:tc>
      </w:tr>
      <w:tr w14:paraId="1DAA7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1504EDD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69C9454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0453715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会议正常召开率</w:t>
            </w:r>
          </w:p>
        </w:tc>
        <w:tc>
          <w:tcPr>
            <w:tcW w:w="1643" w:type="dxa"/>
            <w:tcBorders>
              <w:top w:val="single" w:color="000000" w:sz="4" w:space="0"/>
              <w:left w:val="single" w:color="000000" w:sz="4" w:space="0"/>
              <w:bottom w:val="single" w:color="000000" w:sz="4" w:space="0"/>
              <w:right w:val="single" w:color="000000" w:sz="4" w:space="0"/>
            </w:tcBorders>
            <w:vAlign w:val="center"/>
          </w:tcPr>
          <w:p w14:paraId="45C80ED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975" w:type="dxa"/>
            <w:tcBorders>
              <w:top w:val="single" w:color="000000" w:sz="4" w:space="0"/>
              <w:left w:val="single" w:color="000000" w:sz="4" w:space="0"/>
              <w:bottom w:val="single" w:color="000000" w:sz="4" w:space="0"/>
              <w:right w:val="single" w:color="000000" w:sz="4" w:space="0"/>
            </w:tcBorders>
            <w:vAlign w:val="center"/>
          </w:tcPr>
          <w:p w14:paraId="07E47DD1">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7E754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14:paraId="58F7E6B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69879E6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F09595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参会人员满意度</w:t>
            </w:r>
          </w:p>
        </w:tc>
        <w:tc>
          <w:tcPr>
            <w:tcW w:w="1643" w:type="dxa"/>
            <w:tcBorders>
              <w:top w:val="single" w:color="000000" w:sz="4" w:space="0"/>
              <w:left w:val="single" w:color="000000" w:sz="4" w:space="0"/>
              <w:bottom w:val="single" w:color="000000" w:sz="4" w:space="0"/>
              <w:right w:val="single" w:color="000000" w:sz="4" w:space="0"/>
            </w:tcBorders>
            <w:vAlign w:val="center"/>
          </w:tcPr>
          <w:p w14:paraId="125A74D6">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≥90%</w:t>
            </w:r>
          </w:p>
        </w:tc>
        <w:tc>
          <w:tcPr>
            <w:tcW w:w="1975" w:type="dxa"/>
            <w:tcBorders>
              <w:top w:val="single" w:color="000000" w:sz="4" w:space="0"/>
              <w:left w:val="single" w:color="000000" w:sz="4" w:space="0"/>
              <w:bottom w:val="single" w:color="000000" w:sz="4" w:space="0"/>
              <w:right w:val="single" w:color="000000" w:sz="4" w:space="0"/>
            </w:tcBorders>
            <w:vAlign w:val="center"/>
          </w:tcPr>
          <w:p w14:paraId="30B9470D">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bl>
    <w:p w14:paraId="1C127AD6">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6D2A64A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我单位本次项目支出绩效评价按照《遂宁市船山区财政局关于开展2024年部门、项目、政策支出绩效自评工作的通知》（遂船财绩〔2024〕2号）文件要求执行。本次项目支出的指标体系分为4个分层指标、9个一级指标、13个二级指标，共计100分。评价方法是核对财务账目、检查档案资料，重点查看账目，账实对照，对资金使用进行综合分析，作出总体性评价。</w:t>
      </w:r>
    </w:p>
    <w:p w14:paraId="319ED9E8">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6E33AF8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eastAsia" w:ascii="Times New Roman" w:hAnsi="Times New Roman" w:cs="Times New Roman"/>
          <w:color w:val="auto"/>
          <w:kern w:val="0"/>
          <w:sz w:val="32"/>
          <w:szCs w:val="32"/>
          <w:highlight w:val="none"/>
          <w:shd w:val="clear" w:color="auto" w:fill="FFFFFF"/>
          <w:lang w:val="en-US" w:eastAsia="zh-CN"/>
        </w:rPr>
        <w:t>该项目</w:t>
      </w:r>
      <w:r>
        <w:rPr>
          <w:rFonts w:hint="default" w:ascii="Times New Roman" w:hAnsi="Times New Roman" w:eastAsia="仿宋_GB2312" w:cs="Times New Roman"/>
          <w:color w:val="auto"/>
          <w:kern w:val="2"/>
          <w:sz w:val="32"/>
          <w:szCs w:val="32"/>
          <w:highlight w:val="none"/>
          <w:lang w:val="en-US" w:eastAsia="zh-CN" w:bidi="ar-SA"/>
        </w:rPr>
        <w:t>综合评价得分</w:t>
      </w:r>
      <w:r>
        <w:rPr>
          <w:rFonts w:hint="eastAsia" w:ascii="Times New Roman" w:hAnsi="Times New Roman" w:cs="Times New Roman"/>
          <w:color w:val="auto"/>
          <w:kern w:val="2"/>
          <w:sz w:val="32"/>
          <w:szCs w:val="32"/>
          <w:highlight w:val="none"/>
          <w:lang w:val="en-US" w:eastAsia="zh-CN" w:bidi="ar-SA"/>
        </w:rPr>
        <w:t>95</w:t>
      </w:r>
      <w:r>
        <w:rPr>
          <w:rFonts w:hint="default" w:ascii="Times New Roman" w:hAnsi="Times New Roman" w:eastAsia="仿宋_GB2312" w:cs="Times New Roman"/>
          <w:color w:val="auto"/>
          <w:kern w:val="2"/>
          <w:sz w:val="32"/>
          <w:szCs w:val="32"/>
          <w:highlight w:val="none"/>
          <w:lang w:val="en-US" w:eastAsia="zh-CN" w:bidi="ar-SA"/>
        </w:rPr>
        <w:t>分，详见下表</w:t>
      </w:r>
      <w:r>
        <w:rPr>
          <w:rFonts w:hint="default" w:ascii="Times New Roman" w:hAnsi="Times New Roman" w:cs="Times New Roman"/>
          <w:color w:val="auto"/>
          <w:kern w:val="0"/>
          <w:sz w:val="32"/>
          <w:szCs w:val="32"/>
          <w:highlight w:val="none"/>
          <w:shd w:val="clear" w:color="auto" w:fill="FFFFFF"/>
          <w:lang w:val="zh-CN"/>
        </w:rPr>
        <w:t>。</w:t>
      </w:r>
    </w:p>
    <w:tbl>
      <w:tblPr>
        <w:tblStyle w:val="20"/>
        <w:tblpPr w:leftFromText="180" w:rightFromText="180" w:vertAnchor="text" w:horzAnchor="page" w:tblpX="1714" w:tblpY="98"/>
        <w:tblOverlap w:val="never"/>
        <w:tblW w:w="8738" w:type="dxa"/>
        <w:jc w:val="center"/>
        <w:tblLayout w:type="fixed"/>
        <w:tblCellMar>
          <w:top w:w="0" w:type="dxa"/>
          <w:left w:w="0" w:type="dxa"/>
          <w:bottom w:w="0" w:type="dxa"/>
          <w:right w:w="0" w:type="dxa"/>
        </w:tblCellMar>
      </w:tblPr>
      <w:tblGrid>
        <w:gridCol w:w="1140"/>
        <w:gridCol w:w="767"/>
        <w:gridCol w:w="1275"/>
        <w:gridCol w:w="1875"/>
        <w:gridCol w:w="757"/>
        <w:gridCol w:w="930"/>
        <w:gridCol w:w="1108"/>
        <w:gridCol w:w="886"/>
      </w:tblGrid>
      <w:tr w14:paraId="6DABB0C0">
        <w:tblPrEx>
          <w:tblCellMar>
            <w:top w:w="0" w:type="dxa"/>
            <w:left w:w="0" w:type="dxa"/>
            <w:bottom w:w="0" w:type="dxa"/>
            <w:right w:w="0" w:type="dxa"/>
          </w:tblCellMar>
        </w:tblPrEx>
        <w:trPr>
          <w:trHeight w:val="360" w:hRule="atLeast"/>
          <w:jc w:val="center"/>
        </w:trPr>
        <w:tc>
          <w:tcPr>
            <w:tcW w:w="5057"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805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75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469566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93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D6625D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10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191B7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88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9761FE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3006167C">
        <w:tblPrEx>
          <w:tblCellMar>
            <w:top w:w="0" w:type="dxa"/>
            <w:left w:w="0" w:type="dxa"/>
            <w:bottom w:w="0" w:type="dxa"/>
            <w:right w:w="0" w:type="dxa"/>
          </w:tblCellMar>
        </w:tblPrEx>
        <w:trPr>
          <w:trHeight w:val="432"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35CD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18"/>
                <w:szCs w:val="18"/>
                <w:highlight w:val="none"/>
                <w:u w:val="none"/>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97D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18"/>
                <w:szCs w:val="18"/>
                <w:highlight w:val="none"/>
                <w:u w:val="none"/>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2F18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18"/>
                <w:szCs w:val="18"/>
                <w:highlight w:val="none"/>
                <w:u w:val="none"/>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2A80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18"/>
                <w:szCs w:val="18"/>
                <w:highlight w:val="none"/>
                <w:u w:val="none"/>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757" w:type="dxa"/>
            <w:vMerge w:val="continue"/>
            <w:tcBorders>
              <w:left w:val="single" w:color="000000" w:sz="4" w:space="0"/>
              <w:right w:val="single" w:color="000000" w:sz="4" w:space="0"/>
            </w:tcBorders>
            <w:tcMar>
              <w:top w:w="15" w:type="dxa"/>
              <w:left w:w="15" w:type="dxa"/>
              <w:right w:w="15" w:type="dxa"/>
            </w:tcMar>
            <w:vAlign w:val="center"/>
          </w:tcPr>
          <w:p w14:paraId="354CD9E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32"/>
                <w:szCs w:val="32"/>
                <w:highlight w:val="none"/>
                <w:u w:val="none"/>
              </w:rPr>
            </w:pPr>
          </w:p>
        </w:tc>
        <w:tc>
          <w:tcPr>
            <w:tcW w:w="930" w:type="dxa"/>
            <w:vMerge w:val="continue"/>
            <w:tcBorders>
              <w:left w:val="single" w:color="000000" w:sz="4" w:space="0"/>
              <w:right w:val="single" w:color="000000" w:sz="4" w:space="0"/>
            </w:tcBorders>
            <w:tcMar>
              <w:top w:w="15" w:type="dxa"/>
              <w:left w:w="15" w:type="dxa"/>
              <w:right w:w="15" w:type="dxa"/>
            </w:tcMar>
            <w:vAlign w:val="center"/>
          </w:tcPr>
          <w:p w14:paraId="1B72EEB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32"/>
                <w:szCs w:val="32"/>
                <w:highlight w:val="none"/>
                <w:u w:val="none"/>
              </w:rPr>
            </w:pPr>
          </w:p>
        </w:tc>
        <w:tc>
          <w:tcPr>
            <w:tcW w:w="1108" w:type="dxa"/>
            <w:vMerge w:val="continue"/>
            <w:tcBorders>
              <w:left w:val="single" w:color="000000" w:sz="4" w:space="0"/>
              <w:right w:val="single" w:color="000000" w:sz="4" w:space="0"/>
            </w:tcBorders>
            <w:tcMar>
              <w:top w:w="15" w:type="dxa"/>
              <w:left w:w="15" w:type="dxa"/>
              <w:right w:w="15" w:type="dxa"/>
            </w:tcMar>
            <w:vAlign w:val="center"/>
          </w:tcPr>
          <w:p w14:paraId="517BCD5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32"/>
                <w:szCs w:val="32"/>
                <w:highlight w:val="none"/>
                <w:u w:val="none"/>
              </w:rPr>
            </w:pPr>
          </w:p>
        </w:tc>
        <w:tc>
          <w:tcPr>
            <w:tcW w:w="886" w:type="dxa"/>
            <w:vMerge w:val="continue"/>
            <w:tcBorders>
              <w:left w:val="single" w:color="000000" w:sz="4" w:space="0"/>
              <w:right w:val="single" w:color="000000" w:sz="4" w:space="0"/>
            </w:tcBorders>
            <w:tcMar>
              <w:top w:w="15" w:type="dxa"/>
              <w:left w:w="15" w:type="dxa"/>
              <w:right w:w="15" w:type="dxa"/>
            </w:tcMar>
            <w:vAlign w:val="center"/>
          </w:tcPr>
          <w:p w14:paraId="1EE6C93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32"/>
                <w:szCs w:val="32"/>
                <w:highlight w:val="none"/>
                <w:u w:val="none"/>
              </w:rPr>
            </w:pPr>
          </w:p>
        </w:tc>
      </w:tr>
      <w:tr w14:paraId="2CDB0E51">
        <w:tblPrEx>
          <w:tblCellMar>
            <w:top w:w="0" w:type="dxa"/>
            <w:left w:w="0" w:type="dxa"/>
            <w:bottom w:w="0" w:type="dxa"/>
            <w:right w:w="0" w:type="dxa"/>
          </w:tblCellMar>
        </w:tblPrEx>
        <w:trPr>
          <w:trHeight w:val="40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4C8B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7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0FB3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w:t>
            </w:r>
          </w:p>
          <w:p w14:paraId="7AD0C39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w:t>
            </w:r>
          </w:p>
        </w:tc>
        <w:tc>
          <w:tcPr>
            <w:tcW w:w="12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9D54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8477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9C7C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14C3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E6CC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F864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09628E3A">
        <w:tblPrEx>
          <w:tblCellMar>
            <w:top w:w="0" w:type="dxa"/>
            <w:left w:w="0" w:type="dxa"/>
            <w:bottom w:w="0" w:type="dxa"/>
            <w:right w:w="0" w:type="dxa"/>
          </w:tblCellMar>
        </w:tblPrEx>
        <w:trPr>
          <w:trHeight w:val="40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B9A4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E2F4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7D3A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0982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F5A9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CEC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3144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40BD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5D1FC040">
        <w:tblPrEx>
          <w:tblCellMar>
            <w:top w:w="0" w:type="dxa"/>
            <w:left w:w="0" w:type="dxa"/>
            <w:bottom w:w="0" w:type="dxa"/>
            <w:right w:w="0" w:type="dxa"/>
          </w:tblCellMar>
        </w:tblPrEx>
        <w:trPr>
          <w:trHeight w:val="40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A8BB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FEF5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EC16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9BA4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D1A9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E3A7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E799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F9B8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66B44BAB">
        <w:tblPrEx>
          <w:tblCellMar>
            <w:top w:w="0" w:type="dxa"/>
            <w:left w:w="0" w:type="dxa"/>
            <w:bottom w:w="0" w:type="dxa"/>
            <w:right w:w="0" w:type="dxa"/>
          </w:tblCellMar>
        </w:tblPrEx>
        <w:trPr>
          <w:trHeight w:val="39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ACD97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2610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9A84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4183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172E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D3CB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4A81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B02D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3BB34087">
        <w:tblPrEx>
          <w:tblCellMar>
            <w:top w:w="0" w:type="dxa"/>
            <w:left w:w="0" w:type="dxa"/>
            <w:bottom w:w="0" w:type="dxa"/>
            <w:right w:w="0" w:type="dxa"/>
          </w:tblCellMar>
        </w:tblPrEx>
        <w:trPr>
          <w:trHeight w:val="40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0B59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BBF0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802D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2203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B4BB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13CF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B016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4B02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579A0BEF">
        <w:tblPrEx>
          <w:tblCellMar>
            <w:top w:w="0" w:type="dxa"/>
            <w:left w:w="0" w:type="dxa"/>
            <w:bottom w:w="0" w:type="dxa"/>
            <w:right w:w="0" w:type="dxa"/>
          </w:tblCellMar>
        </w:tblPrEx>
        <w:trPr>
          <w:trHeight w:val="40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9DBB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EDF4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337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773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E537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D1EE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9615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47F7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7D354BB1">
        <w:tblPrEx>
          <w:tblCellMar>
            <w:top w:w="0" w:type="dxa"/>
            <w:left w:w="0" w:type="dxa"/>
            <w:bottom w:w="0" w:type="dxa"/>
            <w:right w:w="0" w:type="dxa"/>
          </w:tblCellMar>
        </w:tblPrEx>
        <w:trPr>
          <w:trHeight w:val="40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F441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9C3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A47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5CA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F38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96FA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701E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7A32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66D91498">
        <w:tblPrEx>
          <w:tblCellMar>
            <w:top w:w="0" w:type="dxa"/>
            <w:left w:w="0" w:type="dxa"/>
            <w:bottom w:w="0" w:type="dxa"/>
            <w:right w:w="0" w:type="dxa"/>
          </w:tblCellMar>
        </w:tblPrEx>
        <w:trPr>
          <w:trHeight w:val="60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D184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7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29DF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w:t>
            </w:r>
          </w:p>
          <w:p w14:paraId="10B4F06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D17B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3B21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印刷资料数量</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7508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63FF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400份</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22F9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1000</w:t>
            </w:r>
            <w:r>
              <w:rPr>
                <w:rFonts w:hint="default" w:ascii="Times New Roman" w:hAnsi="Times New Roman" w:eastAsia="仿宋_GB2312" w:cs="Times New Roman"/>
                <w:b w:val="0"/>
                <w:bCs/>
                <w:i w:val="0"/>
                <w:color w:val="auto"/>
                <w:kern w:val="0"/>
                <w:sz w:val="21"/>
                <w:szCs w:val="21"/>
                <w:highlight w:val="none"/>
                <w:u w:val="none"/>
                <w:lang w:val="en-US" w:eastAsia="zh-CN" w:bidi="ar"/>
              </w:rPr>
              <w:t>份</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B559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5BAFFAB9">
        <w:tblPrEx>
          <w:tblCellMar>
            <w:top w:w="0" w:type="dxa"/>
            <w:left w:w="0" w:type="dxa"/>
            <w:bottom w:w="0" w:type="dxa"/>
            <w:right w:w="0" w:type="dxa"/>
          </w:tblCellMar>
        </w:tblPrEx>
        <w:trPr>
          <w:trHeight w:val="476"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4267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017B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6C4D34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B041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印刷资料合格率</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981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3457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8EAB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840E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29A6587A">
        <w:tblPrEx>
          <w:tblCellMar>
            <w:top w:w="0" w:type="dxa"/>
            <w:left w:w="0" w:type="dxa"/>
            <w:bottom w:w="0" w:type="dxa"/>
            <w:right w:w="0" w:type="dxa"/>
          </w:tblCellMar>
        </w:tblPrEx>
        <w:trPr>
          <w:trHeight w:val="60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11C2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E943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DC40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7B142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项目总成本</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1674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252F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≤50万元</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C9E8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65</w:t>
            </w:r>
            <w:r>
              <w:rPr>
                <w:rFonts w:hint="default" w:ascii="Times New Roman" w:hAnsi="Times New Roman" w:eastAsia="仿宋_GB2312" w:cs="Times New Roman"/>
                <w:b w:val="0"/>
                <w:bCs/>
                <w:i w:val="0"/>
                <w:color w:val="auto"/>
                <w:kern w:val="0"/>
                <w:sz w:val="21"/>
                <w:szCs w:val="21"/>
                <w:highlight w:val="none"/>
                <w:u w:val="none"/>
                <w:lang w:val="en-US" w:eastAsia="zh-CN" w:bidi="ar"/>
              </w:rPr>
              <w:t>万元</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7631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0</w:t>
            </w:r>
          </w:p>
        </w:tc>
      </w:tr>
      <w:tr w14:paraId="6743018E">
        <w:tblPrEx>
          <w:tblCellMar>
            <w:top w:w="0" w:type="dxa"/>
            <w:left w:w="0" w:type="dxa"/>
            <w:bottom w:w="0" w:type="dxa"/>
            <w:right w:w="0" w:type="dxa"/>
          </w:tblCellMar>
        </w:tblPrEx>
        <w:trPr>
          <w:trHeight w:val="395"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4D6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AE8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4658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7090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B1BA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9B12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917D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3BFE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1FC9C4EC">
        <w:tblPrEx>
          <w:tblCellMar>
            <w:top w:w="0" w:type="dxa"/>
            <w:left w:w="0" w:type="dxa"/>
            <w:bottom w:w="0" w:type="dxa"/>
            <w:right w:w="0" w:type="dxa"/>
          </w:tblCellMar>
        </w:tblPrEx>
        <w:trPr>
          <w:trHeight w:val="480" w:hRule="atLeast"/>
          <w:jc w:val="center"/>
        </w:trPr>
        <w:tc>
          <w:tcPr>
            <w:tcW w:w="1140"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829D71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767"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1BDEB8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127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9B259E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1ED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会议正常召开率</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8660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F1C4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7E92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320B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74511C12">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9877F1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FE8F1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25BAD4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1ADC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5DF8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86E8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A2CF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41B8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6E04C6E6">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F895C1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67"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9921D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AA57A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8D16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A5DE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84C6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8309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4786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6FFC1B86">
        <w:tblPrEx>
          <w:tblCellMar>
            <w:top w:w="0" w:type="dxa"/>
            <w:left w:w="0" w:type="dxa"/>
            <w:bottom w:w="0" w:type="dxa"/>
            <w:right w:w="0" w:type="dxa"/>
          </w:tblCellMar>
        </w:tblPrEx>
        <w:trPr>
          <w:trHeight w:val="540"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F48D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1CEEC5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9A97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w:t>
            </w:r>
          </w:p>
          <w:p w14:paraId="61AF625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7809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D997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参会人员满意度</w:t>
            </w:r>
          </w:p>
        </w:tc>
        <w:tc>
          <w:tcPr>
            <w:tcW w:w="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C0B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9B59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1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2253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0608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1A6A3904">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textAlignment w:val="auto"/>
        <w:rPr>
          <w:rFonts w:hint="default" w:ascii="Times New Roman" w:hAnsi="Times New Roman" w:eastAsia="楷体_GB2312" w:cs="Times New Roman"/>
          <w:b/>
          <w:color w:val="auto"/>
          <w:sz w:val="21"/>
          <w:szCs w:val="21"/>
          <w:highlight w:val="none"/>
        </w:rPr>
      </w:pPr>
    </w:p>
    <w:p w14:paraId="4668BFB9">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楷体_GB2312" w:cs="Times New Roman"/>
          <w:b/>
          <w:color w:val="auto"/>
          <w:sz w:val="32"/>
          <w:szCs w:val="32"/>
          <w:highlight w:val="none"/>
        </w:rPr>
      </w:pPr>
      <w:r>
        <w:rPr>
          <w:rFonts w:hint="default" w:ascii="Times New Roman" w:hAnsi="Times New Roman" w:eastAsia="黑体" w:cs="Times New Roman"/>
          <w:b w:val="0"/>
          <w:bCs/>
          <w:color w:val="auto"/>
          <w:sz w:val="32"/>
          <w:szCs w:val="32"/>
          <w:highlight w:val="none"/>
          <w:lang w:val="en-US" w:eastAsia="zh-CN"/>
        </w:rPr>
        <w:t>四、绩效评价分析</w:t>
      </w:r>
    </w:p>
    <w:p w14:paraId="3285BDDD">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为进一步保障政协各类会议顺利召开，严格按照《中国人民政治协商会议章程》及中省市区相关要求立项，立项决策依据充分、决策程序合规、绩效目标科学完整，整体情况良好。</w:t>
      </w:r>
    </w:p>
    <w:p w14:paraId="3AB4FE54">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项目管理制度健全，测算依据和使用过程规范，</w:t>
      </w:r>
      <w:r>
        <w:rPr>
          <w:rFonts w:hint="default" w:ascii="仿宋_GB2312" w:hAnsi="仿宋_GB2312" w:eastAsia="仿宋_GB2312" w:cs="仿宋_GB2312"/>
          <w:color w:val="auto"/>
          <w:sz w:val="32"/>
          <w:szCs w:val="32"/>
          <w:highlight w:val="none"/>
          <w:lang w:val="en-US" w:eastAsia="zh-CN"/>
        </w:rPr>
        <w:t>严格执行项目申报，</w:t>
      </w:r>
      <w:r>
        <w:rPr>
          <w:rFonts w:hint="eastAsia" w:ascii="仿宋_GB2312" w:hAnsi="仿宋_GB2312" w:eastAsia="仿宋_GB2312" w:cs="仿宋_GB2312"/>
          <w:color w:val="auto"/>
          <w:sz w:val="32"/>
          <w:szCs w:val="32"/>
          <w:highlight w:val="none"/>
          <w:lang w:val="en-US" w:eastAsia="zh-CN"/>
        </w:rPr>
        <w:t>项目实施及</w:t>
      </w:r>
      <w:r>
        <w:rPr>
          <w:rFonts w:hint="default" w:ascii="仿宋_GB2312" w:hAnsi="仿宋_GB2312" w:eastAsia="仿宋_GB2312" w:cs="仿宋_GB2312"/>
          <w:color w:val="auto"/>
          <w:sz w:val="32"/>
          <w:szCs w:val="32"/>
          <w:highlight w:val="none"/>
          <w:lang w:val="en-US" w:eastAsia="zh-CN"/>
        </w:rPr>
        <w:t>资金使用严格按照预算</w:t>
      </w:r>
      <w:r>
        <w:rPr>
          <w:rFonts w:hint="eastAsia" w:ascii="仿宋_GB2312" w:hAnsi="仿宋_GB2312" w:eastAsia="仿宋_GB2312" w:cs="仿宋_GB2312"/>
          <w:color w:val="auto"/>
          <w:sz w:val="32"/>
          <w:szCs w:val="32"/>
          <w:highlight w:val="none"/>
          <w:lang w:val="en-US" w:eastAsia="zh-CN"/>
        </w:rPr>
        <w:t>及单位内控等</w:t>
      </w:r>
      <w:r>
        <w:rPr>
          <w:rFonts w:hint="default" w:ascii="仿宋_GB2312" w:hAnsi="仿宋_GB2312" w:eastAsia="仿宋_GB2312" w:cs="仿宋_GB2312"/>
          <w:color w:val="auto"/>
          <w:sz w:val="32"/>
          <w:szCs w:val="32"/>
          <w:highlight w:val="none"/>
          <w:lang w:val="en-US" w:eastAsia="zh-CN"/>
        </w:rPr>
        <w:t>相关</w:t>
      </w:r>
      <w:r>
        <w:rPr>
          <w:rFonts w:hint="eastAsia" w:ascii="仿宋_GB2312" w:hAnsi="仿宋_GB2312" w:eastAsia="仿宋_GB2312" w:cs="仿宋_GB2312"/>
          <w:color w:val="auto"/>
          <w:sz w:val="32"/>
          <w:szCs w:val="32"/>
          <w:highlight w:val="none"/>
          <w:lang w:val="en-US" w:eastAsia="zh-CN"/>
        </w:rPr>
        <w:t>规定</w:t>
      </w:r>
      <w:r>
        <w:rPr>
          <w:rFonts w:hint="default" w:ascii="仿宋_GB2312" w:hAnsi="仿宋_GB2312" w:eastAsia="仿宋_GB2312" w:cs="仿宋_GB2312"/>
          <w:color w:val="auto"/>
          <w:sz w:val="32"/>
          <w:szCs w:val="32"/>
          <w:highlight w:val="none"/>
          <w:lang w:val="en-US" w:eastAsia="zh-CN"/>
        </w:rPr>
        <w:t>执行。</w:t>
      </w:r>
    </w:p>
    <w:p w14:paraId="74D63A83">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cs="Times New Roman"/>
          <w:color w:val="auto"/>
          <w:sz w:val="32"/>
          <w:szCs w:val="32"/>
          <w:highlight w:val="none"/>
          <w:lang w:val="en-US"/>
        </w:rPr>
      </w:pPr>
      <w:r>
        <w:rPr>
          <w:rFonts w:hint="default" w:ascii="Times New Roman" w:hAnsi="Times New Roman" w:eastAsia="楷体_GB2312" w:cs="Times New Roman"/>
          <w:b/>
          <w:color w:val="auto"/>
          <w:kern w:val="2"/>
          <w:sz w:val="32"/>
          <w:szCs w:val="32"/>
          <w:highlight w:val="none"/>
          <w:lang w:val="en-US" w:eastAsia="zh-CN" w:bidi="ar-SA"/>
        </w:rPr>
        <w:t>（三）项目产出情况。</w:t>
      </w:r>
      <w:r>
        <w:rPr>
          <w:rFonts w:hint="eastAsia" w:ascii="仿宋_GB2312" w:hAnsi="仿宋_GB2312" w:eastAsia="仿宋_GB2312" w:cs="仿宋_GB2312"/>
          <w:color w:val="auto"/>
          <w:sz w:val="32"/>
          <w:szCs w:val="32"/>
          <w:highlight w:val="none"/>
          <w:lang w:val="en-US" w:eastAsia="zh-CN"/>
        </w:rPr>
        <w:t>全年组织召开政协常委会会议、党组会议、主席会议、党组理论学习中心组学习50余次</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圆满完成区政协五届三次会议各项任务，教育引导政协委员和政协机关干部坚定捍卫“两个确立”、坚决做到“两个维护”，自觉在思想上政治上行动上同以习近平同志为核心的党中央保持高度一致，为履行好政治协商、民主监督、参政议政职能职责提供了保障。全年完成会议租赁18次，会场布置1次，印制资料5000份，用餐700人次，宣传媒体1家，会场布置达标率、印刷资料合格率、完成及时率、人员用餐率、新闻发布准确率、参会人员满意度均达到</w:t>
      </w:r>
      <w:r>
        <w:rPr>
          <w:rFonts w:hint="default"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lang w:val="en-US" w:eastAsia="zh-CN"/>
        </w:rPr>
        <w:t>，因会议地点变更，增加了会议成本，考虑区级财政资金紧张，从本单位其他项目中调剂15万元到本项目，保证会议圆满完成，确保了会议高质高效召开，达到了会议预期目标。</w:t>
      </w:r>
    </w:p>
    <w:p w14:paraId="62BB6624">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楷体_GB2312" w:cs="Times New Roman"/>
          <w:b/>
          <w:color w:val="auto"/>
          <w:sz w:val="32"/>
          <w:szCs w:val="32"/>
          <w:highlight w:val="none"/>
        </w:rPr>
      </w:pPr>
      <w:r>
        <w:rPr>
          <w:rFonts w:hint="default" w:ascii="Times New Roman" w:hAnsi="Times New Roman" w:eastAsia="楷体_GB2312" w:cs="Times New Roman"/>
          <w:b/>
          <w:color w:val="auto"/>
          <w:sz w:val="32"/>
          <w:szCs w:val="32"/>
          <w:highlight w:val="none"/>
        </w:rPr>
        <w:t>（四）项目效益情况。</w:t>
      </w:r>
      <w:r>
        <w:rPr>
          <w:rFonts w:hint="default" w:ascii="仿宋_GB2312" w:hAnsi="仿宋_GB2312" w:eastAsia="仿宋_GB2312" w:cs="仿宋_GB2312"/>
          <w:color w:val="auto"/>
          <w:sz w:val="32"/>
          <w:szCs w:val="32"/>
          <w:highlight w:val="none"/>
          <w:lang w:val="en-US" w:eastAsia="zh-CN"/>
        </w:rPr>
        <w:t>根据年度工作安排和财政预算批复，</w:t>
      </w:r>
      <w:r>
        <w:rPr>
          <w:rFonts w:hint="eastAsia" w:ascii="仿宋_GB2312" w:hAnsi="仿宋_GB2312" w:eastAsia="仿宋_GB2312" w:cs="仿宋_GB2312"/>
          <w:color w:val="auto"/>
          <w:sz w:val="32"/>
          <w:szCs w:val="32"/>
          <w:highlight w:val="none"/>
          <w:lang w:val="en-US" w:eastAsia="zh-CN"/>
        </w:rPr>
        <w:t>圆满完成</w:t>
      </w:r>
      <w:r>
        <w:rPr>
          <w:rFonts w:hint="default" w:ascii="仿宋_GB2312" w:hAnsi="仿宋_GB2312" w:eastAsia="仿宋_GB2312" w:cs="仿宋_GB2312"/>
          <w:color w:val="auto"/>
          <w:sz w:val="32"/>
          <w:szCs w:val="32"/>
          <w:highlight w:val="none"/>
          <w:lang w:val="zh-CN" w:eastAsia="zh-CN"/>
        </w:rPr>
        <w:t>政协全</w:t>
      </w:r>
      <w:r>
        <w:rPr>
          <w:rFonts w:hint="eastAsia" w:ascii="仿宋_GB2312" w:hAnsi="仿宋_GB2312" w:eastAsia="仿宋_GB2312" w:cs="仿宋_GB2312"/>
          <w:color w:val="auto"/>
          <w:sz w:val="32"/>
          <w:szCs w:val="32"/>
          <w:highlight w:val="none"/>
          <w:lang w:val="en-US" w:eastAsia="zh-CN"/>
        </w:rPr>
        <w:t>体</w:t>
      </w:r>
      <w:r>
        <w:rPr>
          <w:rFonts w:hint="default" w:ascii="仿宋_GB2312" w:hAnsi="仿宋_GB2312" w:eastAsia="仿宋_GB2312" w:cs="仿宋_GB2312"/>
          <w:color w:val="auto"/>
          <w:sz w:val="32"/>
          <w:szCs w:val="32"/>
          <w:highlight w:val="none"/>
          <w:lang w:val="zh-CN" w:eastAsia="zh-CN"/>
        </w:rPr>
        <w:t>会议、常委会</w:t>
      </w:r>
      <w:r>
        <w:rPr>
          <w:rFonts w:hint="eastAsia" w:ascii="仿宋_GB2312" w:hAnsi="仿宋_GB2312" w:eastAsia="仿宋_GB2312" w:cs="仿宋_GB2312"/>
          <w:color w:val="auto"/>
          <w:sz w:val="32"/>
          <w:szCs w:val="32"/>
          <w:highlight w:val="none"/>
          <w:lang w:val="zh-CN" w:eastAsia="zh-CN"/>
        </w:rPr>
        <w:t>会</w:t>
      </w:r>
      <w:r>
        <w:rPr>
          <w:rFonts w:hint="default" w:ascii="仿宋_GB2312" w:hAnsi="仿宋_GB2312" w:eastAsia="仿宋_GB2312" w:cs="仿宋_GB2312"/>
          <w:color w:val="auto"/>
          <w:sz w:val="32"/>
          <w:szCs w:val="32"/>
          <w:highlight w:val="none"/>
          <w:lang w:val="zh-CN" w:eastAsia="zh-CN"/>
        </w:rPr>
        <w:t>议、主席会议</w:t>
      </w:r>
      <w:r>
        <w:rPr>
          <w:rFonts w:hint="eastAsia" w:ascii="仿宋_GB2312" w:hAnsi="仿宋_GB2312" w:eastAsia="仿宋_GB2312" w:cs="仿宋_GB2312"/>
          <w:color w:val="auto"/>
          <w:sz w:val="32"/>
          <w:szCs w:val="32"/>
          <w:highlight w:val="none"/>
          <w:lang w:val="zh-CN" w:eastAsia="zh-CN"/>
        </w:rPr>
        <w:t>、</w:t>
      </w:r>
      <w:r>
        <w:rPr>
          <w:rFonts w:hint="eastAsia" w:ascii="仿宋_GB2312" w:hAnsi="仿宋_GB2312" w:eastAsia="仿宋_GB2312" w:cs="仿宋_GB2312"/>
          <w:color w:val="auto"/>
          <w:sz w:val="32"/>
          <w:szCs w:val="32"/>
          <w:highlight w:val="none"/>
          <w:lang w:val="en-US" w:eastAsia="zh-CN"/>
        </w:rPr>
        <w:t>相关协商会议等工作任务，保证了会议正常召开，参会人员满意度100%，初步实现预期目标，内控制度健全</w:t>
      </w:r>
      <w:r>
        <w:rPr>
          <w:rFonts w:hint="default" w:ascii="仿宋_GB2312" w:hAnsi="仿宋_GB2312" w:eastAsia="仿宋_GB2312" w:cs="仿宋_GB2312"/>
          <w:color w:val="auto"/>
          <w:sz w:val="32"/>
          <w:szCs w:val="32"/>
          <w:highlight w:val="none"/>
          <w:lang w:val="en-US" w:eastAsia="zh-CN"/>
        </w:rPr>
        <w:t>。</w:t>
      </w:r>
    </w:p>
    <w:p w14:paraId="4D4A89E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3595B240">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因会议地点变更，增加了会议成本，年中从其他项目调剂费用到本项目，一定程度上说明预算不够精准的问题。</w:t>
      </w:r>
    </w:p>
    <w:p w14:paraId="6BEC4C03">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0BC69503">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进一步建立完善预算支出分析制度机制，加强预算编制精准性</w:t>
      </w:r>
      <w:r>
        <w:rPr>
          <w:rFonts w:hint="default" w:ascii="仿宋_GB2312" w:hAnsi="仿宋_GB2312" w:eastAsia="仿宋_GB2312" w:cs="仿宋_GB2312"/>
          <w:color w:val="auto"/>
          <w:sz w:val="32"/>
          <w:szCs w:val="32"/>
          <w:highlight w:val="none"/>
          <w:lang w:val="en-US" w:eastAsia="zh-CN"/>
        </w:rPr>
        <w:t>。</w:t>
      </w:r>
    </w:p>
    <w:p w14:paraId="1CF1EC3E">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zh-CN"/>
        </w:rPr>
      </w:pPr>
    </w:p>
    <w:p w14:paraId="19576037">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5B4B60E6">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6BA05F31">
      <w:pPr>
        <w:keepNext w:val="0"/>
        <w:keepLines w:val="0"/>
        <w:pageBreakBefore w:val="0"/>
        <w:widowControl w:val="0"/>
        <w:kinsoku/>
        <w:wordWrap/>
        <w:overflowPunct w:val="0"/>
        <w:topLinePunct w:val="0"/>
        <w:autoSpaceDE/>
        <w:autoSpaceDN/>
        <w:bidi w:val="0"/>
        <w:adjustRightInd w:val="0"/>
        <w:snapToGrid w:val="0"/>
        <w:spacing w:line="570" w:lineRule="exact"/>
        <w:jc w:val="both"/>
        <w:textAlignment w:val="auto"/>
        <w:rPr>
          <w:rFonts w:hint="default" w:ascii="Times New Roman" w:hAnsi="Times New Roman" w:eastAsia="方正小标宋简体" w:cs="Times New Roman"/>
          <w:color w:val="auto"/>
          <w:sz w:val="44"/>
          <w:szCs w:val="44"/>
          <w:highlight w:val="none"/>
          <w:lang w:val="en-US" w:eastAsia="zh-CN"/>
        </w:rPr>
      </w:pPr>
    </w:p>
    <w:p w14:paraId="730CDB03">
      <w:pPr>
        <w:pStyle w:val="16"/>
        <w:rPr>
          <w:rFonts w:hint="default" w:ascii="Times New Roman" w:hAnsi="Times New Roman" w:eastAsia="方正小标宋简体" w:cs="Times New Roman"/>
          <w:color w:val="auto"/>
          <w:sz w:val="44"/>
          <w:szCs w:val="44"/>
          <w:highlight w:val="none"/>
          <w:lang w:val="en-US" w:eastAsia="zh-CN"/>
        </w:rPr>
      </w:pPr>
    </w:p>
    <w:p w14:paraId="4C399EFA">
      <w:pPr>
        <w:pStyle w:val="16"/>
        <w:rPr>
          <w:rFonts w:hint="default" w:ascii="Times New Roman" w:hAnsi="Times New Roman" w:eastAsia="方正小标宋简体" w:cs="Times New Roman"/>
          <w:color w:val="auto"/>
          <w:sz w:val="44"/>
          <w:szCs w:val="44"/>
          <w:highlight w:val="none"/>
          <w:lang w:val="en-US" w:eastAsia="zh-CN"/>
        </w:rPr>
      </w:pPr>
    </w:p>
    <w:p w14:paraId="2662DE66">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1B707A4C">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3804B650">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77ECEE0C">
      <w:pPr>
        <w:keepNext w:val="0"/>
        <w:keepLines w:val="0"/>
        <w:pageBreakBefore w:val="0"/>
        <w:widowControl w:val="0"/>
        <w:kinsoku/>
        <w:wordWrap/>
        <w:overflowPunct w:val="0"/>
        <w:topLinePunct w:val="0"/>
        <w:autoSpaceDE/>
        <w:autoSpaceDN/>
        <w:bidi w:val="0"/>
        <w:adjustRightInd w:val="0"/>
        <w:snapToGrid w:val="0"/>
        <w:spacing w:line="570" w:lineRule="exact"/>
        <w:jc w:val="both"/>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515F2AB6">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6B88343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2BF6F284">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eastAsia" w:ascii="Times New Roman" w:hAnsi="Times New Roman" w:eastAsia="楷体_GB2312" w:cs="Times New Roman"/>
          <w:b/>
          <w:bCs/>
          <w:color w:val="auto"/>
          <w:sz w:val="32"/>
          <w:szCs w:val="32"/>
          <w:highlight w:val="none"/>
          <w:lang w:val="en-US" w:eastAsia="zh-CN"/>
        </w:rPr>
        <w:t>政协工作</w:t>
      </w:r>
      <w:r>
        <w:rPr>
          <w:rFonts w:hint="default" w:ascii="Times New Roman" w:hAnsi="Times New Roman" w:eastAsia="楷体_GB2312" w:cs="Times New Roman"/>
          <w:b/>
          <w:bCs/>
          <w:color w:val="auto"/>
          <w:sz w:val="32"/>
          <w:szCs w:val="32"/>
          <w:highlight w:val="none"/>
          <w:lang w:eastAsia="zh-CN"/>
        </w:rPr>
        <w:t>经费</w:t>
      </w:r>
      <w:r>
        <w:rPr>
          <w:rFonts w:hint="default" w:ascii="Times New Roman" w:hAnsi="Times New Roman" w:eastAsia="楷体_GB2312" w:cs="Times New Roman"/>
          <w:b/>
          <w:bCs/>
          <w:color w:val="auto"/>
          <w:sz w:val="32"/>
          <w:szCs w:val="32"/>
          <w:highlight w:val="none"/>
        </w:rPr>
        <w:t>）</w:t>
      </w:r>
    </w:p>
    <w:p w14:paraId="7F60746C">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6AAC109F">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01F7928D">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eastAsia" w:ascii="仿宋_GB2312" w:hAnsi="仿宋_GB2312" w:eastAsia="仿宋_GB2312" w:cs="仿宋_GB2312"/>
          <w:color w:val="000000"/>
          <w:sz w:val="32"/>
          <w:szCs w:val="32"/>
          <w:lang w:val="en-US" w:eastAsia="zh-CN"/>
        </w:rPr>
      </w:pPr>
      <w:r>
        <w:rPr>
          <w:rFonts w:hint="default" w:ascii="Times New Roman" w:hAnsi="Times New Roman" w:eastAsia="楷体_GB2312" w:cs="Times New Roman"/>
          <w:b/>
          <w:bCs/>
          <w:color w:val="auto"/>
          <w:sz w:val="32"/>
          <w:szCs w:val="32"/>
          <w:highlight w:val="none"/>
          <w:lang w:val="en-US" w:eastAsia="zh-CN"/>
        </w:rPr>
        <w:t>（一）项目概况。</w:t>
      </w:r>
      <w:r>
        <w:rPr>
          <w:rFonts w:hint="eastAsia" w:ascii="仿宋_GB2312" w:hAnsi="仿宋_GB2312" w:eastAsia="仿宋_GB2312" w:cs="仿宋_GB2312"/>
          <w:color w:val="000000"/>
          <w:sz w:val="32"/>
          <w:szCs w:val="32"/>
          <w:lang w:val="en-US" w:eastAsia="zh-CN"/>
        </w:rPr>
        <w:t>按照《政协遂宁市船山区委员会2023年工作要点》安排部署及“同心共建现代化四川”相关工作要求，全年需组织政协委员、机关干部</w:t>
      </w:r>
      <w:r>
        <w:rPr>
          <w:rFonts w:hint="eastAsia" w:ascii="仿宋_GB2312" w:hAnsi="仿宋_GB2312" w:eastAsia="仿宋_GB2312" w:cs="仿宋_GB2312"/>
          <w:color w:val="000000"/>
          <w:kern w:val="0"/>
          <w:sz w:val="32"/>
          <w:szCs w:val="32"/>
          <w:u w:val="none"/>
          <w:lang w:val="en-US" w:eastAsia="zh-CN" w:bidi="ar-SA"/>
        </w:rPr>
        <w:t>聚焦同心共建川渝合作“桥头堡”、同心共建工业强区、同心共建商旅兴区等五项行动，聚焦“十大重点支撑项目”“六大攻坚行动”和“六大重要突破”等全区中心工作，深入调研、广泛协商，通过深入乡镇（村）、街道（社区）等地开展学习交流和视察调研活动，提出更多有用的精准之言和务实之策，为推动全区高质量发展贡献政协力量。该项目主要用于保障</w:t>
      </w:r>
      <w:r>
        <w:rPr>
          <w:rFonts w:hint="eastAsia" w:ascii="仿宋_GB2312" w:hAnsi="仿宋_GB2312" w:eastAsia="仿宋_GB2312" w:cs="仿宋_GB2312"/>
          <w:color w:val="auto"/>
          <w:sz w:val="32"/>
          <w:szCs w:val="32"/>
          <w:highlight w:val="none"/>
          <w:lang w:eastAsia="zh-CN"/>
        </w:rPr>
        <w:t>机关</w:t>
      </w:r>
      <w:r>
        <w:rPr>
          <w:rFonts w:hint="eastAsia" w:ascii="仿宋_GB2312" w:hAnsi="仿宋_GB2312" w:eastAsia="仿宋_GB2312" w:cs="仿宋_GB2312"/>
          <w:color w:val="auto"/>
          <w:sz w:val="32"/>
          <w:szCs w:val="32"/>
          <w:highlight w:val="none"/>
          <w:lang w:val="en-US" w:eastAsia="zh-CN"/>
        </w:rPr>
        <w:t>人员</w:t>
      </w:r>
      <w:r>
        <w:rPr>
          <w:rFonts w:hint="eastAsia" w:ascii="仿宋_GB2312" w:hAnsi="仿宋_GB2312" w:eastAsia="仿宋_GB2312" w:cs="仿宋_GB2312"/>
          <w:color w:val="auto"/>
          <w:sz w:val="32"/>
          <w:szCs w:val="32"/>
          <w:highlight w:val="none"/>
          <w:lang w:eastAsia="zh-CN"/>
        </w:rPr>
        <w:t>及</w:t>
      </w:r>
      <w:r>
        <w:rPr>
          <w:rFonts w:hint="eastAsia" w:ascii="仿宋_GB2312" w:hAnsi="仿宋_GB2312" w:eastAsia="仿宋_GB2312" w:cs="仿宋_GB2312"/>
          <w:color w:val="auto"/>
          <w:sz w:val="32"/>
          <w:szCs w:val="32"/>
          <w:highlight w:val="none"/>
          <w:lang w:val="en-US" w:eastAsia="zh-CN"/>
        </w:rPr>
        <w:t>委员外出学习交流、</w:t>
      </w:r>
      <w:r>
        <w:rPr>
          <w:rFonts w:hint="eastAsia" w:ascii="仿宋_GB2312" w:hAnsi="仿宋_GB2312" w:eastAsia="仿宋_GB2312" w:cs="仿宋_GB2312"/>
          <w:color w:val="auto"/>
          <w:sz w:val="32"/>
          <w:szCs w:val="32"/>
          <w:highlight w:val="none"/>
          <w:lang w:eastAsia="zh-CN"/>
        </w:rPr>
        <w:t>考察、调研、</w:t>
      </w:r>
      <w:r>
        <w:rPr>
          <w:rFonts w:hint="eastAsia" w:ascii="仿宋_GB2312" w:hAnsi="仿宋_GB2312" w:eastAsia="仿宋_GB2312" w:cs="仿宋_GB2312"/>
          <w:color w:val="auto"/>
          <w:sz w:val="32"/>
          <w:szCs w:val="32"/>
          <w:highlight w:val="none"/>
          <w:lang w:val="en-US" w:eastAsia="zh-CN"/>
        </w:rPr>
        <w:t>视察和培训等活动</w:t>
      </w:r>
      <w:r>
        <w:rPr>
          <w:rFonts w:hint="eastAsia" w:ascii="仿宋_GB2312" w:hAnsi="仿宋_GB2312" w:eastAsia="仿宋_GB2312" w:cs="仿宋_GB2312"/>
          <w:color w:val="auto"/>
          <w:sz w:val="32"/>
          <w:szCs w:val="32"/>
          <w:highlight w:val="none"/>
          <w:lang w:eastAsia="zh-CN"/>
        </w:rPr>
        <w:t>产生差旅</w:t>
      </w:r>
      <w:r>
        <w:rPr>
          <w:rFonts w:hint="eastAsia" w:ascii="仿宋_GB2312" w:hAnsi="仿宋_GB2312" w:eastAsia="仿宋_GB2312" w:cs="仿宋_GB2312"/>
          <w:color w:val="auto"/>
          <w:sz w:val="32"/>
          <w:szCs w:val="32"/>
          <w:highlight w:val="none"/>
          <w:lang w:val="en-US" w:eastAsia="zh-CN"/>
        </w:rPr>
        <w:t>费</w:t>
      </w:r>
      <w:r>
        <w:rPr>
          <w:rFonts w:hint="eastAsia" w:ascii="仿宋_GB2312" w:hAnsi="仿宋_GB2312" w:eastAsia="仿宋_GB2312" w:cs="仿宋_GB2312"/>
          <w:color w:val="auto"/>
          <w:sz w:val="32"/>
          <w:szCs w:val="32"/>
          <w:highlight w:val="none"/>
          <w:lang w:eastAsia="zh-CN"/>
        </w:rPr>
        <w:t>、租车</w:t>
      </w:r>
      <w:r>
        <w:rPr>
          <w:rFonts w:hint="eastAsia" w:ascii="仿宋_GB2312" w:hAnsi="仿宋_GB2312" w:eastAsia="仿宋_GB2312" w:cs="仿宋_GB2312"/>
          <w:color w:val="auto"/>
          <w:sz w:val="32"/>
          <w:szCs w:val="32"/>
          <w:highlight w:val="none"/>
          <w:lang w:val="en-US" w:eastAsia="zh-CN"/>
        </w:rPr>
        <w:t>费，以及全面展示政协工作宣传视频制作、氛围营造</w:t>
      </w:r>
      <w:r>
        <w:rPr>
          <w:rFonts w:hint="eastAsia" w:ascii="仿宋_GB2312" w:hAnsi="仿宋_GB2312" w:eastAsia="仿宋_GB2312" w:cs="仿宋_GB2312"/>
          <w:color w:val="auto"/>
          <w:sz w:val="32"/>
          <w:szCs w:val="32"/>
          <w:highlight w:val="none"/>
          <w:lang w:eastAsia="zh-CN"/>
        </w:rPr>
        <w:t>等相关支出。</w:t>
      </w:r>
    </w:p>
    <w:p w14:paraId="6F881AE9">
      <w:pPr>
        <w:keepNext w:val="0"/>
        <w:keepLines w:val="0"/>
        <w:pageBreakBefore w:val="0"/>
        <w:widowControl w:val="0"/>
        <w:kinsoku/>
        <w:wordWrap/>
        <w:overflowPunct/>
        <w:topLinePunct w:val="0"/>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000000"/>
          <w:w w:val="97"/>
          <w:kern w:val="2"/>
          <w:sz w:val="32"/>
          <w:szCs w:val="32"/>
          <w:lang w:val="en-US" w:bidi="ar-SA"/>
        </w:rPr>
      </w:pP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仿宋_GB2312" w:hAnsi="仿宋_GB2312" w:eastAsia="仿宋_GB2312" w:cs="仿宋_GB2312"/>
          <w:color w:val="000000"/>
          <w:sz w:val="32"/>
          <w:szCs w:val="32"/>
          <w:lang w:val="en-US" w:eastAsia="zh-CN"/>
        </w:rPr>
        <w:t>项目计划组织外出学习交流、视察调研至少20场次，租用车辆不少于5次，人员到岗率、租用车辆使用率、完成及时率达100%，财政监督管理制度健全，调研参与人员满意度不低于90%，总投入不超过30万元，确保政协工作有序推进。</w:t>
      </w:r>
      <w:r>
        <w:rPr>
          <w:rFonts w:hint="default" w:ascii="仿宋_GB2312" w:hAnsi="仿宋_GB2312" w:eastAsia="仿宋_GB2312" w:cs="仿宋_GB2312"/>
          <w:color w:val="000000"/>
          <w:sz w:val="32"/>
          <w:szCs w:val="32"/>
          <w:lang w:val="en-US" w:eastAsia="zh-CN"/>
        </w:rPr>
        <w:t>该项目均按照有关规章制度和工作要求有序推进。</w:t>
      </w:r>
      <w:r>
        <w:rPr>
          <w:rFonts w:hint="eastAsia" w:ascii="仿宋_GB2312" w:hAnsi="仿宋_GB2312" w:eastAsia="仿宋_GB2312" w:cs="仿宋_GB2312"/>
          <w:color w:val="000000"/>
          <w:sz w:val="32"/>
          <w:szCs w:val="32"/>
          <w:lang w:val="en-US" w:eastAsia="zh-CN"/>
        </w:rPr>
        <w:t>全年组织</w:t>
      </w:r>
      <w:r>
        <w:rPr>
          <w:rFonts w:hint="default" w:ascii="仿宋_GB2312" w:hAnsi="仿宋_GB2312" w:eastAsia="仿宋_GB2312" w:cs="仿宋_GB2312"/>
          <w:color w:val="000000"/>
          <w:sz w:val="32"/>
          <w:szCs w:val="32"/>
          <w:lang w:val="en-US" w:eastAsia="zh-CN"/>
        </w:rPr>
        <w:t>外出学习交流、视察调研</w:t>
      </w:r>
      <w:r>
        <w:rPr>
          <w:rFonts w:hint="eastAsia" w:ascii="仿宋_GB2312" w:hAnsi="仿宋_GB2312" w:eastAsia="仿宋_GB2312" w:cs="仿宋_GB2312"/>
          <w:color w:val="000000"/>
          <w:sz w:val="32"/>
          <w:szCs w:val="32"/>
          <w:lang w:val="en-US" w:eastAsia="zh-CN"/>
        </w:rPr>
        <w:t>40余次，车辆租赁20余次，人员到岗率、租用车辆使用率、完成及时率、参与人员满意度均达100%，完成30万元，助力政协发挥好了专门协商机构作用</w:t>
      </w:r>
      <w:r>
        <w:rPr>
          <w:rFonts w:hint="default" w:ascii="仿宋_GB2312" w:hAnsi="仿宋_GB2312" w:eastAsia="仿宋_GB2312" w:cs="仿宋_GB2312"/>
          <w:color w:val="000000"/>
          <w:sz w:val="32"/>
          <w:szCs w:val="32"/>
          <w:lang w:val="en-US" w:eastAsia="zh-CN"/>
        </w:rPr>
        <w:t>，提升</w:t>
      </w:r>
      <w:r>
        <w:rPr>
          <w:rFonts w:hint="eastAsia" w:ascii="仿宋_GB2312" w:hAnsi="仿宋_GB2312" w:eastAsia="仿宋_GB2312" w:cs="仿宋_GB2312"/>
          <w:color w:val="000000"/>
          <w:sz w:val="32"/>
          <w:szCs w:val="32"/>
          <w:lang w:val="en-US" w:eastAsia="zh-CN"/>
        </w:rPr>
        <w:t>了</w:t>
      </w:r>
      <w:r>
        <w:rPr>
          <w:rFonts w:hint="default" w:ascii="仿宋_GB2312" w:hAnsi="仿宋_GB2312" w:eastAsia="仿宋_GB2312" w:cs="仿宋_GB2312"/>
          <w:color w:val="000000"/>
          <w:sz w:val="32"/>
          <w:szCs w:val="32"/>
          <w:lang w:val="en-US" w:eastAsia="zh-CN"/>
        </w:rPr>
        <w:t>政协服务中心大局贡献率，为奋力推进社会主义现代化船山建设聚势赋能。</w:t>
      </w:r>
    </w:p>
    <w:p w14:paraId="49CFCD07">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jc w:val="both"/>
        <w:rPr>
          <w:rFonts w:hint="default" w:ascii="Times New Roman" w:hAnsi="Times New Roman" w:cs="Times New Roman"/>
          <w:color w:val="auto"/>
          <w:sz w:val="32"/>
          <w:szCs w:val="32"/>
          <w:highlight w:val="none"/>
          <w:lang w:val="en-US" w:eastAsia="zh-CN"/>
        </w:rPr>
      </w:pPr>
      <w:r>
        <w:rPr>
          <w:rFonts w:hint="default" w:ascii="Times New Roman" w:hAnsi="Times New Roman" w:eastAsia="楷体_GB2312" w:cs="Times New Roman"/>
          <w:b/>
          <w:bCs/>
          <w:color w:val="auto"/>
          <w:kern w:val="2"/>
          <w:sz w:val="32"/>
          <w:szCs w:val="32"/>
          <w:highlight w:val="none"/>
          <w:lang w:val="en-US" w:eastAsia="zh-CN" w:bidi="ar-SA"/>
        </w:rPr>
        <w:t>（三）资金投入使用情况。</w:t>
      </w:r>
      <w:r>
        <w:rPr>
          <w:rFonts w:hint="default" w:ascii="仿宋_GB2312" w:hAnsi="仿宋_GB2312" w:eastAsia="仿宋_GB2312" w:cs="仿宋_GB2312"/>
          <w:color w:val="000000"/>
          <w:kern w:val="2"/>
          <w:sz w:val="32"/>
          <w:szCs w:val="32"/>
          <w:lang w:val="en-US" w:eastAsia="zh-CN" w:bidi="ar-SA"/>
        </w:rPr>
        <w:t>该项目202</w:t>
      </w:r>
      <w:r>
        <w:rPr>
          <w:rFonts w:hint="eastAsia" w:ascii="仿宋_GB2312" w:hAnsi="仿宋_GB2312" w:eastAsia="仿宋_GB2312" w:cs="仿宋_GB2312"/>
          <w:color w:val="000000"/>
          <w:kern w:val="2"/>
          <w:sz w:val="32"/>
          <w:szCs w:val="32"/>
          <w:lang w:val="en-US" w:eastAsia="zh-CN" w:bidi="ar-SA"/>
        </w:rPr>
        <w:t>3</w:t>
      </w:r>
      <w:r>
        <w:rPr>
          <w:rFonts w:hint="default" w:ascii="仿宋_GB2312" w:hAnsi="仿宋_GB2312" w:eastAsia="仿宋_GB2312" w:cs="仿宋_GB2312"/>
          <w:color w:val="000000"/>
          <w:kern w:val="2"/>
          <w:sz w:val="32"/>
          <w:szCs w:val="32"/>
          <w:lang w:val="en-US" w:eastAsia="zh-CN" w:bidi="ar-SA"/>
        </w:rPr>
        <w:t>年年初预算资金</w:t>
      </w:r>
      <w:r>
        <w:rPr>
          <w:rFonts w:hint="eastAsia" w:ascii="仿宋_GB2312" w:hAnsi="仿宋_GB2312" w:eastAsia="仿宋_GB2312" w:cs="仿宋_GB2312"/>
          <w:color w:val="000000"/>
          <w:kern w:val="2"/>
          <w:sz w:val="32"/>
          <w:szCs w:val="32"/>
          <w:lang w:val="en-US" w:eastAsia="zh-CN" w:bidi="ar-SA"/>
        </w:rPr>
        <w:t>3</w:t>
      </w:r>
      <w:r>
        <w:rPr>
          <w:rFonts w:hint="default" w:ascii="仿宋_GB2312" w:hAnsi="仿宋_GB2312" w:eastAsia="仿宋_GB2312" w:cs="仿宋_GB2312"/>
          <w:color w:val="000000"/>
          <w:kern w:val="2"/>
          <w:sz w:val="32"/>
          <w:szCs w:val="32"/>
          <w:lang w:val="en-US" w:eastAsia="zh-CN" w:bidi="ar-SA"/>
        </w:rPr>
        <w:t>0万元，</w:t>
      </w:r>
      <w:r>
        <w:rPr>
          <w:rFonts w:hint="eastAsia" w:ascii="仿宋_GB2312" w:hAnsi="仿宋_GB2312" w:eastAsia="仿宋_GB2312" w:cs="仿宋_GB2312"/>
          <w:color w:val="000000"/>
          <w:kern w:val="2"/>
          <w:sz w:val="32"/>
          <w:szCs w:val="32"/>
          <w:lang w:val="en-US" w:eastAsia="zh-CN" w:bidi="ar-SA"/>
        </w:rPr>
        <w:t>财政下达资金30万元，</w:t>
      </w:r>
      <w:r>
        <w:rPr>
          <w:rFonts w:hint="default" w:ascii="仿宋_GB2312" w:hAnsi="仿宋_GB2312" w:eastAsia="仿宋_GB2312" w:cs="仿宋_GB2312"/>
          <w:color w:val="000000"/>
          <w:kern w:val="2"/>
          <w:sz w:val="32"/>
          <w:szCs w:val="32"/>
          <w:lang w:val="en-US" w:eastAsia="zh-CN" w:bidi="ar-SA"/>
        </w:rPr>
        <w:t>财政收回指标</w:t>
      </w:r>
      <w:r>
        <w:rPr>
          <w:rFonts w:hint="eastAsia" w:ascii="仿宋_GB2312" w:hAnsi="仿宋_GB2312" w:eastAsia="仿宋_GB2312" w:cs="仿宋_GB2312"/>
          <w:color w:val="000000"/>
          <w:kern w:val="2"/>
          <w:sz w:val="32"/>
          <w:szCs w:val="32"/>
          <w:lang w:val="en-US" w:eastAsia="zh-CN" w:bidi="ar-SA"/>
        </w:rPr>
        <w:t>1.1</w:t>
      </w:r>
      <w:r>
        <w:rPr>
          <w:rFonts w:hint="default" w:ascii="仿宋_GB2312" w:hAnsi="仿宋_GB2312" w:eastAsia="仿宋_GB2312" w:cs="仿宋_GB2312"/>
          <w:color w:val="000000"/>
          <w:kern w:val="2"/>
          <w:sz w:val="32"/>
          <w:szCs w:val="32"/>
          <w:lang w:val="en-US" w:eastAsia="zh-CN" w:bidi="ar-SA"/>
        </w:rPr>
        <w:t>万元，支出</w:t>
      </w:r>
      <w:r>
        <w:rPr>
          <w:rFonts w:hint="eastAsia" w:ascii="仿宋_GB2312" w:hAnsi="仿宋_GB2312" w:eastAsia="仿宋_GB2312" w:cs="仿宋_GB2312"/>
          <w:color w:val="000000"/>
          <w:kern w:val="2"/>
          <w:sz w:val="32"/>
          <w:szCs w:val="32"/>
          <w:lang w:val="en-US" w:eastAsia="zh-CN" w:bidi="ar-SA"/>
        </w:rPr>
        <w:t>28.9</w:t>
      </w:r>
      <w:r>
        <w:rPr>
          <w:rFonts w:hint="default" w:ascii="仿宋_GB2312" w:hAnsi="仿宋_GB2312" w:eastAsia="仿宋_GB2312" w:cs="仿宋_GB2312"/>
          <w:color w:val="000000"/>
          <w:kern w:val="2"/>
          <w:sz w:val="32"/>
          <w:szCs w:val="32"/>
          <w:lang w:val="en-US" w:eastAsia="zh-CN" w:bidi="ar-SA"/>
        </w:rPr>
        <w:t>万元，完成率100%。</w:t>
      </w:r>
    </w:p>
    <w:p w14:paraId="5EF38F33">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楷体_GB2312" w:cs="Times New Roman"/>
          <w:b/>
          <w:bCs/>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（四）项目绩效目标</w:t>
      </w:r>
    </w:p>
    <w:tbl>
      <w:tblPr>
        <w:tblStyle w:val="20"/>
        <w:tblpPr w:leftFromText="180" w:rightFromText="180" w:vertAnchor="text" w:horzAnchor="page" w:tblpXSpec="center" w:tblpY="619"/>
        <w:tblOverlap w:val="never"/>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7"/>
        <w:gridCol w:w="1950"/>
        <w:gridCol w:w="3363"/>
        <w:gridCol w:w="1412"/>
        <w:gridCol w:w="1563"/>
      </w:tblGrid>
      <w:tr w14:paraId="1C84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21DA8A28">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4F575D77">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0239882A">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412" w:type="dxa"/>
            <w:tcBorders>
              <w:top w:val="single" w:color="000000" w:sz="4" w:space="0"/>
              <w:left w:val="single" w:color="000000" w:sz="4" w:space="0"/>
              <w:bottom w:val="single" w:color="000000" w:sz="4" w:space="0"/>
              <w:right w:val="single" w:color="000000" w:sz="4" w:space="0"/>
            </w:tcBorders>
            <w:vAlign w:val="center"/>
          </w:tcPr>
          <w:p w14:paraId="21EAF2B0">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sz w:val="18"/>
                <w:szCs w:val="18"/>
                <w:u w:val="none"/>
                <w:lang w:val="en-US" w:eastAsia="zh-CN"/>
              </w:rPr>
              <w:t>年度指标值</w:t>
            </w:r>
          </w:p>
        </w:tc>
        <w:tc>
          <w:tcPr>
            <w:tcW w:w="1563" w:type="dxa"/>
            <w:tcBorders>
              <w:top w:val="single" w:color="000000" w:sz="4" w:space="0"/>
              <w:left w:val="single" w:color="000000" w:sz="4" w:space="0"/>
              <w:bottom w:val="single" w:color="000000" w:sz="4" w:space="0"/>
              <w:right w:val="single" w:color="000000" w:sz="4" w:space="0"/>
            </w:tcBorders>
            <w:vAlign w:val="center"/>
          </w:tcPr>
          <w:p w14:paraId="61A2C50D">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全年完成情况</w:t>
            </w:r>
          </w:p>
        </w:tc>
      </w:tr>
      <w:tr w14:paraId="0442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0A1D112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5F17516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3044166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学习交流和视察调研人员到岗率</w:t>
            </w:r>
          </w:p>
        </w:tc>
        <w:tc>
          <w:tcPr>
            <w:tcW w:w="1412" w:type="dxa"/>
            <w:tcBorders>
              <w:top w:val="single" w:color="000000" w:sz="4" w:space="0"/>
              <w:left w:val="single" w:color="000000" w:sz="4" w:space="0"/>
              <w:bottom w:val="single" w:color="000000" w:sz="4" w:space="0"/>
              <w:right w:val="single" w:color="000000" w:sz="4" w:space="0"/>
            </w:tcBorders>
            <w:vAlign w:val="center"/>
          </w:tcPr>
          <w:p w14:paraId="2F721B11">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563" w:type="dxa"/>
            <w:tcBorders>
              <w:top w:val="single" w:color="000000" w:sz="4" w:space="0"/>
              <w:left w:val="single" w:color="000000" w:sz="4" w:space="0"/>
              <w:bottom w:val="single" w:color="000000" w:sz="4" w:space="0"/>
              <w:right w:val="single" w:color="000000" w:sz="4" w:space="0"/>
            </w:tcBorders>
            <w:vAlign w:val="center"/>
          </w:tcPr>
          <w:p w14:paraId="07D3786F">
            <w:pPr>
              <w:keepNext w:val="0"/>
              <w:keepLines w:val="0"/>
              <w:widowControl/>
              <w:suppressLineNumbers w:val="0"/>
              <w:jc w:val="center"/>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100%</w:t>
            </w:r>
          </w:p>
        </w:tc>
      </w:tr>
      <w:tr w14:paraId="4EAFD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4D8510C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0397B1B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3BA39B6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完成及时率</w:t>
            </w:r>
          </w:p>
        </w:tc>
        <w:tc>
          <w:tcPr>
            <w:tcW w:w="1412" w:type="dxa"/>
            <w:tcBorders>
              <w:top w:val="single" w:color="000000" w:sz="4" w:space="0"/>
              <w:left w:val="single" w:color="000000" w:sz="4" w:space="0"/>
              <w:bottom w:val="single" w:color="000000" w:sz="4" w:space="0"/>
              <w:right w:val="single" w:color="000000" w:sz="4" w:space="0"/>
            </w:tcBorders>
            <w:vAlign w:val="center"/>
          </w:tcPr>
          <w:p w14:paraId="45291A3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563" w:type="dxa"/>
            <w:tcBorders>
              <w:top w:val="single" w:color="000000" w:sz="4" w:space="0"/>
              <w:left w:val="single" w:color="000000" w:sz="4" w:space="0"/>
              <w:bottom w:val="single" w:color="000000" w:sz="4" w:space="0"/>
              <w:right w:val="single" w:color="000000" w:sz="4" w:space="0"/>
            </w:tcBorders>
            <w:vAlign w:val="center"/>
          </w:tcPr>
          <w:p w14:paraId="714C2CD8">
            <w:pPr>
              <w:keepNext w:val="0"/>
              <w:keepLines w:val="0"/>
              <w:widowControl/>
              <w:suppressLineNumbers w:val="0"/>
              <w:jc w:val="center"/>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100%</w:t>
            </w:r>
          </w:p>
        </w:tc>
      </w:tr>
      <w:tr w14:paraId="1C6F3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7164347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46ED8BE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3F4B742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租用车辆使用率</w:t>
            </w:r>
          </w:p>
        </w:tc>
        <w:tc>
          <w:tcPr>
            <w:tcW w:w="1412" w:type="dxa"/>
            <w:tcBorders>
              <w:top w:val="single" w:color="000000" w:sz="4" w:space="0"/>
              <w:left w:val="single" w:color="000000" w:sz="4" w:space="0"/>
              <w:bottom w:val="single" w:color="000000" w:sz="4" w:space="0"/>
              <w:right w:val="single" w:color="000000" w:sz="4" w:space="0"/>
            </w:tcBorders>
            <w:vAlign w:val="center"/>
          </w:tcPr>
          <w:p w14:paraId="551A714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563" w:type="dxa"/>
            <w:tcBorders>
              <w:top w:val="single" w:color="000000" w:sz="4" w:space="0"/>
              <w:left w:val="single" w:color="000000" w:sz="4" w:space="0"/>
              <w:bottom w:val="single" w:color="000000" w:sz="4" w:space="0"/>
              <w:right w:val="single" w:color="000000" w:sz="4" w:space="0"/>
            </w:tcBorders>
            <w:vAlign w:val="center"/>
          </w:tcPr>
          <w:p w14:paraId="1FDE8A0B">
            <w:pPr>
              <w:keepNext w:val="0"/>
              <w:keepLines w:val="0"/>
              <w:widowControl/>
              <w:suppressLineNumbers w:val="0"/>
              <w:jc w:val="center"/>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100%</w:t>
            </w:r>
          </w:p>
        </w:tc>
      </w:tr>
      <w:tr w14:paraId="2850A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4E7F7AD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42B587A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0EF62E7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租用车辆次数</w:t>
            </w:r>
          </w:p>
        </w:tc>
        <w:tc>
          <w:tcPr>
            <w:tcW w:w="1412" w:type="dxa"/>
            <w:tcBorders>
              <w:top w:val="single" w:color="000000" w:sz="4" w:space="0"/>
              <w:left w:val="single" w:color="000000" w:sz="4" w:space="0"/>
              <w:bottom w:val="single" w:color="000000" w:sz="4" w:space="0"/>
              <w:right w:val="single" w:color="000000" w:sz="4" w:space="0"/>
            </w:tcBorders>
            <w:vAlign w:val="center"/>
          </w:tcPr>
          <w:p w14:paraId="59F6FA2E">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≥5次</w:t>
            </w:r>
          </w:p>
        </w:tc>
        <w:tc>
          <w:tcPr>
            <w:tcW w:w="1563" w:type="dxa"/>
            <w:tcBorders>
              <w:top w:val="single" w:color="000000" w:sz="4" w:space="0"/>
              <w:left w:val="single" w:color="000000" w:sz="4" w:space="0"/>
              <w:bottom w:val="single" w:color="000000" w:sz="4" w:space="0"/>
              <w:right w:val="single" w:color="000000" w:sz="4" w:space="0"/>
            </w:tcBorders>
            <w:vAlign w:val="center"/>
          </w:tcPr>
          <w:p w14:paraId="5814F5FB">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20次</w:t>
            </w:r>
          </w:p>
        </w:tc>
      </w:tr>
      <w:tr w14:paraId="1EEB0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7C61F35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277EF2B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2DA104A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外出学习交流、视察调研次数</w:t>
            </w:r>
          </w:p>
        </w:tc>
        <w:tc>
          <w:tcPr>
            <w:tcW w:w="1412" w:type="dxa"/>
            <w:tcBorders>
              <w:top w:val="single" w:color="000000" w:sz="4" w:space="0"/>
              <w:left w:val="single" w:color="000000" w:sz="4" w:space="0"/>
              <w:bottom w:val="single" w:color="000000" w:sz="4" w:space="0"/>
              <w:right w:val="single" w:color="000000" w:sz="4" w:space="0"/>
            </w:tcBorders>
            <w:vAlign w:val="center"/>
          </w:tcPr>
          <w:p w14:paraId="582701C7">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≥20场次</w:t>
            </w:r>
          </w:p>
        </w:tc>
        <w:tc>
          <w:tcPr>
            <w:tcW w:w="1563" w:type="dxa"/>
            <w:tcBorders>
              <w:top w:val="single" w:color="000000" w:sz="4" w:space="0"/>
              <w:left w:val="single" w:color="000000" w:sz="4" w:space="0"/>
              <w:bottom w:val="single" w:color="000000" w:sz="4" w:space="0"/>
              <w:right w:val="single" w:color="000000" w:sz="4" w:space="0"/>
            </w:tcBorders>
            <w:vAlign w:val="center"/>
          </w:tcPr>
          <w:p w14:paraId="4FA0763B">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40场次</w:t>
            </w:r>
          </w:p>
        </w:tc>
      </w:tr>
      <w:tr w14:paraId="6DEE7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28D6731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6E6B8D5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701C452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财政监督管理制度健全性</w:t>
            </w:r>
          </w:p>
        </w:tc>
        <w:tc>
          <w:tcPr>
            <w:tcW w:w="1412" w:type="dxa"/>
            <w:tcBorders>
              <w:top w:val="single" w:color="000000" w:sz="4" w:space="0"/>
              <w:left w:val="single" w:color="000000" w:sz="4" w:space="0"/>
              <w:bottom w:val="single" w:color="000000" w:sz="4" w:space="0"/>
              <w:right w:val="single" w:color="000000" w:sz="4" w:space="0"/>
            </w:tcBorders>
            <w:vAlign w:val="center"/>
          </w:tcPr>
          <w:p w14:paraId="0047B57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563" w:type="dxa"/>
            <w:tcBorders>
              <w:top w:val="single" w:color="000000" w:sz="4" w:space="0"/>
              <w:left w:val="single" w:color="000000" w:sz="4" w:space="0"/>
              <w:bottom w:val="single" w:color="000000" w:sz="4" w:space="0"/>
              <w:right w:val="single" w:color="000000" w:sz="4" w:space="0"/>
            </w:tcBorders>
            <w:vAlign w:val="center"/>
          </w:tcPr>
          <w:p w14:paraId="74858EB4">
            <w:pPr>
              <w:jc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521D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2DCE7E7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6DAB2C5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0488ABC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政协工作有序推进</w:t>
            </w:r>
          </w:p>
        </w:tc>
        <w:tc>
          <w:tcPr>
            <w:tcW w:w="1412" w:type="dxa"/>
            <w:tcBorders>
              <w:top w:val="single" w:color="000000" w:sz="4" w:space="0"/>
              <w:left w:val="single" w:color="000000" w:sz="4" w:space="0"/>
              <w:bottom w:val="single" w:color="000000" w:sz="4" w:space="0"/>
              <w:right w:val="single" w:color="000000" w:sz="4" w:space="0"/>
            </w:tcBorders>
            <w:vAlign w:val="center"/>
          </w:tcPr>
          <w:p w14:paraId="2B3BD66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563" w:type="dxa"/>
            <w:tcBorders>
              <w:top w:val="single" w:color="000000" w:sz="4" w:space="0"/>
              <w:left w:val="single" w:color="000000" w:sz="4" w:space="0"/>
              <w:bottom w:val="single" w:color="000000" w:sz="4" w:space="0"/>
              <w:right w:val="single" w:color="000000" w:sz="4" w:space="0"/>
            </w:tcBorders>
            <w:vAlign w:val="center"/>
          </w:tcPr>
          <w:p w14:paraId="2438DA3D">
            <w:pPr>
              <w:jc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1CF64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6266B4F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42F70C1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040DDF6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学习交流和视察调研参与人员满意度</w:t>
            </w:r>
          </w:p>
        </w:tc>
        <w:tc>
          <w:tcPr>
            <w:tcW w:w="1412" w:type="dxa"/>
            <w:tcBorders>
              <w:top w:val="single" w:color="000000" w:sz="4" w:space="0"/>
              <w:left w:val="single" w:color="000000" w:sz="4" w:space="0"/>
              <w:bottom w:val="single" w:color="000000" w:sz="4" w:space="0"/>
              <w:right w:val="single" w:color="000000" w:sz="4" w:space="0"/>
            </w:tcBorders>
            <w:vAlign w:val="center"/>
          </w:tcPr>
          <w:p w14:paraId="1DE30F6E">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≥90%</w:t>
            </w:r>
          </w:p>
        </w:tc>
        <w:tc>
          <w:tcPr>
            <w:tcW w:w="1563" w:type="dxa"/>
            <w:tcBorders>
              <w:top w:val="single" w:color="000000" w:sz="4" w:space="0"/>
              <w:left w:val="single" w:color="000000" w:sz="4" w:space="0"/>
              <w:bottom w:val="single" w:color="000000" w:sz="4" w:space="0"/>
              <w:right w:val="single" w:color="000000" w:sz="4" w:space="0"/>
            </w:tcBorders>
            <w:vAlign w:val="center"/>
          </w:tcPr>
          <w:p w14:paraId="5BA7F266">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100%</w:t>
            </w:r>
          </w:p>
        </w:tc>
      </w:tr>
      <w:tr w14:paraId="08E71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57" w:type="dxa"/>
            <w:tcBorders>
              <w:top w:val="single" w:color="000000" w:sz="4" w:space="0"/>
              <w:left w:val="single" w:color="000000" w:sz="4" w:space="0"/>
              <w:bottom w:val="single" w:color="000000" w:sz="4" w:space="0"/>
              <w:right w:val="single" w:color="000000" w:sz="4" w:space="0"/>
            </w:tcBorders>
            <w:vAlign w:val="center"/>
          </w:tcPr>
          <w:p w14:paraId="5559913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127F53E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经济成本指标</w:t>
            </w:r>
          </w:p>
        </w:tc>
        <w:tc>
          <w:tcPr>
            <w:tcW w:w="3363" w:type="dxa"/>
            <w:tcBorders>
              <w:top w:val="single" w:color="000000" w:sz="4" w:space="0"/>
              <w:left w:val="single" w:color="000000" w:sz="4" w:space="0"/>
              <w:bottom w:val="single" w:color="000000" w:sz="4" w:space="0"/>
              <w:right w:val="single" w:color="000000" w:sz="4" w:space="0"/>
            </w:tcBorders>
            <w:vAlign w:val="center"/>
          </w:tcPr>
          <w:p w14:paraId="28167F0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项目总投入</w:t>
            </w:r>
          </w:p>
        </w:tc>
        <w:tc>
          <w:tcPr>
            <w:tcW w:w="1412" w:type="dxa"/>
            <w:tcBorders>
              <w:top w:val="single" w:color="000000" w:sz="4" w:space="0"/>
              <w:left w:val="single" w:color="000000" w:sz="4" w:space="0"/>
              <w:bottom w:val="single" w:color="000000" w:sz="4" w:space="0"/>
              <w:right w:val="single" w:color="000000" w:sz="4" w:space="0"/>
            </w:tcBorders>
            <w:vAlign w:val="center"/>
          </w:tcPr>
          <w:p w14:paraId="05B8B6AC">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≤30万元</w:t>
            </w:r>
          </w:p>
        </w:tc>
        <w:tc>
          <w:tcPr>
            <w:tcW w:w="1563" w:type="dxa"/>
            <w:tcBorders>
              <w:top w:val="single" w:color="000000" w:sz="4" w:space="0"/>
              <w:left w:val="single" w:color="000000" w:sz="4" w:space="0"/>
              <w:bottom w:val="single" w:color="000000" w:sz="4" w:space="0"/>
              <w:right w:val="single" w:color="000000" w:sz="4" w:space="0"/>
            </w:tcBorders>
            <w:vAlign w:val="center"/>
          </w:tcPr>
          <w:p w14:paraId="67CE4CB1">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30万元</w:t>
            </w:r>
          </w:p>
        </w:tc>
      </w:tr>
    </w:tbl>
    <w:p w14:paraId="6589D6F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p>
    <w:p w14:paraId="382BA163">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161431B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我单位本次项目支出绩效评价按照《遂宁市船山区财政局关于开展202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年部门、项目、政策支出绩效自评工作的通知》（遂船财</w:t>
      </w:r>
      <w:r>
        <w:rPr>
          <w:rFonts w:hint="eastAsia" w:ascii="Times New Roman" w:hAnsi="Times New Roman" w:eastAsia="仿宋_GB2312" w:cs="Times New Roman"/>
          <w:color w:val="auto"/>
          <w:sz w:val="32"/>
          <w:szCs w:val="32"/>
          <w:lang w:val="en-US" w:eastAsia="zh-CN"/>
        </w:rPr>
        <w:t>绩</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号）文件要求执行。本次项目支出的指标体系分为4个</w:t>
      </w:r>
      <w:r>
        <w:rPr>
          <w:rFonts w:hint="eastAsia" w:ascii="Times New Roman" w:hAnsi="Times New Roman" w:eastAsia="仿宋_GB2312" w:cs="Times New Roman"/>
          <w:color w:val="auto"/>
          <w:sz w:val="32"/>
          <w:szCs w:val="32"/>
          <w:lang w:val="en-US" w:eastAsia="zh-CN"/>
        </w:rPr>
        <w:t>分层</w:t>
      </w:r>
      <w:r>
        <w:rPr>
          <w:rFonts w:hint="default" w:ascii="Times New Roman" w:hAnsi="Times New Roman" w:eastAsia="仿宋_GB2312" w:cs="Times New Roman"/>
          <w:color w:val="auto"/>
          <w:sz w:val="32"/>
          <w:szCs w:val="32"/>
          <w:lang w:val="en-US" w:eastAsia="zh-CN"/>
        </w:rPr>
        <w:t>指标、9个</w:t>
      </w:r>
      <w:r>
        <w:rPr>
          <w:rFonts w:hint="eastAsia" w:ascii="Times New Roman" w:hAnsi="Times New Roman"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lang w:val="en-US" w:eastAsia="zh-CN"/>
        </w:rPr>
        <w:t>级指标、13个</w:t>
      </w:r>
      <w:r>
        <w:rPr>
          <w:rFonts w:hint="eastAsia" w:ascii="Times New Roman" w:hAnsi="Times New Roman" w:eastAsia="仿宋_GB2312" w:cs="Times New Roman"/>
          <w:color w:val="auto"/>
          <w:sz w:val="32"/>
          <w:szCs w:val="32"/>
          <w:lang w:val="en-US" w:eastAsia="zh-CN"/>
        </w:rPr>
        <w:t>二</w:t>
      </w:r>
      <w:r>
        <w:rPr>
          <w:rFonts w:hint="default" w:ascii="Times New Roman" w:hAnsi="Times New Roman" w:eastAsia="仿宋_GB2312" w:cs="Times New Roman"/>
          <w:color w:val="auto"/>
          <w:sz w:val="32"/>
          <w:szCs w:val="32"/>
          <w:lang w:val="en-US" w:eastAsia="zh-CN"/>
        </w:rPr>
        <w:t>级指标，共计100分。评价</w:t>
      </w:r>
      <w:r>
        <w:rPr>
          <w:rFonts w:hint="eastAsia" w:ascii="Times New Roman" w:hAnsi="Times New Roman" w:eastAsia="仿宋_GB2312" w:cs="Times New Roman"/>
          <w:color w:val="auto"/>
          <w:sz w:val="32"/>
          <w:szCs w:val="32"/>
          <w:lang w:val="en-US" w:eastAsia="zh-CN"/>
        </w:rPr>
        <w:t>方法是</w:t>
      </w:r>
      <w:r>
        <w:rPr>
          <w:rFonts w:hint="default" w:ascii="Times New Roman" w:hAnsi="Times New Roman" w:eastAsia="仿宋_GB2312" w:cs="Times New Roman"/>
          <w:color w:val="auto"/>
          <w:sz w:val="32"/>
          <w:szCs w:val="32"/>
          <w:lang w:val="en-US" w:eastAsia="zh-CN"/>
        </w:rPr>
        <w:t>核对财务账目、检查档案资料，重点查看账目，账实对照，对资金使用进行综合分析，作出总体性评价。</w:t>
      </w:r>
    </w:p>
    <w:p w14:paraId="554DF16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Chars="200" w:right="0" w:rightChars="0"/>
        <w:jc w:val="both"/>
        <w:textAlignment w:val="auto"/>
        <w:outlineLvl w:val="9"/>
        <w:rPr>
          <w:rFonts w:hint="default"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lang w:val="en-US" w:eastAsia="zh-CN"/>
        </w:rPr>
        <w:t>三、</w:t>
      </w:r>
      <w:r>
        <w:rPr>
          <w:rFonts w:hint="default" w:ascii="Times New Roman" w:hAnsi="Times New Roman" w:eastAsia="黑体" w:cs="Times New Roman"/>
          <w:color w:val="auto"/>
          <w:sz w:val="32"/>
          <w:szCs w:val="32"/>
          <w:highlight w:val="none"/>
        </w:rPr>
        <w:t>综合评价结论（附评分表）</w:t>
      </w:r>
    </w:p>
    <w:p w14:paraId="15CD2437">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rPr>
      </w:pPr>
      <w:r>
        <w:rPr>
          <w:rFonts w:hint="default" w:ascii="Times New Roman" w:hAnsi="Times New Roman" w:eastAsia="仿宋_GB2312" w:cs="Times New Roman"/>
          <w:color w:val="auto"/>
          <w:sz w:val="32"/>
          <w:szCs w:val="32"/>
          <w:lang w:val="zh-CN"/>
        </w:rPr>
        <w:t>绩效目标科学完整，资金管理到位，预算执行规范，按期完成开支进度，实现政协建言献策的社会效应，</w:t>
      </w:r>
      <w:r>
        <w:rPr>
          <w:rFonts w:hint="default" w:ascii="Times New Roman" w:hAnsi="Times New Roman" w:eastAsia="仿宋_GB2312" w:cs="Times New Roman"/>
          <w:color w:val="auto"/>
          <w:sz w:val="32"/>
          <w:szCs w:val="32"/>
          <w:lang w:val="en-US" w:eastAsia="zh-CN"/>
        </w:rPr>
        <w:t>综合评价得分100分，详见下表</w:t>
      </w:r>
      <w:r>
        <w:rPr>
          <w:rFonts w:hint="eastAsia" w:ascii="Times New Roman" w:hAnsi="Times New Roman" w:eastAsia="仿宋_GB2312" w:cs="Times New Roman"/>
          <w:color w:val="auto"/>
          <w:sz w:val="32"/>
          <w:szCs w:val="32"/>
          <w:lang w:val="en-US" w:eastAsia="zh-CN"/>
        </w:rPr>
        <w:t>。</w:t>
      </w:r>
    </w:p>
    <w:tbl>
      <w:tblPr>
        <w:tblStyle w:val="20"/>
        <w:tblpPr w:leftFromText="180" w:rightFromText="180" w:vertAnchor="text" w:horzAnchor="page" w:tblpX="1818" w:tblpY="13"/>
        <w:tblOverlap w:val="never"/>
        <w:tblW w:w="8336" w:type="dxa"/>
        <w:tblInd w:w="0" w:type="dxa"/>
        <w:tblLayout w:type="fixed"/>
        <w:tblCellMar>
          <w:top w:w="0" w:type="dxa"/>
          <w:left w:w="0" w:type="dxa"/>
          <w:bottom w:w="0" w:type="dxa"/>
          <w:right w:w="0" w:type="dxa"/>
        </w:tblCellMar>
      </w:tblPr>
      <w:tblGrid>
        <w:gridCol w:w="1105"/>
        <w:gridCol w:w="897"/>
        <w:gridCol w:w="978"/>
        <w:gridCol w:w="1528"/>
        <w:gridCol w:w="637"/>
        <w:gridCol w:w="901"/>
        <w:gridCol w:w="1236"/>
        <w:gridCol w:w="1054"/>
      </w:tblGrid>
      <w:tr w14:paraId="53227E6F">
        <w:tblPrEx>
          <w:tblCellMar>
            <w:top w:w="0" w:type="dxa"/>
            <w:left w:w="0" w:type="dxa"/>
            <w:bottom w:w="0" w:type="dxa"/>
            <w:right w:w="0" w:type="dxa"/>
          </w:tblCellMar>
        </w:tblPrEx>
        <w:trPr>
          <w:trHeight w:val="606" w:hRule="atLeast"/>
        </w:trPr>
        <w:tc>
          <w:tcPr>
            <w:tcW w:w="450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BB30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63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7A8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90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5800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23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691DD6E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105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728E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68534600">
        <w:tblPrEx>
          <w:tblCellMar>
            <w:top w:w="0" w:type="dxa"/>
            <w:left w:w="0" w:type="dxa"/>
            <w:bottom w:w="0" w:type="dxa"/>
            <w:right w:w="0" w:type="dxa"/>
          </w:tblCellMar>
        </w:tblPrEx>
        <w:trPr>
          <w:trHeight w:val="606" w:hRule="atLeast"/>
        </w:trPr>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817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8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5D5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9BB2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4613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63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F1F9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F4A8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36" w:type="dxa"/>
            <w:vMerge w:val="continue"/>
            <w:tcBorders>
              <w:left w:val="single" w:color="000000" w:sz="4" w:space="0"/>
              <w:right w:val="single" w:color="000000" w:sz="4" w:space="0"/>
            </w:tcBorders>
            <w:tcMar>
              <w:top w:w="15" w:type="dxa"/>
              <w:left w:w="15" w:type="dxa"/>
              <w:right w:w="15" w:type="dxa"/>
            </w:tcMar>
            <w:vAlign w:val="center"/>
          </w:tcPr>
          <w:p w14:paraId="090749B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1B75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r>
      <w:tr w14:paraId="0FEFFC09">
        <w:tblPrEx>
          <w:tblCellMar>
            <w:top w:w="0" w:type="dxa"/>
            <w:left w:w="0" w:type="dxa"/>
            <w:bottom w:w="0" w:type="dxa"/>
            <w:right w:w="0" w:type="dxa"/>
          </w:tblCellMar>
        </w:tblPrEx>
        <w:trPr>
          <w:trHeight w:val="606" w:hRule="atLeast"/>
        </w:trPr>
        <w:tc>
          <w:tcPr>
            <w:tcW w:w="11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015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89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45E7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97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EF4E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A754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8E45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0470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DA2C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8CAC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3CDEFDC9">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781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7E4D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9DDC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5E7C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7AEF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7005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C964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4DF0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05A31294">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A796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65C7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4B64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2B7A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1E5C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1A62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6732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878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4E19D1C5">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ADAA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A591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B314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E06A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2701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192E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3735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9AEF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02F13722">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E7EB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8D5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CDA4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6491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0DE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AA5C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91B2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D95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5BC1484C">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80C3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B15E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E0B7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253A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DE97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C6E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A249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8786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635E5E4F">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224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D17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7456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50B8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C6FA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816D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B9D1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20D9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20986896">
        <w:tblPrEx>
          <w:tblCellMar>
            <w:top w:w="0" w:type="dxa"/>
            <w:left w:w="0" w:type="dxa"/>
            <w:bottom w:w="0" w:type="dxa"/>
            <w:right w:w="0" w:type="dxa"/>
          </w:tblCellMar>
        </w:tblPrEx>
        <w:trPr>
          <w:trHeight w:val="606" w:hRule="atLeast"/>
        </w:trPr>
        <w:tc>
          <w:tcPr>
            <w:tcW w:w="11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491A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89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908D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A40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C886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外出学习交流、基层调研次数</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176CF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9C6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≥20次</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DBF9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≥20次</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D3C6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6B35F64F">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0D0D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B16A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3CEBDD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F42A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学习交流、视察调研人员到岗率</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EDB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EE7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653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B3FE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49940E8D">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C31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6966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4CBD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63C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项目总投入</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7FF5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7C80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w:t>
            </w:r>
            <w:r>
              <w:rPr>
                <w:rFonts w:hint="eastAsia" w:ascii="Times New Roman" w:hAnsi="Times New Roman" w:eastAsia="仿宋_GB2312" w:cs="Times New Roman"/>
                <w:b w:val="0"/>
                <w:bCs/>
                <w:i w:val="0"/>
                <w:color w:val="auto"/>
                <w:kern w:val="0"/>
                <w:sz w:val="21"/>
                <w:szCs w:val="21"/>
                <w:highlight w:val="none"/>
                <w:u w:val="none"/>
                <w:lang w:val="en-US" w:eastAsia="zh-CN" w:bidi="ar"/>
              </w:rPr>
              <w:t>30万元</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F72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w:t>
            </w:r>
            <w:r>
              <w:rPr>
                <w:rFonts w:hint="eastAsia" w:ascii="Times New Roman" w:hAnsi="Times New Roman" w:eastAsia="仿宋_GB2312" w:cs="Times New Roman"/>
                <w:b w:val="0"/>
                <w:bCs/>
                <w:i w:val="0"/>
                <w:color w:val="auto"/>
                <w:kern w:val="0"/>
                <w:sz w:val="21"/>
                <w:szCs w:val="21"/>
                <w:highlight w:val="none"/>
                <w:u w:val="none"/>
                <w:lang w:val="en-US" w:eastAsia="zh-CN" w:bidi="ar"/>
              </w:rPr>
              <w:t>30万元</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693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0055DC30">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FFFE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9869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E47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8208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7EE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7B33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3F7F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4084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0A7C440B">
        <w:tblPrEx>
          <w:tblCellMar>
            <w:top w:w="0" w:type="dxa"/>
            <w:left w:w="0" w:type="dxa"/>
            <w:bottom w:w="0" w:type="dxa"/>
            <w:right w:w="0" w:type="dxa"/>
          </w:tblCellMar>
        </w:tblPrEx>
        <w:trPr>
          <w:trHeight w:val="606" w:hRule="atLeast"/>
        </w:trPr>
        <w:tc>
          <w:tcPr>
            <w:tcW w:w="1105"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97FEC1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897"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4E887D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97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E1023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C39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政协工作有序推进</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E833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D85C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优良中差</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7A6F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优</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EED6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199DBC20">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58E996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FE0589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85C8D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BDA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440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6B6C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1C1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AED0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59718483">
        <w:tblPrEx>
          <w:tblCellMar>
            <w:top w:w="0" w:type="dxa"/>
            <w:left w:w="0" w:type="dxa"/>
            <w:bottom w:w="0" w:type="dxa"/>
            <w:right w:w="0" w:type="dxa"/>
          </w:tblCellMar>
        </w:tblPrEx>
        <w:trPr>
          <w:trHeight w:val="606" w:hRule="atLeast"/>
        </w:trPr>
        <w:tc>
          <w:tcPr>
            <w:tcW w:w="1105"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4D906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7"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E3E953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7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51669D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5168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264F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D40A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BA09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B8E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1143235A">
        <w:tblPrEx>
          <w:tblCellMar>
            <w:top w:w="0" w:type="dxa"/>
            <w:left w:w="0" w:type="dxa"/>
            <w:bottom w:w="0" w:type="dxa"/>
            <w:right w:w="0" w:type="dxa"/>
          </w:tblCellMar>
        </w:tblPrEx>
        <w:trPr>
          <w:trHeight w:val="606" w:hRule="atLeast"/>
        </w:trPr>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46D1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4A77608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8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1713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8BD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9888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学习交流、视察调研参与人员满意率</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011D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FCAC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3D0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w:t>
            </w:r>
            <w:r>
              <w:rPr>
                <w:rFonts w:hint="default" w:ascii="Times New Roman" w:hAnsi="Times New Roman" w:eastAsia="仿宋_GB2312" w:cs="Times New Roman"/>
                <w:b w:val="0"/>
                <w:bCs/>
                <w:i w:val="0"/>
                <w:color w:val="auto"/>
                <w:kern w:val="0"/>
                <w:sz w:val="21"/>
                <w:szCs w:val="21"/>
                <w:highlight w:val="none"/>
                <w:u w:val="none"/>
                <w:lang w:val="en-US" w:eastAsia="zh-CN" w:bidi="ar"/>
              </w:rPr>
              <w:t>%</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E476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49134F22">
      <w:pPr>
        <w:rPr>
          <w:rFonts w:hint="default"/>
        </w:rPr>
      </w:pPr>
    </w:p>
    <w:p w14:paraId="28AE9131">
      <w:pPr>
        <w:keepNext w:val="0"/>
        <w:keepLines w:val="0"/>
        <w:pageBreakBefore w:val="0"/>
        <w:widowControl w:val="0"/>
        <w:kinsoku/>
        <w:wordWrap/>
        <w:overflowPunct w:val="0"/>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楷体_GB2312" w:cs="Times New Roman"/>
          <w:b/>
          <w:color w:val="auto"/>
          <w:sz w:val="32"/>
          <w:szCs w:val="32"/>
          <w:highlight w:val="none"/>
        </w:rPr>
      </w:pPr>
      <w:r>
        <w:rPr>
          <w:rFonts w:hint="default" w:ascii="Times New Roman" w:hAnsi="Times New Roman" w:eastAsia="黑体" w:cs="Times New Roman"/>
          <w:bCs/>
          <w:color w:val="auto"/>
          <w:sz w:val="32"/>
          <w:szCs w:val="32"/>
          <w:highlight w:val="none"/>
        </w:rPr>
        <w:t>四、绩效评价分析</w:t>
      </w:r>
    </w:p>
    <w:p w14:paraId="1E207FD2">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right="0" w:rightChars="0" w:firstLine="643"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为保障政协委员及机关干部更好履职尽责，为全区经济社会高质量发展建务实之言、献睿智之策，严格按照《中国人民政治协商会议章程》及中省市区相关要求立项，立项决策依据充分、决策程序合规、</w:t>
      </w:r>
      <w:r>
        <w:rPr>
          <w:rFonts w:hint="default" w:ascii="Times New Roman" w:hAnsi="Times New Roman" w:eastAsia="仿宋_GB2312" w:cs="Times New Roman"/>
          <w:color w:val="auto"/>
          <w:sz w:val="32"/>
          <w:szCs w:val="32"/>
          <w:highlight w:val="none"/>
          <w:lang w:val="en-US" w:eastAsia="zh-CN"/>
        </w:rPr>
        <w:t>绩效目标</w:t>
      </w:r>
      <w:r>
        <w:rPr>
          <w:rFonts w:hint="eastAsia" w:ascii="Times New Roman" w:hAnsi="Times New Roman" w:eastAsia="仿宋_GB2312" w:cs="Times New Roman"/>
          <w:color w:val="auto"/>
          <w:sz w:val="32"/>
          <w:szCs w:val="32"/>
          <w:highlight w:val="none"/>
          <w:lang w:val="en-US" w:eastAsia="zh-CN"/>
        </w:rPr>
        <w:t>科学完整，</w:t>
      </w:r>
      <w:r>
        <w:rPr>
          <w:rFonts w:hint="default" w:ascii="Times New Roman" w:hAnsi="Times New Roman" w:eastAsia="仿宋_GB2312" w:cs="Times New Roman"/>
          <w:color w:val="auto"/>
          <w:sz w:val="32"/>
          <w:szCs w:val="32"/>
          <w:highlight w:val="none"/>
          <w:lang w:val="en-US" w:eastAsia="zh-CN"/>
        </w:rPr>
        <w:t>整体情况良好。</w:t>
      </w:r>
    </w:p>
    <w:p w14:paraId="254C1732">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项目管理制度及财政监督制度健全，测算依据和使用过程规范，</w:t>
      </w:r>
      <w:r>
        <w:rPr>
          <w:rFonts w:hint="default" w:ascii="Times New Roman" w:hAnsi="Times New Roman" w:eastAsia="仿宋_GB2312" w:cs="Times New Roman"/>
          <w:color w:val="auto"/>
          <w:sz w:val="32"/>
          <w:szCs w:val="32"/>
          <w:highlight w:val="none"/>
          <w:lang w:val="en-US" w:eastAsia="zh-CN"/>
        </w:rPr>
        <w:t>严格执行项目申报，</w:t>
      </w:r>
      <w:r>
        <w:rPr>
          <w:rFonts w:hint="eastAsia" w:ascii="Times New Roman" w:hAnsi="Times New Roman" w:eastAsia="仿宋_GB2312" w:cs="Times New Roman"/>
          <w:color w:val="auto"/>
          <w:sz w:val="32"/>
          <w:szCs w:val="32"/>
          <w:highlight w:val="none"/>
          <w:lang w:val="en-US" w:eastAsia="zh-CN"/>
        </w:rPr>
        <w:t>项目实施及</w:t>
      </w:r>
      <w:r>
        <w:rPr>
          <w:rFonts w:hint="default" w:ascii="Times New Roman" w:hAnsi="Times New Roman" w:eastAsia="仿宋_GB2312" w:cs="Times New Roman"/>
          <w:color w:val="auto"/>
          <w:sz w:val="32"/>
          <w:szCs w:val="32"/>
          <w:highlight w:val="none"/>
          <w:lang w:val="en-US" w:eastAsia="zh-CN"/>
        </w:rPr>
        <w:t>资金使用严格按照预算</w:t>
      </w:r>
      <w:r>
        <w:rPr>
          <w:rFonts w:hint="eastAsia" w:ascii="Times New Roman" w:hAnsi="Times New Roman" w:eastAsia="仿宋_GB2312" w:cs="Times New Roman"/>
          <w:color w:val="auto"/>
          <w:sz w:val="32"/>
          <w:szCs w:val="32"/>
          <w:highlight w:val="none"/>
          <w:lang w:val="en-US" w:eastAsia="zh-CN"/>
        </w:rPr>
        <w:t>及单位内控等</w:t>
      </w:r>
      <w:r>
        <w:rPr>
          <w:rFonts w:hint="default" w:ascii="Times New Roman" w:hAnsi="Times New Roman" w:eastAsia="仿宋_GB2312" w:cs="Times New Roman"/>
          <w:color w:val="auto"/>
          <w:sz w:val="32"/>
          <w:szCs w:val="32"/>
          <w:highlight w:val="none"/>
          <w:lang w:val="en-US" w:eastAsia="zh-CN"/>
        </w:rPr>
        <w:t>相关</w:t>
      </w:r>
      <w:r>
        <w:rPr>
          <w:rFonts w:hint="eastAsia" w:ascii="Times New Roman" w:hAnsi="Times New Roman" w:eastAsia="仿宋_GB2312" w:cs="Times New Roman"/>
          <w:color w:val="auto"/>
          <w:sz w:val="32"/>
          <w:szCs w:val="32"/>
          <w:highlight w:val="none"/>
          <w:lang w:val="en-US" w:eastAsia="zh-CN"/>
        </w:rPr>
        <w:t>规定</w:t>
      </w:r>
      <w:r>
        <w:rPr>
          <w:rFonts w:hint="default" w:ascii="Times New Roman" w:hAnsi="Times New Roman" w:eastAsia="仿宋_GB2312" w:cs="Times New Roman"/>
          <w:color w:val="auto"/>
          <w:sz w:val="32"/>
          <w:szCs w:val="32"/>
          <w:highlight w:val="none"/>
          <w:lang w:val="en-US" w:eastAsia="zh-CN"/>
        </w:rPr>
        <w:t>执行。</w:t>
      </w:r>
    </w:p>
    <w:p w14:paraId="22DF0359">
      <w:pPr>
        <w:keepNext w:val="0"/>
        <w:keepLines w:val="0"/>
        <w:pageBreakBefore w:val="0"/>
        <w:widowControl w:val="0"/>
        <w:kinsoku/>
        <w:wordWrap/>
        <w:overflowPunct/>
        <w:topLinePunct w:val="0"/>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kern w:val="2"/>
          <w:sz w:val="32"/>
          <w:szCs w:val="32"/>
          <w:highlight w:val="none"/>
          <w:lang w:val="en-US" w:eastAsia="zh-CN" w:bidi="ar-SA"/>
        </w:rPr>
        <w:t>（三）项目产出情况。</w:t>
      </w:r>
      <w:r>
        <w:rPr>
          <w:rFonts w:hint="eastAsia" w:ascii="Times New Roman" w:hAnsi="Times New Roman" w:eastAsia="仿宋_GB2312" w:cs="Times New Roman"/>
          <w:color w:val="auto"/>
          <w:sz w:val="32"/>
          <w:szCs w:val="32"/>
          <w:highlight w:val="none"/>
          <w:lang w:val="en-US" w:eastAsia="zh-CN"/>
        </w:rPr>
        <w:t>以“同心共建现代化四川”船山专项行动为抓手，</w:t>
      </w:r>
      <w:r>
        <w:rPr>
          <w:rFonts w:hint="default" w:ascii="Times New Roman" w:hAnsi="Times New Roman" w:eastAsia="仿宋_GB2312" w:cs="Times New Roman"/>
          <w:color w:val="auto"/>
          <w:sz w:val="32"/>
          <w:szCs w:val="32"/>
          <w:highlight w:val="none"/>
          <w:lang w:val="en-US" w:eastAsia="zh-CN"/>
        </w:rPr>
        <w:t>聚焦同心共建川渝合作“桥头堡”、同心共建商旅兴区</w:t>
      </w:r>
      <w:r>
        <w:rPr>
          <w:rFonts w:hint="eastAsia" w:ascii="Times New Roman" w:hAnsi="Times New Roman" w:eastAsia="仿宋_GB2312" w:cs="Times New Roman"/>
          <w:color w:val="auto"/>
          <w:sz w:val="32"/>
          <w:szCs w:val="32"/>
          <w:highlight w:val="none"/>
          <w:lang w:val="en-US" w:eastAsia="zh-CN"/>
        </w:rPr>
        <w:t>等五项行动，围绕“聚焦项目拼经济搞建设推动高质量发展”“创建国家级现代农业园区”等课题，组织委员和相关部门开展调研协商和视察监督活动20余次，形成高质量协商意见18篇，24</w:t>
      </w:r>
      <w:r>
        <w:rPr>
          <w:rFonts w:hint="default" w:ascii="Times New Roman" w:hAnsi="Times New Roman" w:eastAsia="仿宋_GB2312" w:cs="Times New Roman"/>
          <w:color w:val="auto"/>
          <w:sz w:val="32"/>
          <w:szCs w:val="32"/>
          <w:highlight w:val="none"/>
          <w:lang w:val="en-US" w:eastAsia="zh-CN"/>
        </w:rPr>
        <w:t>项协商意见实现成果转化</w:t>
      </w:r>
      <w:r>
        <w:rPr>
          <w:rFonts w:hint="eastAsia" w:ascii="Times New Roman" w:hAnsi="Times New Roman" w:eastAsia="仿宋_GB2312" w:cs="Times New Roman"/>
          <w:color w:val="auto"/>
          <w:sz w:val="32"/>
          <w:szCs w:val="32"/>
          <w:highlight w:val="none"/>
          <w:lang w:val="en-US" w:eastAsia="zh-CN"/>
        </w:rPr>
        <w:t>，为全区经济社会高质量发展贡献了力量。深化与各党派团体合作共事，通过大会议政发言、联组讨论、集体提案等方式协商议政。</w:t>
      </w:r>
      <w:r>
        <w:rPr>
          <w:rFonts w:hint="default" w:ascii="Times New Roman" w:hAnsi="Times New Roman" w:eastAsia="仿宋_GB2312" w:cs="Times New Roman"/>
          <w:color w:val="auto"/>
          <w:sz w:val="32"/>
          <w:szCs w:val="32"/>
          <w:highlight w:val="none"/>
          <w:lang w:val="en-US" w:eastAsia="zh-CN"/>
        </w:rPr>
        <w:t>协商办理各民主党派、工商联、无党派人士提案</w:t>
      </w:r>
      <w:r>
        <w:rPr>
          <w:rFonts w:hint="eastAsia" w:ascii="Times New Roman" w:hAnsi="Times New Roman" w:eastAsia="仿宋_GB2312" w:cs="Times New Roman"/>
          <w:color w:val="auto"/>
          <w:sz w:val="32"/>
          <w:szCs w:val="32"/>
          <w:highlight w:val="none"/>
          <w:lang w:val="en-US" w:eastAsia="zh-CN"/>
        </w:rPr>
        <w:t>62</w:t>
      </w:r>
      <w:r>
        <w:rPr>
          <w:rFonts w:hint="default" w:ascii="Times New Roman" w:hAnsi="Times New Roman" w:eastAsia="仿宋_GB2312" w:cs="Times New Roman"/>
          <w:color w:val="auto"/>
          <w:sz w:val="32"/>
          <w:szCs w:val="32"/>
          <w:highlight w:val="none"/>
          <w:lang w:val="en-US" w:eastAsia="zh-CN"/>
        </w:rPr>
        <w:t>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围绕重大协商议题、聚焦民生热点问题，邀请党外人士参与调研、协商、视察活动300余人次</w:t>
      </w:r>
      <w:r>
        <w:rPr>
          <w:rFonts w:hint="eastAsia" w:ascii="Times New Roman" w:hAnsi="Times New Roman" w:eastAsia="仿宋_GB2312" w:cs="Times New Roman"/>
          <w:color w:val="auto"/>
          <w:sz w:val="32"/>
          <w:szCs w:val="32"/>
          <w:highlight w:val="none"/>
          <w:lang w:val="en-US" w:eastAsia="zh-CN"/>
        </w:rPr>
        <w:t>，各民主党派和无党派人士在政协履职作用发挥更加充分。</w:t>
      </w:r>
      <w:r>
        <w:rPr>
          <w:rFonts w:hint="default" w:ascii="Times New Roman" w:hAnsi="Times New Roman" w:eastAsia="仿宋_GB2312" w:cs="Times New Roman"/>
          <w:color w:val="auto"/>
          <w:sz w:val="32"/>
          <w:szCs w:val="32"/>
          <w:highlight w:val="none"/>
          <w:lang w:val="en-US" w:eastAsia="zh-CN"/>
        </w:rPr>
        <w:t>深化对外</w:t>
      </w:r>
      <w:r>
        <w:rPr>
          <w:rFonts w:hint="eastAsia" w:ascii="Times New Roman" w:hAnsi="Times New Roman" w:eastAsia="仿宋_GB2312" w:cs="Times New Roman"/>
          <w:color w:val="auto"/>
          <w:sz w:val="32"/>
          <w:szCs w:val="32"/>
          <w:highlight w:val="none"/>
          <w:lang w:val="en-US" w:eastAsia="zh-CN"/>
        </w:rPr>
        <w:t>交流互动</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前往理县、涪城区等地开展学习交流，推动政协工作互促互鉴。全年组织</w:t>
      </w:r>
      <w:r>
        <w:rPr>
          <w:rFonts w:hint="default" w:ascii="Times New Roman" w:hAnsi="Times New Roman" w:eastAsia="仿宋_GB2312" w:cs="Times New Roman"/>
          <w:color w:val="auto"/>
          <w:sz w:val="32"/>
          <w:szCs w:val="32"/>
          <w:highlight w:val="none"/>
          <w:lang w:val="en-US" w:eastAsia="zh-CN"/>
        </w:rPr>
        <w:t>外出学习交流、视察调研</w:t>
      </w:r>
      <w:r>
        <w:rPr>
          <w:rFonts w:hint="eastAsia" w:ascii="Times New Roman" w:hAnsi="Times New Roman" w:eastAsia="仿宋_GB2312" w:cs="Times New Roman"/>
          <w:color w:val="auto"/>
          <w:sz w:val="32"/>
          <w:szCs w:val="32"/>
          <w:highlight w:val="none"/>
          <w:lang w:val="en-US" w:eastAsia="zh-CN"/>
        </w:rPr>
        <w:t>40余次，车辆租赁20余次，人员到岗率、租用车辆使用率、完成及时率、参与人员满意度均达100%，助力政协发挥好了专门协商机构作用</w:t>
      </w:r>
      <w:r>
        <w:rPr>
          <w:rFonts w:hint="default" w:ascii="Times New Roman" w:hAnsi="Times New Roman" w:eastAsia="仿宋_GB2312" w:cs="Times New Roman"/>
          <w:color w:val="auto"/>
          <w:sz w:val="32"/>
          <w:szCs w:val="32"/>
          <w:highlight w:val="none"/>
          <w:lang w:val="en-US" w:eastAsia="zh-CN"/>
        </w:rPr>
        <w:t>，提升</w:t>
      </w:r>
      <w:r>
        <w:rPr>
          <w:rFonts w:hint="eastAsia" w:ascii="Times New Roman" w:hAnsi="Times New Roman" w:eastAsia="仿宋_GB2312" w:cs="Times New Roman"/>
          <w:color w:val="auto"/>
          <w:sz w:val="32"/>
          <w:szCs w:val="32"/>
          <w:highlight w:val="none"/>
          <w:lang w:val="en-US" w:eastAsia="zh-CN"/>
        </w:rPr>
        <w:t>了</w:t>
      </w:r>
      <w:r>
        <w:rPr>
          <w:rFonts w:hint="default" w:ascii="Times New Roman" w:hAnsi="Times New Roman" w:eastAsia="仿宋_GB2312" w:cs="Times New Roman"/>
          <w:color w:val="auto"/>
          <w:sz w:val="32"/>
          <w:szCs w:val="32"/>
          <w:highlight w:val="none"/>
          <w:lang w:val="en-US" w:eastAsia="zh-CN"/>
        </w:rPr>
        <w:t>政协服务中心大局贡献率，为奋力推进社会主义现代化船山建设聚势赋能。</w:t>
      </w:r>
    </w:p>
    <w:p w14:paraId="17C4324C">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（四）项目效益情况。</w:t>
      </w:r>
      <w:r>
        <w:rPr>
          <w:rFonts w:hint="default" w:ascii="Times New Roman" w:hAnsi="Times New Roman" w:eastAsia="仿宋_GB2312" w:cs="Times New Roman"/>
          <w:color w:val="auto"/>
          <w:sz w:val="32"/>
          <w:szCs w:val="32"/>
          <w:highlight w:val="none"/>
          <w:lang w:val="en-US" w:eastAsia="zh-CN"/>
        </w:rPr>
        <w:t>根据年度工作安排和财政预算批复，组织机关领导干部、政协常委及部分委员</w:t>
      </w:r>
      <w:r>
        <w:rPr>
          <w:rFonts w:hint="eastAsia" w:ascii="Times New Roman" w:hAnsi="Times New Roman" w:eastAsia="仿宋_GB2312" w:cs="Times New Roman"/>
          <w:color w:val="auto"/>
          <w:sz w:val="32"/>
          <w:szCs w:val="32"/>
          <w:highlight w:val="none"/>
          <w:lang w:val="en-US" w:eastAsia="zh-CN"/>
        </w:rPr>
        <w:t>圆满完成外出学习交流、视察调研活动，参与人员满意度100%，履职质效进一步提高，保障了政协工作有序推进，初步实现预期目标</w:t>
      </w:r>
      <w:r>
        <w:rPr>
          <w:rFonts w:hint="default" w:ascii="Times New Roman" w:hAnsi="Times New Roman" w:eastAsia="仿宋_GB2312" w:cs="Times New Roman"/>
          <w:color w:val="auto"/>
          <w:sz w:val="32"/>
          <w:szCs w:val="32"/>
          <w:highlight w:val="none"/>
          <w:lang w:val="en-US" w:eastAsia="zh-CN"/>
        </w:rPr>
        <w:t>。</w:t>
      </w:r>
    </w:p>
    <w:p w14:paraId="3A6C5BBF">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484B7E75">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无</w:t>
      </w:r>
      <w:r>
        <w:rPr>
          <w:rFonts w:hint="default" w:ascii="Times New Roman" w:hAnsi="Times New Roman" w:eastAsia="仿宋_GB2312" w:cs="Times New Roman"/>
          <w:color w:val="auto"/>
          <w:sz w:val="32"/>
          <w:szCs w:val="32"/>
          <w:highlight w:val="none"/>
          <w:lang w:val="zh-CN" w:eastAsia="zh-CN"/>
        </w:rPr>
        <w:t xml:space="preserve"> </w:t>
      </w:r>
    </w:p>
    <w:p w14:paraId="58AE4D19">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0691E7CC">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无</w:t>
      </w:r>
    </w:p>
    <w:p w14:paraId="6C758B50">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zh-CN"/>
        </w:rPr>
      </w:pPr>
    </w:p>
    <w:p w14:paraId="4E5DFFEE">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zh-CN"/>
        </w:rPr>
      </w:pPr>
    </w:p>
    <w:p w14:paraId="25FDB18A">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zh-CN"/>
        </w:rPr>
      </w:pPr>
    </w:p>
    <w:p w14:paraId="3DF7EFE8">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zh-CN"/>
        </w:rPr>
      </w:pPr>
    </w:p>
    <w:p w14:paraId="4B3BF234">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zh-CN"/>
        </w:rPr>
      </w:pPr>
    </w:p>
    <w:p w14:paraId="5762AA4D">
      <w:pPr>
        <w:keepNext w:val="0"/>
        <w:keepLines w:val="0"/>
        <w:pageBreakBefore w:val="0"/>
        <w:widowControl w:val="0"/>
        <w:kinsoku/>
        <w:wordWrap/>
        <w:overflowPunct w:val="0"/>
        <w:topLinePunct w:val="0"/>
        <w:autoSpaceDE/>
        <w:autoSpaceDN/>
        <w:bidi w:val="0"/>
        <w:adjustRightInd w:val="0"/>
        <w:snapToGrid w:val="0"/>
        <w:spacing w:line="570" w:lineRule="exact"/>
        <w:jc w:val="both"/>
        <w:textAlignment w:val="auto"/>
        <w:rPr>
          <w:rFonts w:hint="default" w:ascii="Times New Roman" w:hAnsi="Times New Roman" w:eastAsia="方正小标宋简体" w:cs="Times New Roman"/>
          <w:color w:val="auto"/>
          <w:sz w:val="44"/>
          <w:szCs w:val="44"/>
          <w:highlight w:val="none"/>
          <w:lang w:val="en-US" w:eastAsia="zh-CN"/>
        </w:rPr>
      </w:pPr>
    </w:p>
    <w:p w14:paraId="0CABF17A">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704C8936">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5E2415F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521DA712">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default" w:ascii="Times New Roman" w:hAnsi="Times New Roman" w:eastAsia="楷体_GB2312" w:cs="Times New Roman"/>
          <w:b/>
          <w:bCs/>
          <w:color w:val="auto"/>
          <w:sz w:val="32"/>
          <w:szCs w:val="32"/>
          <w:highlight w:val="none"/>
          <w:lang w:eastAsia="zh-CN"/>
        </w:rPr>
        <w:t>信息化建设经费</w:t>
      </w:r>
      <w:r>
        <w:rPr>
          <w:rFonts w:hint="default" w:ascii="Times New Roman" w:hAnsi="Times New Roman" w:eastAsia="楷体_GB2312" w:cs="Times New Roman"/>
          <w:b/>
          <w:bCs/>
          <w:color w:val="auto"/>
          <w:sz w:val="32"/>
          <w:szCs w:val="32"/>
          <w:highlight w:val="none"/>
        </w:rPr>
        <w:t>）</w:t>
      </w:r>
    </w:p>
    <w:p w14:paraId="6F398C12">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19AEAB84">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50635BB6">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color w:val="auto"/>
          <w:sz w:val="32"/>
          <w:szCs w:val="32"/>
          <w:highlight w:val="none"/>
          <w:lang w:val="en-US" w:eastAsia="zh-CN"/>
        </w:rPr>
        <w:t>（一）项目概况。</w:t>
      </w:r>
      <w:r>
        <w:rPr>
          <w:rFonts w:hint="eastAsia" w:ascii="Times New Roman" w:hAnsi="Times New Roman" w:eastAsia="仿宋_GB2312" w:cs="Times New Roman"/>
          <w:color w:val="auto"/>
          <w:kern w:val="2"/>
          <w:sz w:val="32"/>
          <w:szCs w:val="32"/>
          <w:highlight w:val="none"/>
          <w:lang w:val="en-US" w:eastAsia="zh-CN" w:bidi="ar-SA"/>
        </w:rPr>
        <w:t>按照中省市区对宣传信息工作要求，需进一步加强信息化建设工作，讲好政协故事、宣传好政协声音、传播好政协形象。该项目主要用于政协门户网站建设及网络设施设备运行、维护等支出，确保政协信息化工作正常运转</w:t>
      </w:r>
      <w:r>
        <w:rPr>
          <w:rFonts w:hint="default" w:ascii="Times New Roman" w:hAnsi="Times New Roman" w:eastAsia="仿宋_GB2312" w:cs="Times New Roman"/>
          <w:color w:val="auto"/>
          <w:kern w:val="2"/>
          <w:sz w:val="32"/>
          <w:szCs w:val="32"/>
          <w:highlight w:val="none"/>
          <w:lang w:val="en-US" w:eastAsia="zh-CN" w:bidi="ar-SA"/>
        </w:rPr>
        <w:t>。</w:t>
      </w:r>
    </w:p>
    <w:p w14:paraId="5007CFC8">
      <w:pPr>
        <w:pStyle w:val="1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570" w:lineRule="exact"/>
        <w:ind w:right="0" w:rightChars="0" w:firstLine="643"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Times New Roman" w:hAnsi="Times New Roman" w:eastAsia="仿宋_GB2312" w:cs="Times New Roman"/>
          <w:color w:val="auto"/>
          <w:kern w:val="2"/>
          <w:sz w:val="32"/>
          <w:szCs w:val="32"/>
          <w:highlight w:val="none"/>
          <w:lang w:val="en-US" w:eastAsia="zh-CN" w:bidi="ar-SA"/>
        </w:rPr>
        <w:t>项目计划设施设备维护5次以上，购买通讯公司服务至少2个，维修服务达标率、定期缴费率、网络通畅率、支付准确率达100%，财政监督管理制度健全，网络使用人员满意度不低于90%，总投入不超过10万元，确保政协信息化建设工作有序推进。</w:t>
      </w:r>
      <w:r>
        <w:rPr>
          <w:rFonts w:hint="default" w:ascii="Times New Roman" w:hAnsi="Times New Roman" w:eastAsia="仿宋_GB2312" w:cs="Times New Roman"/>
          <w:color w:val="auto"/>
          <w:kern w:val="2"/>
          <w:sz w:val="32"/>
          <w:szCs w:val="32"/>
          <w:highlight w:val="none"/>
          <w:lang w:val="en-US" w:eastAsia="zh-CN" w:bidi="ar-SA"/>
        </w:rPr>
        <w:t>该项目均按照有关规章制度和工作要求有序推进。全年开展电脑、打印机、网络专线、短信群发平台等维修维护</w:t>
      </w:r>
      <w:r>
        <w:rPr>
          <w:rFonts w:hint="eastAsia" w:ascii="Times New Roman" w:hAnsi="Times New Roman" w:eastAsia="仿宋_GB2312" w:cs="Times New Roman"/>
          <w:color w:val="auto"/>
          <w:kern w:val="2"/>
          <w:sz w:val="32"/>
          <w:szCs w:val="32"/>
          <w:highlight w:val="none"/>
          <w:lang w:val="en-US" w:eastAsia="zh-CN" w:bidi="ar-SA"/>
        </w:rPr>
        <w:t>20余</w:t>
      </w:r>
      <w:r>
        <w:rPr>
          <w:rFonts w:hint="default" w:ascii="Times New Roman" w:hAnsi="Times New Roman" w:eastAsia="仿宋_GB2312" w:cs="Times New Roman"/>
          <w:color w:val="auto"/>
          <w:kern w:val="2"/>
          <w:sz w:val="32"/>
          <w:szCs w:val="32"/>
          <w:highlight w:val="none"/>
          <w:lang w:val="en-US" w:eastAsia="zh-CN" w:bidi="ar-SA"/>
        </w:rPr>
        <w:t>次，</w:t>
      </w:r>
      <w:r>
        <w:rPr>
          <w:rFonts w:hint="eastAsia" w:ascii="Times New Roman" w:hAnsi="Times New Roman" w:eastAsia="仿宋_GB2312" w:cs="Times New Roman"/>
          <w:color w:val="auto"/>
          <w:kern w:val="2"/>
          <w:sz w:val="32"/>
          <w:szCs w:val="32"/>
          <w:highlight w:val="none"/>
          <w:lang w:val="en-US" w:eastAsia="zh-CN" w:bidi="ar-SA"/>
        </w:rPr>
        <w:t>购买订阅中国移动云MAS、云视讯高清视频、集团专线维护等服务，</w:t>
      </w:r>
      <w:r>
        <w:rPr>
          <w:rFonts w:hint="default" w:ascii="Times New Roman" w:hAnsi="Times New Roman" w:eastAsia="仿宋_GB2312" w:cs="Times New Roman"/>
          <w:color w:val="auto"/>
          <w:kern w:val="2"/>
          <w:sz w:val="32"/>
          <w:szCs w:val="32"/>
          <w:highlight w:val="none"/>
          <w:lang w:val="en-US" w:eastAsia="zh-CN" w:bidi="ar-SA"/>
        </w:rPr>
        <w:t>网络通畅率、支付准确率、定期缴费率、维护服务达标率</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网络使用人员满意率100%，</w:t>
      </w:r>
      <w:r>
        <w:rPr>
          <w:rFonts w:hint="eastAsia" w:ascii="Times New Roman" w:hAnsi="Times New Roman" w:eastAsia="仿宋_GB2312" w:cs="Times New Roman"/>
          <w:color w:val="auto"/>
          <w:kern w:val="2"/>
          <w:sz w:val="32"/>
          <w:szCs w:val="32"/>
          <w:highlight w:val="none"/>
          <w:lang w:val="en-US" w:eastAsia="zh-CN" w:bidi="ar-SA"/>
        </w:rPr>
        <w:t>完成10万元，财政监督管理制度健全，</w:t>
      </w:r>
      <w:r>
        <w:rPr>
          <w:rFonts w:hint="default" w:ascii="Times New Roman" w:hAnsi="Times New Roman" w:eastAsia="仿宋_GB2312" w:cs="Times New Roman"/>
          <w:color w:val="auto"/>
          <w:kern w:val="2"/>
          <w:sz w:val="32"/>
          <w:szCs w:val="32"/>
          <w:highlight w:val="none"/>
          <w:lang w:val="en-US" w:eastAsia="zh-CN" w:bidi="ar-SA"/>
        </w:rPr>
        <w:t>确保了信息化建设工作正常</w:t>
      </w:r>
      <w:r>
        <w:rPr>
          <w:rFonts w:hint="eastAsia" w:ascii="Times New Roman" w:hAnsi="Times New Roman" w:eastAsia="仿宋_GB2312" w:cs="Times New Roman"/>
          <w:color w:val="auto"/>
          <w:kern w:val="2"/>
          <w:sz w:val="32"/>
          <w:szCs w:val="32"/>
          <w:highlight w:val="none"/>
          <w:lang w:val="en-US" w:eastAsia="zh-CN" w:bidi="ar-SA"/>
        </w:rPr>
        <w:t>开展，达到了讲好政协故事的预期目标</w:t>
      </w:r>
      <w:r>
        <w:rPr>
          <w:rFonts w:hint="default" w:ascii="Times New Roman" w:hAnsi="Times New Roman" w:eastAsia="仿宋_GB2312" w:cs="Times New Roman"/>
          <w:color w:val="auto"/>
          <w:kern w:val="2"/>
          <w:sz w:val="32"/>
          <w:szCs w:val="32"/>
          <w:highlight w:val="none"/>
          <w:lang w:val="en-US" w:eastAsia="zh-CN" w:bidi="ar-SA"/>
        </w:rPr>
        <w:t>。</w:t>
      </w:r>
    </w:p>
    <w:p w14:paraId="172C1681">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（三）资金投入使用情况。</w:t>
      </w:r>
      <w:r>
        <w:rPr>
          <w:rFonts w:hint="default" w:ascii="Times New Roman" w:hAnsi="Times New Roman" w:eastAsia="仿宋_GB2312" w:cs="Times New Roman"/>
          <w:color w:val="auto"/>
          <w:kern w:val="2"/>
          <w:sz w:val="32"/>
          <w:szCs w:val="32"/>
          <w:highlight w:val="none"/>
          <w:lang w:val="en-US" w:eastAsia="zh-CN" w:bidi="ar-SA"/>
        </w:rPr>
        <w:t>该项目202</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年年初预算资金</w:t>
      </w:r>
      <w:r>
        <w:rPr>
          <w:rFonts w:hint="eastAsia" w:ascii="Times New Roman" w:hAnsi="Times New Roman" w:eastAsia="仿宋_GB2312" w:cs="Times New Roman"/>
          <w:color w:val="auto"/>
          <w:kern w:val="2"/>
          <w:sz w:val="32"/>
          <w:szCs w:val="32"/>
          <w:highlight w:val="none"/>
          <w:lang w:val="en-US" w:eastAsia="zh-CN" w:bidi="ar-SA"/>
        </w:rPr>
        <w:t>10</w:t>
      </w:r>
      <w:r>
        <w:rPr>
          <w:rFonts w:hint="default" w:ascii="Times New Roman" w:hAnsi="Times New Roman" w:eastAsia="仿宋_GB2312" w:cs="Times New Roman"/>
          <w:color w:val="auto"/>
          <w:kern w:val="2"/>
          <w:sz w:val="32"/>
          <w:szCs w:val="32"/>
          <w:highlight w:val="none"/>
          <w:lang w:val="en-US" w:eastAsia="zh-CN" w:bidi="ar-SA"/>
        </w:rPr>
        <w:t>万元，</w:t>
      </w:r>
      <w:r>
        <w:rPr>
          <w:rFonts w:hint="eastAsia" w:ascii="Times New Roman" w:hAnsi="Times New Roman" w:eastAsia="仿宋_GB2312" w:cs="Times New Roman"/>
          <w:color w:val="auto"/>
          <w:kern w:val="2"/>
          <w:sz w:val="32"/>
          <w:szCs w:val="32"/>
          <w:highlight w:val="none"/>
          <w:lang w:val="en-US" w:eastAsia="zh-CN" w:bidi="ar-SA"/>
        </w:rPr>
        <w:t>财政下达资金10万元，</w:t>
      </w:r>
      <w:r>
        <w:rPr>
          <w:rFonts w:hint="default" w:ascii="Times New Roman" w:hAnsi="Times New Roman" w:eastAsia="仿宋_GB2312" w:cs="Times New Roman"/>
          <w:color w:val="auto"/>
          <w:kern w:val="2"/>
          <w:sz w:val="32"/>
          <w:szCs w:val="32"/>
          <w:highlight w:val="none"/>
          <w:lang w:val="en-US" w:eastAsia="zh-CN" w:bidi="ar-SA"/>
        </w:rPr>
        <w:t>财政收回指标</w:t>
      </w:r>
      <w:r>
        <w:rPr>
          <w:rFonts w:hint="eastAsia" w:ascii="Times New Roman" w:hAnsi="Times New Roman" w:eastAsia="仿宋_GB2312" w:cs="Times New Roman"/>
          <w:color w:val="auto"/>
          <w:kern w:val="2"/>
          <w:sz w:val="32"/>
          <w:szCs w:val="32"/>
          <w:highlight w:val="none"/>
          <w:lang w:val="en-US" w:eastAsia="zh-CN" w:bidi="ar-SA"/>
        </w:rPr>
        <w:t>0.67</w:t>
      </w:r>
      <w:r>
        <w:rPr>
          <w:rFonts w:hint="default" w:ascii="Times New Roman" w:hAnsi="Times New Roman" w:eastAsia="仿宋_GB2312" w:cs="Times New Roman"/>
          <w:color w:val="auto"/>
          <w:kern w:val="2"/>
          <w:sz w:val="32"/>
          <w:szCs w:val="32"/>
          <w:highlight w:val="none"/>
          <w:lang w:val="en-US" w:eastAsia="zh-CN" w:bidi="ar-SA"/>
        </w:rPr>
        <w:t>万元，支出</w:t>
      </w:r>
      <w:r>
        <w:rPr>
          <w:rFonts w:hint="eastAsia" w:ascii="Times New Roman" w:hAnsi="Times New Roman" w:eastAsia="仿宋_GB2312" w:cs="Times New Roman"/>
          <w:color w:val="auto"/>
          <w:kern w:val="2"/>
          <w:sz w:val="32"/>
          <w:szCs w:val="32"/>
          <w:highlight w:val="none"/>
          <w:lang w:val="en-US" w:eastAsia="zh-CN" w:bidi="ar-SA"/>
        </w:rPr>
        <w:t>9.33</w:t>
      </w:r>
      <w:r>
        <w:rPr>
          <w:rFonts w:hint="default" w:ascii="Times New Roman" w:hAnsi="Times New Roman" w:eastAsia="仿宋_GB2312" w:cs="Times New Roman"/>
          <w:color w:val="auto"/>
          <w:kern w:val="2"/>
          <w:sz w:val="32"/>
          <w:szCs w:val="32"/>
          <w:highlight w:val="none"/>
          <w:lang w:val="en-US" w:eastAsia="zh-CN" w:bidi="ar-SA"/>
        </w:rPr>
        <w:t>万元，完成率100%。</w:t>
      </w:r>
    </w:p>
    <w:p w14:paraId="64B75EA0">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楷体_GB2312" w:cs="Times New Roman"/>
          <w:b/>
          <w:bCs/>
          <w:color w:val="auto"/>
          <w:kern w:val="2"/>
          <w:sz w:val="32"/>
          <w:szCs w:val="24"/>
          <w:highlight w:val="none"/>
          <w:lang w:val="en-US" w:eastAsia="zh-CN" w:bidi="ar-SA"/>
        </w:rPr>
      </w:pPr>
      <w:r>
        <w:rPr>
          <w:rFonts w:hint="default" w:ascii="Times New Roman" w:hAnsi="Times New Roman" w:eastAsia="楷体_GB2312" w:cs="Times New Roman"/>
          <w:b/>
          <w:bCs/>
          <w:color w:val="auto"/>
          <w:kern w:val="2"/>
          <w:sz w:val="32"/>
          <w:szCs w:val="24"/>
          <w:highlight w:val="none"/>
          <w:lang w:val="en-US" w:eastAsia="zh-CN" w:bidi="ar-SA"/>
        </w:rPr>
        <w:t>（四）项目绩效目标</w:t>
      </w:r>
    </w:p>
    <w:tbl>
      <w:tblPr>
        <w:tblStyle w:val="20"/>
        <w:tblW w:w="85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77"/>
        <w:gridCol w:w="1937"/>
        <w:gridCol w:w="2638"/>
        <w:gridCol w:w="1287"/>
        <w:gridCol w:w="1488"/>
      </w:tblGrid>
      <w:tr w14:paraId="62BD2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48BF86BB">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4452BDC2">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71B76263">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287" w:type="dxa"/>
            <w:tcBorders>
              <w:top w:val="single" w:color="000000" w:sz="4" w:space="0"/>
              <w:left w:val="single" w:color="000000" w:sz="4" w:space="0"/>
              <w:bottom w:val="single" w:color="000000" w:sz="4" w:space="0"/>
              <w:right w:val="single" w:color="000000" w:sz="4" w:space="0"/>
            </w:tcBorders>
            <w:vAlign w:val="center"/>
          </w:tcPr>
          <w:p w14:paraId="0B08AF22">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sz w:val="18"/>
                <w:szCs w:val="18"/>
                <w:u w:val="none"/>
                <w:lang w:val="en-US" w:eastAsia="zh-CN"/>
              </w:rPr>
              <w:t>年度指标值</w:t>
            </w:r>
          </w:p>
        </w:tc>
        <w:tc>
          <w:tcPr>
            <w:tcW w:w="1488" w:type="dxa"/>
            <w:tcBorders>
              <w:top w:val="single" w:color="000000" w:sz="4" w:space="0"/>
              <w:left w:val="single" w:color="000000" w:sz="4" w:space="0"/>
              <w:bottom w:val="single" w:color="000000" w:sz="4" w:space="0"/>
              <w:right w:val="single" w:color="000000" w:sz="4" w:space="0"/>
            </w:tcBorders>
            <w:vAlign w:val="center"/>
          </w:tcPr>
          <w:p w14:paraId="34BDCAC7">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sz w:val="18"/>
                <w:szCs w:val="18"/>
                <w:u w:val="none"/>
                <w:lang w:val="en-US" w:eastAsia="zh-CN"/>
              </w:rPr>
              <w:t>全年完成情况</w:t>
            </w:r>
          </w:p>
        </w:tc>
      </w:tr>
      <w:tr w14:paraId="4951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3685479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3CABB46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25FE49D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设施设备维护次数</w:t>
            </w:r>
          </w:p>
        </w:tc>
        <w:tc>
          <w:tcPr>
            <w:tcW w:w="1287" w:type="dxa"/>
            <w:tcBorders>
              <w:top w:val="single" w:color="000000" w:sz="4" w:space="0"/>
              <w:left w:val="single" w:color="000000" w:sz="4" w:space="0"/>
              <w:bottom w:val="single" w:color="000000" w:sz="4" w:space="0"/>
              <w:right w:val="single" w:color="000000" w:sz="4" w:space="0"/>
            </w:tcBorders>
            <w:vAlign w:val="center"/>
          </w:tcPr>
          <w:p w14:paraId="69E11274">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≥5次</w:t>
            </w:r>
          </w:p>
        </w:tc>
        <w:tc>
          <w:tcPr>
            <w:tcW w:w="1488" w:type="dxa"/>
            <w:tcBorders>
              <w:top w:val="single" w:color="000000" w:sz="4" w:space="0"/>
              <w:left w:val="single" w:color="000000" w:sz="4" w:space="0"/>
              <w:bottom w:val="single" w:color="000000" w:sz="4" w:space="0"/>
              <w:right w:val="single" w:color="000000" w:sz="4" w:space="0"/>
            </w:tcBorders>
            <w:vAlign w:val="center"/>
          </w:tcPr>
          <w:p w14:paraId="686B3DF1">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20次</w:t>
            </w:r>
          </w:p>
        </w:tc>
      </w:tr>
      <w:tr w14:paraId="02189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2EE493D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59E0CE4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3E4B939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定期缴费率</w:t>
            </w:r>
          </w:p>
        </w:tc>
        <w:tc>
          <w:tcPr>
            <w:tcW w:w="1287" w:type="dxa"/>
            <w:tcBorders>
              <w:top w:val="single" w:color="000000" w:sz="4" w:space="0"/>
              <w:left w:val="single" w:color="000000" w:sz="4" w:space="0"/>
              <w:bottom w:val="single" w:color="000000" w:sz="4" w:space="0"/>
              <w:right w:val="single" w:color="000000" w:sz="4" w:space="0"/>
            </w:tcBorders>
            <w:vAlign w:val="center"/>
          </w:tcPr>
          <w:p w14:paraId="70D4EE56">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488" w:type="dxa"/>
            <w:tcBorders>
              <w:top w:val="single" w:color="000000" w:sz="4" w:space="0"/>
              <w:left w:val="single" w:color="000000" w:sz="4" w:space="0"/>
              <w:bottom w:val="single" w:color="000000" w:sz="4" w:space="0"/>
              <w:right w:val="single" w:color="000000" w:sz="4" w:space="0"/>
            </w:tcBorders>
            <w:vAlign w:val="center"/>
          </w:tcPr>
          <w:p w14:paraId="3D314532">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14CF9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47C880D4">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6D36A1C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1205AC1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维护服务达标率</w:t>
            </w:r>
          </w:p>
        </w:tc>
        <w:tc>
          <w:tcPr>
            <w:tcW w:w="1287" w:type="dxa"/>
            <w:tcBorders>
              <w:top w:val="single" w:color="000000" w:sz="4" w:space="0"/>
              <w:left w:val="single" w:color="000000" w:sz="4" w:space="0"/>
              <w:bottom w:val="single" w:color="000000" w:sz="4" w:space="0"/>
              <w:right w:val="single" w:color="000000" w:sz="4" w:space="0"/>
            </w:tcBorders>
            <w:vAlign w:val="center"/>
          </w:tcPr>
          <w:p w14:paraId="1498BF9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88" w:type="dxa"/>
            <w:tcBorders>
              <w:top w:val="single" w:color="000000" w:sz="4" w:space="0"/>
              <w:left w:val="single" w:color="000000" w:sz="4" w:space="0"/>
              <w:bottom w:val="single" w:color="000000" w:sz="4" w:space="0"/>
              <w:right w:val="single" w:color="000000" w:sz="4" w:space="0"/>
            </w:tcBorders>
            <w:vAlign w:val="center"/>
          </w:tcPr>
          <w:p w14:paraId="2688F1EE">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404E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3B7443F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677EF38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20EBFD4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项目总成本</w:t>
            </w:r>
          </w:p>
        </w:tc>
        <w:tc>
          <w:tcPr>
            <w:tcW w:w="1287" w:type="dxa"/>
            <w:tcBorders>
              <w:top w:val="single" w:color="000000" w:sz="4" w:space="0"/>
              <w:left w:val="single" w:color="000000" w:sz="4" w:space="0"/>
              <w:bottom w:val="single" w:color="000000" w:sz="4" w:space="0"/>
              <w:right w:val="single" w:color="000000" w:sz="4" w:space="0"/>
            </w:tcBorders>
            <w:vAlign w:val="center"/>
          </w:tcPr>
          <w:p w14:paraId="4E4E985C">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≤10万元</w:t>
            </w:r>
          </w:p>
        </w:tc>
        <w:tc>
          <w:tcPr>
            <w:tcW w:w="1488" w:type="dxa"/>
            <w:tcBorders>
              <w:top w:val="single" w:color="000000" w:sz="4" w:space="0"/>
              <w:left w:val="single" w:color="000000" w:sz="4" w:space="0"/>
              <w:bottom w:val="single" w:color="000000" w:sz="4" w:space="0"/>
              <w:right w:val="single" w:color="000000" w:sz="4" w:space="0"/>
            </w:tcBorders>
            <w:vAlign w:val="center"/>
          </w:tcPr>
          <w:p w14:paraId="5476F659">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10万元</w:t>
            </w:r>
          </w:p>
        </w:tc>
      </w:tr>
      <w:tr w14:paraId="5FB4D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2F84BA7F">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4623186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1F8EFE7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购买通讯公司服务数量</w:t>
            </w:r>
          </w:p>
        </w:tc>
        <w:tc>
          <w:tcPr>
            <w:tcW w:w="1287" w:type="dxa"/>
            <w:tcBorders>
              <w:top w:val="single" w:color="000000" w:sz="4" w:space="0"/>
              <w:left w:val="single" w:color="000000" w:sz="4" w:space="0"/>
              <w:bottom w:val="single" w:color="000000" w:sz="4" w:space="0"/>
              <w:right w:val="single" w:color="000000" w:sz="4" w:space="0"/>
            </w:tcBorders>
            <w:vAlign w:val="center"/>
          </w:tcPr>
          <w:p w14:paraId="2BA44AA8">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≥2个</w:t>
            </w:r>
          </w:p>
        </w:tc>
        <w:tc>
          <w:tcPr>
            <w:tcW w:w="1488" w:type="dxa"/>
            <w:tcBorders>
              <w:top w:val="single" w:color="000000" w:sz="4" w:space="0"/>
              <w:left w:val="single" w:color="000000" w:sz="4" w:space="0"/>
              <w:bottom w:val="single" w:color="000000" w:sz="4" w:space="0"/>
              <w:right w:val="single" w:color="000000" w:sz="4" w:space="0"/>
            </w:tcBorders>
            <w:vAlign w:val="center"/>
          </w:tcPr>
          <w:p w14:paraId="7E3661A5">
            <w:pPr>
              <w:jc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2个</w:t>
            </w:r>
          </w:p>
        </w:tc>
      </w:tr>
      <w:tr w14:paraId="24F06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309C24C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75E1C1D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1788A71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支付准确率</w:t>
            </w:r>
          </w:p>
        </w:tc>
        <w:tc>
          <w:tcPr>
            <w:tcW w:w="1287" w:type="dxa"/>
            <w:tcBorders>
              <w:top w:val="single" w:color="000000" w:sz="4" w:space="0"/>
              <w:left w:val="single" w:color="000000" w:sz="4" w:space="0"/>
              <w:bottom w:val="single" w:color="000000" w:sz="4" w:space="0"/>
              <w:right w:val="single" w:color="000000" w:sz="4" w:space="0"/>
            </w:tcBorders>
            <w:vAlign w:val="center"/>
          </w:tcPr>
          <w:p w14:paraId="1F2C83C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88" w:type="dxa"/>
            <w:tcBorders>
              <w:top w:val="single" w:color="000000" w:sz="4" w:space="0"/>
              <w:left w:val="single" w:color="000000" w:sz="4" w:space="0"/>
              <w:bottom w:val="single" w:color="000000" w:sz="4" w:space="0"/>
              <w:right w:val="single" w:color="000000" w:sz="4" w:space="0"/>
            </w:tcBorders>
            <w:vAlign w:val="center"/>
          </w:tcPr>
          <w:p w14:paraId="2B5992E0">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1A257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1A1299C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1E5ADC6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3753DF5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财政监督管理制度健全性</w:t>
            </w:r>
          </w:p>
        </w:tc>
        <w:tc>
          <w:tcPr>
            <w:tcW w:w="1287" w:type="dxa"/>
            <w:tcBorders>
              <w:top w:val="single" w:color="000000" w:sz="4" w:space="0"/>
              <w:left w:val="single" w:color="000000" w:sz="4" w:space="0"/>
              <w:bottom w:val="single" w:color="000000" w:sz="4" w:space="0"/>
              <w:right w:val="single" w:color="000000" w:sz="4" w:space="0"/>
            </w:tcBorders>
            <w:vAlign w:val="center"/>
          </w:tcPr>
          <w:p w14:paraId="0126649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488" w:type="dxa"/>
            <w:tcBorders>
              <w:top w:val="single" w:color="000000" w:sz="4" w:space="0"/>
              <w:left w:val="single" w:color="000000" w:sz="4" w:space="0"/>
              <w:bottom w:val="single" w:color="000000" w:sz="4" w:space="0"/>
              <w:right w:val="single" w:color="000000" w:sz="4" w:space="0"/>
            </w:tcBorders>
            <w:vAlign w:val="center"/>
          </w:tcPr>
          <w:p w14:paraId="31986FCA">
            <w:pPr>
              <w:jc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33D2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7B8BA42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54116BA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0691B97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网络通畅率</w:t>
            </w:r>
          </w:p>
        </w:tc>
        <w:tc>
          <w:tcPr>
            <w:tcW w:w="1287" w:type="dxa"/>
            <w:tcBorders>
              <w:top w:val="single" w:color="000000" w:sz="4" w:space="0"/>
              <w:left w:val="single" w:color="000000" w:sz="4" w:space="0"/>
              <w:bottom w:val="single" w:color="000000" w:sz="4" w:space="0"/>
              <w:right w:val="single" w:color="000000" w:sz="4" w:space="0"/>
            </w:tcBorders>
            <w:vAlign w:val="center"/>
          </w:tcPr>
          <w:p w14:paraId="11ECFAA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88" w:type="dxa"/>
            <w:tcBorders>
              <w:top w:val="single" w:color="000000" w:sz="4" w:space="0"/>
              <w:left w:val="single" w:color="000000" w:sz="4" w:space="0"/>
              <w:bottom w:val="single" w:color="000000" w:sz="4" w:space="0"/>
              <w:right w:val="single" w:color="000000" w:sz="4" w:space="0"/>
            </w:tcBorders>
            <w:vAlign w:val="center"/>
          </w:tcPr>
          <w:p w14:paraId="3464F3AC">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67AB8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178C850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1937" w:type="dxa"/>
            <w:tcBorders>
              <w:top w:val="single" w:color="000000" w:sz="4" w:space="0"/>
              <w:left w:val="single" w:color="000000" w:sz="4" w:space="0"/>
              <w:bottom w:val="single" w:color="000000" w:sz="4" w:space="0"/>
              <w:right w:val="single" w:color="000000" w:sz="4" w:space="0"/>
            </w:tcBorders>
            <w:vAlign w:val="center"/>
          </w:tcPr>
          <w:p w14:paraId="6AE9A3B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2638" w:type="dxa"/>
            <w:tcBorders>
              <w:top w:val="single" w:color="000000" w:sz="4" w:space="0"/>
              <w:left w:val="single" w:color="000000" w:sz="4" w:space="0"/>
              <w:bottom w:val="single" w:color="000000" w:sz="4" w:space="0"/>
              <w:right w:val="single" w:color="000000" w:sz="4" w:space="0"/>
            </w:tcBorders>
            <w:vAlign w:val="center"/>
          </w:tcPr>
          <w:p w14:paraId="22D81AF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网络使用人员满意度</w:t>
            </w:r>
          </w:p>
        </w:tc>
        <w:tc>
          <w:tcPr>
            <w:tcW w:w="1287" w:type="dxa"/>
            <w:tcBorders>
              <w:top w:val="single" w:color="000000" w:sz="4" w:space="0"/>
              <w:left w:val="single" w:color="000000" w:sz="4" w:space="0"/>
              <w:bottom w:val="single" w:color="000000" w:sz="4" w:space="0"/>
              <w:right w:val="single" w:color="000000" w:sz="4" w:space="0"/>
            </w:tcBorders>
            <w:vAlign w:val="center"/>
          </w:tcPr>
          <w:p w14:paraId="48EFD9AB">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≥90%</w:t>
            </w:r>
          </w:p>
        </w:tc>
        <w:tc>
          <w:tcPr>
            <w:tcW w:w="1488" w:type="dxa"/>
            <w:tcBorders>
              <w:top w:val="single" w:color="000000" w:sz="4" w:space="0"/>
              <w:left w:val="single" w:color="000000" w:sz="4" w:space="0"/>
              <w:bottom w:val="single" w:color="000000" w:sz="4" w:space="0"/>
              <w:right w:val="single" w:color="000000" w:sz="4" w:space="0"/>
            </w:tcBorders>
            <w:vAlign w:val="center"/>
          </w:tcPr>
          <w:p w14:paraId="6C471BA2">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bl>
    <w:p w14:paraId="6BA37E5C">
      <w:pPr>
        <w:pStyle w:val="16"/>
        <w:rPr>
          <w:rFonts w:hint="default"/>
          <w:lang w:val="en-US" w:eastAsia="zh-CN"/>
        </w:rPr>
      </w:pPr>
    </w:p>
    <w:p w14:paraId="3A9CCA9D">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25834884">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lang w:val="en-US" w:eastAsia="zh-CN"/>
        </w:rPr>
        <w:t>我单位本次项目支出绩效评价按照</w:t>
      </w:r>
      <w:r>
        <w:rPr>
          <w:rFonts w:hint="default" w:ascii="Times New Roman" w:hAnsi="Times New Roman" w:eastAsia="仿宋_GB2312" w:cs="Times New Roman"/>
          <w:color w:val="auto"/>
          <w:sz w:val="32"/>
          <w:szCs w:val="32"/>
        </w:rPr>
        <w:t>《遂宁市船山区财政局关于开展202</w:t>
      </w:r>
      <w:r>
        <w:rPr>
          <w:rFonts w:hint="eastAsia" w:cs="Times New Roman"/>
          <w:color w:val="auto"/>
          <w:sz w:val="32"/>
          <w:szCs w:val="32"/>
          <w:lang w:val="en-US" w:eastAsia="zh-CN"/>
        </w:rPr>
        <w:t>4</w:t>
      </w:r>
      <w:r>
        <w:rPr>
          <w:rFonts w:hint="default" w:ascii="Times New Roman" w:hAnsi="Times New Roman" w:eastAsia="仿宋_GB2312" w:cs="Times New Roman"/>
          <w:color w:val="auto"/>
          <w:sz w:val="32"/>
          <w:szCs w:val="32"/>
        </w:rPr>
        <w:t>年部门、项目、政策支出绩效自评工作的通知》（遂船财</w:t>
      </w:r>
      <w:r>
        <w:rPr>
          <w:rFonts w:hint="eastAsia" w:cs="Times New Roman"/>
          <w:color w:val="auto"/>
          <w:sz w:val="32"/>
          <w:szCs w:val="32"/>
          <w:lang w:eastAsia="zh-CN"/>
        </w:rPr>
        <w:t>绩</w:t>
      </w:r>
      <w:r>
        <w:rPr>
          <w:rFonts w:hint="default" w:ascii="Times New Roman" w:hAnsi="Times New Roman" w:eastAsia="仿宋_GB2312" w:cs="Times New Roman"/>
          <w:color w:val="auto"/>
          <w:sz w:val="32"/>
          <w:szCs w:val="32"/>
        </w:rPr>
        <w:t>〔202</w:t>
      </w:r>
      <w:r>
        <w:rPr>
          <w:rFonts w:hint="eastAsia" w:cs="Times New Roman"/>
          <w:color w:val="auto"/>
          <w:sz w:val="32"/>
          <w:szCs w:val="32"/>
          <w:lang w:val="en-US" w:eastAsia="zh-CN"/>
        </w:rPr>
        <w:t>4</w:t>
      </w:r>
      <w:r>
        <w:rPr>
          <w:rFonts w:hint="default" w:ascii="Times New Roman" w:hAnsi="Times New Roman" w:eastAsia="仿宋_GB2312" w:cs="Times New Roman"/>
          <w:color w:val="auto"/>
          <w:sz w:val="32"/>
          <w:szCs w:val="32"/>
        </w:rPr>
        <w:t>〕</w:t>
      </w:r>
      <w:r>
        <w:rPr>
          <w:rFonts w:hint="eastAsia" w:cs="Times New Roman"/>
          <w:color w:val="auto"/>
          <w:sz w:val="32"/>
          <w:szCs w:val="32"/>
          <w:lang w:val="en-US" w:eastAsia="zh-CN"/>
        </w:rPr>
        <w:t>2</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000000"/>
          <w:sz w:val="32"/>
          <w:szCs w:val="32"/>
          <w:lang w:val="en-US" w:eastAsia="zh-CN"/>
        </w:rPr>
        <w:t>文件要求执行。</w:t>
      </w:r>
      <w:r>
        <w:rPr>
          <w:rFonts w:hint="default" w:ascii="Times New Roman" w:hAnsi="Times New Roman" w:eastAsia="仿宋_GB2312" w:cs="Times New Roman"/>
          <w:color w:val="auto"/>
          <w:sz w:val="32"/>
          <w:szCs w:val="32"/>
          <w:highlight w:val="none"/>
          <w:lang w:val="en-US" w:eastAsia="zh-CN"/>
        </w:rPr>
        <w:t>本次项目支出的指标体系分为</w:t>
      </w:r>
      <w:r>
        <w:rPr>
          <w:rFonts w:hint="default" w:ascii="Times New Roman" w:hAnsi="Times New Roman"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个</w:t>
      </w:r>
      <w:r>
        <w:rPr>
          <w:rFonts w:hint="eastAsia" w:ascii="Times New Roman" w:hAnsi="Times New Roman" w:cs="Times New Roman"/>
          <w:color w:val="auto"/>
          <w:sz w:val="32"/>
          <w:szCs w:val="32"/>
          <w:highlight w:val="none"/>
          <w:lang w:val="en-US" w:eastAsia="zh-CN"/>
        </w:rPr>
        <w:t>分层</w:t>
      </w:r>
      <w:r>
        <w:rPr>
          <w:rFonts w:hint="default" w:ascii="Times New Roman" w:hAnsi="Times New Roman" w:eastAsia="仿宋_GB2312" w:cs="Times New Roman"/>
          <w:color w:val="auto"/>
          <w:sz w:val="32"/>
          <w:szCs w:val="32"/>
          <w:highlight w:val="none"/>
          <w:lang w:val="en-US" w:eastAsia="zh-CN"/>
        </w:rPr>
        <w:t>指标</w:t>
      </w:r>
      <w:r>
        <w:rPr>
          <w:rFonts w:hint="default" w:ascii="Times New Roman" w:hAnsi="Times New Roman"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个</w:t>
      </w:r>
      <w:r>
        <w:rPr>
          <w:rFonts w:hint="eastAsia" w:ascii="Times New Roman" w:hAnsi="Times New Roman"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lang w:val="en-US" w:eastAsia="zh-CN"/>
        </w:rPr>
        <w:t>级指标</w:t>
      </w:r>
      <w:r>
        <w:rPr>
          <w:rFonts w:hint="default" w:ascii="Times New Roman" w:hAnsi="Times New Roman" w:cs="Times New Roman"/>
          <w:color w:val="auto"/>
          <w:sz w:val="32"/>
          <w:szCs w:val="32"/>
          <w:highlight w:val="none"/>
          <w:lang w:val="en-US" w:eastAsia="zh-CN"/>
        </w:rPr>
        <w:t>、13个</w:t>
      </w:r>
      <w:r>
        <w:rPr>
          <w:rFonts w:hint="eastAsia" w:ascii="Times New Roman" w:hAnsi="Times New Roman" w:cs="Times New Roman"/>
          <w:color w:val="auto"/>
          <w:sz w:val="32"/>
          <w:szCs w:val="32"/>
          <w:highlight w:val="none"/>
          <w:lang w:val="en-US" w:eastAsia="zh-CN"/>
        </w:rPr>
        <w:t>二</w:t>
      </w:r>
      <w:r>
        <w:rPr>
          <w:rFonts w:hint="default" w:ascii="Times New Roman" w:hAnsi="Times New Roman" w:cs="Times New Roman"/>
          <w:color w:val="auto"/>
          <w:sz w:val="32"/>
          <w:szCs w:val="32"/>
          <w:highlight w:val="none"/>
          <w:lang w:val="en-US" w:eastAsia="zh-CN"/>
        </w:rPr>
        <w:t>级指标，</w:t>
      </w:r>
      <w:r>
        <w:rPr>
          <w:rFonts w:hint="default" w:ascii="Times New Roman" w:hAnsi="Times New Roman" w:eastAsia="仿宋_GB2312" w:cs="Times New Roman"/>
          <w:color w:val="auto"/>
          <w:sz w:val="32"/>
          <w:szCs w:val="32"/>
          <w:highlight w:val="none"/>
          <w:lang w:val="en-US" w:eastAsia="zh-CN"/>
        </w:rPr>
        <w:t>共计100分。</w:t>
      </w:r>
      <w:r>
        <w:rPr>
          <w:rFonts w:hint="default" w:ascii="Times New Roman" w:hAnsi="Times New Roman" w:cs="Times New Roman"/>
          <w:color w:val="auto"/>
          <w:sz w:val="32"/>
          <w:szCs w:val="32"/>
          <w:highlight w:val="none"/>
          <w:lang w:val="en-US" w:eastAsia="zh-CN"/>
        </w:rPr>
        <w:t>评价</w:t>
      </w:r>
      <w:r>
        <w:rPr>
          <w:rFonts w:hint="eastAsia" w:ascii="Times New Roman" w:hAnsi="Times New Roman" w:cs="Times New Roman"/>
          <w:color w:val="auto"/>
          <w:sz w:val="32"/>
          <w:szCs w:val="32"/>
          <w:highlight w:val="none"/>
          <w:lang w:val="en-US" w:eastAsia="zh-CN"/>
        </w:rPr>
        <w:t>方法是</w:t>
      </w:r>
      <w:r>
        <w:rPr>
          <w:rFonts w:hint="default" w:ascii="Times New Roman" w:hAnsi="Times New Roman" w:eastAsia="仿宋_GB2312" w:cs="Times New Roman"/>
          <w:color w:val="auto"/>
          <w:sz w:val="32"/>
          <w:szCs w:val="32"/>
          <w:highlight w:val="none"/>
          <w:lang w:val="en-US" w:eastAsia="zh-CN"/>
        </w:rPr>
        <w:t>核对财务账目、检查档案资料，重点查看账目，账实对照，对资金使用进行综合分析，作出总体性评价。</w:t>
      </w:r>
    </w:p>
    <w:p w14:paraId="602C9FB7">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5F01286C">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zh-CN" w:eastAsia="zh-CN"/>
        </w:rPr>
        <w:t>绩效目标科学完整，资金管理到位，预算执行规范，按期完成开支进度，实现政协建言献策的社会效应，</w:t>
      </w:r>
      <w:r>
        <w:rPr>
          <w:rFonts w:hint="default" w:ascii="Times New Roman" w:hAnsi="Times New Roman" w:eastAsia="仿宋_GB2312" w:cs="Times New Roman"/>
          <w:color w:val="auto"/>
          <w:sz w:val="32"/>
          <w:szCs w:val="32"/>
          <w:highlight w:val="none"/>
          <w:lang w:val="en-US" w:eastAsia="zh-CN"/>
        </w:rPr>
        <w:t>综合评价得分100分，详见下表</w:t>
      </w:r>
      <w:r>
        <w:rPr>
          <w:rFonts w:hint="default" w:ascii="Times New Roman" w:hAnsi="Times New Roman" w:eastAsia="仿宋_GB2312" w:cs="Times New Roman"/>
          <w:color w:val="auto"/>
          <w:sz w:val="32"/>
          <w:szCs w:val="32"/>
          <w:highlight w:val="none"/>
          <w:lang w:val="zh-CN" w:eastAsia="zh-CN"/>
        </w:rPr>
        <w:t>。</w:t>
      </w:r>
    </w:p>
    <w:tbl>
      <w:tblPr>
        <w:tblStyle w:val="20"/>
        <w:tblW w:w="8600" w:type="dxa"/>
        <w:jc w:val="center"/>
        <w:tblLayout w:type="fixed"/>
        <w:tblCellMar>
          <w:top w:w="0" w:type="dxa"/>
          <w:left w:w="0" w:type="dxa"/>
          <w:bottom w:w="0" w:type="dxa"/>
          <w:right w:w="0" w:type="dxa"/>
        </w:tblCellMar>
      </w:tblPr>
      <w:tblGrid>
        <w:gridCol w:w="1140"/>
        <w:gridCol w:w="873"/>
        <w:gridCol w:w="1062"/>
        <w:gridCol w:w="1405"/>
        <w:gridCol w:w="930"/>
        <w:gridCol w:w="930"/>
        <w:gridCol w:w="1275"/>
        <w:gridCol w:w="985"/>
      </w:tblGrid>
      <w:tr w14:paraId="468731FF">
        <w:tblPrEx>
          <w:tblCellMar>
            <w:top w:w="0" w:type="dxa"/>
            <w:left w:w="0" w:type="dxa"/>
            <w:bottom w:w="0" w:type="dxa"/>
            <w:right w:w="0" w:type="dxa"/>
          </w:tblCellMar>
        </w:tblPrEx>
        <w:trPr>
          <w:trHeight w:val="432" w:hRule="atLeast"/>
          <w:jc w:val="center"/>
        </w:trPr>
        <w:tc>
          <w:tcPr>
            <w:tcW w:w="448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1F6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9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ACB3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9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313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27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AA83E7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98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883D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2B98A78D">
        <w:tblPrEx>
          <w:tblCellMar>
            <w:top w:w="0" w:type="dxa"/>
            <w:left w:w="0" w:type="dxa"/>
            <w:bottom w:w="0" w:type="dxa"/>
            <w:right w:w="0" w:type="dxa"/>
          </w:tblCellMar>
        </w:tblPrEx>
        <w:trPr>
          <w:trHeight w:val="432"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257F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18"/>
                <w:szCs w:val="18"/>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7CC8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18"/>
                <w:szCs w:val="18"/>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1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6DAA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18"/>
                <w:szCs w:val="18"/>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7CBE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18"/>
                <w:szCs w:val="18"/>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9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65B7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18"/>
                <w:szCs w:val="18"/>
                <w:highlight w:val="none"/>
                <w:u w:val="none"/>
              </w:rPr>
            </w:pPr>
          </w:p>
        </w:tc>
        <w:tc>
          <w:tcPr>
            <w:tcW w:w="9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96DB8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18"/>
                <w:szCs w:val="18"/>
                <w:highlight w:val="none"/>
                <w:u w:val="none"/>
              </w:rPr>
            </w:pPr>
          </w:p>
        </w:tc>
        <w:tc>
          <w:tcPr>
            <w:tcW w:w="1275" w:type="dxa"/>
            <w:vMerge w:val="continue"/>
            <w:tcBorders>
              <w:left w:val="single" w:color="000000" w:sz="4" w:space="0"/>
              <w:right w:val="single" w:color="000000" w:sz="4" w:space="0"/>
            </w:tcBorders>
            <w:tcMar>
              <w:top w:w="15" w:type="dxa"/>
              <w:left w:w="15" w:type="dxa"/>
              <w:right w:w="15" w:type="dxa"/>
            </w:tcMar>
            <w:vAlign w:val="center"/>
          </w:tcPr>
          <w:p w14:paraId="41566CC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18"/>
                <w:szCs w:val="18"/>
                <w:highlight w:val="none"/>
                <w:u w:val="none"/>
              </w:rPr>
            </w:pPr>
          </w:p>
        </w:tc>
        <w:tc>
          <w:tcPr>
            <w:tcW w:w="9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5DF1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18"/>
                <w:szCs w:val="18"/>
                <w:highlight w:val="none"/>
                <w:u w:val="none"/>
              </w:rPr>
            </w:pPr>
          </w:p>
        </w:tc>
      </w:tr>
      <w:tr w14:paraId="6E493AE3">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8840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8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7FB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6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F5D3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B46E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511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5CD1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7662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469D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65EDC2F5">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DE6A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5B20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6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AB70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FDF3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E7BF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E70E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15AE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9EF8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53A4AFC1">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32EF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4302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6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36CB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415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3FB3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EE4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CDD0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0110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1CDC3D6E">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68F5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1D06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6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BEAA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2291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0E51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ECC4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BA8F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F730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4748C727">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11FC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D41A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6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D549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497E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9342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AFBF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9165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5856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58940F43">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864E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FD60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6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B3B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30B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C699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cs="Times New Roman"/>
                <w:b w:val="0"/>
                <w:bCs/>
                <w:i w:val="0"/>
                <w:color w:val="auto"/>
                <w:kern w:val="0"/>
                <w:sz w:val="21"/>
                <w:szCs w:val="21"/>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D07D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1</w:t>
            </w:r>
            <w:r>
              <w:rPr>
                <w:rFonts w:hint="default" w:ascii="Times New Roman" w:hAnsi="Times New Roman" w:cs="Times New Roman"/>
                <w:b w:val="0"/>
                <w:bCs w:val="0"/>
                <w:i w:val="0"/>
                <w:iCs w:val="0"/>
                <w:color w:val="auto"/>
                <w:kern w:val="0"/>
                <w:sz w:val="21"/>
                <w:szCs w:val="21"/>
                <w:highlight w:val="none"/>
                <w:u w:val="none"/>
                <w:lang w:val="en-US" w:eastAsia="zh-CN" w:bidi="ar"/>
              </w:rPr>
              <w:t>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DEBD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1</w:t>
            </w:r>
            <w:r>
              <w:rPr>
                <w:rFonts w:hint="default" w:ascii="Times New Roman" w:hAnsi="Times New Roman" w:cs="Times New Roman"/>
                <w:b w:val="0"/>
                <w:bCs w:val="0"/>
                <w:i w:val="0"/>
                <w:iCs w:val="0"/>
                <w:color w:val="auto"/>
                <w:kern w:val="0"/>
                <w:sz w:val="21"/>
                <w:szCs w:val="21"/>
                <w:highlight w:val="none"/>
                <w:u w:val="none"/>
                <w:lang w:val="en-US" w:eastAsia="zh-CN" w:bidi="ar"/>
              </w:rPr>
              <w:t>00%</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8825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5E4C6C4E">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233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7D21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6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B179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3165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B69D7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F4D6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1</w:t>
            </w:r>
            <w:r>
              <w:rPr>
                <w:rFonts w:hint="default" w:ascii="Times New Roman" w:hAnsi="Times New Roman" w:cs="Times New Roman"/>
                <w:b w:val="0"/>
                <w:bCs w:val="0"/>
                <w:i w:val="0"/>
                <w:iCs w:val="0"/>
                <w:color w:val="auto"/>
                <w:kern w:val="0"/>
                <w:sz w:val="21"/>
                <w:szCs w:val="21"/>
                <w:highlight w:val="none"/>
                <w:u w:val="none"/>
                <w:lang w:val="en-US" w:eastAsia="zh-CN" w:bidi="ar"/>
              </w:rPr>
              <w:t>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D1C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1</w:t>
            </w:r>
            <w:r>
              <w:rPr>
                <w:rFonts w:hint="default" w:ascii="Times New Roman" w:hAnsi="Times New Roman" w:cs="Times New Roman"/>
                <w:b w:val="0"/>
                <w:bCs w:val="0"/>
                <w:i w:val="0"/>
                <w:iCs w:val="0"/>
                <w:color w:val="auto"/>
                <w:kern w:val="0"/>
                <w:sz w:val="21"/>
                <w:szCs w:val="21"/>
                <w:highlight w:val="none"/>
                <w:u w:val="none"/>
                <w:lang w:val="en-US" w:eastAsia="zh-CN" w:bidi="ar"/>
              </w:rPr>
              <w:t>00%</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7EBE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21C6C2F5">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AED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8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4EF9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90F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F898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设施设备维护次数</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AB80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175A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≥5次</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18EB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≥5次</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A75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1F496C19">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2904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2569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6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123A6E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E97D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维修服务达标率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9D0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395B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2410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917E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609C19B1">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917F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F2E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AA23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1F1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项目总成本</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01C1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5DAD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w:t>
            </w:r>
            <w:r>
              <w:rPr>
                <w:rFonts w:hint="eastAsia" w:ascii="Times New Roman" w:hAnsi="Times New Roman" w:eastAsia="仿宋_GB2312" w:cs="Times New Roman"/>
                <w:b w:val="0"/>
                <w:bCs/>
                <w:i w:val="0"/>
                <w:color w:val="auto"/>
                <w:kern w:val="0"/>
                <w:sz w:val="21"/>
                <w:szCs w:val="21"/>
                <w:highlight w:val="none"/>
                <w:u w:val="none"/>
                <w:lang w:val="en-US" w:eastAsia="zh-CN" w:bidi="ar"/>
              </w:rPr>
              <w:t>10万元</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C9EE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w:t>
            </w:r>
            <w:r>
              <w:rPr>
                <w:rFonts w:hint="eastAsia" w:ascii="Times New Roman" w:hAnsi="Times New Roman" w:eastAsia="仿宋_GB2312" w:cs="Times New Roman"/>
                <w:b w:val="0"/>
                <w:bCs/>
                <w:i w:val="0"/>
                <w:color w:val="auto"/>
                <w:kern w:val="0"/>
                <w:sz w:val="21"/>
                <w:szCs w:val="21"/>
                <w:highlight w:val="none"/>
                <w:u w:val="none"/>
                <w:lang w:val="en-US" w:eastAsia="zh-CN" w:bidi="ar"/>
              </w:rPr>
              <w:t>10万元</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FEF4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56E84C84">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02C4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EF11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80AF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DEEF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定期缴费率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F0F1C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E60F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5A74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2B03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471B9509">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131891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873"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5E19E6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106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482BB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1A04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网络通畅率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C94C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3682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CF98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7276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38553557">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86052E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73"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13F236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6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2C2ADA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B7F9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B8F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8742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3F7B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602C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76C661E1">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001EDF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73"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D868EC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6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911B14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59B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A85F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1DC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3365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8870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5A9B9614">
        <w:tblPrEx>
          <w:tblCellMar>
            <w:top w:w="0" w:type="dxa"/>
            <w:left w:w="0" w:type="dxa"/>
            <w:bottom w:w="0" w:type="dxa"/>
            <w:right w:w="0" w:type="dxa"/>
          </w:tblCellMar>
        </w:tblPrEx>
        <w:trPr>
          <w:trHeight w:val="540"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70D7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1DAB00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11B8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DD4B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A047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网络使用人员满意度</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4F6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39A6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F2D4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w:t>
            </w:r>
            <w:r>
              <w:rPr>
                <w:rFonts w:hint="default" w:ascii="Times New Roman" w:hAnsi="Times New Roman" w:eastAsia="仿宋_GB2312" w:cs="Times New Roman"/>
                <w:b w:val="0"/>
                <w:bCs/>
                <w:i w:val="0"/>
                <w:color w:val="auto"/>
                <w:kern w:val="0"/>
                <w:sz w:val="21"/>
                <w:szCs w:val="21"/>
                <w:highlight w:val="none"/>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B0BF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7B80F925">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四、绩效评价分析</w:t>
      </w:r>
    </w:p>
    <w:p w14:paraId="4B4915AA">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为进一步加强信息化建设工作，讲好政协故事、宣传好政协声音、传播好政协形象，确保政协信息化工作正常运转，</w:t>
      </w:r>
      <w:r>
        <w:rPr>
          <w:rFonts w:hint="eastAsia" w:ascii="仿宋_GB2312" w:hAnsi="仿宋_GB2312" w:eastAsia="仿宋_GB2312" w:cs="仿宋_GB2312"/>
          <w:color w:val="auto"/>
          <w:sz w:val="32"/>
          <w:szCs w:val="32"/>
          <w:highlight w:val="none"/>
          <w:lang w:val="en-US" w:eastAsia="zh-CN"/>
        </w:rPr>
        <w:t>严格按照《中国人民政治协商会议章程》及中省市区相关要求立项，立项决策依据充分、决策程序合规、绩效目标科学完整，整体情况良好。</w:t>
      </w:r>
    </w:p>
    <w:p w14:paraId="46C8968F">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textAlignment w:val="auto"/>
        <w:rPr>
          <w:rFonts w:hint="default"/>
          <w:sz w:val="32"/>
          <w:szCs w:val="32"/>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项目管理制度及财政监督制度健全，测算依据和使用过程规范，</w:t>
      </w:r>
      <w:r>
        <w:rPr>
          <w:rFonts w:hint="default" w:ascii="仿宋_GB2312" w:hAnsi="仿宋_GB2312" w:eastAsia="仿宋_GB2312" w:cs="仿宋_GB2312"/>
          <w:color w:val="auto"/>
          <w:kern w:val="2"/>
          <w:sz w:val="32"/>
          <w:szCs w:val="32"/>
          <w:highlight w:val="none"/>
          <w:lang w:val="en-US" w:eastAsia="zh-CN" w:bidi="ar-SA"/>
        </w:rPr>
        <w:t>严格执行项目申报，</w:t>
      </w:r>
      <w:r>
        <w:rPr>
          <w:rFonts w:hint="eastAsia" w:ascii="仿宋_GB2312" w:hAnsi="仿宋_GB2312" w:eastAsia="仿宋_GB2312" w:cs="仿宋_GB2312"/>
          <w:color w:val="auto"/>
          <w:kern w:val="2"/>
          <w:sz w:val="32"/>
          <w:szCs w:val="32"/>
          <w:highlight w:val="none"/>
          <w:lang w:val="en-US" w:eastAsia="zh-CN" w:bidi="ar-SA"/>
        </w:rPr>
        <w:t>项目实施及</w:t>
      </w:r>
      <w:r>
        <w:rPr>
          <w:rFonts w:hint="default" w:ascii="仿宋_GB2312" w:hAnsi="仿宋_GB2312" w:eastAsia="仿宋_GB2312" w:cs="仿宋_GB2312"/>
          <w:color w:val="auto"/>
          <w:kern w:val="2"/>
          <w:sz w:val="32"/>
          <w:szCs w:val="32"/>
          <w:highlight w:val="none"/>
          <w:lang w:val="en-US" w:eastAsia="zh-CN" w:bidi="ar-SA"/>
        </w:rPr>
        <w:t>资金使用严格按照预算</w:t>
      </w:r>
      <w:r>
        <w:rPr>
          <w:rFonts w:hint="eastAsia" w:ascii="仿宋_GB2312" w:hAnsi="仿宋_GB2312" w:eastAsia="仿宋_GB2312" w:cs="仿宋_GB2312"/>
          <w:color w:val="auto"/>
          <w:kern w:val="2"/>
          <w:sz w:val="32"/>
          <w:szCs w:val="32"/>
          <w:highlight w:val="none"/>
          <w:lang w:val="en-US" w:eastAsia="zh-CN" w:bidi="ar-SA"/>
        </w:rPr>
        <w:t>及单位内控等</w:t>
      </w:r>
      <w:r>
        <w:rPr>
          <w:rFonts w:hint="default" w:ascii="仿宋_GB2312" w:hAnsi="仿宋_GB2312" w:eastAsia="仿宋_GB2312" w:cs="仿宋_GB2312"/>
          <w:color w:val="auto"/>
          <w:kern w:val="2"/>
          <w:sz w:val="32"/>
          <w:szCs w:val="32"/>
          <w:highlight w:val="none"/>
          <w:lang w:val="en-US" w:eastAsia="zh-CN" w:bidi="ar-SA"/>
        </w:rPr>
        <w:t>相关</w:t>
      </w:r>
      <w:r>
        <w:rPr>
          <w:rFonts w:hint="eastAsia" w:ascii="仿宋_GB2312" w:hAnsi="仿宋_GB2312" w:eastAsia="仿宋_GB2312" w:cs="仿宋_GB2312"/>
          <w:color w:val="auto"/>
          <w:kern w:val="2"/>
          <w:sz w:val="32"/>
          <w:szCs w:val="32"/>
          <w:highlight w:val="none"/>
          <w:lang w:val="en-US" w:eastAsia="zh-CN" w:bidi="ar-SA"/>
        </w:rPr>
        <w:t>规定</w:t>
      </w:r>
      <w:r>
        <w:rPr>
          <w:rFonts w:hint="default" w:ascii="仿宋_GB2312" w:hAnsi="仿宋_GB2312" w:eastAsia="仿宋_GB2312" w:cs="仿宋_GB2312"/>
          <w:color w:val="auto"/>
          <w:kern w:val="2"/>
          <w:sz w:val="32"/>
          <w:szCs w:val="32"/>
          <w:highlight w:val="none"/>
          <w:lang w:val="en-US" w:eastAsia="zh-CN" w:bidi="ar-SA"/>
        </w:rPr>
        <w:t>执行。</w:t>
      </w:r>
    </w:p>
    <w:p w14:paraId="5E2C355C">
      <w:pPr>
        <w:pStyle w:val="1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570" w:lineRule="exact"/>
        <w:ind w:right="0" w:rightChars="0" w:firstLine="643" w:firstLineChars="200"/>
        <w:jc w:val="both"/>
        <w:textAlignment w:val="auto"/>
        <w:rPr>
          <w:rFonts w:hint="default"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color w:val="auto"/>
          <w:kern w:val="2"/>
          <w:sz w:val="32"/>
          <w:szCs w:val="32"/>
          <w:highlight w:val="none"/>
          <w:lang w:val="en-US" w:eastAsia="zh-CN" w:bidi="ar-SA"/>
        </w:rPr>
        <w:t>（三）项目产出情况。</w:t>
      </w:r>
      <w:r>
        <w:rPr>
          <w:rFonts w:hint="default" w:ascii="仿宋_GB2312" w:hAnsi="仿宋_GB2312" w:eastAsia="仿宋_GB2312" w:cs="仿宋_GB2312"/>
          <w:color w:val="auto"/>
          <w:kern w:val="2"/>
          <w:sz w:val="32"/>
          <w:szCs w:val="32"/>
          <w:highlight w:val="none"/>
          <w:lang w:val="en-US" w:eastAsia="zh-CN" w:bidi="ar-SA"/>
        </w:rPr>
        <w:t>加强对政协官网、微信公众号、委员微信群等宣传阵地管理，及时宣传党的新理论新思想和重大决策部署，牢牢把住政协意识形态工作的领导权和主动权，全年在人民政协报、四川政协报、遂宁新闻网等媒体上刊发新闻稿件</w:t>
      </w:r>
      <w:r>
        <w:rPr>
          <w:rFonts w:hint="eastAsia" w:ascii="仿宋_GB2312" w:hAnsi="仿宋_GB2312" w:eastAsia="仿宋_GB2312" w:cs="仿宋_GB2312"/>
          <w:color w:val="auto"/>
          <w:kern w:val="2"/>
          <w:sz w:val="32"/>
          <w:szCs w:val="32"/>
          <w:highlight w:val="none"/>
          <w:lang w:val="en-US" w:eastAsia="zh-CN" w:bidi="ar-SA"/>
        </w:rPr>
        <w:t>20</w:t>
      </w:r>
      <w:r>
        <w:rPr>
          <w:rFonts w:hint="default" w:ascii="仿宋_GB2312" w:hAnsi="仿宋_GB2312" w:eastAsia="仿宋_GB2312" w:cs="仿宋_GB2312"/>
          <w:color w:val="auto"/>
          <w:kern w:val="2"/>
          <w:sz w:val="32"/>
          <w:szCs w:val="32"/>
          <w:highlight w:val="none"/>
          <w:lang w:val="en-US" w:eastAsia="zh-CN" w:bidi="ar-SA"/>
        </w:rPr>
        <w:t>余篇，利用船山政协微信平台刊发信息</w:t>
      </w:r>
      <w:r>
        <w:rPr>
          <w:rFonts w:hint="eastAsia" w:ascii="仿宋_GB2312" w:hAnsi="仿宋_GB2312" w:eastAsia="仿宋_GB2312" w:cs="仿宋_GB2312"/>
          <w:color w:val="auto"/>
          <w:kern w:val="2"/>
          <w:sz w:val="32"/>
          <w:szCs w:val="32"/>
          <w:highlight w:val="none"/>
          <w:lang w:val="en-US" w:eastAsia="zh-CN" w:bidi="ar-SA"/>
        </w:rPr>
        <w:t>50</w:t>
      </w:r>
      <w:r>
        <w:rPr>
          <w:rFonts w:hint="default" w:ascii="仿宋_GB2312" w:hAnsi="仿宋_GB2312" w:eastAsia="仿宋_GB2312" w:cs="仿宋_GB2312"/>
          <w:color w:val="auto"/>
          <w:kern w:val="2"/>
          <w:sz w:val="32"/>
          <w:szCs w:val="32"/>
          <w:highlight w:val="none"/>
          <w:lang w:val="en-US" w:eastAsia="zh-CN" w:bidi="ar-SA"/>
        </w:rPr>
        <w:t>篇，讲好了政协故事</w:t>
      </w:r>
      <w:r>
        <w:rPr>
          <w:rFonts w:hint="eastAsia" w:ascii="仿宋_GB2312" w:hAnsi="仿宋_GB2312" w:eastAsia="仿宋_GB2312" w:cs="仿宋_GB2312"/>
          <w:color w:val="auto"/>
          <w:kern w:val="2"/>
          <w:sz w:val="32"/>
          <w:szCs w:val="32"/>
          <w:highlight w:val="none"/>
          <w:lang w:val="en-US" w:eastAsia="zh-CN" w:bidi="ar-SA"/>
        </w:rPr>
        <w:t>。</w:t>
      </w:r>
      <w:r>
        <w:rPr>
          <w:rFonts w:hint="default" w:ascii="仿宋_GB2312" w:hAnsi="仿宋_GB2312" w:eastAsia="仿宋_GB2312" w:cs="仿宋_GB2312"/>
          <w:color w:val="auto"/>
          <w:kern w:val="2"/>
          <w:sz w:val="32"/>
          <w:szCs w:val="32"/>
          <w:highlight w:val="none"/>
          <w:lang w:val="en-US" w:eastAsia="zh-CN" w:bidi="ar-SA"/>
        </w:rPr>
        <w:t>全年</w:t>
      </w:r>
      <w:r>
        <w:rPr>
          <w:rFonts w:hint="eastAsia" w:ascii="仿宋_GB2312" w:hAnsi="仿宋_GB2312" w:eastAsia="仿宋_GB2312" w:cs="仿宋_GB2312"/>
          <w:color w:val="auto"/>
          <w:kern w:val="2"/>
          <w:sz w:val="32"/>
          <w:szCs w:val="32"/>
          <w:highlight w:val="none"/>
          <w:lang w:val="en-US" w:eastAsia="zh-CN" w:bidi="ar-SA"/>
        </w:rPr>
        <w:t>对</w:t>
      </w:r>
      <w:r>
        <w:rPr>
          <w:rFonts w:hint="default" w:ascii="仿宋_GB2312" w:hAnsi="仿宋_GB2312" w:eastAsia="仿宋_GB2312" w:cs="仿宋_GB2312"/>
          <w:color w:val="auto"/>
          <w:kern w:val="2"/>
          <w:sz w:val="32"/>
          <w:szCs w:val="32"/>
          <w:highlight w:val="none"/>
          <w:lang w:val="en-US" w:eastAsia="zh-CN" w:bidi="ar-SA"/>
        </w:rPr>
        <w:t>电脑、打印机、网络专线、短信群发平台等</w:t>
      </w:r>
      <w:r>
        <w:rPr>
          <w:rFonts w:hint="eastAsia" w:ascii="仿宋_GB2312" w:hAnsi="仿宋_GB2312" w:eastAsia="仿宋_GB2312" w:cs="仿宋_GB2312"/>
          <w:color w:val="auto"/>
          <w:kern w:val="2"/>
          <w:sz w:val="32"/>
          <w:szCs w:val="32"/>
          <w:highlight w:val="none"/>
          <w:lang w:val="en-US" w:eastAsia="zh-CN" w:bidi="ar-SA"/>
        </w:rPr>
        <w:t>信息化建设设施设备进行</w:t>
      </w:r>
      <w:r>
        <w:rPr>
          <w:rFonts w:hint="default" w:ascii="仿宋_GB2312" w:hAnsi="仿宋_GB2312" w:eastAsia="仿宋_GB2312" w:cs="仿宋_GB2312"/>
          <w:color w:val="auto"/>
          <w:kern w:val="2"/>
          <w:sz w:val="32"/>
          <w:szCs w:val="32"/>
          <w:highlight w:val="none"/>
          <w:lang w:val="en-US" w:eastAsia="zh-CN" w:bidi="ar-SA"/>
        </w:rPr>
        <w:t>维修维护</w:t>
      </w:r>
      <w:r>
        <w:rPr>
          <w:rFonts w:hint="eastAsia" w:ascii="仿宋_GB2312" w:hAnsi="仿宋_GB2312" w:eastAsia="仿宋_GB2312" w:cs="仿宋_GB2312"/>
          <w:color w:val="auto"/>
          <w:kern w:val="2"/>
          <w:sz w:val="32"/>
          <w:szCs w:val="32"/>
          <w:highlight w:val="none"/>
          <w:lang w:val="en-US" w:eastAsia="zh-CN" w:bidi="ar-SA"/>
        </w:rPr>
        <w:t>20余</w:t>
      </w:r>
      <w:r>
        <w:rPr>
          <w:rFonts w:hint="default" w:ascii="仿宋_GB2312" w:hAnsi="仿宋_GB2312" w:eastAsia="仿宋_GB2312" w:cs="仿宋_GB2312"/>
          <w:color w:val="auto"/>
          <w:kern w:val="2"/>
          <w:sz w:val="32"/>
          <w:szCs w:val="32"/>
          <w:highlight w:val="none"/>
          <w:lang w:val="en-US" w:eastAsia="zh-CN" w:bidi="ar-SA"/>
        </w:rPr>
        <w:t>次，</w:t>
      </w:r>
      <w:r>
        <w:rPr>
          <w:rFonts w:hint="eastAsia" w:ascii="仿宋_GB2312" w:hAnsi="仿宋_GB2312" w:eastAsia="仿宋_GB2312" w:cs="仿宋_GB2312"/>
          <w:color w:val="auto"/>
          <w:kern w:val="2"/>
          <w:sz w:val="32"/>
          <w:szCs w:val="32"/>
          <w:highlight w:val="none"/>
          <w:lang w:val="en-US" w:eastAsia="zh-CN" w:bidi="ar-SA"/>
        </w:rPr>
        <w:t>购买订阅中国移动云MAS、云视讯高清视频、集团专线维护等服务，承办好“同心共建现代化四川”动员部署电视电话会议等，</w:t>
      </w:r>
      <w:r>
        <w:rPr>
          <w:rFonts w:hint="default" w:ascii="仿宋_GB2312" w:hAnsi="仿宋_GB2312" w:eastAsia="仿宋_GB2312" w:cs="仿宋_GB2312"/>
          <w:color w:val="auto"/>
          <w:kern w:val="2"/>
          <w:sz w:val="32"/>
          <w:szCs w:val="32"/>
          <w:highlight w:val="none"/>
          <w:lang w:val="en-US" w:eastAsia="zh-CN" w:bidi="ar-SA"/>
        </w:rPr>
        <w:t>网络通畅率、支付准确率、定期缴费率、维护服务达标率</w:t>
      </w:r>
      <w:r>
        <w:rPr>
          <w:rFonts w:hint="eastAsia" w:ascii="仿宋_GB2312" w:hAnsi="仿宋_GB2312" w:eastAsia="仿宋_GB2312" w:cs="仿宋_GB2312"/>
          <w:color w:val="auto"/>
          <w:kern w:val="2"/>
          <w:sz w:val="32"/>
          <w:szCs w:val="32"/>
          <w:highlight w:val="none"/>
          <w:lang w:val="en-US" w:eastAsia="zh-CN" w:bidi="ar-SA"/>
        </w:rPr>
        <w:t>、</w:t>
      </w:r>
      <w:r>
        <w:rPr>
          <w:rFonts w:hint="default" w:ascii="仿宋_GB2312" w:hAnsi="仿宋_GB2312" w:eastAsia="仿宋_GB2312" w:cs="仿宋_GB2312"/>
          <w:color w:val="auto"/>
          <w:kern w:val="2"/>
          <w:sz w:val="32"/>
          <w:szCs w:val="32"/>
          <w:highlight w:val="none"/>
          <w:lang w:val="en-US" w:eastAsia="zh-CN" w:bidi="ar-SA"/>
        </w:rPr>
        <w:t>网络使用人员满意率100%，</w:t>
      </w:r>
      <w:r>
        <w:rPr>
          <w:rFonts w:hint="eastAsia" w:ascii="仿宋_GB2312" w:hAnsi="仿宋_GB2312" w:eastAsia="仿宋_GB2312" w:cs="仿宋_GB2312"/>
          <w:color w:val="auto"/>
          <w:kern w:val="2"/>
          <w:sz w:val="32"/>
          <w:szCs w:val="32"/>
          <w:highlight w:val="none"/>
          <w:lang w:val="en-US" w:eastAsia="zh-CN" w:bidi="ar-SA"/>
        </w:rPr>
        <w:t>项目支出9.33万元，财政监督管理制度健全，</w:t>
      </w:r>
      <w:r>
        <w:rPr>
          <w:rFonts w:hint="default" w:ascii="仿宋_GB2312" w:hAnsi="仿宋_GB2312" w:eastAsia="仿宋_GB2312" w:cs="仿宋_GB2312"/>
          <w:color w:val="auto"/>
          <w:kern w:val="2"/>
          <w:sz w:val="32"/>
          <w:szCs w:val="32"/>
          <w:highlight w:val="none"/>
          <w:lang w:val="en-US" w:eastAsia="zh-CN" w:bidi="ar-SA"/>
        </w:rPr>
        <w:t>确保了信息化建设工作正常</w:t>
      </w:r>
      <w:r>
        <w:rPr>
          <w:rFonts w:hint="eastAsia" w:ascii="仿宋_GB2312" w:hAnsi="仿宋_GB2312" w:eastAsia="仿宋_GB2312" w:cs="仿宋_GB2312"/>
          <w:color w:val="auto"/>
          <w:kern w:val="2"/>
          <w:sz w:val="32"/>
          <w:szCs w:val="32"/>
          <w:highlight w:val="none"/>
          <w:lang w:val="en-US" w:eastAsia="zh-CN" w:bidi="ar-SA"/>
        </w:rPr>
        <w:t>开展，达到了讲好政协故事的预期目标</w:t>
      </w:r>
      <w:r>
        <w:rPr>
          <w:rFonts w:hint="default" w:ascii="仿宋_GB2312" w:hAnsi="仿宋_GB2312" w:eastAsia="仿宋_GB2312" w:cs="仿宋_GB2312"/>
          <w:color w:val="auto"/>
          <w:kern w:val="2"/>
          <w:sz w:val="32"/>
          <w:szCs w:val="32"/>
          <w:highlight w:val="none"/>
          <w:lang w:val="en-US" w:eastAsia="zh-CN" w:bidi="ar-SA"/>
        </w:rPr>
        <w:t>。</w:t>
      </w:r>
    </w:p>
    <w:p w14:paraId="57BE31B4">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sz w:val="32"/>
          <w:szCs w:val="32"/>
          <w:lang w:val="en-US" w:eastAsia="zh-CN"/>
        </w:rPr>
      </w:pPr>
      <w:r>
        <w:rPr>
          <w:rFonts w:hint="default" w:ascii="Times New Roman" w:hAnsi="Times New Roman" w:eastAsia="楷体_GB2312" w:cs="Times New Roman"/>
          <w:b/>
          <w:color w:val="auto"/>
          <w:sz w:val="32"/>
          <w:szCs w:val="32"/>
          <w:highlight w:val="none"/>
        </w:rPr>
        <w:t>（四）项目效益情况。</w:t>
      </w:r>
      <w:r>
        <w:rPr>
          <w:rFonts w:hint="default" w:ascii="仿宋_GB2312" w:hAnsi="仿宋_GB2312" w:eastAsia="仿宋_GB2312" w:cs="仿宋_GB2312"/>
          <w:color w:val="auto"/>
          <w:kern w:val="2"/>
          <w:sz w:val="32"/>
          <w:szCs w:val="32"/>
          <w:highlight w:val="none"/>
          <w:lang w:val="en-US" w:eastAsia="zh-CN" w:bidi="ar-SA"/>
        </w:rPr>
        <w:t>根据年度工作安排和财政预算批复，</w:t>
      </w:r>
      <w:r>
        <w:rPr>
          <w:rFonts w:hint="eastAsia" w:ascii="仿宋_GB2312" w:hAnsi="仿宋_GB2312" w:eastAsia="仿宋_GB2312" w:cs="仿宋_GB2312"/>
          <w:color w:val="auto"/>
          <w:kern w:val="2"/>
          <w:sz w:val="32"/>
          <w:szCs w:val="32"/>
          <w:highlight w:val="none"/>
          <w:lang w:val="en-US" w:eastAsia="zh-CN" w:bidi="ar-SA"/>
        </w:rPr>
        <w:t>网络通畅率、网络使用人员满意率达100%，圆满保障了机关信息化工作正常开展，初步实现预期目标</w:t>
      </w:r>
      <w:r>
        <w:rPr>
          <w:rFonts w:hint="default" w:ascii="仿宋_GB2312" w:hAnsi="仿宋_GB2312" w:eastAsia="仿宋_GB2312" w:cs="仿宋_GB2312"/>
          <w:color w:val="auto"/>
          <w:kern w:val="2"/>
          <w:sz w:val="32"/>
          <w:szCs w:val="32"/>
          <w:highlight w:val="none"/>
          <w:lang w:val="en-US" w:eastAsia="zh-CN" w:bidi="ar-SA"/>
        </w:rPr>
        <w:t>。</w:t>
      </w:r>
    </w:p>
    <w:p w14:paraId="2021E722">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19B4702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无</w:t>
      </w:r>
    </w:p>
    <w:p w14:paraId="1E98ED99">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24FDE754">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方正小标宋简体" w:cs="Times New Roman"/>
          <w:color w:val="auto"/>
          <w:sz w:val="44"/>
          <w:szCs w:val="44"/>
          <w:highlight w:val="none"/>
          <w:lang w:val="en-US" w:eastAsia="zh-CN"/>
        </w:rPr>
      </w:pPr>
      <w:r>
        <w:rPr>
          <w:rFonts w:hint="default" w:ascii="仿宋_GB2312" w:hAnsi="仿宋_GB2312" w:eastAsia="仿宋_GB2312" w:cs="仿宋_GB2312"/>
          <w:color w:val="auto"/>
          <w:kern w:val="2"/>
          <w:sz w:val="32"/>
          <w:szCs w:val="32"/>
          <w:highlight w:val="none"/>
          <w:lang w:val="en-US" w:eastAsia="zh-CN" w:bidi="ar-SA"/>
        </w:rPr>
        <w:t>无</w:t>
      </w:r>
    </w:p>
    <w:p w14:paraId="43961E69">
      <w:pPr>
        <w:keepNext w:val="0"/>
        <w:keepLines w:val="0"/>
        <w:pageBreakBefore w:val="0"/>
        <w:widowControl w:val="0"/>
        <w:kinsoku/>
        <w:wordWrap/>
        <w:overflowPunct w:val="0"/>
        <w:topLinePunct w:val="0"/>
        <w:autoSpaceDE/>
        <w:autoSpaceDN/>
        <w:bidi w:val="0"/>
        <w:adjustRightInd w:val="0"/>
        <w:snapToGrid w:val="0"/>
        <w:spacing w:line="570" w:lineRule="exact"/>
        <w:ind w:firstLine="1320" w:firstLineChars="300"/>
        <w:jc w:val="both"/>
        <w:textAlignment w:val="auto"/>
        <w:rPr>
          <w:rFonts w:hint="default" w:ascii="Times New Roman" w:hAnsi="Times New Roman" w:eastAsia="方正小标宋简体" w:cs="Times New Roman"/>
          <w:color w:val="auto"/>
          <w:sz w:val="44"/>
          <w:szCs w:val="44"/>
          <w:highlight w:val="none"/>
          <w:lang w:val="en-US" w:eastAsia="zh-CN"/>
        </w:rPr>
      </w:pPr>
    </w:p>
    <w:p w14:paraId="5FF96DC3">
      <w:pPr>
        <w:keepNext w:val="0"/>
        <w:keepLines w:val="0"/>
        <w:pageBreakBefore w:val="0"/>
        <w:widowControl w:val="0"/>
        <w:kinsoku/>
        <w:wordWrap/>
        <w:overflowPunct w:val="0"/>
        <w:topLinePunct w:val="0"/>
        <w:autoSpaceDE/>
        <w:autoSpaceDN/>
        <w:bidi w:val="0"/>
        <w:adjustRightInd w:val="0"/>
        <w:snapToGrid w:val="0"/>
        <w:spacing w:line="570" w:lineRule="exact"/>
        <w:ind w:firstLine="1320" w:firstLineChars="300"/>
        <w:jc w:val="both"/>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336783AF">
      <w:pPr>
        <w:keepNext w:val="0"/>
        <w:keepLines w:val="0"/>
        <w:pageBreakBefore w:val="0"/>
        <w:widowControl w:val="0"/>
        <w:kinsoku/>
        <w:wordWrap/>
        <w:overflowPunct w:val="0"/>
        <w:topLinePunct w:val="0"/>
        <w:autoSpaceDE/>
        <w:autoSpaceDN/>
        <w:bidi w:val="0"/>
        <w:adjustRightInd w:val="0"/>
        <w:snapToGrid w:val="0"/>
        <w:spacing w:line="570" w:lineRule="exact"/>
        <w:ind w:firstLine="1320" w:firstLineChars="300"/>
        <w:jc w:val="both"/>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3E51537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6A7D4378">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default" w:ascii="Times New Roman" w:hAnsi="Times New Roman" w:eastAsia="楷体_GB2312" w:cs="Times New Roman"/>
          <w:b/>
          <w:bCs/>
          <w:color w:val="auto"/>
          <w:sz w:val="32"/>
          <w:szCs w:val="32"/>
          <w:highlight w:val="none"/>
          <w:lang w:val="en-US" w:eastAsia="zh-CN"/>
        </w:rPr>
        <w:t>政协</w:t>
      </w:r>
      <w:r>
        <w:rPr>
          <w:rFonts w:hint="default" w:ascii="Times New Roman" w:hAnsi="Times New Roman" w:eastAsia="楷体_GB2312" w:cs="Times New Roman"/>
          <w:b/>
          <w:bCs/>
          <w:color w:val="auto"/>
          <w:sz w:val="32"/>
          <w:szCs w:val="32"/>
          <w:highlight w:val="none"/>
          <w:lang w:eastAsia="zh-CN"/>
        </w:rPr>
        <w:t>委员活动经费</w:t>
      </w:r>
      <w:r>
        <w:rPr>
          <w:rFonts w:hint="default" w:ascii="Times New Roman" w:hAnsi="Times New Roman" w:eastAsia="楷体_GB2312" w:cs="Times New Roman"/>
          <w:b/>
          <w:bCs/>
          <w:color w:val="auto"/>
          <w:sz w:val="32"/>
          <w:szCs w:val="32"/>
          <w:highlight w:val="none"/>
        </w:rPr>
        <w:t>）</w:t>
      </w:r>
    </w:p>
    <w:p w14:paraId="06BC425C">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724C8FE2">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7A299B3D">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楷体_GB2312" w:cs="Times New Roman"/>
          <w:b/>
          <w:bCs/>
          <w:color w:val="auto"/>
          <w:sz w:val="32"/>
          <w:szCs w:val="32"/>
          <w:highlight w:val="none"/>
          <w:lang w:val="en-US" w:eastAsia="zh-CN"/>
        </w:rPr>
        <w:t>（一）项目概况。</w:t>
      </w:r>
      <w:r>
        <w:rPr>
          <w:rFonts w:hint="eastAsia" w:ascii="仿宋_GB2312" w:hAnsi="仿宋_GB2312" w:eastAsia="仿宋_GB2312" w:cs="仿宋_GB2312"/>
          <w:color w:val="000000"/>
          <w:sz w:val="32"/>
          <w:szCs w:val="32"/>
          <w:lang w:val="en-US" w:eastAsia="zh-CN"/>
        </w:rPr>
        <w:t>按照《中国人民政治协商会议章程》相关规定、《政协全国委员会办公厅关于做好2024年度&lt;人民政协报&gt;和&lt;中国政协&gt;杂志宣传发行工作的通知》（政全厅发[2023]56号）、《政协四川省委员会办公厅关于做好2024年度&lt;四川政协报&gt;宣传发行工作的通知》及区政协2023年工作要求，进一步保障委员履职活动，更好展示委员活动风采和履职成果，设立此项目。</w:t>
      </w:r>
      <w:r>
        <w:rPr>
          <w:rFonts w:hint="eastAsia" w:ascii="仿宋_GB2312" w:hAnsi="仿宋_GB2312" w:eastAsia="仿宋_GB2312" w:cs="仿宋_GB2312"/>
          <w:color w:val="auto"/>
          <w:sz w:val="32"/>
          <w:szCs w:val="32"/>
          <w:highlight w:val="none"/>
          <w:lang w:val="en-US" w:eastAsia="zh-CN"/>
        </w:rPr>
        <w:t>用于</w:t>
      </w:r>
      <w:r>
        <w:rPr>
          <w:rFonts w:hint="eastAsia" w:ascii="仿宋_GB2312" w:hAnsi="仿宋_GB2312" w:eastAsia="仿宋_GB2312" w:cs="仿宋_GB2312"/>
          <w:color w:val="auto"/>
          <w:sz w:val="32"/>
          <w:szCs w:val="32"/>
          <w:highlight w:val="none"/>
        </w:rPr>
        <w:t>保障全区政协委员报刊</w:t>
      </w:r>
      <w:r>
        <w:rPr>
          <w:rFonts w:hint="eastAsia" w:ascii="仿宋_GB2312" w:hAnsi="仿宋_GB2312" w:eastAsia="仿宋_GB2312" w:cs="仿宋_GB2312"/>
          <w:color w:val="auto"/>
          <w:sz w:val="32"/>
          <w:szCs w:val="32"/>
          <w:highlight w:val="none"/>
          <w:lang w:val="en-US" w:eastAsia="zh-CN"/>
        </w:rPr>
        <w:t>杂志</w:t>
      </w:r>
      <w:r>
        <w:rPr>
          <w:rFonts w:hint="eastAsia" w:ascii="仿宋_GB2312" w:hAnsi="仿宋_GB2312" w:eastAsia="仿宋_GB2312" w:cs="仿宋_GB2312"/>
          <w:color w:val="auto"/>
          <w:sz w:val="32"/>
          <w:szCs w:val="32"/>
          <w:highlight w:val="none"/>
        </w:rPr>
        <w:t>订阅及相关活动开展等</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为委员履职提供保证</w:t>
      </w:r>
      <w:r>
        <w:rPr>
          <w:rFonts w:hint="eastAsia" w:ascii="仿宋_GB2312" w:hAnsi="仿宋_GB2312" w:eastAsia="仿宋_GB2312" w:cs="仿宋_GB2312"/>
          <w:color w:val="auto"/>
          <w:sz w:val="32"/>
          <w:szCs w:val="32"/>
          <w:highlight w:val="none"/>
          <w:lang w:eastAsia="zh-CN"/>
        </w:rPr>
        <w:t>。</w:t>
      </w:r>
    </w:p>
    <w:p w14:paraId="22AA39DB">
      <w:pPr>
        <w:pStyle w:val="25"/>
        <w:keepNext w:val="0"/>
        <w:keepLines w:val="0"/>
        <w:pageBreakBefore w:val="0"/>
        <w:kinsoku/>
        <w:wordWrap/>
        <w:topLinePunct w:val="0"/>
        <w:autoSpaceDE/>
        <w:autoSpaceDN/>
        <w:bidi w:val="0"/>
        <w:spacing w:line="570" w:lineRule="exact"/>
        <w:jc w:val="both"/>
        <w:rPr>
          <w:rFonts w:hint="default" w:ascii="仿宋_GB2312" w:hAnsi="仿宋_GB2312" w:eastAsia="仿宋_GB2312" w:cs="仿宋_GB2312"/>
          <w:color w:val="000000"/>
          <w:kern w:val="2"/>
          <w:sz w:val="32"/>
          <w:szCs w:val="32"/>
          <w:lang w:val="en-US" w:eastAsia="zh-CN" w:bidi="ar-SA"/>
        </w:rPr>
      </w:pPr>
      <w:r>
        <w:rPr>
          <w:rFonts w:hint="eastAsia" w:ascii="Times New Roman" w:hAnsi="Times New Roman" w:eastAsia="楷体_GB2312" w:cs="Times New Roman"/>
          <w:b/>
          <w:bCs/>
          <w:color w:val="auto"/>
          <w:kern w:val="2"/>
          <w:sz w:val="32"/>
          <w:szCs w:val="32"/>
          <w:highlight w:val="none"/>
          <w:lang w:val="en-US" w:eastAsia="zh-CN" w:bidi="ar-SA"/>
        </w:rPr>
        <w:t xml:space="preserve">   </w:t>
      </w: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仿宋_GB2312" w:hAnsi="仿宋_GB2312" w:eastAsia="仿宋_GB2312" w:cs="仿宋_GB2312"/>
          <w:color w:val="000000"/>
          <w:kern w:val="2"/>
          <w:sz w:val="32"/>
          <w:szCs w:val="32"/>
          <w:lang w:val="en-US" w:eastAsia="zh-CN" w:bidi="ar-SA"/>
        </w:rPr>
        <w:t>项目计划支持政协委员开展活动不少于4次，为政协委员订阅报刊杂志不少于200份，报刊杂志订阅精准率、</w:t>
      </w:r>
      <w:r>
        <w:rPr>
          <w:rFonts w:hint="default" w:ascii="仿宋_GB2312" w:hAnsi="仿宋_GB2312" w:eastAsia="仿宋_GB2312" w:cs="仿宋_GB2312"/>
          <w:color w:val="000000"/>
          <w:kern w:val="2"/>
          <w:sz w:val="32"/>
          <w:szCs w:val="32"/>
          <w:lang w:val="en-US" w:eastAsia="zh-CN" w:bidi="ar-SA"/>
        </w:rPr>
        <w:t>委员参与率、完成及时率、工作开展率100%，</w:t>
      </w:r>
      <w:r>
        <w:rPr>
          <w:rFonts w:hint="eastAsia" w:ascii="仿宋_GB2312" w:hAnsi="仿宋_GB2312" w:eastAsia="仿宋_GB2312" w:cs="仿宋_GB2312"/>
          <w:color w:val="000000"/>
          <w:kern w:val="2"/>
          <w:sz w:val="32"/>
          <w:szCs w:val="32"/>
          <w:lang w:val="en-US" w:eastAsia="zh-CN" w:bidi="ar-SA"/>
        </w:rPr>
        <w:t>财政监督管理制度健全，</w:t>
      </w:r>
      <w:r>
        <w:rPr>
          <w:rFonts w:hint="default" w:ascii="仿宋_GB2312" w:hAnsi="仿宋_GB2312" w:eastAsia="仿宋_GB2312" w:cs="仿宋_GB2312"/>
          <w:color w:val="000000"/>
          <w:kern w:val="2"/>
          <w:sz w:val="32"/>
          <w:szCs w:val="32"/>
          <w:lang w:val="en-US" w:eastAsia="zh-CN" w:bidi="ar-SA"/>
        </w:rPr>
        <w:t>委员满意度</w:t>
      </w:r>
      <w:r>
        <w:rPr>
          <w:rFonts w:hint="eastAsia" w:ascii="仿宋_GB2312" w:hAnsi="仿宋_GB2312" w:eastAsia="仿宋_GB2312" w:cs="仿宋_GB2312"/>
          <w:color w:val="000000"/>
          <w:kern w:val="2"/>
          <w:sz w:val="32"/>
          <w:szCs w:val="32"/>
          <w:lang w:val="en-US" w:eastAsia="zh-CN" w:bidi="ar-SA"/>
        </w:rPr>
        <w:t>不低于</w:t>
      </w:r>
      <w:r>
        <w:rPr>
          <w:rFonts w:hint="default" w:ascii="仿宋_GB2312" w:hAnsi="仿宋_GB2312" w:eastAsia="仿宋_GB2312" w:cs="仿宋_GB2312"/>
          <w:color w:val="000000"/>
          <w:kern w:val="2"/>
          <w:sz w:val="32"/>
          <w:szCs w:val="32"/>
          <w:lang w:val="en-US" w:eastAsia="zh-CN" w:bidi="ar-SA"/>
        </w:rPr>
        <w:t>90%</w:t>
      </w:r>
      <w:r>
        <w:rPr>
          <w:rFonts w:hint="eastAsia" w:ascii="仿宋_GB2312" w:hAnsi="仿宋_GB2312" w:eastAsia="仿宋_GB2312" w:cs="仿宋_GB2312"/>
          <w:color w:val="000000"/>
          <w:kern w:val="2"/>
          <w:sz w:val="32"/>
          <w:szCs w:val="32"/>
          <w:lang w:val="en-US" w:eastAsia="zh-CN" w:bidi="ar-SA"/>
        </w:rPr>
        <w:t>，总投入成本不超过14.35</w:t>
      </w:r>
      <w:r>
        <w:rPr>
          <w:rFonts w:hint="default" w:ascii="仿宋_GB2312" w:hAnsi="仿宋_GB2312" w:eastAsia="仿宋_GB2312" w:cs="仿宋_GB2312"/>
          <w:color w:val="000000"/>
          <w:kern w:val="2"/>
          <w:sz w:val="32"/>
          <w:szCs w:val="32"/>
          <w:lang w:val="en-US" w:eastAsia="zh-CN" w:bidi="ar-SA"/>
        </w:rPr>
        <w:t>万元</w:t>
      </w:r>
      <w:r>
        <w:rPr>
          <w:rFonts w:hint="eastAsia" w:ascii="仿宋_GB2312" w:hAnsi="仿宋_GB2312" w:eastAsia="仿宋_GB2312" w:cs="仿宋_GB2312"/>
          <w:color w:val="000000"/>
          <w:kern w:val="2"/>
          <w:sz w:val="32"/>
          <w:szCs w:val="32"/>
          <w:lang w:val="en-US" w:eastAsia="zh-CN" w:bidi="ar-SA"/>
        </w:rPr>
        <w:t>，进一步提升履职成效</w:t>
      </w:r>
      <w:r>
        <w:rPr>
          <w:rFonts w:hint="default" w:ascii="仿宋_GB2312" w:hAnsi="仿宋_GB2312" w:eastAsia="仿宋_GB2312" w:cs="仿宋_GB2312"/>
          <w:color w:val="000000"/>
          <w:kern w:val="2"/>
          <w:sz w:val="32"/>
          <w:szCs w:val="32"/>
          <w:lang w:val="en-US" w:eastAsia="zh-CN" w:bidi="ar-SA"/>
        </w:rPr>
        <w:t>。该项目均按照有关规章制度和工作要求有序推进。全年为政协委员</w:t>
      </w:r>
      <w:r>
        <w:rPr>
          <w:rFonts w:hint="eastAsia" w:ascii="仿宋_GB2312" w:hAnsi="仿宋_GB2312" w:eastAsia="仿宋_GB2312" w:cs="仿宋_GB2312"/>
          <w:color w:val="000000"/>
          <w:kern w:val="2"/>
          <w:sz w:val="32"/>
          <w:szCs w:val="32"/>
          <w:lang w:val="en-US" w:eastAsia="zh-CN" w:bidi="ar-SA"/>
        </w:rPr>
        <w:t>、机关干部</w:t>
      </w:r>
      <w:r>
        <w:rPr>
          <w:rFonts w:hint="default" w:ascii="仿宋_GB2312" w:hAnsi="仿宋_GB2312" w:eastAsia="仿宋_GB2312" w:cs="仿宋_GB2312"/>
          <w:color w:val="000000"/>
          <w:kern w:val="2"/>
          <w:sz w:val="32"/>
          <w:szCs w:val="32"/>
          <w:lang w:val="en-US" w:eastAsia="zh-CN" w:bidi="ar-SA"/>
        </w:rPr>
        <w:t>订阅</w:t>
      </w:r>
      <w:r>
        <w:rPr>
          <w:rFonts w:hint="eastAsia" w:ascii="仿宋_GB2312" w:hAnsi="仿宋_GB2312" w:eastAsia="仿宋_GB2312" w:cs="仿宋_GB2312"/>
          <w:color w:val="000000"/>
          <w:kern w:val="2"/>
          <w:sz w:val="32"/>
          <w:szCs w:val="32"/>
          <w:lang w:val="en-US" w:eastAsia="zh-CN" w:bidi="ar-SA"/>
        </w:rPr>
        <w:t>《人民政协报》10份、《四川政协报》400份、《中国政协》杂志1本，报刊杂志订阅精准率、</w:t>
      </w:r>
      <w:r>
        <w:rPr>
          <w:rFonts w:hint="default" w:ascii="仿宋_GB2312" w:hAnsi="仿宋_GB2312" w:eastAsia="仿宋_GB2312" w:cs="仿宋_GB2312"/>
          <w:color w:val="000000"/>
          <w:kern w:val="2"/>
          <w:sz w:val="32"/>
          <w:szCs w:val="32"/>
          <w:lang w:val="en-US" w:eastAsia="zh-CN" w:bidi="ar-SA"/>
        </w:rPr>
        <w:t>委员参与率、完成及时率、工作开展率</w:t>
      </w:r>
      <w:r>
        <w:rPr>
          <w:rFonts w:hint="eastAsia" w:ascii="仿宋_GB2312" w:hAnsi="仿宋_GB2312" w:eastAsia="仿宋_GB2312" w:cs="仿宋_GB2312"/>
          <w:color w:val="000000"/>
          <w:kern w:val="2"/>
          <w:sz w:val="32"/>
          <w:szCs w:val="32"/>
          <w:lang w:val="en-US" w:eastAsia="zh-CN" w:bidi="ar-SA"/>
        </w:rPr>
        <w:t>、委员满意度均达</w:t>
      </w:r>
      <w:r>
        <w:rPr>
          <w:rFonts w:hint="default" w:ascii="仿宋_GB2312" w:hAnsi="仿宋_GB2312" w:eastAsia="仿宋_GB2312" w:cs="仿宋_GB2312"/>
          <w:color w:val="000000"/>
          <w:kern w:val="2"/>
          <w:sz w:val="32"/>
          <w:szCs w:val="32"/>
          <w:lang w:val="en-US" w:eastAsia="zh-CN" w:bidi="ar-SA"/>
        </w:rPr>
        <w:t>100%</w:t>
      </w:r>
      <w:r>
        <w:rPr>
          <w:rFonts w:hint="eastAsia" w:ascii="仿宋_GB2312" w:hAnsi="仿宋_GB2312" w:eastAsia="仿宋_GB2312" w:cs="仿宋_GB2312"/>
          <w:color w:val="000000"/>
          <w:kern w:val="2"/>
          <w:sz w:val="32"/>
          <w:szCs w:val="32"/>
          <w:lang w:val="en-US" w:eastAsia="zh-CN" w:bidi="ar-SA"/>
        </w:rPr>
        <w:t>，项目完成14.35万元，财政监督管理制度健全，进一步提升了委员履职成效、展示了委员履职成果。</w:t>
      </w:r>
    </w:p>
    <w:p w14:paraId="6D345D84">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0"/>
        <w:jc w:val="both"/>
        <w:rPr>
          <w:rFonts w:hint="default" w:ascii="Times New Roman" w:hAnsi="Times New Roman" w:cs="Times New Roman"/>
          <w:color w:val="auto"/>
          <w:sz w:val="32"/>
          <w:szCs w:val="32"/>
          <w:highlight w:val="none"/>
          <w:lang w:val="en-US" w:eastAsia="zh-CN"/>
        </w:rPr>
      </w:pPr>
      <w:r>
        <w:rPr>
          <w:rFonts w:hint="default" w:ascii="Times New Roman" w:hAnsi="Times New Roman" w:eastAsia="楷体_GB2312" w:cs="Times New Roman"/>
          <w:b/>
          <w:bCs/>
          <w:color w:val="auto"/>
          <w:kern w:val="2"/>
          <w:sz w:val="32"/>
          <w:szCs w:val="32"/>
          <w:highlight w:val="none"/>
          <w:lang w:val="en-US" w:eastAsia="zh-CN" w:bidi="ar-SA"/>
        </w:rPr>
        <w:t>（三）资金投入使用情况。</w:t>
      </w:r>
      <w:r>
        <w:rPr>
          <w:rFonts w:hint="default" w:ascii="仿宋_GB2312" w:hAnsi="仿宋_GB2312" w:eastAsia="仿宋_GB2312" w:cs="仿宋_GB2312"/>
          <w:color w:val="000000"/>
          <w:kern w:val="2"/>
          <w:sz w:val="32"/>
          <w:szCs w:val="32"/>
          <w:lang w:val="en-US" w:eastAsia="zh-CN" w:bidi="ar-SA"/>
        </w:rPr>
        <w:t>该项目202</w:t>
      </w:r>
      <w:r>
        <w:rPr>
          <w:rFonts w:hint="eastAsia" w:ascii="仿宋_GB2312" w:hAnsi="仿宋_GB2312" w:eastAsia="仿宋_GB2312" w:cs="仿宋_GB2312"/>
          <w:color w:val="000000"/>
          <w:kern w:val="2"/>
          <w:sz w:val="32"/>
          <w:szCs w:val="32"/>
          <w:lang w:val="en-US" w:eastAsia="zh-CN" w:bidi="ar-SA"/>
        </w:rPr>
        <w:t>3</w:t>
      </w:r>
      <w:r>
        <w:rPr>
          <w:rFonts w:hint="default" w:ascii="仿宋_GB2312" w:hAnsi="仿宋_GB2312" w:eastAsia="仿宋_GB2312" w:cs="仿宋_GB2312"/>
          <w:color w:val="000000"/>
          <w:kern w:val="2"/>
          <w:sz w:val="32"/>
          <w:szCs w:val="32"/>
          <w:lang w:val="en-US" w:eastAsia="zh-CN" w:bidi="ar-SA"/>
        </w:rPr>
        <w:t>年年初预算资金</w:t>
      </w:r>
      <w:r>
        <w:rPr>
          <w:rFonts w:hint="eastAsia" w:ascii="仿宋_GB2312" w:hAnsi="仿宋_GB2312" w:eastAsia="仿宋_GB2312" w:cs="仿宋_GB2312"/>
          <w:color w:val="000000"/>
          <w:kern w:val="2"/>
          <w:sz w:val="32"/>
          <w:szCs w:val="32"/>
          <w:lang w:val="en-US" w:eastAsia="zh-CN" w:bidi="ar-SA"/>
        </w:rPr>
        <w:t>14.35</w:t>
      </w:r>
      <w:r>
        <w:rPr>
          <w:rFonts w:hint="default" w:ascii="仿宋_GB2312" w:hAnsi="仿宋_GB2312" w:eastAsia="仿宋_GB2312" w:cs="仿宋_GB2312"/>
          <w:color w:val="000000"/>
          <w:kern w:val="2"/>
          <w:sz w:val="32"/>
          <w:szCs w:val="32"/>
          <w:lang w:val="en-US" w:eastAsia="zh-CN" w:bidi="ar-SA"/>
        </w:rPr>
        <w:t>万元，</w:t>
      </w:r>
      <w:r>
        <w:rPr>
          <w:rFonts w:hint="eastAsia" w:ascii="仿宋_GB2312" w:hAnsi="仿宋_GB2312" w:eastAsia="仿宋_GB2312" w:cs="仿宋_GB2312"/>
          <w:color w:val="000000"/>
          <w:kern w:val="2"/>
          <w:sz w:val="32"/>
          <w:szCs w:val="32"/>
          <w:lang w:val="en-US" w:eastAsia="zh-CN" w:bidi="ar-SA"/>
        </w:rPr>
        <w:t>财政下达资金14.35万元，</w:t>
      </w:r>
      <w:r>
        <w:rPr>
          <w:rFonts w:hint="default" w:ascii="仿宋_GB2312" w:hAnsi="仿宋_GB2312" w:eastAsia="仿宋_GB2312" w:cs="仿宋_GB2312"/>
          <w:color w:val="000000"/>
          <w:kern w:val="2"/>
          <w:sz w:val="32"/>
          <w:szCs w:val="32"/>
          <w:lang w:val="en-US" w:eastAsia="zh-CN" w:bidi="ar-SA"/>
        </w:rPr>
        <w:t>支出</w:t>
      </w:r>
      <w:r>
        <w:rPr>
          <w:rFonts w:hint="eastAsia" w:ascii="仿宋_GB2312" w:hAnsi="仿宋_GB2312" w:eastAsia="仿宋_GB2312" w:cs="仿宋_GB2312"/>
          <w:color w:val="000000"/>
          <w:kern w:val="2"/>
          <w:sz w:val="32"/>
          <w:szCs w:val="32"/>
          <w:lang w:val="en-US" w:eastAsia="zh-CN" w:bidi="ar-SA"/>
        </w:rPr>
        <w:t>14.35</w:t>
      </w:r>
      <w:r>
        <w:rPr>
          <w:rFonts w:hint="default" w:ascii="仿宋_GB2312" w:hAnsi="仿宋_GB2312" w:eastAsia="仿宋_GB2312" w:cs="仿宋_GB2312"/>
          <w:color w:val="000000"/>
          <w:kern w:val="2"/>
          <w:sz w:val="32"/>
          <w:szCs w:val="32"/>
          <w:lang w:val="en-US" w:eastAsia="zh-CN" w:bidi="ar-SA"/>
        </w:rPr>
        <w:t>万元，完成率100%。</w:t>
      </w:r>
    </w:p>
    <w:tbl>
      <w:tblPr>
        <w:tblStyle w:val="20"/>
        <w:tblpPr w:leftFromText="180" w:rightFromText="180" w:vertAnchor="text" w:horzAnchor="page" w:tblpX="1216" w:tblpY="1151"/>
        <w:tblOverlap w:val="never"/>
        <w:tblW w:w="89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5"/>
        <w:gridCol w:w="1950"/>
        <w:gridCol w:w="2850"/>
        <w:gridCol w:w="1487"/>
        <w:gridCol w:w="1475"/>
      </w:tblGrid>
      <w:tr w14:paraId="6E28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22228E5">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56263D7F">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6A1BED33">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487" w:type="dxa"/>
            <w:tcBorders>
              <w:top w:val="single" w:color="000000" w:sz="4" w:space="0"/>
              <w:left w:val="single" w:color="000000" w:sz="4" w:space="0"/>
              <w:bottom w:val="single" w:color="000000" w:sz="4" w:space="0"/>
              <w:right w:val="single" w:color="000000" w:sz="4" w:space="0"/>
            </w:tcBorders>
            <w:vAlign w:val="center"/>
          </w:tcPr>
          <w:p w14:paraId="0E8F39DD">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年度指标值</w:t>
            </w:r>
          </w:p>
        </w:tc>
        <w:tc>
          <w:tcPr>
            <w:tcW w:w="1475" w:type="dxa"/>
            <w:tcBorders>
              <w:top w:val="single" w:color="000000" w:sz="4" w:space="0"/>
              <w:left w:val="single" w:color="000000" w:sz="4" w:space="0"/>
              <w:bottom w:val="single" w:color="000000" w:sz="4" w:space="0"/>
              <w:right w:val="single" w:color="000000" w:sz="4" w:space="0"/>
            </w:tcBorders>
            <w:vAlign w:val="center"/>
          </w:tcPr>
          <w:p w14:paraId="32B1D8DD">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全年完成情况</w:t>
            </w:r>
          </w:p>
        </w:tc>
      </w:tr>
      <w:tr w14:paraId="7E00F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35E03FD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1687B1C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3816082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项目总投入</w:t>
            </w:r>
          </w:p>
        </w:tc>
        <w:tc>
          <w:tcPr>
            <w:tcW w:w="1487" w:type="dxa"/>
            <w:tcBorders>
              <w:top w:val="single" w:color="000000" w:sz="4" w:space="0"/>
              <w:left w:val="single" w:color="000000" w:sz="4" w:space="0"/>
              <w:bottom w:val="single" w:color="000000" w:sz="4" w:space="0"/>
              <w:right w:val="single" w:color="000000" w:sz="4" w:space="0"/>
            </w:tcBorders>
            <w:vAlign w:val="center"/>
          </w:tcPr>
          <w:p w14:paraId="23B97119">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≤14.35万元</w:t>
            </w:r>
          </w:p>
        </w:tc>
        <w:tc>
          <w:tcPr>
            <w:tcW w:w="1475" w:type="dxa"/>
            <w:tcBorders>
              <w:top w:val="single" w:color="000000" w:sz="4" w:space="0"/>
              <w:left w:val="single" w:color="000000" w:sz="4" w:space="0"/>
              <w:bottom w:val="single" w:color="000000" w:sz="4" w:space="0"/>
              <w:right w:val="single" w:color="000000" w:sz="4" w:space="0"/>
            </w:tcBorders>
            <w:vAlign w:val="center"/>
          </w:tcPr>
          <w:p w14:paraId="542DE70A">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14.35万元</w:t>
            </w:r>
          </w:p>
        </w:tc>
      </w:tr>
      <w:tr w14:paraId="0B9A1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8553E6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4B1D737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43B54D1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报刊杂志订阅精准率</w:t>
            </w:r>
          </w:p>
        </w:tc>
        <w:tc>
          <w:tcPr>
            <w:tcW w:w="1487" w:type="dxa"/>
            <w:tcBorders>
              <w:top w:val="single" w:color="000000" w:sz="4" w:space="0"/>
              <w:left w:val="single" w:color="000000" w:sz="4" w:space="0"/>
              <w:bottom w:val="single" w:color="000000" w:sz="4" w:space="0"/>
              <w:right w:val="single" w:color="000000" w:sz="4" w:space="0"/>
            </w:tcBorders>
            <w:vAlign w:val="center"/>
          </w:tcPr>
          <w:p w14:paraId="3DDB3C87">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vAlign w:val="center"/>
          </w:tcPr>
          <w:p w14:paraId="49523484">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3D64D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5C3DB08">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239C030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612FE33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组织支持政协委员开展活动次数</w:t>
            </w:r>
          </w:p>
        </w:tc>
        <w:tc>
          <w:tcPr>
            <w:tcW w:w="1487" w:type="dxa"/>
            <w:tcBorders>
              <w:top w:val="single" w:color="000000" w:sz="4" w:space="0"/>
              <w:left w:val="single" w:color="000000" w:sz="4" w:space="0"/>
              <w:bottom w:val="single" w:color="000000" w:sz="4" w:space="0"/>
              <w:right w:val="single" w:color="000000" w:sz="4" w:space="0"/>
            </w:tcBorders>
            <w:vAlign w:val="center"/>
          </w:tcPr>
          <w:p w14:paraId="05438FCD">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≥4次</w:t>
            </w:r>
          </w:p>
        </w:tc>
        <w:tc>
          <w:tcPr>
            <w:tcW w:w="1475" w:type="dxa"/>
            <w:tcBorders>
              <w:top w:val="single" w:color="000000" w:sz="4" w:space="0"/>
              <w:left w:val="single" w:color="000000" w:sz="4" w:space="0"/>
              <w:bottom w:val="single" w:color="000000" w:sz="4" w:space="0"/>
              <w:right w:val="single" w:color="000000" w:sz="4" w:space="0"/>
            </w:tcBorders>
            <w:vAlign w:val="center"/>
          </w:tcPr>
          <w:p w14:paraId="0E625948">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＞4次</w:t>
            </w:r>
          </w:p>
        </w:tc>
      </w:tr>
      <w:tr w14:paraId="4DCFD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AFF516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3B75421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2A58D75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委员参与率</w:t>
            </w:r>
          </w:p>
        </w:tc>
        <w:tc>
          <w:tcPr>
            <w:tcW w:w="1487" w:type="dxa"/>
            <w:tcBorders>
              <w:top w:val="single" w:color="000000" w:sz="4" w:space="0"/>
              <w:left w:val="single" w:color="000000" w:sz="4" w:space="0"/>
              <w:bottom w:val="single" w:color="000000" w:sz="4" w:space="0"/>
              <w:right w:val="single" w:color="000000" w:sz="4" w:space="0"/>
            </w:tcBorders>
            <w:vAlign w:val="center"/>
          </w:tcPr>
          <w:p w14:paraId="450F752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vAlign w:val="center"/>
          </w:tcPr>
          <w:p w14:paraId="4AADE4DD">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2062A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E56692F">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2B30DFC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639C820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订阅报刊杂志数量</w:t>
            </w:r>
          </w:p>
        </w:tc>
        <w:tc>
          <w:tcPr>
            <w:tcW w:w="1487" w:type="dxa"/>
            <w:tcBorders>
              <w:top w:val="single" w:color="000000" w:sz="4" w:space="0"/>
              <w:left w:val="single" w:color="000000" w:sz="4" w:space="0"/>
              <w:bottom w:val="single" w:color="000000" w:sz="4" w:space="0"/>
              <w:right w:val="single" w:color="000000" w:sz="4" w:space="0"/>
            </w:tcBorders>
            <w:vAlign w:val="center"/>
          </w:tcPr>
          <w:p w14:paraId="6994C4D8">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≥200份</w:t>
            </w:r>
          </w:p>
        </w:tc>
        <w:tc>
          <w:tcPr>
            <w:tcW w:w="1475" w:type="dxa"/>
            <w:tcBorders>
              <w:top w:val="single" w:color="000000" w:sz="4" w:space="0"/>
              <w:left w:val="single" w:color="000000" w:sz="4" w:space="0"/>
              <w:bottom w:val="single" w:color="000000" w:sz="4" w:space="0"/>
              <w:right w:val="single" w:color="000000" w:sz="4" w:space="0"/>
            </w:tcBorders>
            <w:vAlign w:val="center"/>
          </w:tcPr>
          <w:p w14:paraId="26F2D20E">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411份</w:t>
            </w:r>
          </w:p>
        </w:tc>
      </w:tr>
      <w:tr w14:paraId="1010C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38B41D7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5A28CF8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3A0AA29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完成及时率</w:t>
            </w:r>
          </w:p>
        </w:tc>
        <w:tc>
          <w:tcPr>
            <w:tcW w:w="1487" w:type="dxa"/>
            <w:tcBorders>
              <w:top w:val="single" w:color="000000" w:sz="4" w:space="0"/>
              <w:left w:val="single" w:color="000000" w:sz="4" w:space="0"/>
              <w:bottom w:val="single" w:color="000000" w:sz="4" w:space="0"/>
              <w:right w:val="single" w:color="000000" w:sz="4" w:space="0"/>
            </w:tcBorders>
            <w:vAlign w:val="center"/>
          </w:tcPr>
          <w:p w14:paraId="26A3D87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vAlign w:val="center"/>
          </w:tcPr>
          <w:p w14:paraId="1F35722F">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1B839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7151EC9">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54F9DBC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2DF0D6C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政协委员工作开展率</w:t>
            </w:r>
          </w:p>
        </w:tc>
        <w:tc>
          <w:tcPr>
            <w:tcW w:w="1487" w:type="dxa"/>
            <w:tcBorders>
              <w:top w:val="single" w:color="000000" w:sz="4" w:space="0"/>
              <w:left w:val="single" w:color="000000" w:sz="4" w:space="0"/>
              <w:bottom w:val="single" w:color="000000" w:sz="4" w:space="0"/>
              <w:right w:val="single" w:color="000000" w:sz="4" w:space="0"/>
            </w:tcBorders>
            <w:vAlign w:val="center"/>
          </w:tcPr>
          <w:p w14:paraId="6333DB9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vAlign w:val="center"/>
          </w:tcPr>
          <w:p w14:paraId="319158A5">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692B2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3E7C7A2B">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6AB6F7D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600329F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财政监督管理制度健全性</w:t>
            </w:r>
          </w:p>
        </w:tc>
        <w:tc>
          <w:tcPr>
            <w:tcW w:w="1487" w:type="dxa"/>
            <w:tcBorders>
              <w:top w:val="single" w:color="000000" w:sz="4" w:space="0"/>
              <w:left w:val="single" w:color="000000" w:sz="4" w:space="0"/>
              <w:bottom w:val="single" w:color="000000" w:sz="4" w:space="0"/>
              <w:right w:val="single" w:color="000000" w:sz="4" w:space="0"/>
            </w:tcBorders>
            <w:vAlign w:val="center"/>
          </w:tcPr>
          <w:p w14:paraId="1BBE8BE0">
            <w:pPr>
              <w:keepNext w:val="0"/>
              <w:keepLines w:val="0"/>
              <w:widowControl/>
              <w:suppressLineNumbers w:val="0"/>
              <w:jc w:val="center"/>
              <w:textAlignment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优良中差</w:t>
            </w:r>
          </w:p>
        </w:tc>
        <w:tc>
          <w:tcPr>
            <w:tcW w:w="1475" w:type="dxa"/>
            <w:tcBorders>
              <w:top w:val="single" w:color="000000" w:sz="4" w:space="0"/>
              <w:left w:val="single" w:color="000000" w:sz="4" w:space="0"/>
              <w:bottom w:val="single" w:color="000000" w:sz="4" w:space="0"/>
              <w:right w:val="single" w:color="000000" w:sz="4" w:space="0"/>
            </w:tcBorders>
            <w:vAlign w:val="center"/>
          </w:tcPr>
          <w:p w14:paraId="76DB8406">
            <w:pPr>
              <w:jc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388F7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2D3925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2EACFAA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2850" w:type="dxa"/>
            <w:tcBorders>
              <w:top w:val="single" w:color="000000" w:sz="4" w:space="0"/>
              <w:left w:val="single" w:color="000000" w:sz="4" w:space="0"/>
              <w:bottom w:val="single" w:color="000000" w:sz="4" w:space="0"/>
              <w:right w:val="single" w:color="000000" w:sz="4" w:space="0"/>
            </w:tcBorders>
            <w:vAlign w:val="center"/>
          </w:tcPr>
          <w:p w14:paraId="75A2F08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政协委员满意度</w:t>
            </w:r>
          </w:p>
        </w:tc>
        <w:tc>
          <w:tcPr>
            <w:tcW w:w="1487" w:type="dxa"/>
            <w:tcBorders>
              <w:top w:val="single" w:color="000000" w:sz="4" w:space="0"/>
              <w:left w:val="single" w:color="000000" w:sz="4" w:space="0"/>
              <w:bottom w:val="single" w:color="000000" w:sz="4" w:space="0"/>
              <w:right w:val="single" w:color="000000" w:sz="4" w:space="0"/>
            </w:tcBorders>
            <w:vAlign w:val="center"/>
          </w:tcPr>
          <w:p w14:paraId="61003415">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≥90%</w:t>
            </w:r>
          </w:p>
        </w:tc>
        <w:tc>
          <w:tcPr>
            <w:tcW w:w="1475" w:type="dxa"/>
            <w:tcBorders>
              <w:top w:val="single" w:color="000000" w:sz="4" w:space="0"/>
              <w:left w:val="single" w:color="000000" w:sz="4" w:space="0"/>
              <w:bottom w:val="single" w:color="000000" w:sz="4" w:space="0"/>
              <w:right w:val="single" w:color="000000" w:sz="4" w:space="0"/>
            </w:tcBorders>
            <w:vAlign w:val="center"/>
          </w:tcPr>
          <w:p w14:paraId="1579E36B">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bl>
    <w:p w14:paraId="0A2D1A7B">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楷体_GB2312" w:cs="Times New Roman"/>
          <w:b/>
          <w:bCs/>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（四）项目绩效目标</w:t>
      </w:r>
    </w:p>
    <w:p w14:paraId="70439551">
      <w:pPr>
        <w:keepNext w:val="0"/>
        <w:keepLines w:val="0"/>
        <w:pageBreakBefore w:val="0"/>
        <w:widowControl w:val="0"/>
        <w:kinsoku/>
        <w:wordWrap/>
        <w:overflowPunct w:val="0"/>
        <w:topLinePunct w:val="0"/>
        <w:autoSpaceDE/>
        <w:autoSpaceDN/>
        <w:bidi w:val="0"/>
        <w:adjustRightInd w:val="0"/>
        <w:snapToGrid w:val="0"/>
        <w:spacing w:line="570" w:lineRule="exact"/>
        <w:rPr>
          <w:rFonts w:hint="default" w:ascii="Times New Roman" w:hAnsi="Times New Roman" w:eastAsia="楷体_GB2312" w:cs="Times New Roman"/>
          <w:b/>
          <w:bCs/>
          <w:color w:val="auto"/>
          <w:kern w:val="2"/>
          <w:sz w:val="32"/>
          <w:szCs w:val="24"/>
          <w:highlight w:val="none"/>
          <w:lang w:val="en-US" w:eastAsia="zh-CN" w:bidi="ar-SA"/>
        </w:rPr>
      </w:pPr>
    </w:p>
    <w:p w14:paraId="715B97D8">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7D2F5C8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我单位本次项目支出绩效评价按照《遂宁市船山区财政局关于开展202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年部门、项目、政策支出绩效自评工作的通知》（遂船财</w:t>
      </w:r>
      <w:r>
        <w:rPr>
          <w:rFonts w:hint="eastAsia" w:ascii="Times New Roman" w:hAnsi="Times New Roman" w:eastAsia="仿宋_GB2312" w:cs="Times New Roman"/>
          <w:color w:val="auto"/>
          <w:sz w:val="32"/>
          <w:szCs w:val="32"/>
          <w:lang w:val="en-US" w:eastAsia="zh-CN"/>
        </w:rPr>
        <w:t>绩</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号）文件要求执行。本次项目支出的指标体系分为4个</w:t>
      </w:r>
      <w:r>
        <w:rPr>
          <w:rFonts w:hint="eastAsia" w:ascii="Times New Roman" w:hAnsi="Times New Roman" w:eastAsia="仿宋_GB2312" w:cs="Times New Roman"/>
          <w:color w:val="auto"/>
          <w:sz w:val="32"/>
          <w:szCs w:val="32"/>
          <w:lang w:val="en-US" w:eastAsia="zh-CN"/>
        </w:rPr>
        <w:t>分层</w:t>
      </w:r>
      <w:r>
        <w:rPr>
          <w:rFonts w:hint="default" w:ascii="Times New Roman" w:hAnsi="Times New Roman" w:eastAsia="仿宋_GB2312" w:cs="Times New Roman"/>
          <w:color w:val="auto"/>
          <w:sz w:val="32"/>
          <w:szCs w:val="32"/>
          <w:lang w:val="en-US" w:eastAsia="zh-CN"/>
        </w:rPr>
        <w:t>指标、9个</w:t>
      </w:r>
      <w:r>
        <w:rPr>
          <w:rFonts w:hint="eastAsia" w:ascii="Times New Roman" w:hAnsi="Times New Roman"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lang w:val="en-US" w:eastAsia="zh-CN"/>
        </w:rPr>
        <w:t>级指标、13个</w:t>
      </w:r>
      <w:r>
        <w:rPr>
          <w:rFonts w:hint="eastAsia" w:ascii="Times New Roman" w:hAnsi="Times New Roman" w:eastAsia="仿宋_GB2312" w:cs="Times New Roman"/>
          <w:color w:val="auto"/>
          <w:sz w:val="32"/>
          <w:szCs w:val="32"/>
          <w:lang w:val="en-US" w:eastAsia="zh-CN"/>
        </w:rPr>
        <w:t>二</w:t>
      </w:r>
      <w:r>
        <w:rPr>
          <w:rFonts w:hint="default" w:ascii="Times New Roman" w:hAnsi="Times New Roman" w:eastAsia="仿宋_GB2312" w:cs="Times New Roman"/>
          <w:color w:val="auto"/>
          <w:sz w:val="32"/>
          <w:szCs w:val="32"/>
          <w:lang w:val="en-US" w:eastAsia="zh-CN"/>
        </w:rPr>
        <w:t>级指标，共计100分。评价</w:t>
      </w:r>
      <w:r>
        <w:rPr>
          <w:rFonts w:hint="eastAsia" w:ascii="Times New Roman" w:hAnsi="Times New Roman" w:eastAsia="仿宋_GB2312" w:cs="Times New Roman"/>
          <w:color w:val="auto"/>
          <w:sz w:val="32"/>
          <w:szCs w:val="32"/>
          <w:lang w:val="en-US" w:eastAsia="zh-CN"/>
        </w:rPr>
        <w:t>方法是</w:t>
      </w:r>
      <w:r>
        <w:rPr>
          <w:rFonts w:hint="default" w:ascii="Times New Roman" w:hAnsi="Times New Roman" w:eastAsia="仿宋_GB2312" w:cs="Times New Roman"/>
          <w:color w:val="auto"/>
          <w:sz w:val="32"/>
          <w:szCs w:val="32"/>
          <w:lang w:val="en-US" w:eastAsia="zh-CN"/>
        </w:rPr>
        <w:t>核对财务账目、检查档案资料，重点查看账目，账实对照，对资金使用进行综合分析，作出总体性评价。</w:t>
      </w:r>
    </w:p>
    <w:p w14:paraId="781EDED0">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04C37CC4">
      <w:pPr>
        <w:pStyle w:val="24"/>
        <w:keepNext w:val="0"/>
        <w:keepLines w:val="0"/>
        <w:pageBreakBefore w:val="0"/>
        <w:kinsoku/>
        <w:topLinePunct w:val="0"/>
        <w:autoSpaceDE/>
        <w:autoSpaceDN/>
        <w:bidi w:val="0"/>
        <w:spacing w:line="570" w:lineRule="exact"/>
        <w:jc w:val="left"/>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cs="Times New Roman"/>
          <w:color w:val="auto"/>
          <w:kern w:val="2"/>
          <w:sz w:val="32"/>
          <w:szCs w:val="32"/>
          <w:highlight w:val="none"/>
          <w:lang w:val="en-US" w:eastAsia="zh-CN" w:bidi="ar-SA"/>
        </w:rPr>
        <w:t xml:space="preserve">   </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绩效目标科学完整，资金管理到位，预算执行规范，按期完成开支进度，实现政协建言献策的社会效应，</w:t>
      </w:r>
      <w:r>
        <w:rPr>
          <w:rFonts w:hint="default" w:ascii="Times New Roman" w:hAnsi="Times New Roman" w:eastAsia="仿宋_GB2312" w:cs="Times New Roman"/>
          <w:color w:val="auto"/>
          <w:kern w:val="2"/>
          <w:sz w:val="32"/>
          <w:szCs w:val="32"/>
          <w:lang w:val="en-US" w:eastAsia="zh-CN" w:bidi="ar-SA"/>
        </w:rPr>
        <w:t>综合评价得分100分，详见下表</w:t>
      </w:r>
      <w:r>
        <w:rPr>
          <w:rFonts w:hint="default" w:ascii="Times New Roman" w:hAnsi="Times New Roman" w:eastAsia="仿宋_GB2312" w:cs="Times New Roman"/>
          <w:color w:val="auto"/>
          <w:kern w:val="2"/>
          <w:sz w:val="32"/>
          <w:szCs w:val="32"/>
          <w:lang w:val="zh-CN" w:eastAsia="zh-CN" w:bidi="ar-SA"/>
        </w:rPr>
        <w:t>。</w:t>
      </w:r>
    </w:p>
    <w:tbl>
      <w:tblPr>
        <w:tblStyle w:val="20"/>
        <w:tblW w:w="8186" w:type="dxa"/>
        <w:jc w:val="center"/>
        <w:tblLayout w:type="fixed"/>
        <w:tblCellMar>
          <w:top w:w="0" w:type="dxa"/>
          <w:left w:w="0" w:type="dxa"/>
          <w:bottom w:w="0" w:type="dxa"/>
          <w:right w:w="0" w:type="dxa"/>
        </w:tblCellMar>
      </w:tblPr>
      <w:tblGrid>
        <w:gridCol w:w="1192"/>
        <w:gridCol w:w="891"/>
        <w:gridCol w:w="992"/>
        <w:gridCol w:w="1124"/>
        <w:gridCol w:w="770"/>
        <w:gridCol w:w="1258"/>
        <w:gridCol w:w="1110"/>
        <w:gridCol w:w="849"/>
      </w:tblGrid>
      <w:tr w14:paraId="3E98301A">
        <w:tblPrEx>
          <w:tblCellMar>
            <w:top w:w="0" w:type="dxa"/>
            <w:left w:w="0" w:type="dxa"/>
            <w:bottom w:w="0" w:type="dxa"/>
            <w:right w:w="0" w:type="dxa"/>
          </w:tblCellMar>
        </w:tblPrEx>
        <w:trPr>
          <w:trHeight w:val="432" w:hRule="atLeast"/>
          <w:jc w:val="center"/>
        </w:trPr>
        <w:tc>
          <w:tcPr>
            <w:tcW w:w="419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6BD6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7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C0C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12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2147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11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60DD368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8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C079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44C0B90A">
        <w:tblPrEx>
          <w:tblCellMar>
            <w:top w:w="0" w:type="dxa"/>
            <w:left w:w="0" w:type="dxa"/>
            <w:bottom w:w="0" w:type="dxa"/>
            <w:right w:w="0" w:type="dxa"/>
          </w:tblCellMar>
        </w:tblPrEx>
        <w:trPr>
          <w:trHeight w:val="432" w:hRule="atLeast"/>
          <w:jc w:val="center"/>
        </w:trPr>
        <w:tc>
          <w:tcPr>
            <w:tcW w:w="1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00C4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706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86B0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E13F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7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44FC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55F5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10" w:type="dxa"/>
            <w:vMerge w:val="continue"/>
            <w:tcBorders>
              <w:left w:val="single" w:color="000000" w:sz="4" w:space="0"/>
              <w:right w:val="single" w:color="000000" w:sz="4" w:space="0"/>
            </w:tcBorders>
            <w:tcMar>
              <w:top w:w="15" w:type="dxa"/>
              <w:left w:w="15" w:type="dxa"/>
              <w:right w:w="15" w:type="dxa"/>
            </w:tcMar>
            <w:vAlign w:val="center"/>
          </w:tcPr>
          <w:p w14:paraId="72F4287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F259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r>
      <w:tr w14:paraId="260926D6">
        <w:tblPrEx>
          <w:tblCellMar>
            <w:top w:w="0" w:type="dxa"/>
            <w:left w:w="0" w:type="dxa"/>
            <w:bottom w:w="0" w:type="dxa"/>
            <w:right w:w="0" w:type="dxa"/>
          </w:tblCellMar>
        </w:tblPrEx>
        <w:trPr>
          <w:trHeight w:val="359" w:hRule="atLeast"/>
          <w:jc w:val="center"/>
        </w:trPr>
        <w:tc>
          <w:tcPr>
            <w:tcW w:w="11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52B7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w:t>
            </w:r>
          </w:p>
          <w:p w14:paraId="13208CC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（20分）</w:t>
            </w:r>
          </w:p>
          <w:p w14:paraId="678BF40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不能修改</w:t>
            </w:r>
          </w:p>
        </w:tc>
        <w:tc>
          <w:tcPr>
            <w:tcW w:w="89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941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9F10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3E8B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50B4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C66F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0294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严密</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2E41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13BCCF6E">
        <w:tblPrEx>
          <w:tblCellMar>
            <w:top w:w="0" w:type="dxa"/>
            <w:left w:w="0" w:type="dxa"/>
            <w:bottom w:w="0" w:type="dxa"/>
            <w:right w:w="0" w:type="dxa"/>
          </w:tblCellMar>
        </w:tblPrEx>
        <w:trPr>
          <w:trHeight w:val="306"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891B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6E3A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ECD4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D51F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B97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7229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A8BE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合理</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BC7A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6A436A54">
        <w:tblPrEx>
          <w:tblCellMar>
            <w:top w:w="0" w:type="dxa"/>
            <w:left w:w="0" w:type="dxa"/>
            <w:bottom w:w="0" w:type="dxa"/>
            <w:right w:w="0" w:type="dxa"/>
          </w:tblCellMar>
        </w:tblPrEx>
        <w:trPr>
          <w:trHeight w:val="403"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1BA8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1D27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96AF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6B0E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35E2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9711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E957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符合</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2729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16790A30">
        <w:tblPrEx>
          <w:tblCellMar>
            <w:top w:w="0" w:type="dxa"/>
            <w:left w:w="0" w:type="dxa"/>
            <w:bottom w:w="0" w:type="dxa"/>
            <w:right w:w="0" w:type="dxa"/>
          </w:tblCellMar>
        </w:tblPrEx>
        <w:trPr>
          <w:trHeight w:val="438"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A9BA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DFA0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8EB0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02BD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DB8B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2D9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BF6D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有效</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2AE9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30B875B8">
        <w:tblPrEx>
          <w:tblCellMar>
            <w:top w:w="0" w:type="dxa"/>
            <w:left w:w="0" w:type="dxa"/>
            <w:bottom w:w="0" w:type="dxa"/>
            <w:right w:w="0" w:type="dxa"/>
          </w:tblCellMar>
        </w:tblPrEx>
        <w:trPr>
          <w:trHeight w:val="405"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61E6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979A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C3DA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0506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C2346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314D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1DB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合规</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700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1A080B57">
        <w:tblPrEx>
          <w:tblCellMar>
            <w:top w:w="0" w:type="dxa"/>
            <w:left w:w="0" w:type="dxa"/>
            <w:bottom w:w="0" w:type="dxa"/>
            <w:right w:w="0" w:type="dxa"/>
          </w:tblCellMar>
        </w:tblPrEx>
        <w:trPr>
          <w:trHeight w:val="428"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5F4E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B88A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FC43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7F6C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AAFF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cs="Times New Roman"/>
                <w:b w:val="0"/>
                <w:bCs/>
                <w:i w:val="0"/>
                <w:color w:val="auto"/>
                <w:kern w:val="0"/>
                <w:sz w:val="21"/>
                <w:szCs w:val="21"/>
                <w:highlight w:val="none"/>
                <w:u w:val="none"/>
                <w:lang w:val="en-US" w:eastAsia="zh-CN" w:bidi="ar"/>
              </w:rPr>
              <w:t>3</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3B46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02E1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7D46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7AEE7DB7">
        <w:tblPrEx>
          <w:tblCellMar>
            <w:top w:w="0" w:type="dxa"/>
            <w:left w:w="0" w:type="dxa"/>
            <w:bottom w:w="0" w:type="dxa"/>
            <w:right w:w="0" w:type="dxa"/>
          </w:tblCellMar>
        </w:tblPrEx>
        <w:trPr>
          <w:trHeight w:val="416"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69EE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BD144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292D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9036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A0B5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9C99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1F96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val="0"/>
                <w:i w:val="0"/>
                <w:iCs w:val="0"/>
                <w:color w:val="auto"/>
                <w:kern w:val="2"/>
                <w:sz w:val="24"/>
                <w:szCs w:val="24"/>
                <w:highlight w:val="none"/>
                <w:u w:val="none"/>
                <w:lang w:val="en-US" w:eastAsia="zh-CN" w:bidi="ar-SA"/>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37B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5B08E379">
        <w:tblPrEx>
          <w:tblCellMar>
            <w:top w:w="0" w:type="dxa"/>
            <w:left w:w="0" w:type="dxa"/>
            <w:bottom w:w="0" w:type="dxa"/>
            <w:right w:w="0" w:type="dxa"/>
          </w:tblCellMar>
        </w:tblPrEx>
        <w:trPr>
          <w:trHeight w:val="720" w:hRule="atLeast"/>
          <w:jc w:val="center"/>
        </w:trPr>
        <w:tc>
          <w:tcPr>
            <w:tcW w:w="11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5B66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w:t>
            </w:r>
          </w:p>
          <w:p w14:paraId="5395E41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（20分）</w:t>
            </w:r>
          </w:p>
        </w:tc>
        <w:tc>
          <w:tcPr>
            <w:tcW w:w="89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A7E3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44BE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4FB7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订阅报刊杂志数量</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3990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E7B6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lang w:val="en-US"/>
              </w:rPr>
            </w:pPr>
            <w:r>
              <w:rPr>
                <w:rFonts w:hint="eastAsia" w:ascii="Times New Roman" w:hAnsi="Times New Roman"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200</w:t>
            </w:r>
            <w:r>
              <w:rPr>
                <w:rFonts w:hint="default" w:ascii="Times New Roman" w:hAnsi="Times New Roman" w:cs="Times New Roman"/>
                <w:b w:val="0"/>
                <w:bCs/>
                <w:i w:val="0"/>
                <w:color w:val="auto"/>
                <w:kern w:val="0"/>
                <w:sz w:val="21"/>
                <w:szCs w:val="21"/>
                <w:highlight w:val="none"/>
                <w:u w:val="none"/>
                <w:lang w:val="en-US" w:eastAsia="zh-CN" w:bidi="ar"/>
              </w:rPr>
              <w:t>份</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02BD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eastAsia" w:ascii="Times New Roman" w:hAnsi="Times New Roman"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200</w:t>
            </w:r>
            <w:r>
              <w:rPr>
                <w:rFonts w:hint="default" w:ascii="Times New Roman" w:hAnsi="Times New Roman" w:cs="Times New Roman"/>
                <w:b w:val="0"/>
                <w:bCs/>
                <w:i w:val="0"/>
                <w:color w:val="auto"/>
                <w:kern w:val="0"/>
                <w:sz w:val="21"/>
                <w:szCs w:val="21"/>
                <w:highlight w:val="none"/>
                <w:u w:val="none"/>
                <w:lang w:val="en-US" w:eastAsia="zh-CN" w:bidi="ar"/>
              </w:rPr>
              <w:t>份</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02CE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571D26B7">
        <w:tblPrEx>
          <w:tblCellMar>
            <w:top w:w="0" w:type="dxa"/>
            <w:left w:w="0" w:type="dxa"/>
            <w:bottom w:w="0" w:type="dxa"/>
            <w:right w:w="0" w:type="dxa"/>
          </w:tblCellMar>
        </w:tblPrEx>
        <w:trPr>
          <w:trHeight w:val="431"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7D4D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63D2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79D634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left"/>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68F0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委员参与率</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2A1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eastAsia" w:ascii="Times New Roman" w:hAnsi="Times New Roman" w:cs="Times New Roman"/>
                <w:b w:val="0"/>
                <w:bCs/>
                <w:i w:val="0"/>
                <w:color w:val="auto"/>
                <w:kern w:val="0"/>
                <w:sz w:val="21"/>
                <w:szCs w:val="21"/>
                <w:highlight w:val="none"/>
                <w:u w:val="none"/>
                <w:lang w:val="en-US" w:eastAsia="zh-CN" w:bidi="ar"/>
              </w:rPr>
              <w:t>5</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CDEE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E0F1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7D8B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eastAsia" w:ascii="Times New Roman" w:hAnsi="Times New Roman" w:cs="Times New Roman"/>
                <w:b w:val="0"/>
                <w:bCs/>
                <w:i w:val="0"/>
                <w:color w:val="auto"/>
                <w:kern w:val="0"/>
                <w:sz w:val="21"/>
                <w:szCs w:val="21"/>
                <w:highlight w:val="none"/>
                <w:u w:val="none"/>
                <w:lang w:val="en-US" w:eastAsia="zh-CN" w:bidi="ar"/>
              </w:rPr>
              <w:t>5</w:t>
            </w:r>
          </w:p>
        </w:tc>
      </w:tr>
      <w:tr w14:paraId="7A8B0F57">
        <w:tblPrEx>
          <w:tblCellMar>
            <w:top w:w="0" w:type="dxa"/>
            <w:left w:w="0" w:type="dxa"/>
            <w:bottom w:w="0" w:type="dxa"/>
            <w:right w:w="0" w:type="dxa"/>
          </w:tblCellMar>
        </w:tblPrEx>
        <w:trPr>
          <w:trHeight w:val="540"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CAC2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1646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B85E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05BB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项目总投入</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20B9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eastAsia" w:ascii="Times New Roman" w:hAnsi="Times New Roman" w:eastAsia="仿宋_GB2312" w:cs="Times New Roman"/>
                <w:b w:val="0"/>
                <w:bCs/>
                <w:i w:val="0"/>
                <w:color w:val="auto"/>
                <w:sz w:val="21"/>
                <w:szCs w:val="21"/>
                <w:highlight w:val="none"/>
                <w:u w:val="none"/>
                <w:lang w:val="en-US" w:eastAsia="zh-CN"/>
              </w:rPr>
            </w:pPr>
            <w:r>
              <w:rPr>
                <w:rFonts w:hint="eastAsia" w:ascii="Times New Roman" w:hAnsi="Times New Roman" w:cs="Times New Roman"/>
                <w:b w:val="0"/>
                <w:bCs/>
                <w:i w:val="0"/>
                <w:color w:val="auto"/>
                <w:sz w:val="21"/>
                <w:szCs w:val="21"/>
                <w:highlight w:val="none"/>
                <w:u w:val="none"/>
                <w:lang w:val="en-US" w:eastAsia="zh-CN"/>
              </w:rPr>
              <w:t>5</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DD9B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lang w:val="en-US" w:eastAsia="zh-CN"/>
              </w:rPr>
            </w:pPr>
            <w:r>
              <w:rPr>
                <w:rFonts w:hint="default" w:ascii="Arial" w:hAnsi="Arial" w:eastAsia="仿宋_GB2312" w:cs="Arial"/>
                <w:b w:val="0"/>
                <w:bCs w:val="0"/>
                <w:i w:val="0"/>
                <w:iCs w:val="0"/>
                <w:color w:val="auto"/>
                <w:sz w:val="21"/>
                <w:szCs w:val="21"/>
                <w:u w:val="none"/>
              </w:rPr>
              <w:t>≤</w:t>
            </w:r>
            <w:r>
              <w:rPr>
                <w:rFonts w:hint="eastAsia" w:ascii="Times New Roman" w:hAnsi="Times New Roman" w:cs="Times New Roman"/>
                <w:b w:val="0"/>
                <w:bCs/>
                <w:i w:val="0"/>
                <w:color w:val="auto"/>
                <w:sz w:val="21"/>
                <w:szCs w:val="21"/>
                <w:highlight w:val="none"/>
                <w:u w:val="none"/>
                <w:lang w:val="en-US" w:eastAsia="zh-CN"/>
              </w:rPr>
              <w:t>14.35万元</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0479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r>
              <w:rPr>
                <w:rFonts w:hint="default" w:ascii="Arial" w:hAnsi="Arial" w:eastAsia="仿宋_GB2312" w:cs="Arial"/>
                <w:b w:val="0"/>
                <w:bCs w:val="0"/>
                <w:i w:val="0"/>
                <w:iCs w:val="0"/>
                <w:color w:val="auto"/>
                <w:sz w:val="21"/>
                <w:szCs w:val="21"/>
                <w:u w:val="none"/>
              </w:rPr>
              <w:t>≤</w:t>
            </w:r>
            <w:r>
              <w:rPr>
                <w:rFonts w:hint="eastAsia" w:ascii="Times New Roman" w:hAnsi="Times New Roman" w:cs="Times New Roman"/>
                <w:b w:val="0"/>
                <w:bCs/>
                <w:i w:val="0"/>
                <w:color w:val="auto"/>
                <w:sz w:val="21"/>
                <w:szCs w:val="21"/>
                <w:highlight w:val="none"/>
                <w:u w:val="none"/>
                <w:lang w:val="en-US" w:eastAsia="zh-CN"/>
              </w:rPr>
              <w:t>14.35万元</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FCD6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eastAsia" w:ascii="Times New Roman" w:hAnsi="Times New Roman" w:eastAsia="仿宋_GB2312" w:cs="Times New Roman"/>
                <w:b w:val="0"/>
                <w:bCs/>
                <w:i w:val="0"/>
                <w:color w:val="auto"/>
                <w:sz w:val="21"/>
                <w:szCs w:val="21"/>
                <w:highlight w:val="none"/>
                <w:u w:val="none"/>
                <w:lang w:val="en-US" w:eastAsia="zh-CN"/>
              </w:rPr>
            </w:pPr>
            <w:r>
              <w:rPr>
                <w:rFonts w:hint="eastAsia" w:ascii="Times New Roman" w:hAnsi="Times New Roman" w:cs="Times New Roman"/>
                <w:b w:val="0"/>
                <w:bCs/>
                <w:i w:val="0"/>
                <w:color w:val="auto"/>
                <w:sz w:val="21"/>
                <w:szCs w:val="21"/>
                <w:highlight w:val="none"/>
                <w:u w:val="none"/>
                <w:lang w:val="en-US" w:eastAsia="zh-CN"/>
              </w:rPr>
              <w:t>5</w:t>
            </w:r>
          </w:p>
        </w:tc>
      </w:tr>
      <w:tr w14:paraId="6281F296">
        <w:tblPrEx>
          <w:tblCellMar>
            <w:top w:w="0" w:type="dxa"/>
            <w:left w:w="0" w:type="dxa"/>
            <w:bottom w:w="0" w:type="dxa"/>
            <w:right w:w="0" w:type="dxa"/>
          </w:tblCellMar>
        </w:tblPrEx>
        <w:trPr>
          <w:trHeight w:val="540" w:hRule="atLeast"/>
          <w:jc w:val="center"/>
        </w:trPr>
        <w:tc>
          <w:tcPr>
            <w:tcW w:w="11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AB2F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F454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439B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C8E2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94BD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B1B9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F46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FD66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16C85284">
        <w:tblPrEx>
          <w:tblCellMar>
            <w:top w:w="0" w:type="dxa"/>
            <w:left w:w="0" w:type="dxa"/>
            <w:bottom w:w="0" w:type="dxa"/>
            <w:right w:w="0" w:type="dxa"/>
          </w:tblCellMar>
        </w:tblPrEx>
        <w:trPr>
          <w:trHeight w:val="688" w:hRule="atLeast"/>
          <w:jc w:val="center"/>
        </w:trPr>
        <w:tc>
          <w:tcPr>
            <w:tcW w:w="1192"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4B95BC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w:t>
            </w:r>
          </w:p>
          <w:p w14:paraId="4B8BF26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（50分）</w:t>
            </w:r>
          </w:p>
        </w:tc>
        <w:tc>
          <w:tcPr>
            <w:tcW w:w="891"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865787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99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283D7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9134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政协委员工作开展率</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9FA0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513D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CA7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E14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152934F1">
        <w:tblPrEx>
          <w:tblCellMar>
            <w:top w:w="0" w:type="dxa"/>
            <w:left w:w="0" w:type="dxa"/>
            <w:bottom w:w="0" w:type="dxa"/>
            <w:right w:w="0" w:type="dxa"/>
          </w:tblCellMar>
        </w:tblPrEx>
        <w:trPr>
          <w:trHeight w:val="540" w:hRule="atLeast"/>
          <w:jc w:val="center"/>
        </w:trPr>
        <w:tc>
          <w:tcPr>
            <w:tcW w:w="1192"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563CFB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3BED4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9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7196B9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DD38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725C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59D5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AEF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E196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7A158CD7">
        <w:tblPrEx>
          <w:tblCellMar>
            <w:top w:w="0" w:type="dxa"/>
            <w:left w:w="0" w:type="dxa"/>
            <w:bottom w:w="0" w:type="dxa"/>
            <w:right w:w="0" w:type="dxa"/>
          </w:tblCellMar>
        </w:tblPrEx>
        <w:trPr>
          <w:trHeight w:val="540" w:hRule="atLeast"/>
          <w:jc w:val="center"/>
        </w:trPr>
        <w:tc>
          <w:tcPr>
            <w:tcW w:w="1192"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976EBF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9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6C40DA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9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82CC1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084F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7A38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7C72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67BC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F9F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5DA990DE">
        <w:tblPrEx>
          <w:tblCellMar>
            <w:top w:w="0" w:type="dxa"/>
            <w:left w:w="0" w:type="dxa"/>
            <w:bottom w:w="0" w:type="dxa"/>
            <w:right w:w="0" w:type="dxa"/>
          </w:tblCellMar>
        </w:tblPrEx>
        <w:trPr>
          <w:trHeight w:val="762" w:hRule="atLeast"/>
          <w:jc w:val="center"/>
        </w:trPr>
        <w:tc>
          <w:tcPr>
            <w:tcW w:w="1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582E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5C27F2A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F556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8A7E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32EA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政协委员满意度</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226F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12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811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872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w:t>
            </w:r>
            <w:r>
              <w:rPr>
                <w:rFonts w:hint="default" w:ascii="Times New Roman" w:hAnsi="Times New Roman" w:eastAsia="仿宋_GB2312" w:cs="Times New Roman"/>
                <w:b w:val="0"/>
                <w:bCs/>
                <w:i w:val="0"/>
                <w:color w:val="auto"/>
                <w:kern w:val="0"/>
                <w:sz w:val="21"/>
                <w:szCs w:val="21"/>
                <w:highlight w:val="none"/>
                <w:u w:val="none"/>
                <w:lang w:val="en-US" w:eastAsia="zh-CN" w:bidi="ar"/>
              </w:rPr>
              <w:t>0%</w:t>
            </w:r>
          </w:p>
        </w:tc>
        <w:tc>
          <w:tcPr>
            <w:tcW w:w="8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47C2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2C2FE8A8">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960" w:firstLineChars="300"/>
        <w:rPr>
          <w:sz w:val="32"/>
          <w:szCs w:val="32"/>
        </w:rPr>
      </w:pPr>
      <w:r>
        <w:rPr>
          <w:rFonts w:hint="eastAsia" w:ascii="Times New Roman" w:hAnsi="Times New Roman" w:eastAsia="黑体" w:cs="Times New Roman"/>
          <w:bCs/>
          <w:color w:val="auto"/>
          <w:sz w:val="32"/>
          <w:szCs w:val="32"/>
          <w:highlight w:val="none"/>
          <w:lang w:val="en-US" w:eastAsia="zh-CN"/>
        </w:rPr>
        <w:t>四、</w:t>
      </w:r>
      <w:r>
        <w:rPr>
          <w:rFonts w:hint="default" w:ascii="Times New Roman" w:hAnsi="Times New Roman" w:eastAsia="黑体" w:cs="Times New Roman"/>
          <w:bCs/>
          <w:color w:val="auto"/>
          <w:sz w:val="32"/>
          <w:szCs w:val="32"/>
          <w:highlight w:val="none"/>
        </w:rPr>
        <w:t>绩效评价分析</w:t>
      </w:r>
    </w:p>
    <w:p w14:paraId="57E5D1D5">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sz w:val="32"/>
          <w:szCs w:val="32"/>
          <w:lang w:val="en-US" w:eastAsia="zh-CN"/>
        </w:rPr>
        <w:t xml:space="preserve"> </w:t>
      </w: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为</w:t>
      </w:r>
      <w:r>
        <w:rPr>
          <w:rFonts w:hint="eastAsia" w:ascii="仿宋_GB2312" w:hAnsi="仿宋_GB2312" w:eastAsia="仿宋_GB2312" w:cs="仿宋_GB2312"/>
          <w:color w:val="auto"/>
          <w:sz w:val="32"/>
          <w:szCs w:val="32"/>
          <w:highlight w:val="none"/>
          <w:lang w:val="en-US" w:eastAsia="zh-CN"/>
        </w:rPr>
        <w:t>进一步推动政协委员履行好政协职能职责，展示委员们履职成果和履职风采，严格按照《中国人民政治协商会议章程》及中省市区相关要求立项，立项决策依据充分、决策程序合规、绩效目标科学完整，整体情况良好。</w:t>
      </w:r>
    </w:p>
    <w:p w14:paraId="5DF100DE">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textAlignment w:val="auto"/>
        <w:rPr>
          <w:rFonts w:hint="default"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项目管理制度及财政监督制度健全，测算依据和使用过程规范，</w:t>
      </w:r>
      <w:r>
        <w:rPr>
          <w:rFonts w:hint="default" w:ascii="仿宋_GB2312" w:hAnsi="仿宋_GB2312" w:eastAsia="仿宋_GB2312" w:cs="仿宋_GB2312"/>
          <w:color w:val="auto"/>
          <w:kern w:val="2"/>
          <w:sz w:val="32"/>
          <w:szCs w:val="32"/>
          <w:highlight w:val="none"/>
          <w:lang w:val="en-US" w:eastAsia="zh-CN" w:bidi="ar-SA"/>
        </w:rPr>
        <w:t>严格执行项目申报，</w:t>
      </w:r>
      <w:r>
        <w:rPr>
          <w:rFonts w:hint="eastAsia" w:ascii="仿宋_GB2312" w:hAnsi="仿宋_GB2312" w:eastAsia="仿宋_GB2312" w:cs="仿宋_GB2312"/>
          <w:color w:val="auto"/>
          <w:kern w:val="2"/>
          <w:sz w:val="32"/>
          <w:szCs w:val="32"/>
          <w:highlight w:val="none"/>
          <w:lang w:val="en-US" w:eastAsia="zh-CN" w:bidi="ar-SA"/>
        </w:rPr>
        <w:t>项目实施及</w:t>
      </w:r>
      <w:r>
        <w:rPr>
          <w:rFonts w:hint="default" w:ascii="仿宋_GB2312" w:hAnsi="仿宋_GB2312" w:eastAsia="仿宋_GB2312" w:cs="仿宋_GB2312"/>
          <w:color w:val="auto"/>
          <w:kern w:val="2"/>
          <w:sz w:val="32"/>
          <w:szCs w:val="32"/>
          <w:highlight w:val="none"/>
          <w:lang w:val="en-US" w:eastAsia="zh-CN" w:bidi="ar-SA"/>
        </w:rPr>
        <w:t>资金使用严格按照预算</w:t>
      </w:r>
      <w:r>
        <w:rPr>
          <w:rFonts w:hint="eastAsia" w:ascii="仿宋_GB2312" w:hAnsi="仿宋_GB2312" w:eastAsia="仿宋_GB2312" w:cs="仿宋_GB2312"/>
          <w:color w:val="auto"/>
          <w:kern w:val="2"/>
          <w:sz w:val="32"/>
          <w:szCs w:val="32"/>
          <w:highlight w:val="none"/>
          <w:lang w:val="en-US" w:eastAsia="zh-CN" w:bidi="ar-SA"/>
        </w:rPr>
        <w:t>及单位内控等</w:t>
      </w:r>
      <w:r>
        <w:rPr>
          <w:rFonts w:hint="default" w:ascii="仿宋_GB2312" w:hAnsi="仿宋_GB2312" w:eastAsia="仿宋_GB2312" w:cs="仿宋_GB2312"/>
          <w:color w:val="auto"/>
          <w:kern w:val="2"/>
          <w:sz w:val="32"/>
          <w:szCs w:val="32"/>
          <w:highlight w:val="none"/>
          <w:lang w:val="en-US" w:eastAsia="zh-CN" w:bidi="ar-SA"/>
        </w:rPr>
        <w:t>相关</w:t>
      </w:r>
      <w:r>
        <w:rPr>
          <w:rFonts w:hint="eastAsia" w:ascii="仿宋_GB2312" w:hAnsi="仿宋_GB2312" w:eastAsia="仿宋_GB2312" w:cs="仿宋_GB2312"/>
          <w:color w:val="auto"/>
          <w:kern w:val="2"/>
          <w:sz w:val="32"/>
          <w:szCs w:val="32"/>
          <w:highlight w:val="none"/>
          <w:lang w:val="en-US" w:eastAsia="zh-CN" w:bidi="ar-SA"/>
        </w:rPr>
        <w:t>规定</w:t>
      </w:r>
      <w:r>
        <w:rPr>
          <w:rFonts w:hint="default" w:ascii="仿宋_GB2312" w:hAnsi="仿宋_GB2312" w:eastAsia="仿宋_GB2312" w:cs="仿宋_GB2312"/>
          <w:color w:val="auto"/>
          <w:kern w:val="2"/>
          <w:sz w:val="32"/>
          <w:szCs w:val="32"/>
          <w:highlight w:val="none"/>
          <w:lang w:val="en-US" w:eastAsia="zh-CN" w:bidi="ar-SA"/>
        </w:rPr>
        <w:t>执行。</w:t>
      </w:r>
    </w:p>
    <w:p w14:paraId="7A644A48">
      <w:pPr>
        <w:pStyle w:val="25"/>
        <w:keepNext w:val="0"/>
        <w:keepLines w:val="0"/>
        <w:pageBreakBefore w:val="0"/>
        <w:kinsoku/>
        <w:wordWrap/>
        <w:topLinePunct w:val="0"/>
        <w:autoSpaceDE/>
        <w:autoSpaceDN/>
        <w:bidi w:val="0"/>
        <w:spacing w:line="570" w:lineRule="exact"/>
        <w:ind w:firstLine="643" w:firstLineChars="200"/>
        <w:jc w:val="both"/>
        <w:rPr>
          <w:rFonts w:hint="default"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color w:val="auto"/>
          <w:sz w:val="32"/>
          <w:szCs w:val="32"/>
          <w:highlight w:val="none"/>
        </w:rPr>
        <w:t>（三）项目产出情况</w:t>
      </w:r>
      <w:r>
        <w:rPr>
          <w:rFonts w:hint="default" w:ascii="Times New Roman" w:hAnsi="Times New Roman" w:eastAsia="楷体_GB2312" w:cs="Times New Roman"/>
          <w:b/>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组织委员积极参与</w:t>
      </w:r>
      <w:r>
        <w:rPr>
          <w:rFonts w:hint="default" w:ascii="仿宋_GB2312" w:hAnsi="仿宋_GB2312" w:eastAsia="仿宋_GB2312" w:cs="仿宋_GB2312"/>
          <w:color w:val="auto"/>
          <w:kern w:val="2"/>
          <w:sz w:val="32"/>
          <w:szCs w:val="32"/>
          <w:highlight w:val="none"/>
          <w:lang w:val="en-US" w:eastAsia="zh-CN" w:bidi="ar-SA"/>
        </w:rPr>
        <w:t>“同心共建现代化四川”船山专项行动</w:t>
      </w:r>
      <w:r>
        <w:rPr>
          <w:rFonts w:hint="eastAsia" w:ascii="仿宋_GB2312" w:hAnsi="仿宋_GB2312" w:eastAsia="仿宋_GB2312" w:cs="仿宋_GB2312"/>
          <w:color w:val="auto"/>
          <w:kern w:val="2"/>
          <w:sz w:val="32"/>
          <w:szCs w:val="32"/>
          <w:highlight w:val="none"/>
          <w:lang w:val="en-US" w:eastAsia="zh-CN" w:bidi="ar-SA"/>
        </w:rPr>
        <w:t>等五项行动，</w:t>
      </w:r>
      <w:r>
        <w:rPr>
          <w:rFonts w:hint="default" w:ascii="仿宋_GB2312" w:hAnsi="仿宋_GB2312" w:eastAsia="仿宋_GB2312" w:cs="仿宋_GB2312"/>
          <w:color w:val="auto"/>
          <w:kern w:val="2"/>
          <w:sz w:val="32"/>
          <w:szCs w:val="32"/>
          <w:highlight w:val="none"/>
          <w:lang w:val="en-US" w:eastAsia="zh-CN" w:bidi="ar-SA"/>
        </w:rPr>
        <w:t>围绕“国有企业实体化运作”</w:t>
      </w:r>
      <w:r>
        <w:rPr>
          <w:rFonts w:hint="eastAsia" w:ascii="仿宋_GB2312" w:hAnsi="仿宋_GB2312" w:eastAsia="仿宋_GB2312" w:cs="仿宋_GB2312"/>
          <w:color w:val="auto"/>
          <w:kern w:val="2"/>
          <w:sz w:val="32"/>
          <w:szCs w:val="32"/>
          <w:highlight w:val="none"/>
          <w:lang w:val="en-US" w:eastAsia="zh-CN" w:bidi="ar-SA"/>
        </w:rPr>
        <w:t>等开展监督性视察，主席会议成员</w:t>
      </w:r>
      <w:r>
        <w:rPr>
          <w:rFonts w:hint="default" w:ascii="仿宋_GB2312" w:hAnsi="仿宋_GB2312" w:eastAsia="仿宋_GB2312" w:cs="仿宋_GB2312"/>
          <w:color w:val="auto"/>
          <w:kern w:val="2"/>
          <w:sz w:val="32"/>
          <w:szCs w:val="32"/>
          <w:highlight w:val="none"/>
          <w:lang w:val="en-US" w:eastAsia="zh-CN" w:bidi="ar-SA"/>
        </w:rPr>
        <w:t>领衔督办“关于持续推进高新技术产业船山园区高质量发展”等9个重点提案，带队走访</w:t>
      </w:r>
      <w:r>
        <w:rPr>
          <w:rFonts w:hint="eastAsia" w:ascii="仿宋_GB2312" w:hAnsi="仿宋_GB2312" w:eastAsia="仿宋_GB2312" w:cs="仿宋_GB2312"/>
          <w:color w:val="auto"/>
          <w:kern w:val="2"/>
          <w:sz w:val="32"/>
          <w:szCs w:val="32"/>
          <w:highlight w:val="none"/>
          <w:lang w:val="en-US" w:eastAsia="zh-CN" w:bidi="ar-SA"/>
        </w:rPr>
        <w:t>委员</w:t>
      </w:r>
      <w:r>
        <w:rPr>
          <w:rFonts w:hint="default" w:ascii="仿宋_GB2312" w:hAnsi="仿宋_GB2312" w:eastAsia="仿宋_GB2312" w:cs="仿宋_GB2312"/>
          <w:color w:val="auto"/>
          <w:kern w:val="2"/>
          <w:sz w:val="32"/>
          <w:szCs w:val="32"/>
          <w:highlight w:val="none"/>
          <w:lang w:val="en-US" w:eastAsia="zh-CN" w:bidi="ar-SA"/>
        </w:rPr>
        <w:t>企业和</w:t>
      </w:r>
      <w:r>
        <w:rPr>
          <w:rFonts w:hint="eastAsia" w:ascii="仿宋_GB2312" w:hAnsi="仿宋_GB2312" w:eastAsia="仿宋_GB2312" w:cs="仿宋_GB2312"/>
          <w:color w:val="auto"/>
          <w:kern w:val="2"/>
          <w:sz w:val="32"/>
          <w:szCs w:val="32"/>
          <w:highlight w:val="none"/>
          <w:lang w:val="en-US" w:eastAsia="zh-CN" w:bidi="ar-SA"/>
        </w:rPr>
        <w:t>市场</w:t>
      </w:r>
      <w:r>
        <w:rPr>
          <w:rFonts w:hint="default" w:ascii="仿宋_GB2312" w:hAnsi="仿宋_GB2312" w:eastAsia="仿宋_GB2312" w:cs="仿宋_GB2312"/>
          <w:color w:val="auto"/>
          <w:kern w:val="2"/>
          <w:sz w:val="32"/>
          <w:szCs w:val="32"/>
          <w:highlight w:val="none"/>
          <w:lang w:val="en-US" w:eastAsia="zh-CN" w:bidi="ar-SA"/>
        </w:rPr>
        <w:t>经营主体60余家，协调解决招工难等问题，在帮助市场主体复元气、强信心上贡献了力量。扎实推进“我为群众办实事”和委员履职“服务为民”活动</w:t>
      </w:r>
      <w:r>
        <w:rPr>
          <w:rFonts w:hint="eastAsia" w:ascii="仿宋_GB2312" w:hAnsi="仿宋_GB2312" w:eastAsia="仿宋_GB2312" w:cs="仿宋_GB2312"/>
          <w:color w:val="auto"/>
          <w:kern w:val="2"/>
          <w:sz w:val="32"/>
          <w:szCs w:val="32"/>
          <w:highlight w:val="none"/>
          <w:lang w:val="en-US" w:eastAsia="zh-CN" w:bidi="ar-SA"/>
        </w:rPr>
        <w:t>，先后助力完成老旧小区升级改造、农村人居环境提升等民生实事20余项，作为全市唯一区县在省政协“同心共建现代化四川”专项行动专刊刊发。</w:t>
      </w:r>
      <w:r>
        <w:rPr>
          <w:rFonts w:hint="default" w:ascii="仿宋_GB2312" w:hAnsi="仿宋_GB2312" w:eastAsia="仿宋_GB2312" w:cs="仿宋_GB2312"/>
          <w:color w:val="auto"/>
          <w:kern w:val="2"/>
          <w:sz w:val="32"/>
          <w:szCs w:val="32"/>
          <w:highlight w:val="none"/>
          <w:lang w:val="en-US" w:eastAsia="zh-CN" w:bidi="ar-SA"/>
        </w:rPr>
        <w:t>推进委员联系界别群众，围绕“农村生活污水治理”等课题抓好专题协商、对口协商，围绕“进一步发挥公益诉讼监督职能”等课题开展调研</w:t>
      </w:r>
      <w:r>
        <w:rPr>
          <w:rFonts w:hint="eastAsia" w:ascii="仿宋_GB2312" w:hAnsi="仿宋_GB2312" w:eastAsia="仿宋_GB2312" w:cs="仿宋_GB2312"/>
          <w:color w:val="auto"/>
          <w:kern w:val="2"/>
          <w:sz w:val="32"/>
          <w:szCs w:val="32"/>
          <w:highlight w:val="none"/>
          <w:lang w:val="en-US" w:eastAsia="zh-CN" w:bidi="ar-SA"/>
        </w:rPr>
        <w:t>走访</w:t>
      </w:r>
      <w:r>
        <w:rPr>
          <w:rFonts w:hint="default" w:ascii="仿宋_GB2312" w:hAnsi="仿宋_GB2312" w:eastAsia="仿宋_GB2312" w:cs="仿宋_GB2312"/>
          <w:color w:val="auto"/>
          <w:kern w:val="2"/>
          <w:sz w:val="32"/>
          <w:szCs w:val="32"/>
          <w:highlight w:val="none"/>
          <w:lang w:val="en-US" w:eastAsia="zh-CN" w:bidi="ar-SA"/>
        </w:rPr>
        <w:t>，为“</w:t>
      </w:r>
      <w:r>
        <w:rPr>
          <w:rFonts w:hint="eastAsia" w:ascii="仿宋_GB2312" w:hAnsi="仿宋_GB2312" w:eastAsia="仿宋_GB2312" w:cs="仿宋_GB2312"/>
          <w:color w:val="auto"/>
          <w:kern w:val="2"/>
          <w:sz w:val="32"/>
          <w:szCs w:val="32"/>
          <w:highlight w:val="none"/>
          <w:lang w:val="en-US" w:eastAsia="zh-CN" w:bidi="ar-SA"/>
        </w:rPr>
        <w:t>产业富民、</w:t>
      </w:r>
      <w:r>
        <w:rPr>
          <w:rFonts w:hint="default" w:ascii="仿宋_GB2312" w:hAnsi="仿宋_GB2312" w:eastAsia="仿宋_GB2312" w:cs="仿宋_GB2312"/>
          <w:color w:val="auto"/>
          <w:kern w:val="2"/>
          <w:sz w:val="32"/>
          <w:szCs w:val="32"/>
          <w:highlight w:val="none"/>
          <w:lang w:val="en-US" w:eastAsia="zh-CN" w:bidi="ar-SA"/>
        </w:rPr>
        <w:t>城乡便民、实事惠民、行政为民”贡献智慧和力量。充分发挥社情民意信息“快车道”和</w:t>
      </w:r>
      <w:r>
        <w:rPr>
          <w:rFonts w:hint="eastAsia" w:ascii="仿宋_GB2312" w:hAnsi="仿宋_GB2312" w:eastAsia="仿宋_GB2312" w:cs="仿宋_GB2312"/>
          <w:color w:val="auto"/>
          <w:kern w:val="2"/>
          <w:sz w:val="32"/>
          <w:szCs w:val="32"/>
          <w:highlight w:val="none"/>
          <w:lang w:val="en-US" w:eastAsia="zh-CN" w:bidi="ar-SA"/>
        </w:rPr>
        <w:t>“</w:t>
      </w:r>
      <w:r>
        <w:rPr>
          <w:rFonts w:hint="default" w:ascii="仿宋_GB2312" w:hAnsi="仿宋_GB2312" w:eastAsia="仿宋_GB2312" w:cs="仿宋_GB2312"/>
          <w:color w:val="auto"/>
          <w:kern w:val="2"/>
          <w:sz w:val="32"/>
          <w:szCs w:val="32"/>
          <w:highlight w:val="none"/>
          <w:lang w:val="en-US" w:eastAsia="zh-CN" w:bidi="ar-SA"/>
        </w:rPr>
        <w:t>直通车</w:t>
      </w:r>
      <w:r>
        <w:rPr>
          <w:rFonts w:hint="eastAsia" w:ascii="仿宋_GB2312" w:hAnsi="仿宋_GB2312" w:eastAsia="仿宋_GB2312" w:cs="仿宋_GB2312"/>
          <w:color w:val="auto"/>
          <w:kern w:val="2"/>
          <w:sz w:val="32"/>
          <w:szCs w:val="32"/>
          <w:highlight w:val="none"/>
          <w:lang w:val="en-US" w:eastAsia="zh-CN" w:bidi="ar-SA"/>
        </w:rPr>
        <w:t>”</w:t>
      </w:r>
      <w:r>
        <w:rPr>
          <w:rFonts w:hint="default" w:ascii="仿宋_GB2312" w:hAnsi="仿宋_GB2312" w:eastAsia="仿宋_GB2312" w:cs="仿宋_GB2312"/>
          <w:color w:val="auto"/>
          <w:kern w:val="2"/>
          <w:sz w:val="32"/>
          <w:szCs w:val="32"/>
          <w:highlight w:val="none"/>
          <w:lang w:val="en-US" w:eastAsia="zh-CN" w:bidi="ar-SA"/>
        </w:rPr>
        <w:t>作用</w:t>
      </w:r>
      <w:r>
        <w:rPr>
          <w:rFonts w:hint="eastAsia" w:ascii="仿宋_GB2312" w:hAnsi="仿宋_GB2312" w:eastAsia="仿宋_GB2312" w:cs="仿宋_GB2312"/>
          <w:color w:val="auto"/>
          <w:kern w:val="2"/>
          <w:sz w:val="32"/>
          <w:szCs w:val="32"/>
          <w:highlight w:val="none"/>
          <w:lang w:val="en-US" w:eastAsia="zh-CN" w:bidi="ar-SA"/>
        </w:rPr>
        <w:t>，</w:t>
      </w:r>
      <w:r>
        <w:rPr>
          <w:rFonts w:hint="default" w:ascii="仿宋_GB2312" w:hAnsi="仿宋_GB2312" w:eastAsia="仿宋_GB2312" w:cs="仿宋_GB2312"/>
          <w:color w:val="auto"/>
          <w:kern w:val="2"/>
          <w:sz w:val="32"/>
          <w:szCs w:val="32"/>
          <w:highlight w:val="none"/>
          <w:lang w:val="en-US" w:eastAsia="zh-CN" w:bidi="ar-SA"/>
        </w:rPr>
        <w:t>收集上报社情民意40余篇，</w:t>
      </w:r>
      <w:r>
        <w:rPr>
          <w:rFonts w:hint="default" w:ascii="仿宋_GB2312" w:hAnsi="仿宋_GB2312" w:eastAsia="仿宋_GB2312" w:cs="仿宋_GB2312"/>
          <w:color w:val="auto"/>
          <w:kern w:val="2"/>
          <w:sz w:val="32"/>
          <w:szCs w:val="32"/>
          <w:highlight w:val="none"/>
          <w:lang w:val="en-US" w:eastAsia="zh-CN" w:bidi="ar-SA"/>
        </w:rPr>
        <w:fldChar w:fldCharType="begin"/>
      </w:r>
      <w:r>
        <w:rPr>
          <w:rFonts w:hint="default" w:ascii="仿宋_GB2312" w:hAnsi="仿宋_GB2312" w:eastAsia="仿宋_GB2312" w:cs="仿宋_GB2312"/>
          <w:color w:val="auto"/>
          <w:kern w:val="2"/>
          <w:sz w:val="32"/>
          <w:szCs w:val="32"/>
          <w:highlight w:val="none"/>
          <w:lang w:val="en-US" w:eastAsia="zh-CN" w:bidi="ar-SA"/>
        </w:rPr>
        <w:instrText xml:space="preserve"> HYPERLINK "javascript:void window.open('opinionInfo.do?action=showDetail&amp;id=2c91948587e51f6a018b17553b75181f','XX17',' left=0,top=0,width='+ (screen.availWidth - 10) +',height='+ (screen.availHeight-50) +',scrollbars,resizable=yes,toolbar=no')" </w:instrText>
      </w:r>
      <w:r>
        <w:rPr>
          <w:rFonts w:hint="default" w:ascii="仿宋_GB2312" w:hAnsi="仿宋_GB2312" w:eastAsia="仿宋_GB2312" w:cs="仿宋_GB2312"/>
          <w:color w:val="auto"/>
          <w:kern w:val="2"/>
          <w:sz w:val="32"/>
          <w:szCs w:val="32"/>
          <w:highlight w:val="none"/>
          <w:lang w:val="en-US" w:eastAsia="zh-CN" w:bidi="ar-SA"/>
        </w:rPr>
        <w:fldChar w:fldCharType="separate"/>
      </w:r>
      <w:r>
        <w:rPr>
          <w:rFonts w:hint="default" w:ascii="仿宋_GB2312" w:hAnsi="仿宋_GB2312" w:eastAsia="仿宋_GB2312" w:cs="仿宋_GB2312"/>
          <w:color w:val="auto"/>
          <w:kern w:val="2"/>
          <w:sz w:val="32"/>
          <w:szCs w:val="32"/>
          <w:highlight w:val="none"/>
          <w:lang w:val="en-US" w:eastAsia="zh-CN" w:bidi="ar-SA"/>
        </w:rPr>
        <w:t>关于“加快城市文化建设助力打造养心文化名城”</w:t>
      </w:r>
      <w:r>
        <w:rPr>
          <w:rFonts w:hint="default" w:ascii="仿宋_GB2312" w:hAnsi="仿宋_GB2312" w:eastAsia="仿宋_GB2312" w:cs="仿宋_GB2312"/>
          <w:color w:val="auto"/>
          <w:kern w:val="2"/>
          <w:sz w:val="32"/>
          <w:szCs w:val="32"/>
          <w:highlight w:val="none"/>
          <w:lang w:val="en-US" w:eastAsia="zh-CN" w:bidi="ar-SA"/>
        </w:rPr>
        <w:fldChar w:fldCharType="end"/>
      </w:r>
      <w:r>
        <w:rPr>
          <w:rFonts w:hint="default" w:ascii="仿宋_GB2312" w:hAnsi="仿宋_GB2312" w:eastAsia="仿宋_GB2312" w:cs="仿宋_GB2312"/>
          <w:color w:val="auto"/>
          <w:kern w:val="2"/>
          <w:sz w:val="32"/>
          <w:szCs w:val="32"/>
          <w:highlight w:val="none"/>
          <w:lang w:val="en-US" w:eastAsia="zh-CN" w:bidi="ar-SA"/>
        </w:rPr>
        <w:t>等建议被相关部门吸收采纳并转化为惠民政策</w:t>
      </w:r>
      <w:r>
        <w:rPr>
          <w:rFonts w:hint="eastAsia" w:ascii="仿宋_GB2312" w:hAnsi="仿宋_GB2312" w:eastAsia="仿宋_GB2312" w:cs="仿宋_GB2312"/>
          <w:color w:val="auto"/>
          <w:kern w:val="2"/>
          <w:sz w:val="32"/>
          <w:szCs w:val="32"/>
          <w:highlight w:val="none"/>
          <w:lang w:val="en-US" w:eastAsia="zh-CN" w:bidi="ar-SA"/>
        </w:rPr>
        <w:t>。深化</w:t>
      </w:r>
      <w:r>
        <w:rPr>
          <w:rFonts w:hint="default" w:ascii="仿宋_GB2312" w:hAnsi="仿宋_GB2312" w:eastAsia="仿宋_GB2312" w:cs="仿宋_GB2312"/>
          <w:color w:val="auto"/>
          <w:kern w:val="2"/>
          <w:sz w:val="32"/>
          <w:szCs w:val="32"/>
          <w:highlight w:val="none"/>
          <w:lang w:val="en-US" w:eastAsia="zh-CN" w:bidi="ar-SA"/>
        </w:rPr>
        <w:t>协商实效，全年开展小微协商40余场，《“坝坝会”破解农贸市场管理难题》等</w:t>
      </w:r>
      <w:r>
        <w:rPr>
          <w:rFonts w:hint="eastAsia" w:ascii="仿宋_GB2312" w:hAnsi="仿宋_GB2312" w:eastAsia="仿宋_GB2312" w:cs="仿宋_GB2312"/>
          <w:color w:val="auto"/>
          <w:kern w:val="2"/>
          <w:sz w:val="32"/>
          <w:szCs w:val="32"/>
          <w:highlight w:val="none"/>
          <w:lang w:val="en-US" w:eastAsia="zh-CN" w:bidi="ar-SA"/>
        </w:rPr>
        <w:t>小微</w:t>
      </w:r>
      <w:r>
        <w:rPr>
          <w:rFonts w:hint="default" w:ascii="仿宋_GB2312" w:hAnsi="仿宋_GB2312" w:eastAsia="仿宋_GB2312" w:cs="仿宋_GB2312"/>
          <w:color w:val="auto"/>
          <w:kern w:val="2"/>
          <w:sz w:val="32"/>
          <w:szCs w:val="32"/>
          <w:highlight w:val="none"/>
          <w:lang w:val="en-US" w:eastAsia="zh-CN" w:bidi="ar-SA"/>
        </w:rPr>
        <w:t>协商被人民政协报、学习强国等媒体</w:t>
      </w:r>
      <w:r>
        <w:rPr>
          <w:rFonts w:hint="eastAsia" w:ascii="仿宋_GB2312" w:hAnsi="仿宋_GB2312" w:eastAsia="仿宋_GB2312" w:cs="仿宋_GB2312"/>
          <w:color w:val="auto"/>
          <w:kern w:val="2"/>
          <w:sz w:val="32"/>
          <w:szCs w:val="32"/>
          <w:highlight w:val="none"/>
          <w:lang w:val="en-US" w:eastAsia="zh-CN" w:bidi="ar-SA"/>
        </w:rPr>
        <w:t>平台</w:t>
      </w:r>
      <w:r>
        <w:rPr>
          <w:rFonts w:hint="default" w:ascii="仿宋_GB2312" w:hAnsi="仿宋_GB2312" w:eastAsia="仿宋_GB2312" w:cs="仿宋_GB2312"/>
          <w:color w:val="auto"/>
          <w:kern w:val="2"/>
          <w:sz w:val="32"/>
          <w:szCs w:val="32"/>
          <w:highlight w:val="none"/>
          <w:lang w:val="en-US" w:eastAsia="zh-CN" w:bidi="ar-SA"/>
        </w:rPr>
        <w:t>报道。持续开展主席会议成员、驻区市政协委员联合视察全区重点工程项目建设情况，促进市、区政协委员更好形成工作合力。深化对外交流学习，主席会议成员带队前往重庆、成都等地，围绕现代农业园区建设等课题交流学习12次，推动了政协工作互学互鉴。全年为政协委员</w:t>
      </w:r>
      <w:r>
        <w:rPr>
          <w:rFonts w:hint="eastAsia" w:ascii="仿宋_GB2312" w:hAnsi="仿宋_GB2312" w:eastAsia="仿宋_GB2312" w:cs="仿宋_GB2312"/>
          <w:color w:val="auto"/>
          <w:kern w:val="2"/>
          <w:sz w:val="32"/>
          <w:szCs w:val="32"/>
          <w:highlight w:val="none"/>
          <w:lang w:val="en-US" w:eastAsia="zh-CN" w:bidi="ar-SA"/>
        </w:rPr>
        <w:t>、机关干部</w:t>
      </w:r>
      <w:r>
        <w:rPr>
          <w:rFonts w:hint="default" w:ascii="仿宋_GB2312" w:hAnsi="仿宋_GB2312" w:eastAsia="仿宋_GB2312" w:cs="仿宋_GB2312"/>
          <w:color w:val="auto"/>
          <w:kern w:val="2"/>
          <w:sz w:val="32"/>
          <w:szCs w:val="32"/>
          <w:highlight w:val="none"/>
          <w:lang w:val="en-US" w:eastAsia="zh-CN" w:bidi="ar-SA"/>
        </w:rPr>
        <w:t>订阅</w:t>
      </w:r>
      <w:r>
        <w:rPr>
          <w:rFonts w:hint="eastAsia" w:ascii="仿宋_GB2312" w:hAnsi="仿宋_GB2312" w:eastAsia="仿宋_GB2312" w:cs="仿宋_GB2312"/>
          <w:color w:val="auto"/>
          <w:kern w:val="2"/>
          <w:sz w:val="32"/>
          <w:szCs w:val="32"/>
          <w:highlight w:val="none"/>
          <w:lang w:val="en-US" w:eastAsia="zh-CN" w:bidi="ar-SA"/>
        </w:rPr>
        <w:t>《人民政协报》、《四川政协报》和《中国政协》杂志400余份，报刊杂志订阅精准率、</w:t>
      </w:r>
      <w:r>
        <w:rPr>
          <w:rFonts w:hint="default" w:ascii="仿宋_GB2312" w:hAnsi="仿宋_GB2312" w:eastAsia="仿宋_GB2312" w:cs="仿宋_GB2312"/>
          <w:color w:val="auto"/>
          <w:kern w:val="2"/>
          <w:sz w:val="32"/>
          <w:szCs w:val="32"/>
          <w:highlight w:val="none"/>
          <w:lang w:val="en-US" w:eastAsia="zh-CN" w:bidi="ar-SA"/>
        </w:rPr>
        <w:t>委员参与率、完成及时率、工作开展率</w:t>
      </w:r>
      <w:r>
        <w:rPr>
          <w:rFonts w:hint="eastAsia" w:ascii="仿宋_GB2312" w:hAnsi="仿宋_GB2312" w:eastAsia="仿宋_GB2312" w:cs="仿宋_GB2312"/>
          <w:color w:val="auto"/>
          <w:kern w:val="2"/>
          <w:sz w:val="32"/>
          <w:szCs w:val="32"/>
          <w:highlight w:val="none"/>
          <w:lang w:val="en-US" w:eastAsia="zh-CN" w:bidi="ar-SA"/>
        </w:rPr>
        <w:t>、委员满意度均达</w:t>
      </w:r>
      <w:r>
        <w:rPr>
          <w:rFonts w:hint="default" w:ascii="仿宋_GB2312" w:hAnsi="仿宋_GB2312"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，项目总投入14.35万元，财政监督管理制度健全，进一步提升了委员履职能力、展示了委员履职风采。</w:t>
      </w:r>
    </w:p>
    <w:p w14:paraId="2E10AC43">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cs="Times New Roman"/>
          <w:color w:val="auto"/>
          <w:sz w:val="32"/>
          <w:szCs w:val="32"/>
          <w:highlight w:val="none"/>
        </w:rPr>
      </w:pPr>
      <w:r>
        <w:rPr>
          <w:rFonts w:hint="default" w:ascii="Times New Roman" w:hAnsi="Times New Roman" w:eastAsia="楷体_GB2312" w:cs="Times New Roman"/>
          <w:b/>
          <w:color w:val="auto"/>
          <w:sz w:val="32"/>
          <w:szCs w:val="32"/>
          <w:highlight w:val="none"/>
        </w:rPr>
        <w:t>（四）项目效益情况。</w:t>
      </w:r>
      <w:r>
        <w:rPr>
          <w:rFonts w:hint="default" w:ascii="仿宋_GB2312" w:hAnsi="仿宋_GB2312" w:eastAsia="仿宋_GB2312" w:cs="仿宋_GB2312"/>
          <w:color w:val="auto"/>
          <w:kern w:val="2"/>
          <w:sz w:val="32"/>
          <w:szCs w:val="32"/>
          <w:highlight w:val="none"/>
          <w:lang w:val="en-US" w:eastAsia="zh-CN" w:bidi="ar-SA"/>
        </w:rPr>
        <w:t>根据年度工作安排和财政预算批复，</w:t>
      </w:r>
      <w:r>
        <w:rPr>
          <w:rFonts w:hint="eastAsia" w:ascii="仿宋_GB2312" w:hAnsi="仿宋_GB2312" w:eastAsia="仿宋_GB2312" w:cs="仿宋_GB2312"/>
          <w:color w:val="auto"/>
          <w:kern w:val="2"/>
          <w:sz w:val="32"/>
          <w:szCs w:val="32"/>
          <w:highlight w:val="none"/>
          <w:lang w:val="en-US" w:eastAsia="zh-CN" w:bidi="ar-SA"/>
        </w:rPr>
        <w:t>报刊杂志订阅精准率、</w:t>
      </w:r>
      <w:r>
        <w:rPr>
          <w:rFonts w:hint="default" w:ascii="仿宋_GB2312" w:hAnsi="仿宋_GB2312" w:eastAsia="仿宋_GB2312" w:cs="仿宋_GB2312"/>
          <w:color w:val="auto"/>
          <w:kern w:val="2"/>
          <w:sz w:val="32"/>
          <w:szCs w:val="32"/>
          <w:highlight w:val="none"/>
          <w:lang w:val="en-US" w:eastAsia="zh-CN" w:bidi="ar-SA"/>
        </w:rPr>
        <w:t>委员参与率、完成及时率、工作开展率</w:t>
      </w:r>
      <w:r>
        <w:rPr>
          <w:rFonts w:hint="eastAsia" w:ascii="仿宋_GB2312" w:hAnsi="仿宋_GB2312" w:eastAsia="仿宋_GB2312" w:cs="仿宋_GB2312"/>
          <w:color w:val="auto"/>
          <w:kern w:val="2"/>
          <w:sz w:val="32"/>
          <w:szCs w:val="32"/>
          <w:highlight w:val="none"/>
          <w:lang w:val="en-US" w:eastAsia="zh-CN" w:bidi="ar-SA"/>
        </w:rPr>
        <w:t>、委员满意度均达</w:t>
      </w:r>
      <w:r>
        <w:rPr>
          <w:rFonts w:hint="default" w:ascii="仿宋_GB2312" w:hAnsi="仿宋_GB2312"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，展示了委员履职成效，初步实现预期目标</w:t>
      </w:r>
      <w:r>
        <w:rPr>
          <w:rFonts w:hint="default" w:ascii="仿宋_GB2312" w:hAnsi="仿宋_GB2312" w:eastAsia="仿宋_GB2312" w:cs="仿宋_GB2312"/>
          <w:color w:val="auto"/>
          <w:kern w:val="2"/>
          <w:sz w:val="32"/>
          <w:szCs w:val="32"/>
          <w:highlight w:val="none"/>
          <w:lang w:val="en-US" w:eastAsia="zh-CN" w:bidi="ar-SA"/>
        </w:rPr>
        <w:t>。</w:t>
      </w:r>
    </w:p>
    <w:p w14:paraId="21C71236">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430C702E">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无</w:t>
      </w:r>
    </w:p>
    <w:p w14:paraId="7A0ED2B2">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4DA8EBF8">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无</w:t>
      </w:r>
    </w:p>
    <w:p w14:paraId="43E866BF">
      <w:pPr>
        <w:pStyle w:val="24"/>
        <w:rPr>
          <w:rFonts w:hint="default" w:ascii="Times New Roman" w:hAnsi="Times New Roman" w:cs="Times New Roman"/>
          <w:color w:val="auto"/>
          <w:highlight w:val="none"/>
          <w:lang w:val="en-US" w:eastAsia="zh-CN"/>
        </w:rPr>
      </w:pPr>
    </w:p>
    <w:p w14:paraId="4DAB0E0C">
      <w:pPr>
        <w:pStyle w:val="25"/>
        <w:rPr>
          <w:rFonts w:hint="default" w:ascii="Times New Roman" w:hAnsi="Times New Roman" w:cs="Times New Roman"/>
          <w:color w:val="auto"/>
          <w:highlight w:val="none"/>
          <w:lang w:val="en-US" w:eastAsia="zh-CN"/>
        </w:rPr>
      </w:pPr>
    </w:p>
    <w:p w14:paraId="345FC963">
      <w:pPr>
        <w:rPr>
          <w:rFonts w:hint="default"/>
          <w:lang w:val="zh-CN" w:eastAsia="zh-CN"/>
        </w:rPr>
      </w:pPr>
    </w:p>
    <w:p w14:paraId="43253CC8">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46FD6E7C">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354F5743">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5041EE36">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175490C4">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343135C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2F670E19">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default" w:ascii="Times New Roman" w:hAnsi="Times New Roman" w:eastAsia="楷体_GB2312" w:cs="Times New Roman"/>
          <w:b/>
          <w:bCs/>
          <w:color w:val="auto"/>
          <w:sz w:val="32"/>
          <w:szCs w:val="32"/>
          <w:highlight w:val="none"/>
          <w:lang w:val="en-US" w:eastAsia="zh-CN"/>
        </w:rPr>
        <w:t>政协委员培训</w:t>
      </w:r>
      <w:r>
        <w:rPr>
          <w:rFonts w:hint="default" w:ascii="Times New Roman" w:hAnsi="Times New Roman" w:eastAsia="楷体_GB2312" w:cs="Times New Roman"/>
          <w:b/>
          <w:bCs/>
          <w:color w:val="auto"/>
          <w:sz w:val="32"/>
          <w:szCs w:val="32"/>
          <w:highlight w:val="none"/>
          <w:lang w:eastAsia="zh-CN"/>
        </w:rPr>
        <w:t>费</w:t>
      </w:r>
      <w:r>
        <w:rPr>
          <w:rFonts w:hint="default" w:ascii="Times New Roman" w:hAnsi="Times New Roman" w:eastAsia="楷体_GB2312" w:cs="Times New Roman"/>
          <w:b/>
          <w:bCs/>
          <w:color w:val="auto"/>
          <w:sz w:val="32"/>
          <w:szCs w:val="32"/>
          <w:highlight w:val="none"/>
        </w:rPr>
        <w:t>）</w:t>
      </w:r>
    </w:p>
    <w:p w14:paraId="05A2D010">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19F795F8">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54A79092">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楷体_GB2312" w:cs="Times New Roman"/>
          <w:b/>
          <w:bCs/>
          <w:color w:val="auto"/>
          <w:sz w:val="32"/>
          <w:szCs w:val="32"/>
          <w:highlight w:val="none"/>
          <w:lang w:val="en-US" w:eastAsia="zh-CN"/>
        </w:rPr>
        <w:t>（一）项目概况。</w:t>
      </w:r>
      <w:r>
        <w:rPr>
          <w:rFonts w:hint="default" w:ascii="Times New Roman" w:hAnsi="Times New Roman" w:eastAsia="仿宋_GB2312" w:cs="Times New Roman"/>
          <w:color w:val="000000"/>
          <w:spacing w:val="0"/>
          <w:sz w:val="32"/>
          <w:szCs w:val="32"/>
          <w:lang w:val="en-US" w:eastAsia="zh-CN"/>
        </w:rPr>
        <w:t>为</w:t>
      </w:r>
      <w:r>
        <w:rPr>
          <w:rFonts w:hint="eastAsia" w:ascii="Times New Roman" w:hAnsi="Times New Roman" w:eastAsia="仿宋_GB2312" w:cs="Times New Roman"/>
          <w:color w:val="000000"/>
          <w:spacing w:val="0"/>
          <w:sz w:val="32"/>
          <w:szCs w:val="32"/>
          <w:lang w:val="en-US" w:eastAsia="zh-CN"/>
        </w:rPr>
        <w:t>进一步</w:t>
      </w:r>
      <w:r>
        <w:rPr>
          <w:rFonts w:hint="default" w:ascii="Times New Roman" w:hAnsi="Times New Roman" w:eastAsia="仿宋_GB2312" w:cs="Times New Roman"/>
          <w:color w:val="000000"/>
          <w:spacing w:val="0"/>
          <w:sz w:val="32"/>
          <w:szCs w:val="32"/>
        </w:rPr>
        <w:t>教育引导</w:t>
      </w:r>
      <w:r>
        <w:rPr>
          <w:rFonts w:hint="default" w:ascii="Times New Roman" w:hAnsi="Times New Roman" w:eastAsia="仿宋_GB2312" w:cs="Times New Roman"/>
          <w:color w:val="000000"/>
          <w:spacing w:val="0"/>
          <w:sz w:val="32"/>
          <w:szCs w:val="32"/>
          <w:lang w:val="en-US" w:eastAsia="zh-CN"/>
        </w:rPr>
        <w:t>全区</w:t>
      </w:r>
      <w:r>
        <w:rPr>
          <w:rFonts w:hint="eastAsia" w:ascii="Times New Roman" w:hAnsi="Times New Roman" w:eastAsia="仿宋_GB2312" w:cs="Times New Roman"/>
          <w:color w:val="000000"/>
          <w:spacing w:val="0"/>
          <w:sz w:val="32"/>
          <w:szCs w:val="32"/>
          <w:lang w:val="en-US" w:eastAsia="zh-CN"/>
        </w:rPr>
        <w:t>政协委员</w:t>
      </w:r>
      <w:r>
        <w:rPr>
          <w:rFonts w:hint="default" w:ascii="Times New Roman" w:hAnsi="Times New Roman" w:eastAsia="仿宋_GB2312" w:cs="Times New Roman"/>
          <w:color w:val="000000"/>
          <w:spacing w:val="0"/>
          <w:sz w:val="32"/>
          <w:szCs w:val="32"/>
        </w:rPr>
        <w:t>和</w:t>
      </w:r>
      <w:r>
        <w:rPr>
          <w:rFonts w:hint="eastAsia" w:ascii="Times New Roman" w:hAnsi="Times New Roman" w:eastAsia="仿宋_GB2312" w:cs="Times New Roman"/>
          <w:color w:val="000000"/>
          <w:spacing w:val="0"/>
          <w:sz w:val="32"/>
          <w:szCs w:val="32"/>
          <w:lang w:val="en-US" w:eastAsia="zh-CN"/>
        </w:rPr>
        <w:t>政协</w:t>
      </w:r>
      <w:r>
        <w:rPr>
          <w:rFonts w:hint="default" w:ascii="Times New Roman" w:hAnsi="Times New Roman" w:eastAsia="仿宋_GB2312" w:cs="Times New Roman"/>
          <w:color w:val="000000"/>
          <w:spacing w:val="0"/>
          <w:sz w:val="32"/>
          <w:szCs w:val="32"/>
        </w:rPr>
        <w:t>干部运用法治思维和法治方式履职尽责，进一步提升</w:t>
      </w:r>
      <w:r>
        <w:rPr>
          <w:rFonts w:hint="eastAsia" w:ascii="Times New Roman" w:hAnsi="Times New Roman" w:eastAsia="仿宋_GB2312" w:cs="Times New Roman"/>
          <w:color w:val="000000"/>
          <w:spacing w:val="0"/>
          <w:sz w:val="32"/>
          <w:szCs w:val="32"/>
          <w:lang w:val="en-US" w:eastAsia="zh-CN"/>
        </w:rPr>
        <w:t>政协</w:t>
      </w:r>
      <w:r>
        <w:rPr>
          <w:rFonts w:hint="default" w:ascii="Times New Roman" w:hAnsi="Times New Roman" w:eastAsia="仿宋_GB2312" w:cs="Times New Roman"/>
          <w:color w:val="000000"/>
          <w:spacing w:val="0"/>
          <w:sz w:val="32"/>
          <w:szCs w:val="32"/>
        </w:rPr>
        <w:t>工作质量和水平</w:t>
      </w:r>
      <w:r>
        <w:rPr>
          <w:rFonts w:hint="eastAsia" w:ascii="Times New Roman" w:hAnsi="Times New Roman" w:eastAsia="仿宋_GB2312" w:cs="Times New Roman"/>
          <w:color w:val="000000"/>
          <w:spacing w:val="0"/>
          <w:sz w:val="32"/>
          <w:szCs w:val="32"/>
          <w:lang w:eastAsia="zh-CN"/>
        </w:rPr>
        <w:t>，</w:t>
      </w:r>
      <w:r>
        <w:rPr>
          <w:rFonts w:hint="default" w:ascii="Times New Roman" w:hAnsi="Times New Roman" w:eastAsia="仿宋_GB2312" w:cs="Times New Roman"/>
          <w:color w:val="000000"/>
          <w:spacing w:val="0"/>
          <w:sz w:val="32"/>
          <w:szCs w:val="32"/>
        </w:rPr>
        <w:t>根据</w:t>
      </w:r>
      <w:r>
        <w:rPr>
          <w:rFonts w:hint="eastAsia" w:ascii="Times New Roman" w:hAnsi="Times New Roman" w:eastAsia="仿宋_GB2312" w:cs="Times New Roman"/>
          <w:color w:val="000000"/>
          <w:spacing w:val="0"/>
          <w:sz w:val="32"/>
          <w:szCs w:val="32"/>
          <w:lang w:eastAsia="zh-CN"/>
        </w:rPr>
        <w:t>《</w:t>
      </w:r>
      <w:r>
        <w:rPr>
          <w:rFonts w:hint="default" w:ascii="Times New Roman" w:hAnsi="Times New Roman" w:eastAsia="仿宋_GB2312" w:cs="Times New Roman"/>
          <w:color w:val="000000"/>
          <w:spacing w:val="0"/>
          <w:sz w:val="32"/>
          <w:szCs w:val="32"/>
        </w:rPr>
        <w:t>202</w:t>
      </w:r>
      <w:r>
        <w:rPr>
          <w:rFonts w:hint="default" w:ascii="Times New Roman" w:hAnsi="Times New Roman" w:eastAsia="仿宋_GB2312" w:cs="Times New Roman"/>
          <w:color w:val="000000"/>
          <w:spacing w:val="0"/>
          <w:sz w:val="32"/>
          <w:szCs w:val="32"/>
          <w:lang w:val="en-US" w:eastAsia="zh-CN"/>
        </w:rPr>
        <w:t>3</w:t>
      </w:r>
      <w:r>
        <w:rPr>
          <w:rFonts w:hint="default" w:ascii="Times New Roman" w:hAnsi="Times New Roman" w:eastAsia="仿宋_GB2312" w:cs="Times New Roman"/>
          <w:color w:val="000000"/>
          <w:spacing w:val="0"/>
          <w:sz w:val="32"/>
          <w:szCs w:val="32"/>
        </w:rPr>
        <w:t>年</w:t>
      </w:r>
      <w:r>
        <w:rPr>
          <w:rFonts w:hint="default" w:ascii="Times New Roman" w:hAnsi="Times New Roman" w:eastAsia="仿宋_GB2312" w:cs="Times New Roman"/>
          <w:color w:val="000000"/>
          <w:spacing w:val="0"/>
          <w:sz w:val="32"/>
          <w:szCs w:val="32"/>
          <w:lang w:val="en-US" w:eastAsia="zh-CN"/>
        </w:rPr>
        <w:t>船山</w:t>
      </w:r>
      <w:r>
        <w:rPr>
          <w:rFonts w:hint="default" w:ascii="Times New Roman" w:hAnsi="Times New Roman" w:eastAsia="仿宋_GB2312" w:cs="Times New Roman"/>
          <w:color w:val="000000"/>
          <w:spacing w:val="0"/>
          <w:sz w:val="32"/>
          <w:szCs w:val="32"/>
        </w:rPr>
        <w:t>区干部教育培训计划</w:t>
      </w:r>
      <w:r>
        <w:rPr>
          <w:rFonts w:hint="eastAsia" w:ascii="Times New Roman" w:hAnsi="Times New Roman" w:eastAsia="仿宋_GB2312" w:cs="Times New Roman"/>
          <w:color w:val="000000"/>
          <w:spacing w:val="0"/>
          <w:sz w:val="32"/>
          <w:szCs w:val="32"/>
          <w:lang w:eastAsia="zh-CN"/>
        </w:rPr>
        <w:t>》（</w:t>
      </w:r>
      <w:r>
        <w:rPr>
          <w:rFonts w:hint="eastAsia" w:ascii="Times New Roman" w:hAnsi="Times New Roman" w:eastAsia="仿宋_GB2312" w:cs="Times New Roman"/>
          <w:color w:val="000000"/>
          <w:spacing w:val="0"/>
          <w:sz w:val="32"/>
          <w:szCs w:val="32"/>
          <w:lang w:val="en-US" w:eastAsia="zh-CN"/>
        </w:rPr>
        <w:t>遂船组通[2023]45号</w:t>
      </w:r>
      <w:r>
        <w:rPr>
          <w:rFonts w:hint="eastAsia" w:ascii="Times New Roman" w:hAnsi="Times New Roman" w:eastAsia="仿宋_GB2312" w:cs="Times New Roman"/>
          <w:color w:val="000000"/>
          <w:spacing w:val="0"/>
          <w:sz w:val="32"/>
          <w:szCs w:val="32"/>
          <w:lang w:eastAsia="zh-CN"/>
        </w:rPr>
        <w:t>）</w:t>
      </w:r>
      <w:r>
        <w:rPr>
          <w:rFonts w:hint="eastAsia" w:ascii="Times New Roman" w:hAnsi="Times New Roman" w:eastAsia="仿宋_GB2312" w:cs="Times New Roman"/>
          <w:color w:val="000000"/>
          <w:spacing w:val="0"/>
          <w:sz w:val="32"/>
          <w:szCs w:val="32"/>
          <w:lang w:val="en-US" w:eastAsia="zh-CN"/>
        </w:rPr>
        <w:t>安排</w:t>
      </w:r>
      <w:r>
        <w:rPr>
          <w:rFonts w:hint="default" w:ascii="Times New Roman" w:hAnsi="Times New Roman" w:eastAsia="仿宋_GB2312" w:cs="Times New Roman"/>
          <w:color w:val="000000"/>
          <w:spacing w:val="0"/>
          <w:sz w:val="32"/>
          <w:szCs w:val="32"/>
        </w:rPr>
        <w:t>，</w:t>
      </w:r>
      <w:r>
        <w:rPr>
          <w:rFonts w:hint="eastAsia" w:ascii="Times New Roman" w:hAnsi="Times New Roman" w:eastAsia="仿宋_GB2312" w:cs="Times New Roman"/>
          <w:color w:val="000000"/>
          <w:spacing w:val="0"/>
          <w:sz w:val="32"/>
          <w:szCs w:val="32"/>
          <w:lang w:val="en-US" w:eastAsia="zh-CN"/>
        </w:rPr>
        <w:t>报请相关部门审批，确定开展此项目，</w:t>
      </w:r>
      <w:r>
        <w:rPr>
          <w:rFonts w:hint="default" w:ascii="Times New Roman" w:hAnsi="Times New Roman" w:eastAsia="仿宋_GB2312" w:cs="Times New Roman"/>
          <w:color w:val="000000"/>
          <w:spacing w:val="0"/>
          <w:sz w:val="32"/>
          <w:szCs w:val="32"/>
          <w:lang w:eastAsia="zh-CN"/>
        </w:rPr>
        <w:t>用于</w:t>
      </w:r>
      <w:r>
        <w:rPr>
          <w:rFonts w:hint="eastAsia" w:ascii="Times New Roman" w:hAnsi="Times New Roman" w:eastAsia="仿宋_GB2312" w:cs="Times New Roman"/>
          <w:color w:val="000000"/>
          <w:spacing w:val="0"/>
          <w:sz w:val="32"/>
          <w:szCs w:val="32"/>
          <w:lang w:val="en-US" w:eastAsia="zh-CN"/>
        </w:rPr>
        <w:t>保障</w:t>
      </w:r>
      <w:r>
        <w:rPr>
          <w:rFonts w:hint="default" w:ascii="Times New Roman" w:hAnsi="Times New Roman" w:eastAsia="仿宋_GB2312" w:cs="Times New Roman"/>
          <w:color w:val="000000"/>
          <w:spacing w:val="0"/>
          <w:sz w:val="32"/>
          <w:szCs w:val="32"/>
          <w:lang w:val="en-US" w:eastAsia="zh-CN"/>
        </w:rPr>
        <w:t>政协委员及</w:t>
      </w:r>
      <w:r>
        <w:rPr>
          <w:rFonts w:hint="default" w:ascii="Times New Roman" w:hAnsi="Times New Roman" w:eastAsia="仿宋_GB2312" w:cs="Times New Roman"/>
          <w:color w:val="000000"/>
          <w:spacing w:val="0"/>
          <w:sz w:val="32"/>
          <w:szCs w:val="32"/>
          <w:lang w:eastAsia="zh-CN"/>
        </w:rPr>
        <w:t>机关</w:t>
      </w:r>
      <w:r>
        <w:rPr>
          <w:rFonts w:hint="eastAsia" w:ascii="Times New Roman" w:hAnsi="Times New Roman" w:eastAsia="仿宋_GB2312" w:cs="Times New Roman"/>
          <w:color w:val="000000"/>
          <w:spacing w:val="0"/>
          <w:sz w:val="32"/>
          <w:szCs w:val="32"/>
          <w:lang w:val="en-US" w:eastAsia="zh-CN"/>
        </w:rPr>
        <w:t>干部</w:t>
      </w:r>
      <w:r>
        <w:rPr>
          <w:rFonts w:hint="default" w:ascii="Times New Roman" w:hAnsi="Times New Roman" w:eastAsia="仿宋_GB2312" w:cs="Times New Roman"/>
          <w:color w:val="000000"/>
          <w:spacing w:val="0"/>
          <w:sz w:val="32"/>
          <w:szCs w:val="32"/>
          <w:lang w:val="en-US" w:eastAsia="zh-CN"/>
        </w:rPr>
        <w:t>开展</w:t>
      </w:r>
      <w:r>
        <w:rPr>
          <w:rFonts w:hint="eastAsia" w:ascii="Times New Roman" w:hAnsi="Times New Roman" w:eastAsia="仿宋_GB2312" w:cs="Times New Roman"/>
          <w:color w:val="000000"/>
          <w:spacing w:val="0"/>
          <w:sz w:val="32"/>
          <w:szCs w:val="32"/>
          <w:lang w:val="en-US" w:eastAsia="zh-CN"/>
        </w:rPr>
        <w:t>履职</w:t>
      </w:r>
      <w:r>
        <w:rPr>
          <w:rFonts w:hint="default" w:ascii="Times New Roman" w:hAnsi="Times New Roman" w:eastAsia="仿宋_GB2312" w:cs="Times New Roman"/>
          <w:color w:val="000000"/>
          <w:spacing w:val="0"/>
          <w:sz w:val="32"/>
          <w:szCs w:val="32"/>
          <w:lang w:eastAsia="zh-CN"/>
        </w:rPr>
        <w:t>培训产生的相关支出。</w:t>
      </w:r>
    </w:p>
    <w:p w14:paraId="2CC1915A">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000000"/>
          <w:spacing w:val="0"/>
          <w:sz w:val="32"/>
          <w:szCs w:val="32"/>
          <w:lang w:val="en-US" w:eastAsia="zh-CN"/>
        </w:rPr>
      </w:pP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Times New Roman" w:hAnsi="Times New Roman" w:eastAsia="仿宋_GB2312" w:cs="Times New Roman"/>
          <w:color w:val="000000"/>
          <w:spacing w:val="0"/>
          <w:sz w:val="32"/>
          <w:szCs w:val="32"/>
          <w:lang w:val="en-US" w:eastAsia="zh-CN"/>
        </w:rPr>
        <w:t>项目计划</w:t>
      </w:r>
      <w:r>
        <w:rPr>
          <w:rFonts w:hint="default" w:ascii="Times New Roman" w:hAnsi="Times New Roman" w:eastAsia="仿宋_GB2312" w:cs="Times New Roman"/>
          <w:color w:val="000000"/>
          <w:spacing w:val="0"/>
          <w:sz w:val="32"/>
          <w:szCs w:val="32"/>
          <w:lang w:val="en-US" w:eastAsia="zh-CN"/>
        </w:rPr>
        <w:t>组织不超过50名政协委员及机关</w:t>
      </w:r>
      <w:r>
        <w:rPr>
          <w:rFonts w:hint="eastAsia" w:ascii="Times New Roman" w:hAnsi="Times New Roman" w:eastAsia="仿宋_GB2312" w:cs="Times New Roman"/>
          <w:color w:val="000000"/>
          <w:spacing w:val="0"/>
          <w:sz w:val="32"/>
          <w:szCs w:val="32"/>
          <w:lang w:val="en-US" w:eastAsia="zh-CN"/>
        </w:rPr>
        <w:t>干部</w:t>
      </w:r>
      <w:r>
        <w:rPr>
          <w:rFonts w:hint="default" w:ascii="Times New Roman" w:hAnsi="Times New Roman" w:eastAsia="仿宋_GB2312" w:cs="Times New Roman"/>
          <w:color w:val="000000"/>
          <w:spacing w:val="0"/>
          <w:sz w:val="32"/>
          <w:szCs w:val="32"/>
          <w:lang w:val="en-US" w:eastAsia="zh-CN"/>
        </w:rPr>
        <w:t>开展相关政策和业务知识培训，培训总天数不超过5天，</w:t>
      </w:r>
      <w:r>
        <w:rPr>
          <w:rFonts w:hint="eastAsia" w:ascii="Times New Roman" w:hAnsi="Times New Roman" w:eastAsia="仿宋_GB2312" w:cs="Times New Roman"/>
          <w:color w:val="000000"/>
          <w:spacing w:val="0"/>
          <w:sz w:val="32"/>
          <w:szCs w:val="32"/>
          <w:lang w:val="en-US" w:eastAsia="zh-CN"/>
        </w:rPr>
        <w:t>每天</w:t>
      </w:r>
      <w:r>
        <w:rPr>
          <w:rFonts w:hint="default" w:ascii="Times New Roman" w:hAnsi="Times New Roman" w:eastAsia="仿宋_GB2312" w:cs="Times New Roman"/>
          <w:color w:val="000000"/>
          <w:spacing w:val="0"/>
          <w:sz w:val="32"/>
          <w:szCs w:val="32"/>
          <w:lang w:val="en-US" w:eastAsia="zh-CN"/>
        </w:rPr>
        <w:t>培训课时不</w:t>
      </w:r>
      <w:r>
        <w:rPr>
          <w:rFonts w:hint="eastAsia" w:ascii="Times New Roman" w:hAnsi="Times New Roman" w:eastAsia="仿宋_GB2312" w:cs="Times New Roman"/>
          <w:color w:val="000000"/>
          <w:spacing w:val="0"/>
          <w:sz w:val="32"/>
          <w:szCs w:val="32"/>
          <w:lang w:val="en-US" w:eastAsia="zh-CN"/>
        </w:rPr>
        <w:t>超过6</w:t>
      </w:r>
      <w:r>
        <w:rPr>
          <w:rFonts w:hint="default" w:ascii="Times New Roman" w:hAnsi="Times New Roman" w:eastAsia="仿宋_GB2312" w:cs="Times New Roman"/>
          <w:color w:val="000000"/>
          <w:spacing w:val="0"/>
          <w:sz w:val="32"/>
          <w:szCs w:val="32"/>
          <w:lang w:val="en-US" w:eastAsia="zh-CN"/>
        </w:rPr>
        <w:t>课时，确保参训人员到岗率</w:t>
      </w:r>
      <w:r>
        <w:rPr>
          <w:rFonts w:hint="eastAsia" w:ascii="Times New Roman" w:hAnsi="Times New Roman" w:eastAsia="仿宋_GB2312" w:cs="Times New Roman"/>
          <w:color w:val="000000"/>
          <w:spacing w:val="0"/>
          <w:sz w:val="32"/>
          <w:szCs w:val="32"/>
          <w:lang w:val="en-US" w:eastAsia="zh-CN"/>
        </w:rPr>
        <w:t>、完成及时率</w:t>
      </w:r>
      <w:r>
        <w:rPr>
          <w:rFonts w:hint="default" w:ascii="Times New Roman" w:hAnsi="Times New Roman" w:eastAsia="仿宋_GB2312" w:cs="Times New Roman"/>
          <w:color w:val="000000"/>
          <w:spacing w:val="0"/>
          <w:sz w:val="32"/>
          <w:szCs w:val="32"/>
          <w:lang w:val="en-US" w:eastAsia="zh-CN"/>
        </w:rPr>
        <w:t>100%，参训人员满意度不低于90%，</w:t>
      </w:r>
      <w:r>
        <w:rPr>
          <w:rFonts w:hint="eastAsia" w:ascii="Times New Roman" w:hAnsi="Times New Roman" w:eastAsia="仿宋_GB2312" w:cs="Times New Roman"/>
          <w:color w:val="000000"/>
          <w:spacing w:val="0"/>
          <w:sz w:val="32"/>
          <w:szCs w:val="32"/>
          <w:lang w:val="en-US" w:eastAsia="zh-CN"/>
        </w:rPr>
        <w:t>培训成本不超过14.19万元，财政监督管理制度健全，引导委员进一步</w:t>
      </w:r>
      <w:r>
        <w:rPr>
          <w:rFonts w:hint="default" w:ascii="Times New Roman" w:hAnsi="Times New Roman" w:eastAsia="仿宋_GB2312" w:cs="Times New Roman"/>
          <w:color w:val="000000"/>
          <w:spacing w:val="0"/>
          <w:sz w:val="32"/>
          <w:szCs w:val="32"/>
          <w:lang w:val="en-US" w:eastAsia="zh-CN"/>
        </w:rPr>
        <w:t>深入学习人民政协理论，把握政协履职的实践要求。该项目均按照有关规章制度和工作要求有序推进。</w:t>
      </w:r>
      <w:r>
        <w:rPr>
          <w:rFonts w:hint="eastAsia" w:ascii="Times New Roman" w:hAnsi="Times New Roman" w:eastAsia="仿宋_GB2312" w:cs="Times New Roman"/>
          <w:color w:val="000000"/>
          <w:spacing w:val="0"/>
          <w:sz w:val="32"/>
          <w:szCs w:val="32"/>
          <w:lang w:val="en-US" w:eastAsia="zh-CN"/>
        </w:rPr>
        <w:t>6月26日至30日，区政协组织50名政协委员及机关干部</w:t>
      </w:r>
      <w:r>
        <w:rPr>
          <w:rFonts w:hint="default" w:ascii="Times New Roman" w:hAnsi="Times New Roman" w:eastAsia="仿宋_GB2312" w:cs="Times New Roman"/>
          <w:color w:val="000000"/>
          <w:spacing w:val="0"/>
          <w:sz w:val="32"/>
          <w:szCs w:val="32"/>
          <w:lang w:val="en-US" w:eastAsia="zh-CN"/>
        </w:rPr>
        <w:t>前往</w:t>
      </w:r>
      <w:r>
        <w:rPr>
          <w:rFonts w:hint="eastAsia" w:ascii="Times New Roman" w:hAnsi="Times New Roman" w:eastAsia="仿宋_GB2312" w:cs="Times New Roman"/>
          <w:color w:val="000000"/>
          <w:spacing w:val="0"/>
          <w:sz w:val="32"/>
          <w:szCs w:val="32"/>
          <w:lang w:val="en-US" w:eastAsia="zh-CN"/>
        </w:rPr>
        <w:t>井冈山市根据地传统信念培训中心开展了为期5天的</w:t>
      </w:r>
      <w:r>
        <w:rPr>
          <w:rFonts w:hint="default" w:ascii="Times New Roman" w:hAnsi="Times New Roman" w:eastAsia="仿宋_GB2312" w:cs="Times New Roman"/>
          <w:color w:val="000000"/>
          <w:spacing w:val="0"/>
          <w:sz w:val="32"/>
          <w:szCs w:val="32"/>
          <w:lang w:val="en-US" w:eastAsia="zh-CN"/>
        </w:rPr>
        <w:t>船山区</w:t>
      </w:r>
      <w:r>
        <w:rPr>
          <w:rFonts w:hint="eastAsia" w:ascii="Times New Roman" w:hAnsi="Times New Roman" w:eastAsia="仿宋_GB2312" w:cs="Times New Roman"/>
          <w:color w:val="000000"/>
          <w:spacing w:val="0"/>
          <w:sz w:val="32"/>
          <w:szCs w:val="32"/>
          <w:lang w:val="en-US" w:eastAsia="zh-CN"/>
        </w:rPr>
        <w:t>政协委员</w:t>
      </w:r>
      <w:r>
        <w:rPr>
          <w:rFonts w:hint="default" w:ascii="Times New Roman" w:hAnsi="Times New Roman" w:eastAsia="仿宋_GB2312" w:cs="Times New Roman"/>
          <w:color w:val="000000"/>
          <w:spacing w:val="0"/>
          <w:sz w:val="32"/>
          <w:szCs w:val="32"/>
          <w:lang w:val="en-US" w:eastAsia="zh-CN"/>
        </w:rPr>
        <w:t>暨</w:t>
      </w:r>
      <w:r>
        <w:rPr>
          <w:rFonts w:hint="eastAsia" w:ascii="Times New Roman" w:hAnsi="Times New Roman" w:eastAsia="仿宋_GB2312" w:cs="Times New Roman"/>
          <w:color w:val="000000"/>
          <w:spacing w:val="0"/>
          <w:sz w:val="32"/>
          <w:szCs w:val="32"/>
          <w:lang w:val="en-US" w:eastAsia="zh-CN"/>
        </w:rPr>
        <w:t>政协</w:t>
      </w:r>
      <w:r>
        <w:rPr>
          <w:rFonts w:hint="default" w:ascii="Times New Roman" w:hAnsi="Times New Roman" w:eastAsia="仿宋_GB2312" w:cs="Times New Roman"/>
          <w:color w:val="000000"/>
          <w:spacing w:val="0"/>
          <w:sz w:val="32"/>
          <w:szCs w:val="32"/>
          <w:lang w:val="en-US" w:eastAsia="zh-CN"/>
        </w:rPr>
        <w:t>干部履职能力提升培训，</w:t>
      </w:r>
      <w:r>
        <w:rPr>
          <w:rFonts w:hint="eastAsia" w:ascii="Times New Roman" w:hAnsi="Times New Roman" w:eastAsia="仿宋_GB2312" w:cs="Times New Roman"/>
          <w:color w:val="000000"/>
          <w:spacing w:val="0"/>
          <w:sz w:val="32"/>
          <w:szCs w:val="32"/>
          <w:lang w:val="en-US" w:eastAsia="zh-CN"/>
        </w:rPr>
        <w:t>每天培训课时6小时，</w:t>
      </w:r>
      <w:r>
        <w:rPr>
          <w:rFonts w:hint="default" w:ascii="Times New Roman" w:hAnsi="Times New Roman" w:eastAsia="仿宋_GB2312" w:cs="Times New Roman"/>
          <w:color w:val="000000"/>
          <w:spacing w:val="0"/>
          <w:sz w:val="32"/>
          <w:szCs w:val="32"/>
          <w:lang w:val="en-US" w:eastAsia="zh-CN"/>
        </w:rPr>
        <w:t>参训人员到岗率、完成及时率、参训人员满意度</w:t>
      </w:r>
      <w:r>
        <w:rPr>
          <w:rFonts w:hint="eastAsia" w:ascii="Times New Roman" w:hAnsi="Times New Roman" w:eastAsia="仿宋_GB2312" w:cs="Times New Roman"/>
          <w:color w:val="000000"/>
          <w:spacing w:val="0"/>
          <w:sz w:val="32"/>
          <w:szCs w:val="32"/>
          <w:lang w:val="en-US" w:eastAsia="zh-CN"/>
        </w:rPr>
        <w:t>均达到</w:t>
      </w:r>
      <w:r>
        <w:rPr>
          <w:rFonts w:hint="default" w:ascii="Times New Roman" w:hAnsi="Times New Roman" w:eastAsia="仿宋_GB2312" w:cs="Times New Roman"/>
          <w:color w:val="000000"/>
          <w:spacing w:val="0"/>
          <w:sz w:val="32"/>
          <w:szCs w:val="32"/>
          <w:lang w:val="en-US" w:eastAsia="zh-CN"/>
        </w:rPr>
        <w:t>100%，</w:t>
      </w:r>
      <w:r>
        <w:rPr>
          <w:rFonts w:hint="eastAsia" w:ascii="Times New Roman" w:hAnsi="Times New Roman" w:eastAsia="仿宋_GB2312" w:cs="Times New Roman"/>
          <w:color w:val="000000"/>
          <w:spacing w:val="0"/>
          <w:sz w:val="32"/>
          <w:szCs w:val="32"/>
          <w:lang w:val="en-US" w:eastAsia="zh-CN"/>
        </w:rPr>
        <w:t>项目完成14.19万元，财政监督管理制度健全，</w:t>
      </w:r>
      <w:r>
        <w:rPr>
          <w:rFonts w:hint="default" w:ascii="Times New Roman" w:hAnsi="Times New Roman" w:eastAsia="仿宋_GB2312" w:cs="Times New Roman"/>
          <w:color w:val="000000"/>
          <w:spacing w:val="0"/>
          <w:sz w:val="32"/>
          <w:szCs w:val="32"/>
          <w:lang w:val="en-US" w:eastAsia="zh-CN"/>
        </w:rPr>
        <w:t>通过培训委员履职能力</w:t>
      </w:r>
      <w:r>
        <w:rPr>
          <w:rFonts w:hint="eastAsia" w:ascii="Times New Roman" w:hAnsi="Times New Roman" w:eastAsia="仿宋_GB2312" w:cs="Times New Roman"/>
          <w:color w:val="000000"/>
          <w:spacing w:val="0"/>
          <w:sz w:val="32"/>
          <w:szCs w:val="32"/>
          <w:lang w:val="en-US" w:eastAsia="zh-CN"/>
        </w:rPr>
        <w:t>得到进一步提升。</w:t>
      </w:r>
    </w:p>
    <w:p w14:paraId="15DD70C0">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0"/>
        <w:jc w:val="both"/>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kern w:val="2"/>
          <w:sz w:val="32"/>
          <w:szCs w:val="24"/>
          <w:highlight w:val="none"/>
          <w:lang w:val="en-US" w:eastAsia="zh-CN" w:bidi="ar-SA"/>
        </w:rPr>
        <w:t>（三）资金投入使用情况。</w:t>
      </w:r>
      <w:r>
        <w:rPr>
          <w:rFonts w:hint="default" w:ascii="Times New Roman" w:hAnsi="Times New Roman" w:eastAsia="仿宋_GB2312" w:cs="Times New Roman"/>
          <w:color w:val="000000"/>
          <w:spacing w:val="0"/>
          <w:kern w:val="2"/>
          <w:sz w:val="32"/>
          <w:szCs w:val="32"/>
          <w:lang w:val="en-US" w:eastAsia="zh-CN" w:bidi="ar-SA"/>
        </w:rPr>
        <w:t>该项目</w:t>
      </w:r>
      <w:r>
        <w:rPr>
          <w:rFonts w:hint="eastAsia" w:ascii="Times New Roman" w:hAnsi="Times New Roman" w:eastAsia="仿宋_GB2312" w:cs="Times New Roman"/>
          <w:color w:val="000000"/>
          <w:spacing w:val="0"/>
          <w:kern w:val="2"/>
          <w:sz w:val="32"/>
          <w:szCs w:val="32"/>
          <w:lang w:val="en-US" w:eastAsia="zh-CN" w:bidi="ar-SA"/>
        </w:rPr>
        <w:t>为区委组织部统一安排，年中根据工作需要，从2023年财政预留预算资金中新增</w:t>
      </w:r>
      <w:r>
        <w:rPr>
          <w:rFonts w:hint="default" w:ascii="Times New Roman" w:hAnsi="Times New Roman" w:eastAsia="仿宋_GB2312" w:cs="Times New Roman"/>
          <w:color w:val="000000"/>
          <w:spacing w:val="0"/>
          <w:kern w:val="2"/>
          <w:sz w:val="32"/>
          <w:szCs w:val="32"/>
          <w:lang w:val="en-US" w:eastAsia="zh-CN" w:bidi="ar-SA"/>
        </w:rPr>
        <w:t>预算资金14.</w:t>
      </w:r>
      <w:r>
        <w:rPr>
          <w:rFonts w:hint="eastAsia" w:ascii="Times New Roman" w:hAnsi="Times New Roman" w:eastAsia="仿宋_GB2312" w:cs="Times New Roman"/>
          <w:color w:val="000000"/>
          <w:spacing w:val="0"/>
          <w:kern w:val="2"/>
          <w:sz w:val="32"/>
          <w:szCs w:val="32"/>
          <w:lang w:val="en-US" w:eastAsia="zh-CN" w:bidi="ar-SA"/>
        </w:rPr>
        <w:t>19</w:t>
      </w:r>
      <w:r>
        <w:rPr>
          <w:rFonts w:hint="default" w:ascii="Times New Roman" w:hAnsi="Times New Roman" w:eastAsia="仿宋_GB2312" w:cs="Times New Roman"/>
          <w:color w:val="000000"/>
          <w:spacing w:val="0"/>
          <w:kern w:val="2"/>
          <w:sz w:val="32"/>
          <w:szCs w:val="32"/>
          <w:lang w:val="en-US" w:eastAsia="zh-CN" w:bidi="ar-SA"/>
        </w:rPr>
        <w:t>万元，</w:t>
      </w:r>
      <w:r>
        <w:rPr>
          <w:rFonts w:hint="eastAsia" w:ascii="Times New Roman" w:hAnsi="Times New Roman" w:eastAsia="仿宋_GB2312" w:cs="Times New Roman"/>
          <w:color w:val="000000"/>
          <w:spacing w:val="0"/>
          <w:kern w:val="2"/>
          <w:sz w:val="32"/>
          <w:szCs w:val="32"/>
          <w:lang w:val="en-US" w:eastAsia="zh-CN" w:bidi="ar-SA"/>
        </w:rPr>
        <w:t>财政下达资金14.19万元，</w:t>
      </w:r>
      <w:r>
        <w:rPr>
          <w:rFonts w:hint="default" w:ascii="Times New Roman" w:hAnsi="Times New Roman" w:eastAsia="仿宋_GB2312" w:cs="Times New Roman"/>
          <w:color w:val="000000"/>
          <w:spacing w:val="0"/>
          <w:kern w:val="2"/>
          <w:sz w:val="32"/>
          <w:szCs w:val="32"/>
          <w:lang w:val="en-US" w:eastAsia="zh-CN" w:bidi="ar-SA"/>
        </w:rPr>
        <w:t>支出14.</w:t>
      </w:r>
      <w:r>
        <w:rPr>
          <w:rFonts w:hint="eastAsia" w:ascii="Times New Roman" w:hAnsi="Times New Roman" w:eastAsia="仿宋_GB2312" w:cs="Times New Roman"/>
          <w:color w:val="000000"/>
          <w:spacing w:val="0"/>
          <w:kern w:val="2"/>
          <w:sz w:val="32"/>
          <w:szCs w:val="32"/>
          <w:lang w:val="en-US" w:eastAsia="zh-CN" w:bidi="ar-SA"/>
        </w:rPr>
        <w:t>19</w:t>
      </w:r>
      <w:r>
        <w:rPr>
          <w:rFonts w:hint="default" w:ascii="Times New Roman" w:hAnsi="Times New Roman" w:eastAsia="仿宋_GB2312" w:cs="Times New Roman"/>
          <w:color w:val="000000"/>
          <w:spacing w:val="0"/>
          <w:kern w:val="2"/>
          <w:sz w:val="32"/>
          <w:szCs w:val="32"/>
          <w:lang w:val="en-US" w:eastAsia="zh-CN" w:bidi="ar-SA"/>
        </w:rPr>
        <w:t>万元，完成率100%。</w:t>
      </w:r>
    </w:p>
    <w:p w14:paraId="69BEB8A7">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楷体_GB2312" w:cs="Times New Roman"/>
          <w:b/>
          <w:bCs/>
          <w:color w:val="auto"/>
          <w:kern w:val="2"/>
          <w:sz w:val="32"/>
          <w:szCs w:val="24"/>
          <w:highlight w:val="none"/>
          <w:lang w:val="en-US" w:eastAsia="zh-CN" w:bidi="ar-SA"/>
        </w:rPr>
      </w:pPr>
      <w:r>
        <w:rPr>
          <w:rFonts w:hint="default" w:ascii="Times New Roman" w:hAnsi="Times New Roman" w:eastAsia="楷体_GB2312" w:cs="Times New Roman"/>
          <w:b/>
          <w:bCs/>
          <w:color w:val="auto"/>
          <w:kern w:val="2"/>
          <w:sz w:val="32"/>
          <w:szCs w:val="24"/>
          <w:highlight w:val="none"/>
          <w:lang w:val="en-US" w:eastAsia="zh-CN" w:bidi="ar-SA"/>
        </w:rPr>
        <w:t>（四）项目绩效目标</w:t>
      </w:r>
    </w:p>
    <w:tbl>
      <w:tblPr>
        <w:tblStyle w:val="20"/>
        <w:tblW w:w="79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77"/>
        <w:gridCol w:w="1637"/>
        <w:gridCol w:w="2225"/>
        <w:gridCol w:w="1475"/>
        <w:gridCol w:w="1425"/>
      </w:tblGrid>
      <w:tr w14:paraId="7FA8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312CEE35">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45652F7B">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1BCDF08B">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475" w:type="dxa"/>
            <w:tcBorders>
              <w:top w:val="single" w:color="000000" w:sz="4" w:space="0"/>
              <w:left w:val="single" w:color="000000" w:sz="4" w:space="0"/>
              <w:bottom w:val="single" w:color="000000" w:sz="4" w:space="0"/>
              <w:right w:val="single" w:color="000000" w:sz="4" w:space="0"/>
            </w:tcBorders>
            <w:vAlign w:val="center"/>
          </w:tcPr>
          <w:p w14:paraId="61C929CE">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年度指标值</w:t>
            </w:r>
          </w:p>
        </w:tc>
        <w:tc>
          <w:tcPr>
            <w:tcW w:w="1425" w:type="dxa"/>
            <w:tcBorders>
              <w:top w:val="single" w:color="000000" w:sz="4" w:space="0"/>
              <w:left w:val="single" w:color="000000" w:sz="4" w:space="0"/>
              <w:bottom w:val="single" w:color="000000" w:sz="4" w:space="0"/>
              <w:right w:val="single" w:color="000000" w:sz="4" w:space="0"/>
            </w:tcBorders>
            <w:vAlign w:val="center"/>
          </w:tcPr>
          <w:p w14:paraId="72F3F3C3">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sz w:val="18"/>
                <w:szCs w:val="18"/>
                <w:u w:val="none"/>
                <w:lang w:val="en-US" w:eastAsia="zh-CN"/>
              </w:rPr>
              <w:t>全年完成情况</w:t>
            </w:r>
          </w:p>
        </w:tc>
      </w:tr>
      <w:tr w14:paraId="126C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4DA7BC1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2779E8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1FFB6B2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参训人员到岗率</w:t>
            </w:r>
          </w:p>
        </w:tc>
        <w:tc>
          <w:tcPr>
            <w:tcW w:w="1475" w:type="dxa"/>
            <w:tcBorders>
              <w:top w:val="single" w:color="000000" w:sz="4" w:space="0"/>
              <w:left w:val="single" w:color="000000" w:sz="4" w:space="0"/>
              <w:bottom w:val="single" w:color="000000" w:sz="4" w:space="0"/>
              <w:right w:val="single" w:color="000000" w:sz="4" w:space="0"/>
            </w:tcBorders>
            <w:vAlign w:val="center"/>
          </w:tcPr>
          <w:p w14:paraId="207A9CDD">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425" w:type="dxa"/>
            <w:tcBorders>
              <w:top w:val="single" w:color="000000" w:sz="4" w:space="0"/>
              <w:left w:val="single" w:color="000000" w:sz="4" w:space="0"/>
              <w:bottom w:val="single" w:color="000000" w:sz="4" w:space="0"/>
              <w:right w:val="single" w:color="000000" w:sz="4" w:space="0"/>
            </w:tcBorders>
            <w:vAlign w:val="center"/>
          </w:tcPr>
          <w:p w14:paraId="1865BADC">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41C1F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7438B94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2470B5B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1AC0E56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培训课时</w:t>
            </w:r>
          </w:p>
        </w:tc>
        <w:tc>
          <w:tcPr>
            <w:tcW w:w="1475" w:type="dxa"/>
            <w:tcBorders>
              <w:top w:val="single" w:color="000000" w:sz="4" w:space="0"/>
              <w:left w:val="single" w:color="000000" w:sz="4" w:space="0"/>
              <w:bottom w:val="single" w:color="000000" w:sz="4" w:space="0"/>
              <w:right w:val="single" w:color="000000" w:sz="4" w:space="0"/>
            </w:tcBorders>
            <w:vAlign w:val="center"/>
          </w:tcPr>
          <w:p w14:paraId="4A4D58F1">
            <w:pPr>
              <w:keepNext w:val="0"/>
              <w:keepLines w:val="0"/>
              <w:widowControl/>
              <w:suppressLineNumbers w:val="0"/>
              <w:jc w:val="center"/>
              <w:textAlignment w:val="center"/>
              <w:rPr>
                <w:rFonts w:hint="default" w:ascii="等线" w:hAnsi="等线" w:eastAsia="等线" w:cs="等线"/>
                <w:i w:val="0"/>
                <w:iCs w:val="0"/>
                <w:color w:val="000000"/>
                <w:sz w:val="18"/>
                <w:szCs w:val="18"/>
                <w:highlight w:val="none"/>
                <w:u w:val="none"/>
                <w:lang w:val="en-US"/>
              </w:rPr>
            </w:pPr>
            <w:r>
              <w:rPr>
                <w:rFonts w:hint="eastAsia" w:ascii="等线" w:hAnsi="等线" w:eastAsia="等线" w:cs="等线"/>
                <w:i w:val="0"/>
                <w:iCs w:val="0"/>
                <w:color w:val="000000"/>
                <w:kern w:val="0"/>
                <w:sz w:val="18"/>
                <w:szCs w:val="18"/>
                <w:highlight w:val="none"/>
                <w:u w:val="none"/>
                <w:lang w:val="en-US" w:eastAsia="zh-CN" w:bidi="ar"/>
              </w:rPr>
              <w:t>≤6小时/天</w:t>
            </w:r>
          </w:p>
        </w:tc>
        <w:tc>
          <w:tcPr>
            <w:tcW w:w="1425" w:type="dxa"/>
            <w:tcBorders>
              <w:top w:val="single" w:color="000000" w:sz="4" w:space="0"/>
              <w:left w:val="single" w:color="000000" w:sz="4" w:space="0"/>
              <w:bottom w:val="single" w:color="000000" w:sz="4" w:space="0"/>
              <w:right w:val="single" w:color="000000" w:sz="4" w:space="0"/>
            </w:tcBorders>
            <w:vAlign w:val="center"/>
          </w:tcPr>
          <w:p w14:paraId="35C5AF7F">
            <w:pPr>
              <w:jc w:val="center"/>
              <w:rPr>
                <w:rFonts w:hint="eastAsia" w:ascii="等线" w:hAnsi="等线" w:eastAsia="等线" w:cs="等线"/>
                <w:i w:val="0"/>
                <w:iCs w:val="0"/>
                <w:color w:val="000000"/>
                <w:sz w:val="18"/>
                <w:szCs w:val="18"/>
                <w:highlight w:val="none"/>
                <w:u w:val="none"/>
              </w:rPr>
            </w:pPr>
            <w:r>
              <w:rPr>
                <w:rFonts w:hint="eastAsia" w:ascii="等线" w:hAnsi="等线" w:eastAsia="等线" w:cs="等线"/>
                <w:i w:val="0"/>
                <w:iCs w:val="0"/>
                <w:color w:val="000000"/>
                <w:kern w:val="0"/>
                <w:sz w:val="18"/>
                <w:szCs w:val="18"/>
                <w:highlight w:val="none"/>
                <w:u w:val="none"/>
                <w:lang w:val="en-US" w:eastAsia="zh-CN" w:bidi="ar"/>
              </w:rPr>
              <w:t>6小时/天</w:t>
            </w:r>
          </w:p>
        </w:tc>
      </w:tr>
      <w:tr w14:paraId="1DEC3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263207D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8BB744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49DBCF5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培训总天数</w:t>
            </w:r>
          </w:p>
        </w:tc>
        <w:tc>
          <w:tcPr>
            <w:tcW w:w="1475" w:type="dxa"/>
            <w:tcBorders>
              <w:top w:val="single" w:color="000000" w:sz="4" w:space="0"/>
              <w:left w:val="single" w:color="000000" w:sz="4" w:space="0"/>
              <w:bottom w:val="single" w:color="000000" w:sz="4" w:space="0"/>
              <w:right w:val="single" w:color="000000" w:sz="4" w:space="0"/>
            </w:tcBorders>
            <w:vAlign w:val="center"/>
          </w:tcPr>
          <w:p w14:paraId="4421568E">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≤5天</w:t>
            </w:r>
          </w:p>
        </w:tc>
        <w:tc>
          <w:tcPr>
            <w:tcW w:w="1425" w:type="dxa"/>
            <w:tcBorders>
              <w:top w:val="single" w:color="000000" w:sz="4" w:space="0"/>
              <w:left w:val="single" w:color="000000" w:sz="4" w:space="0"/>
              <w:bottom w:val="single" w:color="000000" w:sz="4" w:space="0"/>
              <w:right w:val="single" w:color="000000" w:sz="4" w:space="0"/>
            </w:tcBorders>
            <w:vAlign w:val="center"/>
          </w:tcPr>
          <w:p w14:paraId="755C0FD7">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5天</w:t>
            </w:r>
          </w:p>
        </w:tc>
      </w:tr>
      <w:tr w14:paraId="3E443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3C055FC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71BFE49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61917CD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参训人数</w:t>
            </w:r>
          </w:p>
        </w:tc>
        <w:tc>
          <w:tcPr>
            <w:tcW w:w="1475" w:type="dxa"/>
            <w:tcBorders>
              <w:top w:val="single" w:color="000000" w:sz="4" w:space="0"/>
              <w:left w:val="single" w:color="000000" w:sz="4" w:space="0"/>
              <w:bottom w:val="single" w:color="000000" w:sz="4" w:space="0"/>
              <w:right w:val="single" w:color="000000" w:sz="4" w:space="0"/>
            </w:tcBorders>
            <w:vAlign w:val="center"/>
          </w:tcPr>
          <w:p w14:paraId="5915F656">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≤50人</w:t>
            </w:r>
          </w:p>
        </w:tc>
        <w:tc>
          <w:tcPr>
            <w:tcW w:w="1425" w:type="dxa"/>
            <w:tcBorders>
              <w:top w:val="single" w:color="000000" w:sz="4" w:space="0"/>
              <w:left w:val="single" w:color="000000" w:sz="4" w:space="0"/>
              <w:bottom w:val="single" w:color="000000" w:sz="4" w:space="0"/>
              <w:right w:val="single" w:color="000000" w:sz="4" w:space="0"/>
            </w:tcBorders>
            <w:vAlign w:val="center"/>
          </w:tcPr>
          <w:p w14:paraId="0C854294">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50人</w:t>
            </w:r>
          </w:p>
        </w:tc>
      </w:tr>
      <w:tr w14:paraId="30080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162D0CA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5733482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0F7C888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财政监督管理制度健全性</w:t>
            </w:r>
          </w:p>
        </w:tc>
        <w:tc>
          <w:tcPr>
            <w:tcW w:w="1475" w:type="dxa"/>
            <w:tcBorders>
              <w:top w:val="single" w:color="000000" w:sz="4" w:space="0"/>
              <w:left w:val="single" w:color="000000" w:sz="4" w:space="0"/>
              <w:bottom w:val="single" w:color="000000" w:sz="4" w:space="0"/>
              <w:right w:val="single" w:color="000000" w:sz="4" w:space="0"/>
            </w:tcBorders>
            <w:vAlign w:val="center"/>
          </w:tcPr>
          <w:p w14:paraId="219D3AA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425" w:type="dxa"/>
            <w:tcBorders>
              <w:top w:val="single" w:color="000000" w:sz="4" w:space="0"/>
              <w:left w:val="single" w:color="000000" w:sz="4" w:space="0"/>
              <w:bottom w:val="single" w:color="000000" w:sz="4" w:space="0"/>
              <w:right w:val="single" w:color="000000" w:sz="4" w:space="0"/>
            </w:tcBorders>
            <w:vAlign w:val="center"/>
          </w:tcPr>
          <w:p w14:paraId="33493A36">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6A6AA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65471A98">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33A30AC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1A888A2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委员履职能力明显提升</w:t>
            </w:r>
          </w:p>
        </w:tc>
        <w:tc>
          <w:tcPr>
            <w:tcW w:w="1475" w:type="dxa"/>
            <w:tcBorders>
              <w:top w:val="single" w:color="000000" w:sz="4" w:space="0"/>
              <w:left w:val="single" w:color="000000" w:sz="4" w:space="0"/>
              <w:bottom w:val="single" w:color="000000" w:sz="4" w:space="0"/>
              <w:right w:val="single" w:color="000000" w:sz="4" w:space="0"/>
            </w:tcBorders>
            <w:vAlign w:val="center"/>
          </w:tcPr>
          <w:p w14:paraId="7425C57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好坏</w:t>
            </w:r>
          </w:p>
        </w:tc>
        <w:tc>
          <w:tcPr>
            <w:tcW w:w="1425" w:type="dxa"/>
            <w:tcBorders>
              <w:top w:val="single" w:color="000000" w:sz="4" w:space="0"/>
              <w:left w:val="single" w:color="000000" w:sz="4" w:space="0"/>
              <w:bottom w:val="single" w:color="000000" w:sz="4" w:space="0"/>
              <w:right w:val="single" w:color="000000" w:sz="4" w:space="0"/>
            </w:tcBorders>
            <w:vAlign w:val="center"/>
          </w:tcPr>
          <w:p w14:paraId="0F179831">
            <w:pPr>
              <w:jc w:val="center"/>
              <w:rPr>
                <w:rFonts w:hint="eastAsia" w:ascii="等线" w:hAnsi="等线" w:eastAsia="等线" w:cs="等线"/>
                <w:i w:val="0"/>
                <w:iCs w:val="0"/>
                <w:color w:val="000000"/>
                <w:sz w:val="18"/>
                <w:szCs w:val="18"/>
                <w:u w:val="none"/>
                <w:lang w:eastAsia="zh-CN"/>
              </w:rPr>
            </w:pPr>
            <w:r>
              <w:rPr>
                <w:rFonts w:hint="eastAsia" w:ascii="等线" w:hAnsi="等线" w:eastAsia="等线" w:cs="等线"/>
                <w:i w:val="0"/>
                <w:iCs w:val="0"/>
                <w:color w:val="000000"/>
                <w:sz w:val="18"/>
                <w:szCs w:val="18"/>
                <w:u w:val="none"/>
                <w:lang w:eastAsia="zh-CN"/>
              </w:rPr>
              <w:t>好</w:t>
            </w:r>
          </w:p>
        </w:tc>
      </w:tr>
      <w:tr w14:paraId="2C3A3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3D4AA89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221BE1F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6AEC4E1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参训人员满意度</w:t>
            </w:r>
          </w:p>
        </w:tc>
        <w:tc>
          <w:tcPr>
            <w:tcW w:w="1475" w:type="dxa"/>
            <w:tcBorders>
              <w:top w:val="single" w:color="000000" w:sz="4" w:space="0"/>
              <w:left w:val="single" w:color="000000" w:sz="4" w:space="0"/>
              <w:bottom w:val="single" w:color="000000" w:sz="4" w:space="0"/>
              <w:right w:val="single" w:color="000000" w:sz="4" w:space="0"/>
            </w:tcBorders>
            <w:vAlign w:val="center"/>
          </w:tcPr>
          <w:p w14:paraId="5F227F5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≥90%</w:t>
            </w:r>
          </w:p>
        </w:tc>
        <w:tc>
          <w:tcPr>
            <w:tcW w:w="1425" w:type="dxa"/>
            <w:tcBorders>
              <w:top w:val="single" w:color="000000" w:sz="4" w:space="0"/>
              <w:left w:val="single" w:color="000000" w:sz="4" w:space="0"/>
              <w:bottom w:val="single" w:color="000000" w:sz="4" w:space="0"/>
              <w:right w:val="single" w:color="000000" w:sz="4" w:space="0"/>
            </w:tcBorders>
            <w:vAlign w:val="center"/>
          </w:tcPr>
          <w:p w14:paraId="276869DF">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484FE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77" w:type="dxa"/>
            <w:tcBorders>
              <w:top w:val="single" w:color="000000" w:sz="4" w:space="0"/>
              <w:left w:val="single" w:color="000000" w:sz="4" w:space="0"/>
              <w:bottom w:val="single" w:color="000000" w:sz="4" w:space="0"/>
              <w:right w:val="single" w:color="000000" w:sz="4" w:space="0"/>
            </w:tcBorders>
            <w:vAlign w:val="center"/>
          </w:tcPr>
          <w:p w14:paraId="61E283C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1637" w:type="dxa"/>
            <w:tcBorders>
              <w:top w:val="single" w:color="000000" w:sz="4" w:space="0"/>
              <w:left w:val="single" w:color="000000" w:sz="4" w:space="0"/>
              <w:bottom w:val="single" w:color="000000" w:sz="4" w:space="0"/>
              <w:right w:val="single" w:color="000000" w:sz="4" w:space="0"/>
            </w:tcBorders>
            <w:vAlign w:val="center"/>
          </w:tcPr>
          <w:p w14:paraId="0E4D68D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经济成本指标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1B84D04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项目总投入</w:t>
            </w:r>
          </w:p>
        </w:tc>
        <w:tc>
          <w:tcPr>
            <w:tcW w:w="1475" w:type="dxa"/>
            <w:tcBorders>
              <w:top w:val="single" w:color="000000" w:sz="4" w:space="0"/>
              <w:left w:val="single" w:color="000000" w:sz="4" w:space="0"/>
              <w:bottom w:val="single" w:color="000000" w:sz="4" w:space="0"/>
              <w:right w:val="single" w:color="000000" w:sz="4" w:space="0"/>
            </w:tcBorders>
            <w:vAlign w:val="center"/>
          </w:tcPr>
          <w:p w14:paraId="67C96092">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≤14.19万元</w:t>
            </w:r>
          </w:p>
        </w:tc>
        <w:tc>
          <w:tcPr>
            <w:tcW w:w="1425" w:type="dxa"/>
            <w:tcBorders>
              <w:top w:val="single" w:color="000000" w:sz="4" w:space="0"/>
              <w:left w:val="single" w:color="000000" w:sz="4" w:space="0"/>
              <w:bottom w:val="single" w:color="000000" w:sz="4" w:space="0"/>
              <w:right w:val="single" w:color="000000" w:sz="4" w:space="0"/>
            </w:tcBorders>
            <w:vAlign w:val="center"/>
          </w:tcPr>
          <w:p w14:paraId="393E57E6">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14.19万元</w:t>
            </w:r>
          </w:p>
        </w:tc>
      </w:tr>
    </w:tbl>
    <w:p w14:paraId="10F327A8">
      <w:pPr>
        <w:keepNext w:val="0"/>
        <w:keepLines w:val="0"/>
        <w:pageBreakBefore w:val="0"/>
        <w:widowControl w:val="0"/>
        <w:kinsoku/>
        <w:wordWrap/>
        <w:overflowPunct w:val="0"/>
        <w:topLinePunct w:val="0"/>
        <w:autoSpaceDE/>
        <w:autoSpaceDN/>
        <w:bidi w:val="0"/>
        <w:adjustRightInd w:val="0"/>
        <w:snapToGrid w:val="0"/>
        <w:spacing w:line="570" w:lineRule="exact"/>
        <w:rPr>
          <w:rFonts w:hint="default" w:ascii="Times New Roman" w:hAnsi="Times New Roman" w:eastAsia="楷体_GB2312" w:cs="Times New Roman"/>
          <w:b/>
          <w:bCs/>
          <w:color w:val="auto"/>
          <w:kern w:val="2"/>
          <w:sz w:val="32"/>
          <w:szCs w:val="24"/>
          <w:highlight w:val="none"/>
          <w:lang w:val="en-US" w:eastAsia="zh-CN" w:bidi="ar-SA"/>
        </w:rPr>
      </w:pPr>
    </w:p>
    <w:p w14:paraId="0A635BEF">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560E6B53">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lang w:val="en-US" w:eastAsia="zh-CN"/>
        </w:rPr>
        <w:t>我单位本次项目支出绩效评价按照</w:t>
      </w:r>
      <w:r>
        <w:rPr>
          <w:rFonts w:hint="default" w:ascii="Times New Roman" w:hAnsi="Times New Roman" w:eastAsia="仿宋_GB2312" w:cs="Times New Roman"/>
          <w:color w:val="auto"/>
          <w:sz w:val="32"/>
          <w:szCs w:val="32"/>
        </w:rPr>
        <w:t>《遂宁市船山区财政局关于开展202</w:t>
      </w:r>
      <w:r>
        <w:rPr>
          <w:rFonts w:hint="eastAsia" w:cs="Times New Roman"/>
          <w:color w:val="auto"/>
          <w:sz w:val="32"/>
          <w:szCs w:val="32"/>
          <w:lang w:val="en-US" w:eastAsia="zh-CN"/>
        </w:rPr>
        <w:t>4</w:t>
      </w:r>
      <w:r>
        <w:rPr>
          <w:rFonts w:hint="default" w:ascii="Times New Roman" w:hAnsi="Times New Roman" w:eastAsia="仿宋_GB2312" w:cs="Times New Roman"/>
          <w:color w:val="auto"/>
          <w:sz w:val="32"/>
          <w:szCs w:val="32"/>
        </w:rPr>
        <w:t>年部门、项目、政策支出绩效自评工作的通知》（遂船财</w:t>
      </w:r>
      <w:r>
        <w:rPr>
          <w:rFonts w:hint="eastAsia" w:cs="Times New Roman"/>
          <w:color w:val="auto"/>
          <w:sz w:val="32"/>
          <w:szCs w:val="32"/>
          <w:lang w:eastAsia="zh-CN"/>
        </w:rPr>
        <w:t>绩</w:t>
      </w:r>
      <w:r>
        <w:rPr>
          <w:rFonts w:hint="default" w:ascii="Times New Roman" w:hAnsi="Times New Roman" w:eastAsia="仿宋_GB2312" w:cs="Times New Roman"/>
          <w:color w:val="auto"/>
          <w:sz w:val="32"/>
          <w:szCs w:val="32"/>
        </w:rPr>
        <w:t>〔202</w:t>
      </w:r>
      <w:r>
        <w:rPr>
          <w:rFonts w:hint="eastAsia" w:cs="Times New Roman"/>
          <w:color w:val="auto"/>
          <w:sz w:val="32"/>
          <w:szCs w:val="32"/>
          <w:lang w:val="en-US" w:eastAsia="zh-CN"/>
        </w:rPr>
        <w:t>4</w:t>
      </w:r>
      <w:r>
        <w:rPr>
          <w:rFonts w:hint="default" w:ascii="Times New Roman" w:hAnsi="Times New Roman" w:eastAsia="仿宋_GB2312" w:cs="Times New Roman"/>
          <w:color w:val="auto"/>
          <w:sz w:val="32"/>
          <w:szCs w:val="32"/>
        </w:rPr>
        <w:t>〕</w:t>
      </w:r>
      <w:r>
        <w:rPr>
          <w:rFonts w:hint="eastAsia" w:cs="Times New Roman"/>
          <w:color w:val="auto"/>
          <w:sz w:val="32"/>
          <w:szCs w:val="32"/>
          <w:lang w:val="en-US" w:eastAsia="zh-CN"/>
        </w:rPr>
        <w:t>2</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000000"/>
          <w:sz w:val="32"/>
          <w:szCs w:val="32"/>
          <w:lang w:val="en-US" w:eastAsia="zh-CN"/>
        </w:rPr>
        <w:t>文件要求执行。</w:t>
      </w:r>
      <w:r>
        <w:rPr>
          <w:rFonts w:hint="default" w:ascii="Times New Roman" w:hAnsi="Times New Roman" w:eastAsia="仿宋_GB2312" w:cs="Times New Roman"/>
          <w:color w:val="auto"/>
          <w:sz w:val="32"/>
          <w:szCs w:val="32"/>
          <w:highlight w:val="none"/>
          <w:lang w:val="en-US" w:eastAsia="zh-CN"/>
        </w:rPr>
        <w:t>本次项目支出的指标体系分为</w:t>
      </w:r>
      <w:r>
        <w:rPr>
          <w:rFonts w:hint="default" w:ascii="Times New Roman" w:hAnsi="Times New Roman"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个</w:t>
      </w:r>
      <w:r>
        <w:rPr>
          <w:rFonts w:hint="eastAsia" w:ascii="Times New Roman" w:hAnsi="Times New Roman" w:cs="Times New Roman"/>
          <w:color w:val="auto"/>
          <w:sz w:val="32"/>
          <w:szCs w:val="32"/>
          <w:highlight w:val="none"/>
          <w:lang w:val="en-US" w:eastAsia="zh-CN"/>
        </w:rPr>
        <w:t>分层</w:t>
      </w:r>
      <w:r>
        <w:rPr>
          <w:rFonts w:hint="default" w:ascii="Times New Roman" w:hAnsi="Times New Roman" w:eastAsia="仿宋_GB2312" w:cs="Times New Roman"/>
          <w:color w:val="auto"/>
          <w:sz w:val="32"/>
          <w:szCs w:val="32"/>
          <w:highlight w:val="none"/>
          <w:lang w:val="en-US" w:eastAsia="zh-CN"/>
        </w:rPr>
        <w:t>指标</w:t>
      </w:r>
      <w:r>
        <w:rPr>
          <w:rFonts w:hint="default" w:ascii="Times New Roman" w:hAnsi="Times New Roman"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个</w:t>
      </w:r>
      <w:r>
        <w:rPr>
          <w:rFonts w:hint="eastAsia" w:ascii="Times New Roman" w:hAnsi="Times New Roman"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lang w:val="en-US" w:eastAsia="zh-CN"/>
        </w:rPr>
        <w:t>级指标</w:t>
      </w:r>
      <w:r>
        <w:rPr>
          <w:rFonts w:hint="default" w:ascii="Times New Roman" w:hAnsi="Times New Roman" w:cs="Times New Roman"/>
          <w:color w:val="auto"/>
          <w:sz w:val="32"/>
          <w:szCs w:val="32"/>
          <w:highlight w:val="none"/>
          <w:lang w:val="en-US" w:eastAsia="zh-CN"/>
        </w:rPr>
        <w:t>、13个</w:t>
      </w:r>
      <w:r>
        <w:rPr>
          <w:rFonts w:hint="eastAsia" w:ascii="Times New Roman" w:hAnsi="Times New Roman" w:cs="Times New Roman"/>
          <w:color w:val="auto"/>
          <w:sz w:val="32"/>
          <w:szCs w:val="32"/>
          <w:highlight w:val="none"/>
          <w:lang w:val="en-US" w:eastAsia="zh-CN"/>
        </w:rPr>
        <w:t>二</w:t>
      </w:r>
      <w:r>
        <w:rPr>
          <w:rFonts w:hint="default" w:ascii="Times New Roman" w:hAnsi="Times New Roman" w:cs="Times New Roman"/>
          <w:color w:val="auto"/>
          <w:sz w:val="32"/>
          <w:szCs w:val="32"/>
          <w:highlight w:val="none"/>
          <w:lang w:val="en-US" w:eastAsia="zh-CN"/>
        </w:rPr>
        <w:t>级指标，</w:t>
      </w:r>
      <w:r>
        <w:rPr>
          <w:rFonts w:hint="default" w:ascii="Times New Roman" w:hAnsi="Times New Roman" w:eastAsia="仿宋_GB2312" w:cs="Times New Roman"/>
          <w:color w:val="auto"/>
          <w:sz w:val="32"/>
          <w:szCs w:val="32"/>
          <w:highlight w:val="none"/>
          <w:lang w:val="en-US" w:eastAsia="zh-CN"/>
        </w:rPr>
        <w:t>共计100分。</w:t>
      </w:r>
      <w:r>
        <w:rPr>
          <w:rFonts w:hint="default" w:ascii="Times New Roman" w:hAnsi="Times New Roman" w:cs="Times New Roman"/>
          <w:color w:val="auto"/>
          <w:sz w:val="32"/>
          <w:szCs w:val="32"/>
          <w:highlight w:val="none"/>
          <w:lang w:val="en-US" w:eastAsia="zh-CN"/>
        </w:rPr>
        <w:t>评价</w:t>
      </w:r>
      <w:r>
        <w:rPr>
          <w:rFonts w:hint="eastAsia" w:ascii="Times New Roman" w:hAnsi="Times New Roman" w:cs="Times New Roman"/>
          <w:color w:val="auto"/>
          <w:sz w:val="32"/>
          <w:szCs w:val="32"/>
          <w:highlight w:val="none"/>
          <w:lang w:val="en-US" w:eastAsia="zh-CN"/>
        </w:rPr>
        <w:t>方法是</w:t>
      </w:r>
      <w:r>
        <w:rPr>
          <w:rFonts w:hint="default" w:ascii="Times New Roman" w:hAnsi="Times New Roman" w:eastAsia="仿宋_GB2312" w:cs="Times New Roman"/>
          <w:color w:val="auto"/>
          <w:sz w:val="32"/>
          <w:szCs w:val="32"/>
          <w:highlight w:val="none"/>
          <w:lang w:val="en-US" w:eastAsia="zh-CN"/>
        </w:rPr>
        <w:t>核对财务账目、检查档案资料，重点查看账目，账实对照，对资金使用进行综合分析，作出总体性评价。</w:t>
      </w:r>
    </w:p>
    <w:p w14:paraId="69FFE0DA">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726DA97B">
      <w:pPr>
        <w:pStyle w:val="24"/>
        <w:keepNext w:val="0"/>
        <w:keepLines w:val="0"/>
        <w:pageBreakBefore w:val="0"/>
        <w:kinsoku/>
        <w:topLinePunct w:val="0"/>
        <w:autoSpaceDE/>
        <w:autoSpaceDN/>
        <w:bidi w:val="0"/>
        <w:spacing w:line="570" w:lineRule="exact"/>
        <w:jc w:val="left"/>
        <w:rPr>
          <w:rFonts w:hint="default"/>
          <w:sz w:val="32"/>
          <w:szCs w:val="32"/>
          <w:lang w:val="zh-CN"/>
        </w:rPr>
      </w:pPr>
      <w:r>
        <w:rPr>
          <w:rFonts w:hint="eastAsia" w:ascii="Times New Roman" w:hAnsi="Times New Roman" w:cs="Times New Roman"/>
          <w:color w:val="auto"/>
          <w:kern w:val="2"/>
          <w:sz w:val="32"/>
          <w:szCs w:val="32"/>
          <w:highlight w:val="none"/>
          <w:lang w:val="en-US" w:eastAsia="zh-CN" w:bidi="ar-SA"/>
        </w:rPr>
        <w:t xml:space="preserve">    </w:t>
      </w:r>
      <w:r>
        <w:rPr>
          <w:rFonts w:hint="default" w:ascii="Times New Roman" w:hAnsi="Times New Roman" w:eastAsia="仿宋_GB2312" w:cs="Times New Roman"/>
          <w:color w:val="auto"/>
          <w:kern w:val="2"/>
          <w:sz w:val="32"/>
          <w:szCs w:val="32"/>
          <w:highlight w:val="none"/>
          <w:lang w:val="zh-CN" w:eastAsia="zh-CN" w:bidi="ar-SA"/>
        </w:rPr>
        <w:t>绩效目标科学完整，资金管理到位，预算执行规范，按期完成开支进度，实现政协建言献策的社会效应</w:t>
      </w:r>
      <w:r>
        <w:rPr>
          <w:rFonts w:hint="default" w:ascii="Times New Roman" w:hAnsi="Times New Roman" w:cs="Times New Roman"/>
          <w:color w:val="auto"/>
          <w:kern w:val="0"/>
          <w:sz w:val="32"/>
          <w:szCs w:val="32"/>
          <w:highlight w:val="none"/>
          <w:shd w:val="clear" w:color="auto" w:fill="FFFFFF"/>
          <w:lang w:val="zh-CN"/>
        </w:rPr>
        <w:t>，</w:t>
      </w:r>
      <w:r>
        <w:rPr>
          <w:rFonts w:hint="default" w:ascii="Times New Roman" w:hAnsi="Times New Roman" w:eastAsia="仿宋_GB2312" w:cs="Times New Roman"/>
          <w:color w:val="auto"/>
          <w:kern w:val="2"/>
          <w:sz w:val="32"/>
          <w:szCs w:val="32"/>
          <w:highlight w:val="none"/>
          <w:lang w:val="en-US" w:eastAsia="zh-CN" w:bidi="ar-SA"/>
        </w:rPr>
        <w:t>综合评价得分100分，详见下表</w:t>
      </w:r>
      <w:r>
        <w:rPr>
          <w:rFonts w:hint="default" w:ascii="Times New Roman" w:hAnsi="Times New Roman" w:cs="Times New Roman"/>
          <w:color w:val="auto"/>
          <w:kern w:val="0"/>
          <w:sz w:val="32"/>
          <w:szCs w:val="32"/>
          <w:highlight w:val="none"/>
          <w:shd w:val="clear" w:color="auto" w:fill="FFFFFF"/>
          <w:lang w:val="zh-CN"/>
        </w:rPr>
        <w:t>。</w:t>
      </w:r>
    </w:p>
    <w:tbl>
      <w:tblPr>
        <w:tblStyle w:val="20"/>
        <w:tblW w:w="8502" w:type="dxa"/>
        <w:jc w:val="center"/>
        <w:tblLayout w:type="fixed"/>
        <w:tblCellMar>
          <w:top w:w="0" w:type="dxa"/>
          <w:left w:w="0" w:type="dxa"/>
          <w:bottom w:w="0" w:type="dxa"/>
          <w:right w:w="0" w:type="dxa"/>
        </w:tblCellMar>
      </w:tblPr>
      <w:tblGrid>
        <w:gridCol w:w="1140"/>
        <w:gridCol w:w="926"/>
        <w:gridCol w:w="1009"/>
        <w:gridCol w:w="1261"/>
        <w:gridCol w:w="819"/>
        <w:gridCol w:w="1185"/>
        <w:gridCol w:w="1215"/>
        <w:gridCol w:w="947"/>
      </w:tblGrid>
      <w:tr w14:paraId="285FF0BD">
        <w:tblPrEx>
          <w:tblCellMar>
            <w:top w:w="0" w:type="dxa"/>
            <w:left w:w="0" w:type="dxa"/>
            <w:bottom w:w="0" w:type="dxa"/>
            <w:right w:w="0" w:type="dxa"/>
          </w:tblCellMar>
        </w:tblPrEx>
        <w:trPr>
          <w:trHeight w:val="432" w:hRule="atLeast"/>
          <w:jc w:val="center"/>
        </w:trPr>
        <w:tc>
          <w:tcPr>
            <w:tcW w:w="433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1C10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81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597F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118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4BA5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21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252D2A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9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4AB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0B1DF7E4">
        <w:tblPrEx>
          <w:tblCellMar>
            <w:top w:w="0" w:type="dxa"/>
            <w:left w:w="0" w:type="dxa"/>
            <w:bottom w:w="0" w:type="dxa"/>
            <w:right w:w="0" w:type="dxa"/>
          </w:tblCellMar>
        </w:tblPrEx>
        <w:trPr>
          <w:trHeight w:val="432"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140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427C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581F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564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81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762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8F7C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15" w:type="dxa"/>
            <w:vMerge w:val="continue"/>
            <w:tcBorders>
              <w:left w:val="single" w:color="000000" w:sz="4" w:space="0"/>
              <w:right w:val="single" w:color="000000" w:sz="4" w:space="0"/>
            </w:tcBorders>
            <w:tcMar>
              <w:top w:w="15" w:type="dxa"/>
              <w:left w:w="15" w:type="dxa"/>
              <w:right w:w="15" w:type="dxa"/>
            </w:tcMar>
            <w:vAlign w:val="center"/>
          </w:tcPr>
          <w:p w14:paraId="1116DD2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A9DC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r>
      <w:tr w14:paraId="1E8A85BF">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2656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07AD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F16B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33F4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CAA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2C4B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A834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620C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7BB762D7">
        <w:tblPrEx>
          <w:tblCellMar>
            <w:top w:w="0" w:type="dxa"/>
            <w:left w:w="0" w:type="dxa"/>
            <w:bottom w:w="0" w:type="dxa"/>
            <w:right w:w="0" w:type="dxa"/>
          </w:tblCellMar>
        </w:tblPrEx>
        <w:trPr>
          <w:trHeight w:val="427"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19EF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A909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2BC9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EFA2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F231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E08A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E68A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7137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6DEF4788">
        <w:tblPrEx>
          <w:tblCellMar>
            <w:top w:w="0" w:type="dxa"/>
            <w:left w:w="0" w:type="dxa"/>
            <w:bottom w:w="0" w:type="dxa"/>
            <w:right w:w="0" w:type="dxa"/>
          </w:tblCellMar>
        </w:tblPrEx>
        <w:trPr>
          <w:trHeight w:val="449"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47E6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DA12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1ACF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C48D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8A50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CABF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EEF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590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29FFB9DC">
        <w:tblPrEx>
          <w:tblCellMar>
            <w:top w:w="0" w:type="dxa"/>
            <w:left w:w="0" w:type="dxa"/>
            <w:bottom w:w="0" w:type="dxa"/>
            <w:right w:w="0" w:type="dxa"/>
          </w:tblCellMar>
        </w:tblPrEx>
        <w:trPr>
          <w:trHeight w:val="427"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DB8A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448A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96A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44C5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5711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D457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730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C927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1EDE8F82">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CA48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0B57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BCE9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5874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D03C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59BA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80B3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2B00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01A99428">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31CE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52CB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21F6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459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93D9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cs="Times New Roman"/>
                <w:b w:val="0"/>
                <w:bCs/>
                <w:i w:val="0"/>
                <w:color w:val="auto"/>
                <w:kern w:val="0"/>
                <w:sz w:val="21"/>
                <w:szCs w:val="21"/>
                <w:highlight w:val="none"/>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B2C1B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209D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C27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7ECAA283">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3F2C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0BB3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98AC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085F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99D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274C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304B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C6B0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7B84481A">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7118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3E25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A743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0F37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参训人数</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38E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8C97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50人</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E8BD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50人</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3D7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74C410B5">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8E65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C290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F2FC29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3DC8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参训人员到岗率</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64D5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4274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8FEA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4853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4A4014AA">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C154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AC95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FC24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0460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项目总投入</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4825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5A37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≤14.19万元</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B340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≤14.19万元</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3D74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70A5C310">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7B09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CC7C6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0E73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2414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4071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A6A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及时完成</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D272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及时</w:t>
            </w:r>
            <w:r>
              <w:rPr>
                <w:rFonts w:hint="eastAsia" w:ascii="Times New Roman" w:hAnsi="Times New Roman" w:eastAsia="仿宋_GB2312" w:cs="Times New Roman"/>
                <w:b w:val="0"/>
                <w:bCs/>
                <w:i w:val="0"/>
                <w:color w:val="auto"/>
                <w:kern w:val="0"/>
                <w:sz w:val="21"/>
                <w:szCs w:val="21"/>
                <w:highlight w:val="none"/>
                <w:u w:val="none"/>
                <w:lang w:val="en-US" w:eastAsia="zh-CN" w:bidi="ar"/>
              </w:rPr>
              <w:t>完成</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65B0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7C470068">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7EF00A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926"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8FF010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5C12D1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12A7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委员履职能力明显提升</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1478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3E16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优良中差</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2D62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优</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02BD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4EC0FF51">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3AD67E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3981DF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D2F2D5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A07B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FCDF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3F6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4366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2F2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1480A7B3">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80971C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F3E993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039E99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F660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7A24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9676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47DA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4CE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3F8B7F23">
        <w:tblPrEx>
          <w:tblCellMar>
            <w:top w:w="0" w:type="dxa"/>
            <w:left w:w="0" w:type="dxa"/>
            <w:bottom w:w="0" w:type="dxa"/>
            <w:right w:w="0" w:type="dxa"/>
          </w:tblCellMar>
        </w:tblPrEx>
        <w:trPr>
          <w:trHeight w:val="694"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E1F7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7D097FC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BAB7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B610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D2B9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参训人员满意度</w:t>
            </w:r>
          </w:p>
        </w:tc>
        <w:tc>
          <w:tcPr>
            <w:tcW w:w="8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E96E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9EC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ACC6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w:t>
            </w:r>
            <w:r>
              <w:rPr>
                <w:rFonts w:hint="default" w:ascii="Times New Roman" w:hAnsi="Times New Roman" w:eastAsia="仿宋_GB2312" w:cs="Times New Roman"/>
                <w:b w:val="0"/>
                <w:bCs/>
                <w:i w:val="0"/>
                <w:color w:val="auto"/>
                <w:kern w:val="0"/>
                <w:sz w:val="21"/>
                <w:szCs w:val="21"/>
                <w:highlight w:val="none"/>
                <w:u w:val="none"/>
                <w:lang w:val="en-US" w:eastAsia="zh-CN" w:bidi="ar"/>
              </w:rPr>
              <w:t>0%</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2B7D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5B493557">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四、绩效评价分析</w:t>
      </w:r>
    </w:p>
    <w:p w14:paraId="397E4D2B">
      <w:pPr>
        <w:keepNext w:val="0"/>
        <w:keepLines w:val="0"/>
        <w:pageBreakBefore w:val="0"/>
        <w:widowControl w:val="0"/>
        <w:kinsoku/>
        <w:wordWrap/>
        <w:overflowPunct/>
        <w:topLinePunct w:val="0"/>
        <w:autoSpaceDE/>
        <w:autoSpaceDN/>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000000"/>
          <w:spacing w:val="0"/>
          <w:sz w:val="32"/>
          <w:szCs w:val="32"/>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default" w:ascii="Times New Roman" w:hAnsi="Times New Roman" w:eastAsia="仿宋_GB2312" w:cs="Times New Roman"/>
          <w:color w:val="000000"/>
          <w:spacing w:val="0"/>
          <w:sz w:val="32"/>
          <w:szCs w:val="32"/>
        </w:rPr>
        <w:t>根据</w:t>
      </w:r>
      <w:r>
        <w:rPr>
          <w:rFonts w:hint="eastAsia" w:ascii="Times New Roman" w:hAnsi="Times New Roman" w:eastAsia="仿宋_GB2312" w:cs="Times New Roman"/>
          <w:color w:val="000000"/>
          <w:spacing w:val="0"/>
          <w:sz w:val="32"/>
          <w:szCs w:val="32"/>
          <w:lang w:eastAsia="zh-CN"/>
        </w:rPr>
        <w:t>《</w:t>
      </w:r>
      <w:r>
        <w:rPr>
          <w:rFonts w:hint="default" w:ascii="Times New Roman" w:hAnsi="Times New Roman" w:eastAsia="仿宋_GB2312" w:cs="Times New Roman"/>
          <w:color w:val="000000"/>
          <w:spacing w:val="0"/>
          <w:sz w:val="32"/>
          <w:szCs w:val="32"/>
        </w:rPr>
        <w:t>202</w:t>
      </w:r>
      <w:r>
        <w:rPr>
          <w:rFonts w:hint="default" w:ascii="Times New Roman" w:hAnsi="Times New Roman" w:eastAsia="仿宋_GB2312" w:cs="Times New Roman"/>
          <w:color w:val="000000"/>
          <w:spacing w:val="0"/>
          <w:sz w:val="32"/>
          <w:szCs w:val="32"/>
          <w:lang w:val="en-US" w:eastAsia="zh-CN"/>
        </w:rPr>
        <w:t>3</w:t>
      </w:r>
      <w:r>
        <w:rPr>
          <w:rFonts w:hint="default" w:ascii="Times New Roman" w:hAnsi="Times New Roman" w:eastAsia="仿宋_GB2312" w:cs="Times New Roman"/>
          <w:color w:val="000000"/>
          <w:spacing w:val="0"/>
          <w:sz w:val="32"/>
          <w:szCs w:val="32"/>
        </w:rPr>
        <w:t>年</w:t>
      </w:r>
      <w:r>
        <w:rPr>
          <w:rFonts w:hint="default" w:ascii="Times New Roman" w:hAnsi="Times New Roman" w:eastAsia="仿宋_GB2312" w:cs="Times New Roman"/>
          <w:color w:val="000000"/>
          <w:spacing w:val="0"/>
          <w:sz w:val="32"/>
          <w:szCs w:val="32"/>
          <w:lang w:val="en-US" w:eastAsia="zh-CN"/>
        </w:rPr>
        <w:t>船山</w:t>
      </w:r>
      <w:r>
        <w:rPr>
          <w:rFonts w:hint="default" w:ascii="Times New Roman" w:hAnsi="Times New Roman" w:eastAsia="仿宋_GB2312" w:cs="Times New Roman"/>
          <w:color w:val="000000"/>
          <w:spacing w:val="0"/>
          <w:sz w:val="32"/>
          <w:szCs w:val="32"/>
        </w:rPr>
        <w:t>区干部教育培训计划</w:t>
      </w:r>
      <w:r>
        <w:rPr>
          <w:rFonts w:hint="eastAsia" w:ascii="Times New Roman" w:hAnsi="Times New Roman" w:eastAsia="仿宋_GB2312" w:cs="Times New Roman"/>
          <w:color w:val="000000"/>
          <w:spacing w:val="0"/>
          <w:sz w:val="32"/>
          <w:szCs w:val="32"/>
          <w:lang w:eastAsia="zh-CN"/>
        </w:rPr>
        <w:t>》（</w:t>
      </w:r>
      <w:r>
        <w:rPr>
          <w:rFonts w:hint="eastAsia" w:ascii="Times New Roman" w:hAnsi="Times New Roman" w:eastAsia="仿宋_GB2312" w:cs="Times New Roman"/>
          <w:color w:val="000000"/>
          <w:spacing w:val="0"/>
          <w:sz w:val="32"/>
          <w:szCs w:val="32"/>
          <w:lang w:val="en-US" w:eastAsia="zh-CN"/>
        </w:rPr>
        <w:t>遂船组通[2023]45号</w:t>
      </w:r>
      <w:r>
        <w:rPr>
          <w:rFonts w:hint="eastAsia" w:ascii="Times New Roman" w:hAnsi="Times New Roman" w:eastAsia="仿宋_GB2312" w:cs="Times New Roman"/>
          <w:color w:val="000000"/>
          <w:spacing w:val="0"/>
          <w:sz w:val="32"/>
          <w:szCs w:val="32"/>
          <w:lang w:eastAsia="zh-CN"/>
        </w:rPr>
        <w:t>）</w:t>
      </w:r>
      <w:r>
        <w:rPr>
          <w:rFonts w:hint="eastAsia" w:ascii="Times New Roman" w:hAnsi="Times New Roman" w:eastAsia="仿宋_GB2312" w:cs="Times New Roman"/>
          <w:color w:val="000000"/>
          <w:spacing w:val="0"/>
          <w:sz w:val="32"/>
          <w:szCs w:val="32"/>
          <w:lang w:val="en-US" w:eastAsia="zh-CN"/>
        </w:rPr>
        <w:t>安排</w:t>
      </w:r>
      <w:r>
        <w:rPr>
          <w:rFonts w:hint="default" w:ascii="Times New Roman" w:hAnsi="Times New Roman" w:eastAsia="仿宋_GB2312" w:cs="Times New Roman"/>
          <w:color w:val="000000"/>
          <w:spacing w:val="0"/>
          <w:sz w:val="32"/>
          <w:szCs w:val="32"/>
        </w:rPr>
        <w:t>，</w:t>
      </w:r>
      <w:r>
        <w:rPr>
          <w:rFonts w:hint="eastAsia" w:ascii="Times New Roman" w:hAnsi="Times New Roman" w:eastAsia="仿宋_GB2312" w:cs="Times New Roman"/>
          <w:color w:val="000000"/>
          <w:spacing w:val="0"/>
          <w:sz w:val="32"/>
          <w:szCs w:val="32"/>
          <w:lang w:val="en-US" w:eastAsia="zh-CN"/>
        </w:rPr>
        <w:t>报请相关部门审批，确定开展此项目，我单位严格按照《中国人民政治协商会议章程》及中省市区相关要求立项，立项决策依据充分、决策程序合规、</w:t>
      </w:r>
      <w:r>
        <w:rPr>
          <w:rFonts w:hint="default" w:ascii="Times New Roman" w:hAnsi="Times New Roman" w:eastAsia="仿宋_GB2312" w:cs="Times New Roman"/>
          <w:color w:val="000000"/>
          <w:spacing w:val="0"/>
          <w:sz w:val="32"/>
          <w:szCs w:val="32"/>
          <w:lang w:val="en-US" w:eastAsia="zh-CN"/>
        </w:rPr>
        <w:t>绩效目标</w:t>
      </w:r>
      <w:r>
        <w:rPr>
          <w:rFonts w:hint="eastAsia" w:ascii="Times New Roman" w:hAnsi="Times New Roman" w:eastAsia="仿宋_GB2312" w:cs="Times New Roman"/>
          <w:color w:val="000000"/>
          <w:spacing w:val="0"/>
          <w:sz w:val="32"/>
          <w:szCs w:val="32"/>
          <w:lang w:val="en-US" w:eastAsia="zh-CN"/>
        </w:rPr>
        <w:t>科学完整，</w:t>
      </w:r>
      <w:r>
        <w:rPr>
          <w:rFonts w:hint="default" w:ascii="Times New Roman" w:hAnsi="Times New Roman" w:eastAsia="仿宋_GB2312" w:cs="Times New Roman"/>
          <w:color w:val="000000"/>
          <w:spacing w:val="0"/>
          <w:sz w:val="32"/>
          <w:szCs w:val="32"/>
          <w:lang w:val="en-US" w:eastAsia="zh-CN"/>
        </w:rPr>
        <w:t>整体情况良好。</w:t>
      </w:r>
    </w:p>
    <w:p w14:paraId="3DFC2C75">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000000"/>
          <w:spacing w:val="0"/>
          <w:sz w:val="32"/>
          <w:szCs w:val="32"/>
          <w:lang w:val="en-US" w:eastAsia="zh-CN"/>
        </w:rPr>
        <w:t>项目管理制度及财政监督制度健全，测算依据和使用过程规范，</w:t>
      </w:r>
      <w:r>
        <w:rPr>
          <w:rFonts w:hint="default" w:ascii="Times New Roman" w:hAnsi="Times New Roman" w:eastAsia="仿宋_GB2312" w:cs="Times New Roman"/>
          <w:color w:val="000000"/>
          <w:spacing w:val="0"/>
          <w:sz w:val="32"/>
          <w:szCs w:val="32"/>
          <w:lang w:val="en-US" w:eastAsia="zh-CN"/>
        </w:rPr>
        <w:t>严格执行项目申报，</w:t>
      </w:r>
      <w:r>
        <w:rPr>
          <w:rFonts w:hint="eastAsia" w:ascii="Times New Roman" w:hAnsi="Times New Roman" w:eastAsia="仿宋_GB2312" w:cs="Times New Roman"/>
          <w:color w:val="000000"/>
          <w:spacing w:val="0"/>
          <w:sz w:val="32"/>
          <w:szCs w:val="32"/>
          <w:lang w:val="en-US" w:eastAsia="zh-CN"/>
        </w:rPr>
        <w:t>项目实施及</w:t>
      </w:r>
      <w:r>
        <w:rPr>
          <w:rFonts w:hint="default" w:ascii="Times New Roman" w:hAnsi="Times New Roman" w:eastAsia="仿宋_GB2312" w:cs="Times New Roman"/>
          <w:color w:val="000000"/>
          <w:spacing w:val="0"/>
          <w:sz w:val="32"/>
          <w:szCs w:val="32"/>
          <w:lang w:val="en-US" w:eastAsia="zh-CN"/>
        </w:rPr>
        <w:t>资金使用严格按照预算</w:t>
      </w:r>
      <w:r>
        <w:rPr>
          <w:rFonts w:hint="eastAsia" w:ascii="Times New Roman" w:hAnsi="Times New Roman" w:eastAsia="仿宋_GB2312" w:cs="Times New Roman"/>
          <w:color w:val="000000"/>
          <w:spacing w:val="0"/>
          <w:sz w:val="32"/>
          <w:szCs w:val="32"/>
          <w:lang w:val="en-US" w:eastAsia="zh-CN"/>
        </w:rPr>
        <w:t>及单位内控等</w:t>
      </w:r>
      <w:r>
        <w:rPr>
          <w:rFonts w:hint="default" w:ascii="Times New Roman" w:hAnsi="Times New Roman" w:eastAsia="仿宋_GB2312" w:cs="Times New Roman"/>
          <w:color w:val="000000"/>
          <w:spacing w:val="0"/>
          <w:sz w:val="32"/>
          <w:szCs w:val="32"/>
          <w:lang w:val="en-US" w:eastAsia="zh-CN"/>
        </w:rPr>
        <w:t>相关</w:t>
      </w:r>
      <w:r>
        <w:rPr>
          <w:rFonts w:hint="eastAsia" w:ascii="Times New Roman" w:hAnsi="Times New Roman" w:eastAsia="仿宋_GB2312" w:cs="Times New Roman"/>
          <w:color w:val="000000"/>
          <w:spacing w:val="0"/>
          <w:sz w:val="32"/>
          <w:szCs w:val="32"/>
          <w:lang w:val="en-US" w:eastAsia="zh-CN"/>
        </w:rPr>
        <w:t>规定</w:t>
      </w:r>
      <w:r>
        <w:rPr>
          <w:rFonts w:hint="default" w:ascii="Times New Roman" w:hAnsi="Times New Roman" w:eastAsia="仿宋_GB2312" w:cs="Times New Roman"/>
          <w:color w:val="000000"/>
          <w:spacing w:val="0"/>
          <w:sz w:val="32"/>
          <w:szCs w:val="32"/>
          <w:lang w:val="en-US" w:eastAsia="zh-CN"/>
        </w:rPr>
        <w:t>执行。</w:t>
      </w:r>
    </w:p>
    <w:p w14:paraId="16E2D393">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000000"/>
          <w:spacing w:val="0"/>
          <w:sz w:val="32"/>
          <w:szCs w:val="32"/>
          <w:lang w:val="en-US" w:eastAsia="zh-CN"/>
        </w:rPr>
      </w:pPr>
      <w:r>
        <w:rPr>
          <w:rFonts w:hint="default" w:ascii="Times New Roman" w:hAnsi="Times New Roman" w:eastAsia="楷体_GB2312" w:cs="Times New Roman"/>
          <w:b/>
          <w:color w:val="auto"/>
          <w:sz w:val="32"/>
          <w:szCs w:val="32"/>
          <w:highlight w:val="none"/>
        </w:rPr>
        <w:t>（三）项目产出情况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000000"/>
          <w:spacing w:val="0"/>
          <w:sz w:val="32"/>
          <w:szCs w:val="32"/>
          <w:lang w:val="en-US" w:eastAsia="zh-CN"/>
        </w:rPr>
        <w:t>组织50名政协委员及机关干部于6月26日至30日</w:t>
      </w:r>
      <w:r>
        <w:rPr>
          <w:rFonts w:hint="default" w:ascii="Times New Roman" w:hAnsi="Times New Roman" w:eastAsia="仿宋_GB2312" w:cs="Times New Roman"/>
          <w:color w:val="000000"/>
          <w:spacing w:val="0"/>
          <w:sz w:val="32"/>
          <w:szCs w:val="32"/>
          <w:lang w:val="en-US" w:eastAsia="zh-CN"/>
        </w:rPr>
        <w:t>，前往</w:t>
      </w:r>
      <w:r>
        <w:rPr>
          <w:rFonts w:hint="eastAsia" w:ascii="Times New Roman" w:hAnsi="Times New Roman" w:eastAsia="仿宋_GB2312" w:cs="Times New Roman"/>
          <w:color w:val="000000"/>
          <w:spacing w:val="0"/>
          <w:sz w:val="32"/>
          <w:szCs w:val="32"/>
          <w:lang w:val="en-US" w:eastAsia="zh-CN"/>
        </w:rPr>
        <w:t>井冈山市根据地传统信念培训中心参加</w:t>
      </w:r>
      <w:r>
        <w:rPr>
          <w:rFonts w:hint="default" w:ascii="Times New Roman" w:hAnsi="Times New Roman" w:eastAsia="仿宋_GB2312" w:cs="Times New Roman"/>
          <w:color w:val="000000"/>
          <w:spacing w:val="0"/>
          <w:sz w:val="32"/>
          <w:szCs w:val="32"/>
          <w:lang w:val="en-US" w:eastAsia="zh-CN"/>
        </w:rPr>
        <w:t>船山区</w:t>
      </w:r>
      <w:r>
        <w:rPr>
          <w:rFonts w:hint="eastAsia" w:ascii="Times New Roman" w:hAnsi="Times New Roman" w:eastAsia="仿宋_GB2312" w:cs="Times New Roman"/>
          <w:color w:val="000000"/>
          <w:spacing w:val="0"/>
          <w:sz w:val="32"/>
          <w:szCs w:val="32"/>
          <w:lang w:val="en-US" w:eastAsia="zh-CN"/>
        </w:rPr>
        <w:t>政协委员</w:t>
      </w:r>
      <w:r>
        <w:rPr>
          <w:rFonts w:hint="default" w:ascii="Times New Roman" w:hAnsi="Times New Roman" w:eastAsia="仿宋_GB2312" w:cs="Times New Roman"/>
          <w:color w:val="000000"/>
          <w:spacing w:val="0"/>
          <w:sz w:val="32"/>
          <w:szCs w:val="32"/>
          <w:lang w:val="en-US" w:eastAsia="zh-CN"/>
        </w:rPr>
        <w:t>暨</w:t>
      </w:r>
      <w:r>
        <w:rPr>
          <w:rFonts w:hint="eastAsia" w:ascii="Times New Roman" w:hAnsi="Times New Roman" w:eastAsia="仿宋_GB2312" w:cs="Times New Roman"/>
          <w:color w:val="000000"/>
          <w:spacing w:val="0"/>
          <w:sz w:val="32"/>
          <w:szCs w:val="32"/>
          <w:lang w:val="en-US" w:eastAsia="zh-CN"/>
        </w:rPr>
        <w:t>政协</w:t>
      </w:r>
      <w:r>
        <w:rPr>
          <w:rFonts w:hint="default" w:ascii="Times New Roman" w:hAnsi="Times New Roman" w:eastAsia="仿宋_GB2312" w:cs="Times New Roman"/>
          <w:color w:val="000000"/>
          <w:spacing w:val="0"/>
          <w:sz w:val="32"/>
          <w:szCs w:val="32"/>
          <w:lang w:val="en-US" w:eastAsia="zh-CN"/>
        </w:rPr>
        <w:t>干部履职能力提升培训，</w:t>
      </w:r>
      <w:r>
        <w:rPr>
          <w:rFonts w:hint="eastAsia" w:ascii="Times New Roman" w:hAnsi="Times New Roman" w:eastAsia="仿宋_GB2312" w:cs="Times New Roman"/>
          <w:color w:val="000000"/>
          <w:spacing w:val="0"/>
          <w:sz w:val="32"/>
          <w:szCs w:val="32"/>
          <w:lang w:val="en-US" w:eastAsia="zh-CN"/>
        </w:rPr>
        <w:t>培训课程邀请专家学者围绕《开启全面建设社会主义现代化国家新征程的纲领性文献》《履行政协职能，恪尽委员责任》等课题，开设5天辅导课程，每天培训课时6小时  ，</w:t>
      </w:r>
      <w:r>
        <w:rPr>
          <w:rFonts w:hint="default" w:ascii="Times New Roman" w:hAnsi="Times New Roman" w:eastAsia="仿宋_GB2312" w:cs="Times New Roman"/>
          <w:color w:val="000000"/>
          <w:spacing w:val="0"/>
          <w:sz w:val="32"/>
          <w:szCs w:val="32"/>
          <w:lang w:val="en-US" w:eastAsia="zh-CN"/>
        </w:rPr>
        <w:t>参训人员到岗率、完成及时率、参训人员满意度</w:t>
      </w:r>
      <w:r>
        <w:rPr>
          <w:rFonts w:hint="eastAsia" w:ascii="Times New Roman" w:hAnsi="Times New Roman" w:eastAsia="仿宋_GB2312" w:cs="Times New Roman"/>
          <w:color w:val="000000"/>
          <w:spacing w:val="0"/>
          <w:sz w:val="32"/>
          <w:szCs w:val="32"/>
          <w:lang w:val="en-US" w:eastAsia="zh-CN"/>
        </w:rPr>
        <w:t>均达到</w:t>
      </w:r>
      <w:r>
        <w:rPr>
          <w:rFonts w:hint="default" w:ascii="Times New Roman" w:hAnsi="Times New Roman" w:eastAsia="仿宋_GB2312" w:cs="Times New Roman"/>
          <w:color w:val="000000"/>
          <w:spacing w:val="0"/>
          <w:sz w:val="32"/>
          <w:szCs w:val="32"/>
          <w:lang w:val="en-US" w:eastAsia="zh-CN"/>
        </w:rPr>
        <w:t>100%</w:t>
      </w:r>
      <w:r>
        <w:rPr>
          <w:rFonts w:hint="eastAsia" w:ascii="Times New Roman" w:hAnsi="Times New Roman" w:eastAsia="仿宋_GB2312" w:cs="Times New Roman"/>
          <w:color w:val="000000"/>
          <w:spacing w:val="0"/>
          <w:sz w:val="32"/>
          <w:szCs w:val="32"/>
          <w:lang w:val="en-US" w:eastAsia="zh-CN"/>
        </w:rPr>
        <w:t>，政协工作质量和水平得到进一步提升。</w:t>
      </w:r>
    </w:p>
    <w:p w14:paraId="68DAB34E">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（四）项目效益情况。</w:t>
      </w:r>
      <w:r>
        <w:rPr>
          <w:rFonts w:hint="default" w:ascii="Times New Roman" w:hAnsi="Times New Roman" w:eastAsia="仿宋_GB2312" w:cs="Times New Roman"/>
          <w:color w:val="000000"/>
          <w:spacing w:val="0"/>
          <w:sz w:val="32"/>
          <w:szCs w:val="32"/>
          <w:lang w:val="en-US" w:eastAsia="zh-CN"/>
        </w:rPr>
        <w:t>根据年度工作安排和财政预算批复，参训人员到岗率、完成及时率、参训人员满意度</w:t>
      </w:r>
      <w:r>
        <w:rPr>
          <w:rFonts w:hint="eastAsia" w:ascii="Times New Roman" w:hAnsi="Times New Roman" w:eastAsia="仿宋_GB2312" w:cs="Times New Roman"/>
          <w:color w:val="000000"/>
          <w:spacing w:val="0"/>
          <w:sz w:val="32"/>
          <w:szCs w:val="32"/>
          <w:lang w:val="en-US" w:eastAsia="zh-CN"/>
        </w:rPr>
        <w:t>均达到</w:t>
      </w:r>
      <w:r>
        <w:rPr>
          <w:rFonts w:hint="default" w:ascii="Times New Roman" w:hAnsi="Times New Roman" w:eastAsia="仿宋_GB2312" w:cs="Times New Roman"/>
          <w:color w:val="000000"/>
          <w:spacing w:val="0"/>
          <w:sz w:val="32"/>
          <w:szCs w:val="32"/>
          <w:lang w:val="en-US" w:eastAsia="zh-CN"/>
        </w:rPr>
        <w:t>100%，</w:t>
      </w:r>
      <w:r>
        <w:rPr>
          <w:rFonts w:hint="eastAsia" w:ascii="Times New Roman" w:hAnsi="Times New Roman" w:eastAsia="仿宋_GB2312" w:cs="Times New Roman"/>
          <w:color w:val="000000"/>
          <w:spacing w:val="0"/>
          <w:sz w:val="32"/>
          <w:szCs w:val="32"/>
          <w:lang w:val="en-US" w:eastAsia="zh-CN"/>
        </w:rPr>
        <w:t>参训人员履职能力得到明显提升，政协工作质量和水平得到不断提高，初步实现预期目标</w:t>
      </w:r>
      <w:r>
        <w:rPr>
          <w:rFonts w:hint="default" w:ascii="Times New Roman" w:hAnsi="Times New Roman" w:eastAsia="仿宋_GB2312" w:cs="Times New Roman"/>
          <w:color w:val="000000"/>
          <w:spacing w:val="0"/>
          <w:sz w:val="32"/>
          <w:szCs w:val="32"/>
          <w:lang w:val="en-US" w:eastAsia="zh-CN"/>
        </w:rPr>
        <w:t>。</w:t>
      </w:r>
    </w:p>
    <w:p w14:paraId="0CC003CD">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35933022">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000000"/>
          <w:spacing w:val="0"/>
          <w:sz w:val="32"/>
          <w:szCs w:val="32"/>
          <w:lang w:val="en-US" w:eastAsia="zh-CN"/>
        </w:rPr>
      </w:pPr>
      <w:r>
        <w:rPr>
          <w:rFonts w:hint="default" w:ascii="Times New Roman" w:hAnsi="Times New Roman" w:eastAsia="仿宋_GB2312" w:cs="Times New Roman"/>
          <w:color w:val="000000"/>
          <w:spacing w:val="0"/>
          <w:sz w:val="32"/>
          <w:szCs w:val="32"/>
          <w:lang w:val="en-US" w:eastAsia="zh-CN"/>
        </w:rPr>
        <w:t>无</w:t>
      </w:r>
    </w:p>
    <w:p w14:paraId="131DE06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29B8CF2B">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000000"/>
          <w:spacing w:val="0"/>
          <w:sz w:val="32"/>
          <w:szCs w:val="32"/>
          <w:lang w:val="zh-CN" w:eastAsia="zh-CN"/>
        </w:rPr>
      </w:pPr>
      <w:r>
        <w:rPr>
          <w:rFonts w:hint="default" w:ascii="Times New Roman" w:hAnsi="Times New Roman" w:eastAsia="仿宋_GB2312" w:cs="Times New Roman"/>
          <w:color w:val="000000"/>
          <w:spacing w:val="0"/>
          <w:sz w:val="32"/>
          <w:szCs w:val="32"/>
          <w:lang w:val="en-US" w:eastAsia="zh-CN"/>
        </w:rPr>
        <w:t>无</w:t>
      </w:r>
    </w:p>
    <w:p w14:paraId="495CE446">
      <w:pPr>
        <w:keepNext w:val="0"/>
        <w:keepLines w:val="0"/>
        <w:pageBreakBefore w:val="0"/>
        <w:widowControl w:val="0"/>
        <w:kinsoku/>
        <w:wordWrap/>
        <w:overflowPunct w:val="0"/>
        <w:topLinePunct w:val="0"/>
        <w:autoSpaceDE/>
        <w:autoSpaceDN/>
        <w:bidi w:val="0"/>
        <w:adjustRightInd w:val="0"/>
        <w:snapToGrid w:val="0"/>
        <w:spacing w:line="570" w:lineRule="exact"/>
        <w:jc w:val="both"/>
        <w:rPr>
          <w:rFonts w:hint="default" w:ascii="Times New Roman" w:hAnsi="Times New Roman" w:eastAsia="方正小标宋简体" w:cs="Times New Roman"/>
          <w:color w:val="auto"/>
          <w:sz w:val="44"/>
          <w:szCs w:val="44"/>
          <w:highlight w:val="none"/>
          <w:lang w:eastAsia="zh-CN"/>
        </w:rPr>
      </w:pPr>
    </w:p>
    <w:p w14:paraId="2522B333">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08EF3292">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330D26B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3FA0D651">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eastAsia" w:ascii="Times New Roman" w:hAnsi="Times New Roman" w:eastAsia="楷体_GB2312" w:cs="Times New Roman"/>
          <w:b/>
          <w:bCs/>
          <w:color w:val="auto"/>
          <w:sz w:val="32"/>
          <w:szCs w:val="32"/>
          <w:highlight w:val="none"/>
          <w:lang w:val="en-US" w:eastAsia="zh-CN"/>
        </w:rPr>
        <w:t>办公设备</w:t>
      </w:r>
      <w:r>
        <w:rPr>
          <w:rFonts w:hint="default" w:ascii="Times New Roman" w:hAnsi="Times New Roman" w:eastAsia="楷体_GB2312" w:cs="Times New Roman"/>
          <w:b/>
          <w:bCs/>
          <w:color w:val="auto"/>
          <w:sz w:val="32"/>
          <w:szCs w:val="32"/>
          <w:highlight w:val="none"/>
          <w:lang w:val="en-US" w:eastAsia="zh-CN"/>
        </w:rPr>
        <w:t>购置</w:t>
      </w:r>
      <w:r>
        <w:rPr>
          <w:rFonts w:hint="eastAsia" w:ascii="Times New Roman" w:hAnsi="Times New Roman" w:eastAsia="楷体_GB2312" w:cs="Times New Roman"/>
          <w:b/>
          <w:bCs/>
          <w:color w:val="auto"/>
          <w:sz w:val="32"/>
          <w:szCs w:val="32"/>
          <w:highlight w:val="none"/>
          <w:lang w:val="en-US" w:eastAsia="zh-CN"/>
        </w:rPr>
        <w:t>费</w:t>
      </w:r>
      <w:r>
        <w:rPr>
          <w:rFonts w:hint="default" w:ascii="Times New Roman" w:hAnsi="Times New Roman" w:eastAsia="楷体_GB2312" w:cs="Times New Roman"/>
          <w:b/>
          <w:bCs/>
          <w:color w:val="auto"/>
          <w:sz w:val="32"/>
          <w:szCs w:val="32"/>
          <w:highlight w:val="none"/>
        </w:rPr>
        <w:t>）</w:t>
      </w:r>
    </w:p>
    <w:p w14:paraId="0A339626">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556A8A2F">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54B7EEFC">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b/>
          <w:bCs/>
          <w:color w:val="auto"/>
          <w:sz w:val="32"/>
          <w:szCs w:val="32"/>
          <w:highlight w:val="none"/>
          <w:lang w:val="en-US" w:eastAsia="zh-CN"/>
        </w:rPr>
        <w:t>（一）项目概况。</w:t>
      </w:r>
      <w:r>
        <w:rPr>
          <w:rFonts w:hint="default" w:ascii="Times New Roman" w:hAnsi="Times New Roman" w:eastAsia="仿宋_GB2312" w:cs="Times New Roman"/>
          <w:color w:val="000000"/>
          <w:sz w:val="32"/>
          <w:szCs w:val="32"/>
          <w:lang w:val="en-US" w:eastAsia="zh-CN"/>
        </w:rPr>
        <w:t>区政协常委会议室、主席会议室已使用多年，部分设施设备破坏损坏，无法满足工作需要</w:t>
      </w:r>
      <w:r>
        <w:rPr>
          <w:rFonts w:hint="eastAsia" w:ascii="Times New Roman" w:hAnsi="Times New Roman" w:eastAsia="仿宋_GB2312" w:cs="Times New Roman"/>
          <w:color w:val="000000"/>
          <w:sz w:val="32"/>
          <w:szCs w:val="32"/>
          <w:lang w:val="en-US" w:eastAsia="zh-CN"/>
        </w:rPr>
        <w:t>，为进一步确保会议顺利开展，报请相关部门审批，确定开展此项目，</w:t>
      </w:r>
      <w:r>
        <w:rPr>
          <w:rFonts w:hint="default" w:ascii="Times New Roman" w:hAnsi="Times New Roman" w:eastAsia="仿宋_GB2312" w:cs="Times New Roman"/>
          <w:color w:val="000000"/>
          <w:sz w:val="32"/>
          <w:szCs w:val="32"/>
          <w:lang w:val="en-US" w:eastAsia="zh-CN"/>
        </w:rPr>
        <w:t>用于</w:t>
      </w:r>
      <w:r>
        <w:rPr>
          <w:rFonts w:hint="eastAsia" w:ascii="Times New Roman" w:hAnsi="Times New Roman" w:eastAsia="仿宋_GB2312" w:cs="Times New Roman"/>
          <w:color w:val="000000"/>
          <w:sz w:val="32"/>
          <w:szCs w:val="32"/>
          <w:lang w:val="en-US" w:eastAsia="zh-CN"/>
        </w:rPr>
        <w:t>保障会议设施</w:t>
      </w:r>
      <w:r>
        <w:rPr>
          <w:rFonts w:hint="default" w:ascii="Times New Roman" w:hAnsi="Times New Roman" w:eastAsia="仿宋_GB2312" w:cs="Times New Roman"/>
          <w:color w:val="000000"/>
          <w:sz w:val="32"/>
          <w:szCs w:val="32"/>
          <w:lang w:val="en-US" w:eastAsia="zh-CN"/>
        </w:rPr>
        <w:t>设备购置相关支出。</w:t>
      </w:r>
    </w:p>
    <w:p w14:paraId="60261440">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Times New Roman" w:hAnsi="Times New Roman" w:eastAsia="仿宋_GB2312" w:cs="Times New Roman"/>
          <w:color w:val="000000"/>
          <w:sz w:val="32"/>
          <w:szCs w:val="32"/>
          <w:lang w:val="en-US" w:eastAsia="zh-CN"/>
        </w:rPr>
        <w:t>项目计划采购会议室桌椅不少于80张、音响设备不少于20个，音响设备及桌椅合格率、完成及时率</w:t>
      </w:r>
      <w:r>
        <w:rPr>
          <w:rFonts w:hint="default" w:ascii="Times New Roman" w:hAnsi="Times New Roman" w:eastAsia="仿宋_GB2312" w:cs="Times New Roman"/>
          <w:color w:val="000000"/>
          <w:sz w:val="32"/>
          <w:szCs w:val="32"/>
          <w:lang w:val="en-US" w:eastAsia="zh-CN"/>
        </w:rPr>
        <w:t>100%，</w:t>
      </w:r>
      <w:r>
        <w:rPr>
          <w:rFonts w:hint="eastAsia" w:ascii="Times New Roman" w:hAnsi="Times New Roman" w:eastAsia="仿宋_GB2312" w:cs="Times New Roman"/>
          <w:color w:val="000000"/>
          <w:sz w:val="32"/>
          <w:szCs w:val="32"/>
          <w:lang w:val="en-US" w:eastAsia="zh-CN"/>
        </w:rPr>
        <w:t>使用人员</w:t>
      </w:r>
      <w:r>
        <w:rPr>
          <w:rFonts w:hint="default" w:ascii="Times New Roman" w:hAnsi="Times New Roman" w:eastAsia="仿宋_GB2312" w:cs="Times New Roman"/>
          <w:color w:val="000000"/>
          <w:sz w:val="32"/>
          <w:szCs w:val="32"/>
          <w:lang w:val="en-US" w:eastAsia="zh-CN"/>
        </w:rPr>
        <w:t>满意度不低于90%，</w:t>
      </w:r>
      <w:r>
        <w:rPr>
          <w:rFonts w:hint="eastAsia" w:ascii="Times New Roman" w:hAnsi="Times New Roman" w:eastAsia="仿宋_GB2312" w:cs="Times New Roman"/>
          <w:color w:val="000000"/>
          <w:sz w:val="32"/>
          <w:szCs w:val="32"/>
          <w:lang w:val="en-US" w:eastAsia="zh-CN"/>
        </w:rPr>
        <w:t>总投入不超过29.76万元，资金监管健全，满足会议正常开展。</w:t>
      </w:r>
      <w:r>
        <w:rPr>
          <w:rFonts w:hint="default" w:ascii="Times New Roman" w:hAnsi="Times New Roman" w:eastAsia="仿宋_GB2312" w:cs="Times New Roman"/>
          <w:color w:val="000000"/>
          <w:sz w:val="32"/>
          <w:szCs w:val="32"/>
          <w:lang w:val="en-US" w:eastAsia="zh-CN"/>
        </w:rPr>
        <w:t>该项目均按照有关规章制度和工作要求有序推进。</w:t>
      </w:r>
      <w:r>
        <w:rPr>
          <w:rFonts w:hint="eastAsia" w:ascii="Times New Roman" w:hAnsi="Times New Roman" w:eastAsia="仿宋_GB2312" w:cs="Times New Roman"/>
          <w:color w:val="000000"/>
          <w:sz w:val="32"/>
          <w:szCs w:val="32"/>
          <w:lang w:val="en-US" w:eastAsia="zh-CN"/>
        </w:rPr>
        <w:t>全年</w:t>
      </w:r>
      <w:r>
        <w:rPr>
          <w:rFonts w:hint="default" w:ascii="Times New Roman" w:hAnsi="Times New Roman" w:eastAsia="仿宋_GB2312" w:cs="Times New Roman"/>
          <w:color w:val="000000"/>
          <w:sz w:val="32"/>
          <w:szCs w:val="32"/>
          <w:lang w:val="en-US" w:eastAsia="zh-CN"/>
        </w:rPr>
        <w:t>采购</w:t>
      </w:r>
      <w:r>
        <w:rPr>
          <w:rFonts w:hint="eastAsia" w:ascii="Times New Roman" w:hAnsi="Times New Roman" w:eastAsia="仿宋_GB2312" w:cs="Times New Roman"/>
          <w:color w:val="000000"/>
          <w:sz w:val="32"/>
          <w:szCs w:val="32"/>
          <w:lang w:val="en-US" w:eastAsia="zh-CN"/>
        </w:rPr>
        <w:t>会议桌40张、办公椅124张，专业功放、音响、调音台、音频处理器等会议音响设备50余个、空调6个等，产品合格率、完成及时率、使用人员</w:t>
      </w:r>
      <w:r>
        <w:rPr>
          <w:rFonts w:hint="default" w:ascii="Times New Roman" w:hAnsi="Times New Roman" w:eastAsia="仿宋_GB2312" w:cs="Times New Roman"/>
          <w:color w:val="000000"/>
          <w:sz w:val="32"/>
          <w:szCs w:val="32"/>
          <w:lang w:val="en-US" w:eastAsia="zh-CN"/>
        </w:rPr>
        <w:t>满意度</w:t>
      </w:r>
      <w:r>
        <w:rPr>
          <w:rFonts w:hint="eastAsia" w:ascii="Times New Roman" w:hAnsi="Times New Roman" w:eastAsia="仿宋_GB2312" w:cs="Times New Roman"/>
          <w:color w:val="000000"/>
          <w:sz w:val="32"/>
          <w:szCs w:val="32"/>
          <w:lang w:val="en-US" w:eastAsia="zh-CN"/>
        </w:rPr>
        <w:t>均达到100</w:t>
      </w:r>
      <w:r>
        <w:rPr>
          <w:rFonts w:hint="default" w:ascii="Times New Roman" w:hAnsi="Times New Roman" w:eastAsia="仿宋_GB2312" w:cs="Times New Roman"/>
          <w:color w:val="000000"/>
          <w:sz w:val="32"/>
          <w:szCs w:val="32"/>
          <w:lang w:val="en-US" w:eastAsia="zh-CN"/>
        </w:rPr>
        <w:t>%，</w:t>
      </w:r>
      <w:r>
        <w:rPr>
          <w:rFonts w:hint="eastAsia" w:ascii="Times New Roman" w:hAnsi="Times New Roman" w:eastAsia="仿宋_GB2312" w:cs="Times New Roman"/>
          <w:color w:val="000000"/>
          <w:sz w:val="32"/>
          <w:szCs w:val="32"/>
          <w:lang w:val="en-US" w:eastAsia="zh-CN"/>
        </w:rPr>
        <w:t>项目完成29.76万元，资金监管制度健全，确保了会议正常开展</w:t>
      </w:r>
      <w:r>
        <w:rPr>
          <w:rFonts w:hint="default" w:ascii="Times New Roman" w:hAnsi="Times New Roman" w:eastAsia="仿宋_GB2312" w:cs="Times New Roman"/>
          <w:color w:val="000000"/>
          <w:sz w:val="32"/>
          <w:szCs w:val="32"/>
          <w:lang w:val="en-US" w:eastAsia="zh-CN"/>
        </w:rPr>
        <w:t>。</w:t>
      </w:r>
    </w:p>
    <w:p w14:paraId="56C24BD2">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（三）资金投入使用情况。</w:t>
      </w:r>
      <w:r>
        <w:rPr>
          <w:rFonts w:hint="default" w:ascii="Times New Roman" w:hAnsi="Times New Roman" w:eastAsia="仿宋_GB2312" w:cs="Times New Roman"/>
          <w:color w:val="000000"/>
          <w:kern w:val="2"/>
          <w:sz w:val="32"/>
          <w:szCs w:val="32"/>
          <w:lang w:val="en-US" w:eastAsia="zh-CN" w:bidi="ar-SA"/>
        </w:rPr>
        <w:t>该项目</w:t>
      </w:r>
      <w:r>
        <w:rPr>
          <w:rFonts w:hint="eastAsia" w:ascii="Times New Roman" w:hAnsi="Times New Roman" w:eastAsia="仿宋_GB2312" w:cs="Times New Roman"/>
          <w:color w:val="000000"/>
          <w:kern w:val="2"/>
          <w:sz w:val="32"/>
          <w:szCs w:val="32"/>
          <w:lang w:val="en-US" w:eastAsia="zh-CN" w:bidi="ar-SA"/>
        </w:rPr>
        <w:t>2022年施工建设，</w:t>
      </w:r>
      <w:r>
        <w:rPr>
          <w:rFonts w:hint="default" w:ascii="Times New Roman" w:hAnsi="Times New Roman" w:eastAsia="仿宋_GB2312" w:cs="Times New Roman"/>
          <w:color w:val="000000"/>
          <w:kern w:val="2"/>
          <w:sz w:val="32"/>
          <w:szCs w:val="32"/>
          <w:lang w:val="en-US" w:eastAsia="zh-CN" w:bidi="ar-SA"/>
        </w:rPr>
        <w:t>且追加资金，但因财政</w:t>
      </w:r>
      <w:r>
        <w:rPr>
          <w:rFonts w:hint="eastAsia" w:ascii="Times New Roman" w:hAnsi="Times New Roman" w:eastAsia="仿宋_GB2312" w:cs="Times New Roman"/>
          <w:color w:val="000000"/>
          <w:kern w:val="2"/>
          <w:sz w:val="32"/>
          <w:szCs w:val="32"/>
          <w:lang w:val="en-US" w:eastAsia="zh-CN" w:bidi="ar-SA"/>
        </w:rPr>
        <w:t>等</w:t>
      </w:r>
      <w:r>
        <w:rPr>
          <w:rFonts w:hint="default" w:ascii="Times New Roman" w:hAnsi="Times New Roman" w:eastAsia="仿宋_GB2312" w:cs="Times New Roman"/>
          <w:color w:val="000000"/>
          <w:kern w:val="2"/>
          <w:sz w:val="32"/>
          <w:szCs w:val="32"/>
          <w:lang w:val="en-US" w:eastAsia="zh-CN" w:bidi="ar-SA"/>
        </w:rPr>
        <w:t>原因未能支付，</w:t>
      </w:r>
      <w:r>
        <w:rPr>
          <w:rFonts w:hint="eastAsia" w:ascii="Times New Roman" w:hAnsi="Times New Roman" w:eastAsia="仿宋_GB2312" w:cs="Times New Roman"/>
          <w:color w:val="000000"/>
          <w:kern w:val="2"/>
          <w:sz w:val="32"/>
          <w:szCs w:val="32"/>
          <w:lang w:val="en-US" w:eastAsia="zh-CN" w:bidi="ar-SA"/>
        </w:rPr>
        <w:t>2023年年中增加预算29.76万元，财政资金下达资金29.76万元，支出29.76万元，</w:t>
      </w:r>
      <w:r>
        <w:rPr>
          <w:rFonts w:hint="default" w:ascii="Times New Roman" w:hAnsi="Times New Roman" w:eastAsia="仿宋_GB2312" w:cs="Times New Roman"/>
          <w:color w:val="000000"/>
          <w:kern w:val="2"/>
          <w:sz w:val="32"/>
          <w:szCs w:val="32"/>
          <w:lang w:val="en-US" w:eastAsia="zh-CN" w:bidi="ar-SA"/>
        </w:rPr>
        <w:t>完成率100%。</w:t>
      </w:r>
    </w:p>
    <w:p w14:paraId="08344310">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楷体_GB2312" w:cs="Times New Roman"/>
          <w:b/>
          <w:bCs/>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（四）项目绩效目标</w:t>
      </w:r>
      <w:r>
        <w:rPr>
          <w:rFonts w:hint="eastAsia" w:ascii="Times New Roman" w:hAnsi="Times New Roman" w:eastAsia="楷体_GB2312" w:cs="Times New Roman"/>
          <w:b/>
          <w:bCs/>
          <w:color w:val="auto"/>
          <w:kern w:val="2"/>
          <w:sz w:val="32"/>
          <w:szCs w:val="32"/>
          <w:highlight w:val="none"/>
          <w:lang w:val="en-US" w:eastAsia="zh-CN" w:bidi="ar-SA"/>
        </w:rPr>
        <w:t xml:space="preserve"> </w:t>
      </w:r>
    </w:p>
    <w:tbl>
      <w:tblPr>
        <w:tblStyle w:val="20"/>
        <w:tblW w:w="83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4"/>
        <w:gridCol w:w="2125"/>
        <w:gridCol w:w="2050"/>
        <w:gridCol w:w="1525"/>
        <w:gridCol w:w="1513"/>
      </w:tblGrid>
      <w:tr w14:paraId="5138B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7031B348">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111120BF">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33634B53">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525" w:type="dxa"/>
            <w:tcBorders>
              <w:top w:val="single" w:color="000000" w:sz="4" w:space="0"/>
              <w:left w:val="single" w:color="000000" w:sz="4" w:space="0"/>
              <w:bottom w:val="single" w:color="000000" w:sz="4" w:space="0"/>
              <w:right w:val="single" w:color="000000" w:sz="4" w:space="0"/>
            </w:tcBorders>
            <w:vAlign w:val="center"/>
          </w:tcPr>
          <w:p w14:paraId="056F0F1C">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年度指标值</w:t>
            </w:r>
          </w:p>
        </w:tc>
        <w:tc>
          <w:tcPr>
            <w:tcW w:w="1513" w:type="dxa"/>
            <w:tcBorders>
              <w:top w:val="single" w:color="000000" w:sz="4" w:space="0"/>
              <w:left w:val="single" w:color="000000" w:sz="4" w:space="0"/>
              <w:bottom w:val="single" w:color="000000" w:sz="4" w:space="0"/>
              <w:right w:val="single" w:color="000000" w:sz="4" w:space="0"/>
            </w:tcBorders>
            <w:vAlign w:val="center"/>
          </w:tcPr>
          <w:p w14:paraId="7598DC32">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全年完成情况</w:t>
            </w:r>
          </w:p>
        </w:tc>
      </w:tr>
      <w:tr w14:paraId="5AA71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5D543F26">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46F2C3E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508FF03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音响设备合格率</w:t>
            </w:r>
          </w:p>
        </w:tc>
        <w:tc>
          <w:tcPr>
            <w:tcW w:w="1525" w:type="dxa"/>
            <w:tcBorders>
              <w:top w:val="single" w:color="000000" w:sz="4" w:space="0"/>
              <w:left w:val="single" w:color="000000" w:sz="4" w:space="0"/>
              <w:bottom w:val="single" w:color="000000" w:sz="4" w:space="0"/>
              <w:right w:val="single" w:color="000000" w:sz="4" w:space="0"/>
            </w:tcBorders>
            <w:vAlign w:val="center"/>
          </w:tcPr>
          <w:p w14:paraId="5F6C63B5">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513" w:type="dxa"/>
            <w:tcBorders>
              <w:top w:val="single" w:color="000000" w:sz="4" w:space="0"/>
              <w:left w:val="single" w:color="000000" w:sz="4" w:space="0"/>
              <w:bottom w:val="single" w:color="000000" w:sz="4" w:space="0"/>
              <w:right w:val="single" w:color="000000" w:sz="4" w:space="0"/>
            </w:tcBorders>
            <w:vAlign w:val="center"/>
          </w:tcPr>
          <w:p w14:paraId="4FDE45D7">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69FB1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4F9EA6E8">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7ECC6C1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37C45E9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完成及时率</w:t>
            </w:r>
          </w:p>
        </w:tc>
        <w:tc>
          <w:tcPr>
            <w:tcW w:w="1525" w:type="dxa"/>
            <w:tcBorders>
              <w:top w:val="single" w:color="000000" w:sz="4" w:space="0"/>
              <w:left w:val="single" w:color="000000" w:sz="4" w:space="0"/>
              <w:bottom w:val="single" w:color="000000" w:sz="4" w:space="0"/>
              <w:right w:val="single" w:color="000000" w:sz="4" w:space="0"/>
            </w:tcBorders>
            <w:vAlign w:val="center"/>
          </w:tcPr>
          <w:p w14:paraId="6CC1615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513" w:type="dxa"/>
            <w:tcBorders>
              <w:top w:val="single" w:color="000000" w:sz="4" w:space="0"/>
              <w:left w:val="single" w:color="000000" w:sz="4" w:space="0"/>
              <w:bottom w:val="single" w:color="000000" w:sz="4" w:space="0"/>
              <w:right w:val="single" w:color="000000" w:sz="4" w:space="0"/>
            </w:tcBorders>
            <w:vAlign w:val="center"/>
          </w:tcPr>
          <w:p w14:paraId="5BA22A47">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6B58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4EA04F5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20FAAC1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5CE79D0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桌椅合格率</w:t>
            </w:r>
          </w:p>
        </w:tc>
        <w:tc>
          <w:tcPr>
            <w:tcW w:w="1525" w:type="dxa"/>
            <w:tcBorders>
              <w:top w:val="single" w:color="000000" w:sz="4" w:space="0"/>
              <w:left w:val="single" w:color="000000" w:sz="4" w:space="0"/>
              <w:bottom w:val="single" w:color="000000" w:sz="4" w:space="0"/>
              <w:right w:val="single" w:color="000000" w:sz="4" w:space="0"/>
            </w:tcBorders>
            <w:vAlign w:val="center"/>
          </w:tcPr>
          <w:p w14:paraId="610C81B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513" w:type="dxa"/>
            <w:tcBorders>
              <w:top w:val="single" w:color="000000" w:sz="4" w:space="0"/>
              <w:left w:val="single" w:color="000000" w:sz="4" w:space="0"/>
              <w:bottom w:val="single" w:color="000000" w:sz="4" w:space="0"/>
              <w:right w:val="single" w:color="000000" w:sz="4" w:space="0"/>
            </w:tcBorders>
            <w:vAlign w:val="center"/>
          </w:tcPr>
          <w:p w14:paraId="7B9DA74D">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64D15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43B4AE2B">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12ECE5C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555DE66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购买桌椅数量</w:t>
            </w:r>
          </w:p>
        </w:tc>
        <w:tc>
          <w:tcPr>
            <w:tcW w:w="1525" w:type="dxa"/>
            <w:tcBorders>
              <w:top w:val="single" w:color="000000" w:sz="4" w:space="0"/>
              <w:left w:val="single" w:color="000000" w:sz="4" w:space="0"/>
              <w:bottom w:val="single" w:color="000000" w:sz="4" w:space="0"/>
              <w:right w:val="single" w:color="000000" w:sz="4" w:space="0"/>
            </w:tcBorders>
            <w:vAlign w:val="center"/>
          </w:tcPr>
          <w:p w14:paraId="65844A7D">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≥80张</w:t>
            </w:r>
          </w:p>
        </w:tc>
        <w:tc>
          <w:tcPr>
            <w:tcW w:w="1513" w:type="dxa"/>
            <w:tcBorders>
              <w:top w:val="single" w:color="000000" w:sz="4" w:space="0"/>
              <w:left w:val="single" w:color="000000" w:sz="4" w:space="0"/>
              <w:bottom w:val="single" w:color="000000" w:sz="4" w:space="0"/>
              <w:right w:val="single" w:color="000000" w:sz="4" w:space="0"/>
            </w:tcBorders>
            <w:vAlign w:val="center"/>
          </w:tcPr>
          <w:p w14:paraId="6377D30F">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＞80张</w:t>
            </w:r>
          </w:p>
        </w:tc>
      </w:tr>
      <w:tr w14:paraId="17A94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76F407D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4FC80B2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7CEC92A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购买音响设备数量</w:t>
            </w:r>
          </w:p>
        </w:tc>
        <w:tc>
          <w:tcPr>
            <w:tcW w:w="1525" w:type="dxa"/>
            <w:tcBorders>
              <w:top w:val="single" w:color="000000" w:sz="4" w:space="0"/>
              <w:left w:val="single" w:color="000000" w:sz="4" w:space="0"/>
              <w:bottom w:val="single" w:color="000000" w:sz="4" w:space="0"/>
              <w:right w:val="single" w:color="000000" w:sz="4" w:space="0"/>
            </w:tcBorders>
            <w:vAlign w:val="center"/>
          </w:tcPr>
          <w:p w14:paraId="1A96115D">
            <w:pPr>
              <w:keepNext w:val="0"/>
              <w:keepLines w:val="0"/>
              <w:widowControl/>
              <w:suppressLineNumbers w:val="0"/>
              <w:jc w:val="center"/>
              <w:textAlignment w:val="center"/>
              <w:rPr>
                <w:rFonts w:hint="default" w:ascii="等线" w:hAnsi="等线" w:eastAsia="等线" w:cs="等线"/>
                <w:i w:val="0"/>
                <w:iCs w:val="0"/>
                <w:color w:val="000000"/>
                <w:sz w:val="18"/>
                <w:szCs w:val="18"/>
                <w:highlight w:val="none"/>
                <w:u w:val="none"/>
                <w:lang w:val="en-US"/>
              </w:rPr>
            </w:pPr>
            <w:r>
              <w:rPr>
                <w:rFonts w:hint="eastAsia" w:ascii="等线" w:hAnsi="等线" w:eastAsia="等线" w:cs="等线"/>
                <w:i w:val="0"/>
                <w:iCs w:val="0"/>
                <w:color w:val="000000"/>
                <w:kern w:val="0"/>
                <w:sz w:val="18"/>
                <w:szCs w:val="18"/>
                <w:highlight w:val="none"/>
                <w:u w:val="none"/>
                <w:lang w:val="en-US" w:eastAsia="zh-CN" w:bidi="ar"/>
              </w:rPr>
              <w:t>≥20个</w:t>
            </w:r>
          </w:p>
        </w:tc>
        <w:tc>
          <w:tcPr>
            <w:tcW w:w="1513" w:type="dxa"/>
            <w:tcBorders>
              <w:top w:val="single" w:color="000000" w:sz="4" w:space="0"/>
              <w:left w:val="single" w:color="000000" w:sz="4" w:space="0"/>
              <w:bottom w:val="single" w:color="000000" w:sz="4" w:space="0"/>
              <w:right w:val="single" w:color="000000" w:sz="4" w:space="0"/>
            </w:tcBorders>
            <w:vAlign w:val="center"/>
          </w:tcPr>
          <w:p w14:paraId="3D1F707B">
            <w:pPr>
              <w:jc w:val="center"/>
              <w:rPr>
                <w:rFonts w:hint="default" w:ascii="等线" w:hAnsi="等线" w:eastAsia="等线" w:cs="等线"/>
                <w:i w:val="0"/>
                <w:iCs w:val="0"/>
                <w:color w:val="000000"/>
                <w:sz w:val="18"/>
                <w:szCs w:val="18"/>
                <w:highlight w:val="none"/>
                <w:u w:val="none"/>
                <w:lang w:val="en-US" w:eastAsia="zh-CN"/>
              </w:rPr>
            </w:pPr>
            <w:r>
              <w:rPr>
                <w:rFonts w:hint="eastAsia" w:ascii="等线" w:hAnsi="等线" w:eastAsia="等线" w:cs="等线"/>
                <w:i w:val="0"/>
                <w:iCs w:val="0"/>
                <w:color w:val="000000"/>
                <w:sz w:val="18"/>
                <w:szCs w:val="18"/>
                <w:highlight w:val="none"/>
                <w:u w:val="none"/>
                <w:lang w:val="en-US" w:eastAsia="zh-CN"/>
              </w:rPr>
              <w:t>＞20个</w:t>
            </w:r>
          </w:p>
        </w:tc>
      </w:tr>
      <w:tr w14:paraId="1B3D2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6791B3D8">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3A53EA4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可持续发展指标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31149B5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资金监管健全性</w:t>
            </w:r>
          </w:p>
        </w:tc>
        <w:tc>
          <w:tcPr>
            <w:tcW w:w="1525" w:type="dxa"/>
            <w:tcBorders>
              <w:top w:val="single" w:color="000000" w:sz="4" w:space="0"/>
              <w:left w:val="single" w:color="000000" w:sz="4" w:space="0"/>
              <w:bottom w:val="single" w:color="000000" w:sz="4" w:space="0"/>
              <w:right w:val="single" w:color="000000" w:sz="4" w:space="0"/>
            </w:tcBorders>
            <w:vAlign w:val="center"/>
          </w:tcPr>
          <w:p w14:paraId="0857D94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好坏</w:t>
            </w:r>
          </w:p>
        </w:tc>
        <w:tc>
          <w:tcPr>
            <w:tcW w:w="1513" w:type="dxa"/>
            <w:tcBorders>
              <w:top w:val="single" w:color="000000" w:sz="4" w:space="0"/>
              <w:left w:val="single" w:color="000000" w:sz="4" w:space="0"/>
              <w:bottom w:val="single" w:color="000000" w:sz="4" w:space="0"/>
              <w:right w:val="single" w:color="000000" w:sz="4" w:space="0"/>
            </w:tcBorders>
            <w:vAlign w:val="center"/>
          </w:tcPr>
          <w:p w14:paraId="472ED83F">
            <w:pPr>
              <w:jc w:val="center"/>
              <w:rPr>
                <w:rFonts w:hint="eastAsia" w:ascii="等线" w:hAnsi="等线" w:eastAsia="等线" w:cs="等线"/>
                <w:i w:val="0"/>
                <w:iCs w:val="0"/>
                <w:color w:val="000000"/>
                <w:sz w:val="18"/>
                <w:szCs w:val="18"/>
                <w:u w:val="none"/>
                <w:lang w:eastAsia="zh-CN"/>
              </w:rPr>
            </w:pPr>
            <w:r>
              <w:rPr>
                <w:rFonts w:hint="eastAsia" w:ascii="等线" w:hAnsi="等线" w:eastAsia="等线" w:cs="等线"/>
                <w:i w:val="0"/>
                <w:iCs w:val="0"/>
                <w:color w:val="000000"/>
                <w:sz w:val="18"/>
                <w:szCs w:val="18"/>
                <w:u w:val="none"/>
                <w:lang w:eastAsia="zh-CN"/>
              </w:rPr>
              <w:t>好</w:t>
            </w:r>
          </w:p>
        </w:tc>
      </w:tr>
      <w:tr w14:paraId="110C9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1DF4B74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035ED47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6393E6E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满足会议正常开展</w:t>
            </w:r>
          </w:p>
        </w:tc>
        <w:tc>
          <w:tcPr>
            <w:tcW w:w="1525" w:type="dxa"/>
            <w:tcBorders>
              <w:top w:val="single" w:color="000000" w:sz="4" w:space="0"/>
              <w:left w:val="single" w:color="000000" w:sz="4" w:space="0"/>
              <w:bottom w:val="single" w:color="000000" w:sz="4" w:space="0"/>
              <w:right w:val="single" w:color="000000" w:sz="4" w:space="0"/>
            </w:tcBorders>
            <w:vAlign w:val="center"/>
          </w:tcPr>
          <w:p w14:paraId="053E22D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513" w:type="dxa"/>
            <w:tcBorders>
              <w:top w:val="single" w:color="000000" w:sz="4" w:space="0"/>
              <w:left w:val="single" w:color="000000" w:sz="4" w:space="0"/>
              <w:bottom w:val="single" w:color="000000" w:sz="4" w:space="0"/>
              <w:right w:val="single" w:color="000000" w:sz="4" w:space="0"/>
            </w:tcBorders>
            <w:vAlign w:val="center"/>
          </w:tcPr>
          <w:p w14:paraId="12B2CB8B">
            <w:pPr>
              <w:jc w:val="cente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3FB03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6F8C762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061C8D4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244FA1E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委员满意度</w:t>
            </w:r>
          </w:p>
        </w:tc>
        <w:tc>
          <w:tcPr>
            <w:tcW w:w="1525" w:type="dxa"/>
            <w:tcBorders>
              <w:top w:val="single" w:color="000000" w:sz="4" w:space="0"/>
              <w:left w:val="single" w:color="000000" w:sz="4" w:space="0"/>
              <w:bottom w:val="single" w:color="000000" w:sz="4" w:space="0"/>
              <w:right w:val="single" w:color="000000" w:sz="4" w:space="0"/>
            </w:tcBorders>
            <w:vAlign w:val="center"/>
          </w:tcPr>
          <w:p w14:paraId="620EB35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≥90%</w:t>
            </w:r>
          </w:p>
        </w:tc>
        <w:tc>
          <w:tcPr>
            <w:tcW w:w="1513" w:type="dxa"/>
            <w:tcBorders>
              <w:top w:val="single" w:color="000000" w:sz="4" w:space="0"/>
              <w:left w:val="single" w:color="000000" w:sz="4" w:space="0"/>
              <w:bottom w:val="single" w:color="000000" w:sz="4" w:space="0"/>
              <w:right w:val="single" w:color="000000" w:sz="4" w:space="0"/>
            </w:tcBorders>
            <w:vAlign w:val="center"/>
          </w:tcPr>
          <w:p w14:paraId="508633EE">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33EAD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64" w:type="dxa"/>
            <w:tcBorders>
              <w:top w:val="single" w:color="000000" w:sz="4" w:space="0"/>
              <w:left w:val="single" w:color="000000" w:sz="4" w:space="0"/>
              <w:bottom w:val="single" w:color="000000" w:sz="4" w:space="0"/>
              <w:right w:val="single" w:color="000000" w:sz="4" w:space="0"/>
            </w:tcBorders>
            <w:vAlign w:val="center"/>
          </w:tcPr>
          <w:p w14:paraId="32F3E31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2125" w:type="dxa"/>
            <w:tcBorders>
              <w:top w:val="single" w:color="000000" w:sz="4" w:space="0"/>
              <w:left w:val="single" w:color="000000" w:sz="4" w:space="0"/>
              <w:bottom w:val="single" w:color="000000" w:sz="4" w:space="0"/>
              <w:right w:val="single" w:color="000000" w:sz="4" w:space="0"/>
            </w:tcBorders>
            <w:vAlign w:val="center"/>
          </w:tcPr>
          <w:p w14:paraId="470025D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经济成本指标</w:t>
            </w:r>
          </w:p>
        </w:tc>
        <w:tc>
          <w:tcPr>
            <w:tcW w:w="2050" w:type="dxa"/>
            <w:tcBorders>
              <w:top w:val="single" w:color="000000" w:sz="4" w:space="0"/>
              <w:left w:val="single" w:color="000000" w:sz="4" w:space="0"/>
              <w:bottom w:val="single" w:color="000000" w:sz="4" w:space="0"/>
              <w:right w:val="single" w:color="000000" w:sz="4" w:space="0"/>
            </w:tcBorders>
            <w:vAlign w:val="center"/>
          </w:tcPr>
          <w:p w14:paraId="7A97A02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项目总投入</w:t>
            </w:r>
          </w:p>
        </w:tc>
        <w:tc>
          <w:tcPr>
            <w:tcW w:w="1525" w:type="dxa"/>
            <w:tcBorders>
              <w:top w:val="single" w:color="000000" w:sz="4" w:space="0"/>
              <w:left w:val="single" w:color="000000" w:sz="4" w:space="0"/>
              <w:bottom w:val="single" w:color="000000" w:sz="4" w:space="0"/>
              <w:right w:val="single" w:color="000000" w:sz="4" w:space="0"/>
            </w:tcBorders>
            <w:vAlign w:val="center"/>
          </w:tcPr>
          <w:p w14:paraId="0F478E53">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≤29.76万元</w:t>
            </w:r>
          </w:p>
        </w:tc>
        <w:tc>
          <w:tcPr>
            <w:tcW w:w="1513" w:type="dxa"/>
            <w:tcBorders>
              <w:top w:val="single" w:color="000000" w:sz="4" w:space="0"/>
              <w:left w:val="single" w:color="000000" w:sz="4" w:space="0"/>
              <w:bottom w:val="single" w:color="000000" w:sz="4" w:space="0"/>
              <w:right w:val="single" w:color="000000" w:sz="4" w:space="0"/>
            </w:tcBorders>
            <w:vAlign w:val="center"/>
          </w:tcPr>
          <w:p w14:paraId="1D861FDF">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29.76万元</w:t>
            </w:r>
          </w:p>
        </w:tc>
      </w:tr>
    </w:tbl>
    <w:p w14:paraId="5C3AABA3">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楷体_GB2312" w:cs="Times New Roman"/>
          <w:b/>
          <w:bCs/>
          <w:color w:val="auto"/>
          <w:kern w:val="2"/>
          <w:sz w:val="32"/>
          <w:szCs w:val="24"/>
          <w:highlight w:val="none"/>
          <w:lang w:val="en-US" w:eastAsia="zh-CN" w:bidi="ar-SA"/>
        </w:rPr>
      </w:pPr>
    </w:p>
    <w:p w14:paraId="624EA022">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0DF835C0">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我单位本次项目支出绩效评价按照《遂宁市船山区财政局关于开展202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年部门、项目、政策支出绩效自评工作的通知》（遂船财</w:t>
      </w:r>
      <w:r>
        <w:rPr>
          <w:rFonts w:hint="eastAsia" w:ascii="Times New Roman" w:hAnsi="Times New Roman" w:eastAsia="仿宋_GB2312" w:cs="Times New Roman"/>
          <w:color w:val="auto"/>
          <w:sz w:val="32"/>
          <w:szCs w:val="32"/>
          <w:lang w:val="en-US" w:eastAsia="zh-CN"/>
        </w:rPr>
        <w:t>绩</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号）文件要求执行。本次项目支出的指标体系分为4个</w:t>
      </w:r>
      <w:r>
        <w:rPr>
          <w:rFonts w:hint="eastAsia" w:ascii="Times New Roman" w:hAnsi="Times New Roman" w:eastAsia="仿宋_GB2312" w:cs="Times New Roman"/>
          <w:color w:val="auto"/>
          <w:sz w:val="32"/>
          <w:szCs w:val="32"/>
          <w:lang w:val="en-US" w:eastAsia="zh-CN"/>
        </w:rPr>
        <w:t>分层</w:t>
      </w:r>
      <w:r>
        <w:rPr>
          <w:rFonts w:hint="default" w:ascii="Times New Roman" w:hAnsi="Times New Roman" w:eastAsia="仿宋_GB2312" w:cs="Times New Roman"/>
          <w:color w:val="auto"/>
          <w:sz w:val="32"/>
          <w:szCs w:val="32"/>
          <w:lang w:val="en-US" w:eastAsia="zh-CN"/>
        </w:rPr>
        <w:t>指标、9个</w:t>
      </w:r>
      <w:r>
        <w:rPr>
          <w:rFonts w:hint="eastAsia" w:ascii="Times New Roman" w:hAnsi="Times New Roman"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lang w:val="en-US" w:eastAsia="zh-CN"/>
        </w:rPr>
        <w:t>级指标、13个</w:t>
      </w:r>
      <w:r>
        <w:rPr>
          <w:rFonts w:hint="eastAsia" w:ascii="Times New Roman" w:hAnsi="Times New Roman" w:eastAsia="仿宋_GB2312" w:cs="Times New Roman"/>
          <w:color w:val="auto"/>
          <w:sz w:val="32"/>
          <w:szCs w:val="32"/>
          <w:lang w:val="en-US" w:eastAsia="zh-CN"/>
        </w:rPr>
        <w:t>二</w:t>
      </w:r>
      <w:r>
        <w:rPr>
          <w:rFonts w:hint="default" w:ascii="Times New Roman" w:hAnsi="Times New Roman" w:eastAsia="仿宋_GB2312" w:cs="Times New Roman"/>
          <w:color w:val="auto"/>
          <w:sz w:val="32"/>
          <w:szCs w:val="32"/>
          <w:lang w:val="en-US" w:eastAsia="zh-CN"/>
        </w:rPr>
        <w:t>级指标，共计100分。评价</w:t>
      </w:r>
      <w:r>
        <w:rPr>
          <w:rFonts w:hint="eastAsia" w:ascii="Times New Roman" w:hAnsi="Times New Roman" w:eastAsia="仿宋_GB2312" w:cs="Times New Roman"/>
          <w:color w:val="auto"/>
          <w:sz w:val="32"/>
          <w:szCs w:val="32"/>
          <w:lang w:val="en-US" w:eastAsia="zh-CN"/>
        </w:rPr>
        <w:t>方法是</w:t>
      </w:r>
      <w:r>
        <w:rPr>
          <w:rFonts w:hint="default" w:ascii="Times New Roman" w:hAnsi="Times New Roman" w:eastAsia="仿宋_GB2312" w:cs="Times New Roman"/>
          <w:color w:val="auto"/>
          <w:sz w:val="32"/>
          <w:szCs w:val="32"/>
          <w:lang w:val="en-US" w:eastAsia="zh-CN"/>
        </w:rPr>
        <w:t>核对财务账目、检查档案资料，重点查看账目，账实对照，对资金使用进行综合分析，作出总体性评价。</w:t>
      </w:r>
    </w:p>
    <w:p w14:paraId="5FA89592">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46071F27">
      <w:pPr>
        <w:pStyle w:val="24"/>
        <w:keepNext w:val="0"/>
        <w:keepLines w:val="0"/>
        <w:pageBreakBefore w:val="0"/>
        <w:kinsoku/>
        <w:topLinePunct w:val="0"/>
        <w:autoSpaceDE/>
        <w:autoSpaceDN/>
        <w:bidi w:val="0"/>
        <w:spacing w:line="570" w:lineRule="exact"/>
        <w:jc w:val="left"/>
        <w:rPr>
          <w:rFonts w:hint="default" w:ascii="Times New Roman" w:hAnsi="Times New Roman" w:cs="Times New Roman"/>
          <w:color w:val="auto"/>
          <w:kern w:val="0"/>
          <w:sz w:val="32"/>
          <w:szCs w:val="32"/>
          <w:highlight w:val="none"/>
          <w:shd w:val="clear" w:color="auto" w:fill="FFFFFF"/>
          <w:lang w:val="zh-CN"/>
        </w:rPr>
      </w:pPr>
      <w:r>
        <w:rPr>
          <w:rFonts w:hint="eastAsia" w:ascii="Times New Roman" w:hAnsi="Times New Roman" w:cs="Times New Roman"/>
          <w:color w:val="auto"/>
          <w:kern w:val="2"/>
          <w:sz w:val="32"/>
          <w:szCs w:val="32"/>
          <w:highlight w:val="none"/>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绩效目标科学完整，资金管理到位，预算执行规范，按期完成开支进度，实现政协建言献策的社会效应，</w:t>
      </w:r>
      <w:r>
        <w:rPr>
          <w:rFonts w:hint="default" w:ascii="Times New Roman" w:hAnsi="Times New Roman" w:eastAsia="仿宋_GB2312" w:cs="Times New Roman"/>
          <w:color w:val="auto"/>
          <w:kern w:val="2"/>
          <w:sz w:val="32"/>
          <w:szCs w:val="32"/>
          <w:lang w:val="en-US" w:eastAsia="zh-CN" w:bidi="ar-SA"/>
        </w:rPr>
        <w:t>综合评价得分100分，详见下表</w:t>
      </w:r>
      <w:r>
        <w:rPr>
          <w:rFonts w:hint="default" w:ascii="Times New Roman" w:hAnsi="Times New Roman" w:eastAsia="仿宋_GB2312" w:cs="Times New Roman"/>
          <w:color w:val="auto"/>
          <w:kern w:val="2"/>
          <w:sz w:val="32"/>
          <w:szCs w:val="32"/>
          <w:lang w:val="zh-CN" w:eastAsia="zh-CN" w:bidi="ar-SA"/>
        </w:rPr>
        <w:t>。</w:t>
      </w:r>
    </w:p>
    <w:tbl>
      <w:tblPr>
        <w:tblStyle w:val="20"/>
        <w:tblW w:w="9034" w:type="dxa"/>
        <w:jc w:val="center"/>
        <w:tblLayout w:type="fixed"/>
        <w:tblCellMar>
          <w:top w:w="0" w:type="dxa"/>
          <w:left w:w="0" w:type="dxa"/>
          <w:bottom w:w="0" w:type="dxa"/>
          <w:right w:w="0" w:type="dxa"/>
        </w:tblCellMar>
      </w:tblPr>
      <w:tblGrid>
        <w:gridCol w:w="1140"/>
        <w:gridCol w:w="926"/>
        <w:gridCol w:w="1009"/>
        <w:gridCol w:w="1748"/>
        <w:gridCol w:w="930"/>
        <w:gridCol w:w="930"/>
        <w:gridCol w:w="1275"/>
        <w:gridCol w:w="1076"/>
      </w:tblGrid>
      <w:tr w14:paraId="30AA2C8D">
        <w:tblPrEx>
          <w:tblCellMar>
            <w:top w:w="0" w:type="dxa"/>
            <w:left w:w="0" w:type="dxa"/>
            <w:bottom w:w="0" w:type="dxa"/>
            <w:right w:w="0" w:type="dxa"/>
          </w:tblCellMar>
        </w:tblPrEx>
        <w:trPr>
          <w:trHeight w:val="432" w:hRule="atLeast"/>
          <w:jc w:val="center"/>
        </w:trPr>
        <w:tc>
          <w:tcPr>
            <w:tcW w:w="482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518E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9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E0DC2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9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B20E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27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CFF21C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107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6C06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557A7B77">
        <w:tblPrEx>
          <w:tblCellMar>
            <w:top w:w="0" w:type="dxa"/>
            <w:left w:w="0" w:type="dxa"/>
            <w:bottom w:w="0" w:type="dxa"/>
            <w:right w:w="0" w:type="dxa"/>
          </w:tblCellMar>
        </w:tblPrEx>
        <w:trPr>
          <w:trHeight w:val="432"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4370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C4AA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D356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64D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9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F284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DD8B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75" w:type="dxa"/>
            <w:vMerge w:val="continue"/>
            <w:tcBorders>
              <w:left w:val="single" w:color="000000" w:sz="4" w:space="0"/>
              <w:right w:val="single" w:color="000000" w:sz="4" w:space="0"/>
            </w:tcBorders>
            <w:tcMar>
              <w:top w:w="15" w:type="dxa"/>
              <w:left w:w="15" w:type="dxa"/>
              <w:right w:w="15" w:type="dxa"/>
            </w:tcMar>
            <w:vAlign w:val="center"/>
          </w:tcPr>
          <w:p w14:paraId="4947472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7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FF4B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r>
      <w:tr w14:paraId="3758B4DE">
        <w:tblPrEx>
          <w:tblCellMar>
            <w:top w:w="0" w:type="dxa"/>
            <w:left w:w="0" w:type="dxa"/>
            <w:bottom w:w="0" w:type="dxa"/>
            <w:right w:w="0" w:type="dxa"/>
          </w:tblCellMar>
        </w:tblPrEx>
        <w:trPr>
          <w:trHeight w:val="427"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0623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91ED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897B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6742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4CF2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3094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8B62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D0A8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38AD0341">
        <w:tblPrEx>
          <w:tblCellMar>
            <w:top w:w="0" w:type="dxa"/>
            <w:left w:w="0" w:type="dxa"/>
            <w:bottom w:w="0" w:type="dxa"/>
            <w:right w:w="0" w:type="dxa"/>
          </w:tblCellMar>
        </w:tblPrEx>
        <w:trPr>
          <w:trHeight w:val="427"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C568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6C0A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1D8C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722F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F2AA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F612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AAF7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1160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2A395E4E">
        <w:tblPrEx>
          <w:tblCellMar>
            <w:top w:w="0" w:type="dxa"/>
            <w:left w:w="0" w:type="dxa"/>
            <w:bottom w:w="0" w:type="dxa"/>
            <w:right w:w="0" w:type="dxa"/>
          </w:tblCellMar>
        </w:tblPrEx>
        <w:trPr>
          <w:trHeight w:val="427"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50C0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B3ED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4C27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785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0B95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7C7B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18A0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2E9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374D6C48">
        <w:tblPrEx>
          <w:tblCellMar>
            <w:top w:w="0" w:type="dxa"/>
            <w:left w:w="0" w:type="dxa"/>
            <w:bottom w:w="0" w:type="dxa"/>
            <w:right w:w="0" w:type="dxa"/>
          </w:tblCellMar>
        </w:tblPrEx>
        <w:trPr>
          <w:trHeight w:val="416"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612E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4D2E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3506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22F0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FA05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FCC7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A06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9D1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38BAC4D5">
        <w:tblPrEx>
          <w:tblCellMar>
            <w:top w:w="0" w:type="dxa"/>
            <w:left w:w="0" w:type="dxa"/>
            <w:bottom w:w="0" w:type="dxa"/>
            <w:right w:w="0" w:type="dxa"/>
          </w:tblCellMar>
        </w:tblPrEx>
        <w:trPr>
          <w:trHeight w:val="46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278F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9559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660C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4D8D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2D7E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659C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B73C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FA4E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1CA2F79D">
        <w:tblPrEx>
          <w:tblCellMar>
            <w:top w:w="0" w:type="dxa"/>
            <w:left w:w="0" w:type="dxa"/>
            <w:bottom w:w="0" w:type="dxa"/>
            <w:right w:w="0" w:type="dxa"/>
          </w:tblCellMar>
        </w:tblPrEx>
        <w:trPr>
          <w:trHeight w:val="427"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B8F1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CBA2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E051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479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0CD5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5D4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E8FC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072A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1A1E5E88">
        <w:tblPrEx>
          <w:tblCellMar>
            <w:top w:w="0" w:type="dxa"/>
            <w:left w:w="0" w:type="dxa"/>
            <w:bottom w:w="0" w:type="dxa"/>
            <w:right w:w="0" w:type="dxa"/>
          </w:tblCellMar>
        </w:tblPrEx>
        <w:trPr>
          <w:trHeight w:val="406"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ED37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4346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57DF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5AAE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3362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4158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F06B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7BE5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6E9B155F">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43C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5255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EC84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1F9C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购买桌椅</w:t>
            </w:r>
            <w:r>
              <w:rPr>
                <w:rFonts w:hint="default" w:ascii="Times New Roman" w:hAnsi="Times New Roman" w:eastAsia="仿宋_GB2312" w:cs="Times New Roman"/>
                <w:b w:val="0"/>
                <w:bCs/>
                <w:i w:val="0"/>
                <w:color w:val="auto"/>
                <w:kern w:val="0"/>
                <w:sz w:val="21"/>
                <w:szCs w:val="21"/>
                <w:highlight w:val="none"/>
                <w:u w:val="none"/>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4E42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AE1E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≥80张</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532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≥80张</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9B9B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736F2B56">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F014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8236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975800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F7BF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音响设备合格率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1059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C7BF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B03A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BA87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336B42FB">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AE1F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2DD2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E9EB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0699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项目总投入</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14B8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D2A8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≤29.76万元</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FF70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≤29.76万元</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77FB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4411F3AA">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7484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0D7F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69AA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0843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C164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E530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C9AB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E287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274A28B8">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B358F1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926"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EBF48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40CDC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8A54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满足会议正常开展</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562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E72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优良中差</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6B2B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优</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D85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36CBA1C5">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F99569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1A0CDB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926253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F371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BA14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6A6D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F9D4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6458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09A747F3">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BC61AA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3C1FE3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483A54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04A2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126C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E5D2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736B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ED52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63A49930">
        <w:tblPrEx>
          <w:tblCellMar>
            <w:top w:w="0" w:type="dxa"/>
            <w:left w:w="0" w:type="dxa"/>
            <w:bottom w:w="0" w:type="dxa"/>
            <w:right w:w="0" w:type="dxa"/>
          </w:tblCellMar>
        </w:tblPrEx>
        <w:trPr>
          <w:trHeight w:val="694"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47A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02AB007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5175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A9B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7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281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工作满意度</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B31A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8075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5F8E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C066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3E0C3093">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四、绩效评价分析</w:t>
      </w:r>
    </w:p>
    <w:p w14:paraId="4D305A9A">
      <w:pPr>
        <w:keepNext w:val="0"/>
        <w:keepLines w:val="0"/>
        <w:pageBreakBefore w:val="0"/>
        <w:widowControl w:val="0"/>
        <w:kinsoku/>
        <w:wordWrap/>
        <w:overflowPunct/>
        <w:topLinePunct w:val="0"/>
        <w:autoSpaceDE/>
        <w:autoSpaceDN/>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为进一步保障会议顺利开展，报请相关部门审批，确定开展此项目，我单位严格按照《中国人民政治协商会议章程》及中省市区相关要求立项，立项决策依据充分、决策程序合规、</w:t>
      </w:r>
      <w:r>
        <w:rPr>
          <w:rFonts w:hint="default" w:ascii="Times New Roman" w:hAnsi="Times New Roman" w:eastAsia="仿宋_GB2312" w:cs="Times New Roman"/>
          <w:color w:val="auto"/>
          <w:sz w:val="32"/>
          <w:szCs w:val="32"/>
          <w:highlight w:val="none"/>
          <w:lang w:val="en-US" w:eastAsia="zh-CN"/>
        </w:rPr>
        <w:t>绩效目标</w:t>
      </w:r>
      <w:r>
        <w:rPr>
          <w:rFonts w:hint="eastAsia" w:ascii="Times New Roman" w:hAnsi="Times New Roman" w:eastAsia="仿宋_GB2312" w:cs="Times New Roman"/>
          <w:color w:val="auto"/>
          <w:sz w:val="32"/>
          <w:szCs w:val="32"/>
          <w:highlight w:val="none"/>
          <w:lang w:val="en-US" w:eastAsia="zh-CN"/>
        </w:rPr>
        <w:t>科学完整，</w:t>
      </w:r>
      <w:r>
        <w:rPr>
          <w:rFonts w:hint="default" w:ascii="Times New Roman" w:hAnsi="Times New Roman" w:eastAsia="仿宋_GB2312" w:cs="Times New Roman"/>
          <w:color w:val="auto"/>
          <w:sz w:val="32"/>
          <w:szCs w:val="32"/>
          <w:highlight w:val="none"/>
          <w:lang w:val="en-US" w:eastAsia="zh-CN"/>
        </w:rPr>
        <w:t>整体情况良好。</w:t>
      </w:r>
    </w:p>
    <w:p w14:paraId="7B070D5E">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严格执行项目申报，</w:t>
      </w:r>
      <w:r>
        <w:rPr>
          <w:rFonts w:hint="eastAsia" w:ascii="Times New Roman" w:hAnsi="Times New Roman" w:eastAsia="仿宋_GB2312" w:cs="Times New Roman"/>
          <w:color w:val="auto"/>
          <w:sz w:val="32"/>
          <w:szCs w:val="32"/>
          <w:highlight w:val="none"/>
          <w:lang w:val="en-US" w:eastAsia="zh-CN"/>
        </w:rPr>
        <w:t>项目实施及</w:t>
      </w:r>
      <w:r>
        <w:rPr>
          <w:rFonts w:hint="default" w:ascii="Times New Roman" w:hAnsi="Times New Roman" w:eastAsia="仿宋_GB2312" w:cs="Times New Roman"/>
          <w:color w:val="auto"/>
          <w:sz w:val="32"/>
          <w:szCs w:val="32"/>
          <w:highlight w:val="none"/>
          <w:lang w:val="en-US" w:eastAsia="zh-CN"/>
        </w:rPr>
        <w:t>资金使用严格按照预算</w:t>
      </w:r>
      <w:r>
        <w:rPr>
          <w:rFonts w:hint="eastAsia" w:ascii="Times New Roman" w:hAnsi="Times New Roman" w:eastAsia="仿宋_GB2312" w:cs="Times New Roman"/>
          <w:color w:val="auto"/>
          <w:sz w:val="32"/>
          <w:szCs w:val="32"/>
          <w:highlight w:val="none"/>
          <w:lang w:val="en-US" w:eastAsia="zh-CN"/>
        </w:rPr>
        <w:t>及单位内控等</w:t>
      </w:r>
      <w:r>
        <w:rPr>
          <w:rFonts w:hint="default" w:ascii="Times New Roman" w:hAnsi="Times New Roman" w:eastAsia="仿宋_GB2312" w:cs="Times New Roman"/>
          <w:color w:val="auto"/>
          <w:sz w:val="32"/>
          <w:szCs w:val="32"/>
          <w:highlight w:val="none"/>
          <w:lang w:val="en-US" w:eastAsia="zh-CN"/>
        </w:rPr>
        <w:t>相关</w:t>
      </w:r>
      <w:r>
        <w:rPr>
          <w:rFonts w:hint="eastAsia" w:ascii="Times New Roman" w:hAnsi="Times New Roman" w:eastAsia="仿宋_GB2312" w:cs="Times New Roman"/>
          <w:color w:val="auto"/>
          <w:sz w:val="32"/>
          <w:szCs w:val="32"/>
          <w:highlight w:val="none"/>
          <w:lang w:val="en-US" w:eastAsia="zh-CN"/>
        </w:rPr>
        <w:t>规定</w:t>
      </w:r>
      <w:r>
        <w:rPr>
          <w:rFonts w:hint="default" w:ascii="Times New Roman" w:hAnsi="Times New Roman" w:eastAsia="仿宋_GB2312" w:cs="Times New Roman"/>
          <w:color w:val="auto"/>
          <w:sz w:val="32"/>
          <w:szCs w:val="32"/>
          <w:highlight w:val="none"/>
          <w:lang w:val="en-US" w:eastAsia="zh-CN"/>
        </w:rPr>
        <w:t>执行。</w:t>
      </w:r>
    </w:p>
    <w:p w14:paraId="514E3FC5">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（三）项目产出情况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公开招标</w:t>
      </w:r>
      <w:r>
        <w:rPr>
          <w:rFonts w:hint="default" w:ascii="Times New Roman" w:hAnsi="Times New Roman" w:eastAsia="仿宋_GB2312" w:cs="Times New Roman"/>
          <w:color w:val="auto"/>
          <w:sz w:val="32"/>
          <w:szCs w:val="32"/>
          <w:highlight w:val="none"/>
          <w:lang w:val="en-US" w:eastAsia="zh-CN"/>
        </w:rPr>
        <w:t>采购</w:t>
      </w:r>
      <w:r>
        <w:rPr>
          <w:rFonts w:hint="eastAsia" w:ascii="Times New Roman" w:hAnsi="Times New Roman" w:eastAsia="仿宋_GB2312" w:cs="Times New Roman"/>
          <w:color w:val="auto"/>
          <w:sz w:val="32"/>
          <w:szCs w:val="32"/>
          <w:highlight w:val="none"/>
          <w:lang w:val="en-US" w:eastAsia="zh-CN"/>
        </w:rPr>
        <w:t>会议桌、主席台等40张、办公椅124张，专业功放、音响、调音台、音频处理器等会议音响设备50余个、空调6个，维修维护安装空调10次，产品合格率、完成及时率、使用人员</w:t>
      </w:r>
      <w:r>
        <w:rPr>
          <w:rFonts w:hint="default" w:ascii="Times New Roman" w:hAnsi="Times New Roman" w:eastAsia="仿宋_GB2312" w:cs="Times New Roman"/>
          <w:color w:val="auto"/>
          <w:sz w:val="32"/>
          <w:szCs w:val="32"/>
          <w:highlight w:val="none"/>
          <w:lang w:val="en-US" w:eastAsia="zh-CN"/>
        </w:rPr>
        <w:t>满意度</w:t>
      </w:r>
      <w:r>
        <w:rPr>
          <w:rFonts w:hint="eastAsia" w:ascii="Times New Roman" w:hAnsi="Times New Roman" w:eastAsia="仿宋_GB2312" w:cs="Times New Roman"/>
          <w:color w:val="auto"/>
          <w:sz w:val="32"/>
          <w:szCs w:val="32"/>
          <w:highlight w:val="none"/>
          <w:lang w:val="en-US" w:eastAsia="zh-CN"/>
        </w:rPr>
        <w:t>均达到100</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确保了会议正常开展</w:t>
      </w:r>
      <w:r>
        <w:rPr>
          <w:rFonts w:hint="default" w:ascii="Times New Roman" w:hAnsi="Times New Roman" w:eastAsia="仿宋_GB2312" w:cs="Times New Roman"/>
          <w:color w:val="auto"/>
          <w:sz w:val="32"/>
          <w:szCs w:val="32"/>
          <w:highlight w:val="none"/>
          <w:lang w:val="en-US" w:eastAsia="zh-CN"/>
        </w:rPr>
        <w:t>。</w:t>
      </w:r>
    </w:p>
    <w:p w14:paraId="4C5884C6">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楷体_GB2312" w:cs="Times New Roman"/>
          <w:b/>
          <w:color w:val="auto"/>
          <w:sz w:val="32"/>
          <w:szCs w:val="32"/>
          <w:highlight w:val="none"/>
        </w:rPr>
      </w:pPr>
      <w:r>
        <w:rPr>
          <w:rFonts w:hint="eastAsia" w:ascii="Times New Roman" w:hAnsi="Times New Roman" w:eastAsia="楷体_GB2312" w:cs="Times New Roman"/>
          <w:b/>
          <w:color w:val="auto"/>
          <w:sz w:val="32"/>
          <w:szCs w:val="32"/>
          <w:highlight w:val="none"/>
          <w:lang w:eastAsia="zh-CN"/>
        </w:rPr>
        <w:t>（</w:t>
      </w:r>
      <w:r>
        <w:rPr>
          <w:rFonts w:hint="eastAsia" w:ascii="Times New Roman" w:hAnsi="Times New Roman" w:eastAsia="楷体_GB2312" w:cs="Times New Roman"/>
          <w:b/>
          <w:color w:val="auto"/>
          <w:sz w:val="32"/>
          <w:szCs w:val="32"/>
          <w:highlight w:val="none"/>
          <w:lang w:val="en-US" w:eastAsia="zh-CN"/>
        </w:rPr>
        <w:t>四</w:t>
      </w:r>
      <w:r>
        <w:rPr>
          <w:rFonts w:hint="eastAsia" w:ascii="Times New Roman" w:hAnsi="Times New Roman" w:eastAsia="楷体_GB2312" w:cs="Times New Roman"/>
          <w:b/>
          <w:color w:val="auto"/>
          <w:sz w:val="32"/>
          <w:szCs w:val="32"/>
          <w:highlight w:val="none"/>
          <w:lang w:eastAsia="zh-CN"/>
        </w:rPr>
        <w:t>）</w:t>
      </w:r>
      <w:r>
        <w:rPr>
          <w:rFonts w:hint="default" w:ascii="Times New Roman" w:hAnsi="Times New Roman" w:eastAsia="楷体_GB2312" w:cs="Times New Roman"/>
          <w:b/>
          <w:color w:val="auto"/>
          <w:sz w:val="32"/>
          <w:szCs w:val="32"/>
          <w:highlight w:val="none"/>
        </w:rPr>
        <w:t>项目效益情况。</w:t>
      </w:r>
      <w:r>
        <w:rPr>
          <w:rFonts w:hint="default" w:ascii="Times New Roman" w:hAnsi="Times New Roman" w:eastAsia="仿宋_GB2312" w:cs="Times New Roman"/>
          <w:color w:val="auto"/>
          <w:sz w:val="32"/>
          <w:szCs w:val="32"/>
          <w:highlight w:val="none"/>
          <w:lang w:val="en-US" w:eastAsia="zh-CN"/>
        </w:rPr>
        <w:t>根据年度工作安排和财政预算批复，</w:t>
      </w:r>
      <w:r>
        <w:rPr>
          <w:rFonts w:hint="eastAsia" w:ascii="Times New Roman" w:hAnsi="Times New Roman" w:eastAsia="仿宋_GB2312" w:cs="Times New Roman"/>
          <w:color w:val="auto"/>
          <w:sz w:val="32"/>
          <w:szCs w:val="32"/>
          <w:highlight w:val="none"/>
          <w:lang w:val="en-US" w:eastAsia="zh-CN"/>
        </w:rPr>
        <w:t>产品合格率、完成及时率、使用人员</w:t>
      </w:r>
      <w:r>
        <w:rPr>
          <w:rFonts w:hint="default" w:ascii="Times New Roman" w:hAnsi="Times New Roman" w:eastAsia="仿宋_GB2312" w:cs="Times New Roman"/>
          <w:color w:val="auto"/>
          <w:sz w:val="32"/>
          <w:szCs w:val="32"/>
          <w:highlight w:val="none"/>
          <w:lang w:val="en-US" w:eastAsia="zh-CN"/>
        </w:rPr>
        <w:t>满意度</w:t>
      </w:r>
      <w:r>
        <w:rPr>
          <w:rFonts w:hint="eastAsia" w:ascii="Times New Roman" w:hAnsi="Times New Roman" w:eastAsia="仿宋_GB2312" w:cs="Times New Roman"/>
          <w:color w:val="auto"/>
          <w:sz w:val="32"/>
          <w:szCs w:val="32"/>
          <w:highlight w:val="none"/>
          <w:lang w:val="en-US" w:eastAsia="zh-CN"/>
        </w:rPr>
        <w:t>均达到100</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完成</w:t>
      </w:r>
      <w:r>
        <w:rPr>
          <w:rFonts w:hint="eastAsia" w:ascii="Times New Roman" w:hAnsi="Times New Roman" w:eastAsia="仿宋_GB2312" w:cs="Times New Roman"/>
          <w:color w:val="auto"/>
          <w:sz w:val="32"/>
          <w:szCs w:val="32"/>
          <w:highlight w:val="none"/>
          <w:lang w:val="en-US" w:eastAsia="zh-CN"/>
        </w:rPr>
        <w:t>会议设施设备</w:t>
      </w:r>
      <w:r>
        <w:rPr>
          <w:rFonts w:hint="default" w:ascii="Times New Roman" w:hAnsi="Times New Roman" w:eastAsia="仿宋_GB2312" w:cs="Times New Roman"/>
          <w:color w:val="auto"/>
          <w:sz w:val="32"/>
          <w:szCs w:val="32"/>
          <w:highlight w:val="none"/>
          <w:lang w:val="en-US" w:eastAsia="zh-CN"/>
        </w:rPr>
        <w:t>购置，保障</w:t>
      </w:r>
      <w:r>
        <w:rPr>
          <w:rFonts w:hint="eastAsia" w:ascii="Times New Roman" w:hAnsi="Times New Roman" w:eastAsia="仿宋_GB2312" w:cs="Times New Roman"/>
          <w:color w:val="auto"/>
          <w:sz w:val="32"/>
          <w:szCs w:val="32"/>
          <w:highlight w:val="none"/>
          <w:lang w:val="en-US" w:eastAsia="zh-CN"/>
        </w:rPr>
        <w:t>了</w:t>
      </w:r>
      <w:r>
        <w:rPr>
          <w:rFonts w:hint="default" w:ascii="Times New Roman" w:hAnsi="Times New Roman" w:eastAsia="仿宋_GB2312" w:cs="Times New Roman"/>
          <w:color w:val="auto"/>
          <w:sz w:val="32"/>
          <w:szCs w:val="32"/>
          <w:highlight w:val="none"/>
          <w:lang w:val="en-US" w:eastAsia="zh-CN"/>
        </w:rPr>
        <w:t>机关</w:t>
      </w:r>
      <w:r>
        <w:rPr>
          <w:rFonts w:hint="eastAsia" w:ascii="Times New Roman" w:hAnsi="Times New Roman" w:eastAsia="仿宋_GB2312" w:cs="Times New Roman"/>
          <w:color w:val="auto"/>
          <w:sz w:val="32"/>
          <w:szCs w:val="32"/>
          <w:highlight w:val="none"/>
          <w:lang w:val="en-US" w:eastAsia="zh-CN"/>
        </w:rPr>
        <w:t>会议需要，</w:t>
      </w:r>
      <w:r>
        <w:rPr>
          <w:rFonts w:hint="default" w:ascii="Times New Roman" w:hAnsi="Times New Roman" w:eastAsia="仿宋_GB2312" w:cs="Times New Roman"/>
          <w:color w:val="auto"/>
          <w:sz w:val="32"/>
          <w:szCs w:val="32"/>
          <w:highlight w:val="none"/>
          <w:lang w:val="en-US" w:eastAsia="zh-CN"/>
        </w:rPr>
        <w:t>初步实现预期目标</w:t>
      </w:r>
      <w:r>
        <w:rPr>
          <w:rFonts w:hint="eastAsia" w:ascii="Times New Roman" w:hAnsi="Times New Roman" w:eastAsia="仿宋_GB2312" w:cs="Times New Roman"/>
          <w:color w:val="auto"/>
          <w:sz w:val="32"/>
          <w:szCs w:val="32"/>
          <w:highlight w:val="none"/>
          <w:lang w:val="en-US" w:eastAsia="zh-CN"/>
        </w:rPr>
        <w:t>。</w:t>
      </w:r>
    </w:p>
    <w:p w14:paraId="5FBC958A">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7C581031">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无</w:t>
      </w:r>
    </w:p>
    <w:p w14:paraId="44BD38AE">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7E7A4F63">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无</w:t>
      </w:r>
    </w:p>
    <w:p w14:paraId="1F156CD2">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kern w:val="0"/>
          <w:sz w:val="32"/>
          <w:szCs w:val="32"/>
          <w:highlight w:val="none"/>
          <w:shd w:val="clear" w:color="auto" w:fill="FFFFFF"/>
          <w:lang w:val="en-US" w:eastAsia="zh-CN"/>
        </w:rPr>
      </w:pPr>
    </w:p>
    <w:p w14:paraId="72D3E2C4">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en-US" w:eastAsia="zh-CN"/>
        </w:rPr>
      </w:pPr>
    </w:p>
    <w:p w14:paraId="0C8DBC82">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en-US" w:eastAsia="zh-CN"/>
        </w:rPr>
      </w:pPr>
    </w:p>
    <w:p w14:paraId="5D618144">
      <w:pPr>
        <w:keepNext w:val="0"/>
        <w:keepLines w:val="0"/>
        <w:pageBreakBefore w:val="0"/>
        <w:widowControl w:val="0"/>
        <w:kinsoku/>
        <w:wordWrap/>
        <w:overflowPunct w:val="0"/>
        <w:topLinePunct w:val="0"/>
        <w:autoSpaceDE/>
        <w:autoSpaceDN/>
        <w:bidi w:val="0"/>
        <w:adjustRightInd w:val="0"/>
        <w:snapToGrid w:val="0"/>
        <w:spacing w:line="570" w:lineRule="exact"/>
        <w:ind w:firstLine="420" w:firstLineChars="200"/>
        <w:rPr>
          <w:rFonts w:hint="default" w:ascii="Times New Roman" w:hAnsi="Times New Roman" w:cs="Times New Roman"/>
          <w:color w:val="auto"/>
          <w:kern w:val="0"/>
          <w:highlight w:val="none"/>
          <w:shd w:val="clear" w:color="auto" w:fill="FFFFFF"/>
          <w:lang w:val="en-US" w:eastAsia="zh-CN"/>
        </w:rPr>
      </w:pPr>
    </w:p>
    <w:p w14:paraId="1F0EB32D">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3FFE10A4">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72088E63">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412F0056">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171656C0">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783F87D9">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4A00DBFF">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42A3D9A4">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13E96121">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p>
    <w:p w14:paraId="77101439">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1D1DAA01">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3CECA4D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705567C4">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default" w:ascii="Times New Roman" w:hAnsi="Times New Roman" w:eastAsia="楷体_GB2312" w:cs="Times New Roman"/>
          <w:b/>
          <w:bCs/>
          <w:color w:val="auto"/>
          <w:sz w:val="32"/>
          <w:szCs w:val="32"/>
          <w:highlight w:val="none"/>
          <w:lang w:val="en-US" w:eastAsia="zh-CN"/>
        </w:rPr>
        <w:t>基层政治协商工作指导经</w:t>
      </w:r>
      <w:r>
        <w:rPr>
          <w:rFonts w:hint="default" w:ascii="Times New Roman" w:hAnsi="Times New Roman" w:eastAsia="楷体_GB2312" w:cs="Times New Roman"/>
          <w:b/>
          <w:bCs/>
          <w:color w:val="auto"/>
          <w:sz w:val="32"/>
          <w:szCs w:val="32"/>
          <w:highlight w:val="none"/>
          <w:lang w:eastAsia="zh-CN"/>
        </w:rPr>
        <w:t>费</w:t>
      </w:r>
      <w:r>
        <w:rPr>
          <w:rFonts w:hint="default" w:ascii="Times New Roman" w:hAnsi="Times New Roman" w:eastAsia="楷体_GB2312" w:cs="Times New Roman"/>
          <w:b/>
          <w:bCs/>
          <w:color w:val="auto"/>
          <w:sz w:val="32"/>
          <w:szCs w:val="32"/>
          <w:highlight w:val="none"/>
        </w:rPr>
        <w:t>）</w:t>
      </w:r>
    </w:p>
    <w:p w14:paraId="4E763E32">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4FC0929F">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10FDDD6D">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color w:val="auto"/>
          <w:sz w:val="32"/>
          <w:szCs w:val="32"/>
          <w:highlight w:val="none"/>
          <w:lang w:val="en-US" w:eastAsia="zh-CN"/>
        </w:rPr>
        <w:t>（一）项目概况。</w:t>
      </w:r>
      <w:r>
        <w:rPr>
          <w:rFonts w:hint="eastAsia" w:ascii="Times New Roman" w:hAnsi="Times New Roman" w:eastAsia="仿宋_GB2312" w:cs="Times New Roman"/>
          <w:color w:val="auto"/>
          <w:kern w:val="2"/>
          <w:sz w:val="32"/>
          <w:szCs w:val="32"/>
          <w:highlight w:val="none"/>
          <w:lang w:val="en-US" w:eastAsia="zh-CN" w:bidi="ar-SA"/>
        </w:rPr>
        <w:t>按照《关于加强和改进新时代市县政协工作的实施意见》相关安排部署和省市区政协工作要求，政协要加强基层政治协商工作指导，进一步推进“有事来协商”、“同心共建现代化四川”船山专项行动、书香政协等工作，切实发挥政协阵地作用，强化政协委员履职担当，设立此项目，</w:t>
      </w:r>
      <w:r>
        <w:rPr>
          <w:rFonts w:hint="default" w:ascii="Times New Roman" w:hAnsi="Times New Roman" w:eastAsia="仿宋_GB2312" w:cs="Times New Roman"/>
          <w:color w:val="auto"/>
          <w:kern w:val="2"/>
          <w:sz w:val="32"/>
          <w:szCs w:val="32"/>
          <w:highlight w:val="none"/>
          <w:lang w:val="en-US" w:eastAsia="zh-CN" w:bidi="ar-SA"/>
        </w:rPr>
        <w:t>用于</w:t>
      </w:r>
      <w:r>
        <w:rPr>
          <w:rFonts w:hint="eastAsia" w:ascii="Times New Roman" w:hAnsi="Times New Roman" w:eastAsia="仿宋_GB2312" w:cs="Times New Roman"/>
          <w:color w:val="auto"/>
          <w:kern w:val="2"/>
          <w:sz w:val="32"/>
          <w:szCs w:val="32"/>
          <w:highlight w:val="none"/>
          <w:lang w:val="en-US" w:eastAsia="zh-CN" w:bidi="ar-SA"/>
        </w:rPr>
        <w:t>保障</w:t>
      </w:r>
      <w:r>
        <w:rPr>
          <w:rFonts w:hint="default" w:ascii="Times New Roman" w:hAnsi="Times New Roman" w:eastAsia="仿宋_GB2312" w:cs="Times New Roman"/>
          <w:color w:val="auto"/>
          <w:kern w:val="2"/>
          <w:sz w:val="32"/>
          <w:szCs w:val="32"/>
          <w:highlight w:val="none"/>
          <w:lang w:val="en-US" w:eastAsia="zh-CN" w:bidi="ar-SA"/>
        </w:rPr>
        <w:t>组织基层开展政协业务工作相关支出。</w:t>
      </w:r>
    </w:p>
    <w:p w14:paraId="3F00CF52">
      <w:pPr>
        <w:pStyle w:val="24"/>
        <w:keepNext w:val="0"/>
        <w:keepLines w:val="0"/>
        <w:pageBreakBefore w:val="0"/>
        <w:widowControl w:val="0"/>
        <w:kinsoku/>
        <w:wordWrap/>
        <w:overflowPunct w:val="0"/>
        <w:topLinePunct w:val="0"/>
        <w:autoSpaceDE/>
        <w:autoSpaceDN/>
        <w:bidi w:val="0"/>
        <w:adjustRightInd w:val="0"/>
        <w:snapToGrid w:val="0"/>
        <w:spacing w:before="0" w:after="0" w:line="570" w:lineRule="exact"/>
        <w:ind w:firstLine="643" w:firstLineChars="200"/>
        <w:jc w:val="both"/>
        <w:rPr>
          <w:rFonts w:hint="eastAsia" w:ascii="Times New Roman" w:hAnsi="Times New Roman" w:eastAsia="宋体" w:cs="Times New Roman"/>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Times New Roman" w:hAnsi="Times New Roman" w:eastAsia="仿宋_GB2312" w:cs="Times New Roman"/>
          <w:color w:val="auto"/>
          <w:kern w:val="2"/>
          <w:sz w:val="32"/>
          <w:szCs w:val="32"/>
          <w:highlight w:val="none"/>
          <w:lang w:val="en-US" w:eastAsia="zh-CN" w:bidi="ar-SA"/>
        </w:rPr>
        <w:t>项目计划组织不少于400人次开展基层政治协商工作指导，</w:t>
      </w:r>
      <w:r>
        <w:rPr>
          <w:rFonts w:hint="default" w:ascii="Times New Roman" w:hAnsi="Times New Roman" w:eastAsia="仿宋_GB2312" w:cs="Times New Roman"/>
          <w:color w:val="auto"/>
          <w:kern w:val="2"/>
          <w:sz w:val="32"/>
          <w:szCs w:val="32"/>
          <w:highlight w:val="none"/>
          <w:lang w:val="en-US" w:eastAsia="zh-CN" w:bidi="ar-SA"/>
        </w:rPr>
        <w:t>出差人员到岗率、完成及时率、基层政协工作正常开展率达100%，</w:t>
      </w:r>
      <w:r>
        <w:rPr>
          <w:rFonts w:hint="eastAsia" w:ascii="Times New Roman" w:hAnsi="Times New Roman" w:eastAsia="仿宋_GB2312" w:cs="Times New Roman"/>
          <w:color w:val="auto"/>
          <w:kern w:val="2"/>
          <w:sz w:val="32"/>
          <w:szCs w:val="32"/>
          <w:highlight w:val="none"/>
          <w:lang w:val="en-US" w:eastAsia="zh-CN" w:bidi="ar-SA"/>
        </w:rPr>
        <w:t>基层政协工作人员满意度90%，内控制度健全，总投入不超过4.8万元。</w:t>
      </w:r>
      <w:r>
        <w:rPr>
          <w:rFonts w:hint="default" w:ascii="Times New Roman" w:hAnsi="Times New Roman" w:eastAsia="仿宋_GB2312" w:cs="Times New Roman"/>
          <w:color w:val="auto"/>
          <w:kern w:val="2"/>
          <w:sz w:val="32"/>
          <w:szCs w:val="32"/>
          <w:highlight w:val="none"/>
          <w:lang w:val="en-US" w:eastAsia="zh-CN" w:bidi="ar-SA"/>
        </w:rPr>
        <w:t>该项目均按照有关规章制度和工作要求有序推进。全年</w:t>
      </w:r>
      <w:r>
        <w:rPr>
          <w:rFonts w:hint="eastAsia" w:ascii="Times New Roman" w:hAnsi="Times New Roman" w:eastAsia="仿宋_GB2312" w:cs="Times New Roman"/>
          <w:color w:val="auto"/>
          <w:kern w:val="2"/>
          <w:sz w:val="32"/>
          <w:szCs w:val="32"/>
          <w:highlight w:val="none"/>
          <w:lang w:val="en-US" w:eastAsia="zh-CN" w:bidi="ar-SA"/>
        </w:rPr>
        <w:t>组织机关干部2000</w:t>
      </w:r>
      <w:r>
        <w:rPr>
          <w:rFonts w:hint="default" w:ascii="Times New Roman" w:hAnsi="Times New Roman" w:eastAsia="仿宋_GB2312" w:cs="Times New Roman"/>
          <w:color w:val="auto"/>
          <w:kern w:val="2"/>
          <w:sz w:val="32"/>
          <w:szCs w:val="32"/>
          <w:highlight w:val="none"/>
          <w:lang w:val="en-US" w:eastAsia="zh-CN" w:bidi="ar-SA"/>
        </w:rPr>
        <w:t>余人次</w:t>
      </w:r>
      <w:r>
        <w:rPr>
          <w:rFonts w:hint="eastAsia" w:ascii="Times New Roman" w:hAnsi="Times New Roman" w:eastAsia="仿宋_GB2312" w:cs="Times New Roman"/>
          <w:color w:val="auto"/>
          <w:kern w:val="2"/>
          <w:sz w:val="32"/>
          <w:szCs w:val="32"/>
          <w:highlight w:val="none"/>
          <w:lang w:val="en-US" w:eastAsia="zh-CN" w:bidi="ar-SA"/>
        </w:rPr>
        <w:t>，深入乡镇（村）、街道（社区）、园区、界别委员工作室等地指导基层开展调研视察及“有事来协商”、“同心共建现代化四川”船山专项行动、书香政协等工作，</w:t>
      </w:r>
      <w:r>
        <w:rPr>
          <w:rFonts w:hint="default" w:ascii="Times New Roman" w:hAnsi="Times New Roman" w:eastAsia="仿宋_GB2312" w:cs="Times New Roman"/>
          <w:color w:val="auto"/>
          <w:kern w:val="2"/>
          <w:sz w:val="32"/>
          <w:szCs w:val="32"/>
          <w:highlight w:val="none"/>
          <w:lang w:val="en-US" w:eastAsia="zh-CN" w:bidi="ar-SA"/>
        </w:rPr>
        <w:t>出差人员到岗率、完成及时率、基层政协工作正常开展率、工作满意度达100%，</w:t>
      </w:r>
      <w:r>
        <w:rPr>
          <w:rFonts w:hint="eastAsia" w:ascii="Times New Roman" w:hAnsi="Times New Roman" w:eastAsia="仿宋_GB2312" w:cs="Times New Roman"/>
          <w:color w:val="auto"/>
          <w:kern w:val="2"/>
          <w:sz w:val="32"/>
          <w:szCs w:val="32"/>
          <w:highlight w:val="none"/>
          <w:lang w:val="en-US" w:eastAsia="zh-CN" w:bidi="ar-SA"/>
        </w:rPr>
        <w:t>项目完成4.8万元，财务内控制度建立健全，</w:t>
      </w:r>
      <w:r>
        <w:rPr>
          <w:rFonts w:hint="default" w:ascii="Times New Roman" w:hAnsi="Times New Roman" w:eastAsia="仿宋_GB2312" w:cs="Times New Roman"/>
          <w:color w:val="auto"/>
          <w:kern w:val="2"/>
          <w:sz w:val="32"/>
          <w:szCs w:val="32"/>
          <w:highlight w:val="none"/>
          <w:lang w:val="en-US" w:eastAsia="zh-CN" w:bidi="ar-SA"/>
        </w:rPr>
        <w:t>基层政协工作业务水平不断提升。</w:t>
      </w:r>
    </w:p>
    <w:p w14:paraId="340A9C74">
      <w:pPr>
        <w:pStyle w:val="25"/>
        <w:keepNext w:val="0"/>
        <w:keepLines w:val="0"/>
        <w:pageBreakBefore w:val="0"/>
        <w:widowControl w:val="0"/>
        <w:kinsoku/>
        <w:wordWrap/>
        <w:overflowPunct w:val="0"/>
        <w:topLinePunct w:val="0"/>
        <w:autoSpaceDE/>
        <w:autoSpaceDN/>
        <w:bidi w:val="0"/>
        <w:adjustRightInd w:val="0"/>
        <w:snapToGrid w:val="0"/>
        <w:spacing w:line="570" w:lineRule="exact"/>
        <w:ind w:firstLine="64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24"/>
          <w:highlight w:val="none"/>
          <w:lang w:val="en-US" w:eastAsia="zh-CN" w:bidi="ar-SA"/>
        </w:rPr>
        <w:t>（三）资金投入使用情况。</w:t>
      </w:r>
      <w:r>
        <w:rPr>
          <w:rFonts w:hint="default" w:ascii="Times New Roman" w:hAnsi="Times New Roman" w:eastAsia="仿宋_GB2312" w:cs="Times New Roman"/>
          <w:color w:val="auto"/>
          <w:kern w:val="2"/>
          <w:sz w:val="32"/>
          <w:szCs w:val="32"/>
          <w:highlight w:val="none"/>
          <w:lang w:val="en-US" w:eastAsia="zh-CN" w:bidi="ar-SA"/>
        </w:rPr>
        <w:t>该项目202</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年年初预算资金</w:t>
      </w:r>
      <w:r>
        <w:rPr>
          <w:rFonts w:hint="eastAsia" w:ascii="Times New Roman" w:hAnsi="Times New Roman" w:eastAsia="仿宋_GB2312" w:cs="Times New Roman"/>
          <w:color w:val="auto"/>
          <w:kern w:val="2"/>
          <w:sz w:val="32"/>
          <w:szCs w:val="32"/>
          <w:highlight w:val="none"/>
          <w:lang w:val="en-US" w:eastAsia="zh-CN" w:bidi="ar-SA"/>
        </w:rPr>
        <w:t>4.8</w:t>
      </w:r>
      <w:r>
        <w:rPr>
          <w:rFonts w:hint="default" w:ascii="Times New Roman" w:hAnsi="Times New Roman" w:eastAsia="仿宋_GB2312" w:cs="Times New Roman"/>
          <w:color w:val="auto"/>
          <w:kern w:val="2"/>
          <w:sz w:val="32"/>
          <w:szCs w:val="32"/>
          <w:highlight w:val="none"/>
          <w:lang w:val="en-US" w:eastAsia="zh-CN" w:bidi="ar-SA"/>
        </w:rPr>
        <w:t>万元，</w:t>
      </w:r>
      <w:r>
        <w:rPr>
          <w:rFonts w:hint="eastAsia" w:ascii="Times New Roman" w:hAnsi="Times New Roman" w:eastAsia="仿宋_GB2312" w:cs="Times New Roman"/>
          <w:color w:val="auto"/>
          <w:kern w:val="2"/>
          <w:sz w:val="32"/>
          <w:szCs w:val="32"/>
          <w:highlight w:val="none"/>
          <w:lang w:val="en-US" w:eastAsia="zh-CN" w:bidi="ar-SA"/>
        </w:rPr>
        <w:t>财政下达资金4.8万元，</w:t>
      </w:r>
      <w:r>
        <w:rPr>
          <w:rFonts w:hint="default" w:ascii="Times New Roman" w:hAnsi="Times New Roman" w:eastAsia="仿宋_GB2312" w:cs="Times New Roman"/>
          <w:color w:val="auto"/>
          <w:kern w:val="2"/>
          <w:sz w:val="32"/>
          <w:szCs w:val="32"/>
          <w:highlight w:val="none"/>
          <w:lang w:val="en-US" w:eastAsia="zh-CN" w:bidi="ar-SA"/>
        </w:rPr>
        <w:t>财政收回指标</w:t>
      </w:r>
      <w:r>
        <w:rPr>
          <w:rFonts w:hint="eastAsia" w:ascii="Times New Roman" w:hAnsi="Times New Roman" w:eastAsia="仿宋_GB2312" w:cs="Times New Roman"/>
          <w:color w:val="auto"/>
          <w:kern w:val="2"/>
          <w:sz w:val="32"/>
          <w:szCs w:val="32"/>
          <w:highlight w:val="none"/>
          <w:lang w:val="en-US" w:eastAsia="zh-CN" w:bidi="ar-SA"/>
        </w:rPr>
        <w:t>0.46</w:t>
      </w:r>
      <w:r>
        <w:rPr>
          <w:rFonts w:hint="default" w:ascii="Times New Roman" w:hAnsi="Times New Roman" w:eastAsia="仿宋_GB2312" w:cs="Times New Roman"/>
          <w:color w:val="auto"/>
          <w:kern w:val="2"/>
          <w:sz w:val="32"/>
          <w:szCs w:val="32"/>
          <w:highlight w:val="none"/>
          <w:lang w:val="en-US" w:eastAsia="zh-CN" w:bidi="ar-SA"/>
        </w:rPr>
        <w:t>万元，支出</w:t>
      </w:r>
      <w:r>
        <w:rPr>
          <w:rFonts w:hint="eastAsia" w:ascii="Times New Roman" w:hAnsi="Times New Roman" w:eastAsia="仿宋_GB2312" w:cs="Times New Roman"/>
          <w:color w:val="auto"/>
          <w:kern w:val="2"/>
          <w:sz w:val="32"/>
          <w:szCs w:val="32"/>
          <w:highlight w:val="none"/>
          <w:lang w:val="en-US" w:eastAsia="zh-CN" w:bidi="ar-SA"/>
        </w:rPr>
        <w:t>4.34</w:t>
      </w:r>
      <w:r>
        <w:rPr>
          <w:rFonts w:hint="default" w:ascii="Times New Roman" w:hAnsi="Times New Roman" w:eastAsia="仿宋_GB2312" w:cs="Times New Roman"/>
          <w:color w:val="auto"/>
          <w:kern w:val="2"/>
          <w:sz w:val="32"/>
          <w:szCs w:val="32"/>
          <w:highlight w:val="none"/>
          <w:lang w:val="en-US" w:eastAsia="zh-CN" w:bidi="ar-SA"/>
        </w:rPr>
        <w:t>万元，完成率100%。</w:t>
      </w:r>
    </w:p>
    <w:p w14:paraId="67B15BBF">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楷体_GB2312" w:cs="Times New Roman"/>
          <w:b/>
          <w:bCs/>
          <w:color w:val="auto"/>
          <w:kern w:val="2"/>
          <w:sz w:val="32"/>
          <w:szCs w:val="24"/>
          <w:highlight w:val="none"/>
          <w:lang w:val="en-US" w:eastAsia="zh-CN" w:bidi="ar-SA"/>
        </w:rPr>
      </w:pPr>
      <w:r>
        <w:rPr>
          <w:rFonts w:hint="default" w:ascii="Times New Roman" w:hAnsi="Times New Roman" w:eastAsia="楷体_GB2312" w:cs="Times New Roman"/>
          <w:b/>
          <w:bCs/>
          <w:color w:val="auto"/>
          <w:kern w:val="2"/>
          <w:sz w:val="32"/>
          <w:szCs w:val="24"/>
          <w:highlight w:val="none"/>
          <w:lang w:val="en-US" w:eastAsia="zh-CN" w:bidi="ar-SA"/>
        </w:rPr>
        <w:t>（四）项目绩效目标</w:t>
      </w:r>
    </w:p>
    <w:tbl>
      <w:tblPr>
        <w:tblStyle w:val="20"/>
        <w:tblW w:w="82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7"/>
        <w:gridCol w:w="1950"/>
        <w:gridCol w:w="2437"/>
        <w:gridCol w:w="1350"/>
        <w:gridCol w:w="1400"/>
      </w:tblGrid>
      <w:tr w14:paraId="7FF7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30392C88">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7CF99E49">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7D31F840">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350" w:type="dxa"/>
            <w:tcBorders>
              <w:top w:val="single" w:color="000000" w:sz="4" w:space="0"/>
              <w:left w:val="single" w:color="000000" w:sz="4" w:space="0"/>
              <w:bottom w:val="single" w:color="000000" w:sz="4" w:space="0"/>
              <w:right w:val="single" w:color="000000" w:sz="4" w:space="0"/>
            </w:tcBorders>
            <w:vAlign w:val="center"/>
          </w:tcPr>
          <w:p w14:paraId="7346EA6C">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sz w:val="18"/>
                <w:szCs w:val="18"/>
                <w:u w:val="none"/>
                <w:lang w:val="en-US" w:eastAsia="zh-CN"/>
              </w:rPr>
              <w:t>年度指标值</w:t>
            </w:r>
          </w:p>
        </w:tc>
        <w:tc>
          <w:tcPr>
            <w:tcW w:w="1400" w:type="dxa"/>
            <w:tcBorders>
              <w:top w:val="single" w:color="000000" w:sz="4" w:space="0"/>
              <w:left w:val="single" w:color="000000" w:sz="4" w:space="0"/>
              <w:bottom w:val="single" w:color="000000" w:sz="4" w:space="0"/>
              <w:right w:val="single" w:color="000000" w:sz="4" w:space="0"/>
            </w:tcBorders>
            <w:vAlign w:val="center"/>
          </w:tcPr>
          <w:p w14:paraId="671B836E">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sz w:val="18"/>
                <w:szCs w:val="18"/>
                <w:u w:val="none"/>
                <w:lang w:val="en-US" w:eastAsia="zh-CN"/>
              </w:rPr>
              <w:t>全年完成情况</w:t>
            </w:r>
          </w:p>
        </w:tc>
      </w:tr>
      <w:tr w14:paraId="5716C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201A3D1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784337B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195D405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项目总投入</w:t>
            </w:r>
          </w:p>
        </w:tc>
        <w:tc>
          <w:tcPr>
            <w:tcW w:w="1350" w:type="dxa"/>
            <w:tcBorders>
              <w:top w:val="single" w:color="000000" w:sz="4" w:space="0"/>
              <w:left w:val="single" w:color="000000" w:sz="4" w:space="0"/>
              <w:bottom w:val="single" w:color="000000" w:sz="4" w:space="0"/>
              <w:right w:val="single" w:color="000000" w:sz="4" w:space="0"/>
            </w:tcBorders>
            <w:vAlign w:val="center"/>
          </w:tcPr>
          <w:p w14:paraId="4AAE3CEE">
            <w:pPr>
              <w:keepNext w:val="0"/>
              <w:keepLines w:val="0"/>
              <w:widowControl/>
              <w:suppressLineNumbers w:val="0"/>
              <w:jc w:val="left"/>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≤4.8万元</w:t>
            </w:r>
          </w:p>
        </w:tc>
        <w:tc>
          <w:tcPr>
            <w:tcW w:w="1400" w:type="dxa"/>
            <w:tcBorders>
              <w:top w:val="single" w:color="000000" w:sz="4" w:space="0"/>
              <w:left w:val="single" w:color="000000" w:sz="4" w:space="0"/>
              <w:bottom w:val="single" w:color="000000" w:sz="4" w:space="0"/>
              <w:right w:val="single" w:color="000000" w:sz="4" w:space="0"/>
            </w:tcBorders>
            <w:vAlign w:val="center"/>
          </w:tcPr>
          <w:p w14:paraId="5E724452">
            <w:pP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4.8万元</w:t>
            </w:r>
          </w:p>
        </w:tc>
      </w:tr>
      <w:tr w14:paraId="72A0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5BFE992D">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103D886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7822D15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完成及时率</w:t>
            </w:r>
          </w:p>
        </w:tc>
        <w:tc>
          <w:tcPr>
            <w:tcW w:w="1350" w:type="dxa"/>
            <w:tcBorders>
              <w:top w:val="single" w:color="000000" w:sz="4" w:space="0"/>
              <w:left w:val="single" w:color="000000" w:sz="4" w:space="0"/>
              <w:bottom w:val="single" w:color="000000" w:sz="4" w:space="0"/>
              <w:right w:val="single" w:color="000000" w:sz="4" w:space="0"/>
            </w:tcBorders>
            <w:vAlign w:val="center"/>
          </w:tcPr>
          <w:p w14:paraId="13B3DE5C">
            <w:pPr>
              <w:keepNext w:val="0"/>
              <w:keepLines w:val="0"/>
              <w:widowControl/>
              <w:suppressLineNumbers w:val="0"/>
              <w:jc w:val="left"/>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400" w:type="dxa"/>
            <w:tcBorders>
              <w:top w:val="single" w:color="000000" w:sz="4" w:space="0"/>
              <w:left w:val="single" w:color="000000" w:sz="4" w:space="0"/>
              <w:bottom w:val="single" w:color="000000" w:sz="4" w:space="0"/>
              <w:right w:val="single" w:color="000000" w:sz="4" w:space="0"/>
            </w:tcBorders>
            <w:vAlign w:val="center"/>
          </w:tcPr>
          <w:p w14:paraId="145BD081">
            <w:pP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59FC5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3E2B233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7F05A5B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20AB6F5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出差人数</w:t>
            </w:r>
          </w:p>
        </w:tc>
        <w:tc>
          <w:tcPr>
            <w:tcW w:w="1350" w:type="dxa"/>
            <w:tcBorders>
              <w:top w:val="single" w:color="000000" w:sz="4" w:space="0"/>
              <w:left w:val="single" w:color="000000" w:sz="4" w:space="0"/>
              <w:bottom w:val="single" w:color="000000" w:sz="4" w:space="0"/>
              <w:right w:val="single" w:color="000000" w:sz="4" w:space="0"/>
            </w:tcBorders>
            <w:vAlign w:val="center"/>
          </w:tcPr>
          <w:p w14:paraId="1524C2E2">
            <w:pPr>
              <w:keepNext w:val="0"/>
              <w:keepLines w:val="0"/>
              <w:widowControl/>
              <w:suppressLineNumbers w:val="0"/>
              <w:jc w:val="left"/>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≥400人次</w:t>
            </w:r>
          </w:p>
        </w:tc>
        <w:tc>
          <w:tcPr>
            <w:tcW w:w="1400" w:type="dxa"/>
            <w:tcBorders>
              <w:top w:val="single" w:color="000000" w:sz="4" w:space="0"/>
              <w:left w:val="single" w:color="000000" w:sz="4" w:space="0"/>
              <w:bottom w:val="single" w:color="000000" w:sz="4" w:space="0"/>
              <w:right w:val="single" w:color="000000" w:sz="4" w:space="0"/>
            </w:tcBorders>
            <w:vAlign w:val="center"/>
          </w:tcPr>
          <w:p w14:paraId="34D33DAE">
            <w:pP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＞400人次</w:t>
            </w:r>
          </w:p>
        </w:tc>
      </w:tr>
      <w:tr w14:paraId="17ABA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60F5910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048165C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6447DEF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出差人员到岗率</w:t>
            </w:r>
          </w:p>
        </w:tc>
        <w:tc>
          <w:tcPr>
            <w:tcW w:w="1350" w:type="dxa"/>
            <w:tcBorders>
              <w:top w:val="single" w:color="000000" w:sz="4" w:space="0"/>
              <w:left w:val="single" w:color="000000" w:sz="4" w:space="0"/>
              <w:bottom w:val="single" w:color="000000" w:sz="4" w:space="0"/>
              <w:right w:val="single" w:color="000000" w:sz="4" w:space="0"/>
            </w:tcBorders>
            <w:vAlign w:val="center"/>
          </w:tcPr>
          <w:p w14:paraId="5E773F1A">
            <w:pPr>
              <w:keepNext w:val="0"/>
              <w:keepLines w:val="0"/>
              <w:widowControl/>
              <w:suppressLineNumbers w:val="0"/>
              <w:jc w:val="left"/>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w:t>
            </w:r>
          </w:p>
        </w:tc>
        <w:tc>
          <w:tcPr>
            <w:tcW w:w="1400" w:type="dxa"/>
            <w:tcBorders>
              <w:top w:val="single" w:color="000000" w:sz="4" w:space="0"/>
              <w:left w:val="single" w:color="000000" w:sz="4" w:space="0"/>
              <w:bottom w:val="single" w:color="000000" w:sz="4" w:space="0"/>
              <w:right w:val="single" w:color="000000" w:sz="4" w:space="0"/>
            </w:tcBorders>
            <w:vAlign w:val="center"/>
          </w:tcPr>
          <w:p w14:paraId="3B7A9D9D">
            <w:pP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54A15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7A0DDD64">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0EA07A9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6A3C455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基层政协工作正常开展率</w:t>
            </w:r>
          </w:p>
        </w:tc>
        <w:tc>
          <w:tcPr>
            <w:tcW w:w="1350" w:type="dxa"/>
            <w:tcBorders>
              <w:top w:val="single" w:color="000000" w:sz="4" w:space="0"/>
              <w:left w:val="single" w:color="000000" w:sz="4" w:space="0"/>
              <w:bottom w:val="single" w:color="000000" w:sz="4" w:space="0"/>
              <w:right w:val="single" w:color="000000" w:sz="4" w:space="0"/>
            </w:tcBorders>
            <w:vAlign w:val="center"/>
          </w:tcPr>
          <w:p w14:paraId="1FC82A6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c>
          <w:tcPr>
            <w:tcW w:w="1400" w:type="dxa"/>
            <w:tcBorders>
              <w:top w:val="single" w:color="000000" w:sz="4" w:space="0"/>
              <w:left w:val="single" w:color="000000" w:sz="4" w:space="0"/>
              <w:bottom w:val="single" w:color="000000" w:sz="4" w:space="0"/>
              <w:right w:val="single" w:color="000000" w:sz="4" w:space="0"/>
            </w:tcBorders>
            <w:vAlign w:val="center"/>
          </w:tcPr>
          <w:p w14:paraId="520CD092">
            <w:pP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r w14:paraId="41A8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5471EF21">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3E85851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1652147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内控财务制度健全性</w:t>
            </w:r>
          </w:p>
        </w:tc>
        <w:tc>
          <w:tcPr>
            <w:tcW w:w="1350" w:type="dxa"/>
            <w:tcBorders>
              <w:top w:val="single" w:color="000000" w:sz="4" w:space="0"/>
              <w:left w:val="single" w:color="000000" w:sz="4" w:space="0"/>
              <w:bottom w:val="single" w:color="000000" w:sz="4" w:space="0"/>
              <w:right w:val="single" w:color="000000" w:sz="4" w:space="0"/>
            </w:tcBorders>
            <w:vAlign w:val="center"/>
          </w:tcPr>
          <w:p w14:paraId="11EAC476">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400" w:type="dxa"/>
            <w:tcBorders>
              <w:top w:val="single" w:color="000000" w:sz="4" w:space="0"/>
              <w:left w:val="single" w:color="000000" w:sz="4" w:space="0"/>
              <w:bottom w:val="single" w:color="000000" w:sz="4" w:space="0"/>
              <w:right w:val="single" w:color="000000" w:sz="4" w:space="0"/>
            </w:tcBorders>
            <w:vAlign w:val="center"/>
          </w:tcPr>
          <w:p w14:paraId="47187994">
            <w:pPr>
              <w:rPr>
                <w:rFonts w:hint="eastAsia"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17E24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3B36E2B6">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1950" w:type="dxa"/>
            <w:tcBorders>
              <w:top w:val="single" w:color="000000" w:sz="4" w:space="0"/>
              <w:left w:val="single" w:color="000000" w:sz="4" w:space="0"/>
              <w:bottom w:val="single" w:color="000000" w:sz="4" w:space="0"/>
              <w:right w:val="single" w:color="000000" w:sz="4" w:space="0"/>
            </w:tcBorders>
            <w:vAlign w:val="center"/>
          </w:tcPr>
          <w:p w14:paraId="5B86CE5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2437" w:type="dxa"/>
            <w:tcBorders>
              <w:top w:val="single" w:color="000000" w:sz="4" w:space="0"/>
              <w:left w:val="single" w:color="000000" w:sz="4" w:space="0"/>
              <w:bottom w:val="single" w:color="000000" w:sz="4" w:space="0"/>
              <w:right w:val="single" w:color="000000" w:sz="4" w:space="0"/>
            </w:tcBorders>
            <w:vAlign w:val="center"/>
          </w:tcPr>
          <w:p w14:paraId="611CA5C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基层政协工作人员满意度</w:t>
            </w:r>
          </w:p>
        </w:tc>
        <w:tc>
          <w:tcPr>
            <w:tcW w:w="1350" w:type="dxa"/>
            <w:tcBorders>
              <w:top w:val="single" w:color="000000" w:sz="4" w:space="0"/>
              <w:left w:val="single" w:color="000000" w:sz="4" w:space="0"/>
              <w:bottom w:val="single" w:color="000000" w:sz="4" w:space="0"/>
              <w:right w:val="single" w:color="000000" w:sz="4" w:space="0"/>
            </w:tcBorders>
            <w:vAlign w:val="center"/>
          </w:tcPr>
          <w:p w14:paraId="61F71A8D">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≥90%</w:t>
            </w:r>
          </w:p>
        </w:tc>
        <w:tc>
          <w:tcPr>
            <w:tcW w:w="1400" w:type="dxa"/>
            <w:tcBorders>
              <w:top w:val="single" w:color="000000" w:sz="4" w:space="0"/>
              <w:left w:val="single" w:color="000000" w:sz="4" w:space="0"/>
              <w:bottom w:val="single" w:color="000000" w:sz="4" w:space="0"/>
              <w:right w:val="single" w:color="000000" w:sz="4" w:space="0"/>
            </w:tcBorders>
            <w:vAlign w:val="center"/>
          </w:tcPr>
          <w:p w14:paraId="5AFE17B7">
            <w:pP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t>
            </w:r>
          </w:p>
        </w:tc>
      </w:tr>
    </w:tbl>
    <w:p w14:paraId="6890196B">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楷体_GB2312" w:cs="Times New Roman"/>
          <w:b/>
          <w:bCs/>
          <w:color w:val="auto"/>
          <w:kern w:val="2"/>
          <w:sz w:val="32"/>
          <w:szCs w:val="24"/>
          <w:highlight w:val="none"/>
          <w:lang w:val="en-US" w:eastAsia="zh-CN" w:bidi="ar-SA"/>
        </w:rPr>
      </w:pPr>
    </w:p>
    <w:p w14:paraId="02F9349C">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06A83E2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我单位本次项目支出绩效评价按照《遂宁市船山区财政局关于开展202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年部门、项目、政策支出绩效自评工作的通知》（遂船财</w:t>
      </w:r>
      <w:r>
        <w:rPr>
          <w:rFonts w:hint="eastAsia" w:ascii="Times New Roman" w:hAnsi="Times New Roman" w:eastAsia="仿宋_GB2312" w:cs="Times New Roman"/>
          <w:color w:val="auto"/>
          <w:sz w:val="32"/>
          <w:szCs w:val="32"/>
          <w:lang w:val="en-US" w:eastAsia="zh-CN"/>
        </w:rPr>
        <w:t>绩</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号）文件要求执行。本次项目支出的指标体系分为4个</w:t>
      </w:r>
      <w:r>
        <w:rPr>
          <w:rFonts w:hint="eastAsia" w:ascii="Times New Roman" w:hAnsi="Times New Roman" w:eastAsia="仿宋_GB2312" w:cs="Times New Roman"/>
          <w:color w:val="auto"/>
          <w:sz w:val="32"/>
          <w:szCs w:val="32"/>
          <w:lang w:val="en-US" w:eastAsia="zh-CN"/>
        </w:rPr>
        <w:t>分层</w:t>
      </w:r>
      <w:r>
        <w:rPr>
          <w:rFonts w:hint="default" w:ascii="Times New Roman" w:hAnsi="Times New Roman" w:eastAsia="仿宋_GB2312" w:cs="Times New Roman"/>
          <w:color w:val="auto"/>
          <w:sz w:val="32"/>
          <w:szCs w:val="32"/>
          <w:lang w:val="en-US" w:eastAsia="zh-CN"/>
        </w:rPr>
        <w:t>指标、9个</w:t>
      </w:r>
      <w:r>
        <w:rPr>
          <w:rFonts w:hint="eastAsia" w:ascii="Times New Roman" w:hAnsi="Times New Roman"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lang w:val="en-US" w:eastAsia="zh-CN"/>
        </w:rPr>
        <w:t>级指标、13个</w:t>
      </w:r>
      <w:r>
        <w:rPr>
          <w:rFonts w:hint="eastAsia" w:ascii="Times New Roman" w:hAnsi="Times New Roman" w:eastAsia="仿宋_GB2312" w:cs="Times New Roman"/>
          <w:color w:val="auto"/>
          <w:sz w:val="32"/>
          <w:szCs w:val="32"/>
          <w:lang w:val="en-US" w:eastAsia="zh-CN"/>
        </w:rPr>
        <w:t>二</w:t>
      </w:r>
      <w:r>
        <w:rPr>
          <w:rFonts w:hint="default" w:ascii="Times New Roman" w:hAnsi="Times New Roman" w:eastAsia="仿宋_GB2312" w:cs="Times New Roman"/>
          <w:color w:val="auto"/>
          <w:sz w:val="32"/>
          <w:szCs w:val="32"/>
          <w:lang w:val="en-US" w:eastAsia="zh-CN"/>
        </w:rPr>
        <w:t>级指标，共计100分。评价</w:t>
      </w:r>
      <w:r>
        <w:rPr>
          <w:rFonts w:hint="eastAsia" w:ascii="Times New Roman" w:hAnsi="Times New Roman" w:eastAsia="仿宋_GB2312" w:cs="Times New Roman"/>
          <w:color w:val="auto"/>
          <w:sz w:val="32"/>
          <w:szCs w:val="32"/>
          <w:lang w:val="en-US" w:eastAsia="zh-CN"/>
        </w:rPr>
        <w:t>方法是</w:t>
      </w:r>
      <w:r>
        <w:rPr>
          <w:rFonts w:hint="default" w:ascii="Times New Roman" w:hAnsi="Times New Roman" w:eastAsia="仿宋_GB2312" w:cs="Times New Roman"/>
          <w:color w:val="auto"/>
          <w:sz w:val="32"/>
          <w:szCs w:val="32"/>
          <w:lang w:val="en-US" w:eastAsia="zh-CN"/>
        </w:rPr>
        <w:t>核对财务账目、检查档案资料，重点查看账目，账实对照，对资金使用进行综合分析，作出总体性评价。</w:t>
      </w:r>
    </w:p>
    <w:p w14:paraId="06F7474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5ECE35A9">
      <w:pPr>
        <w:pStyle w:val="24"/>
        <w:keepNext w:val="0"/>
        <w:keepLines w:val="0"/>
        <w:pageBreakBefore w:val="0"/>
        <w:kinsoku/>
        <w:topLinePunct w:val="0"/>
        <w:autoSpaceDE/>
        <w:autoSpaceDN/>
        <w:bidi w:val="0"/>
        <w:spacing w:line="570" w:lineRule="exact"/>
        <w:jc w:val="left"/>
        <w:rPr>
          <w:rFonts w:hint="default"/>
          <w:sz w:val="32"/>
          <w:szCs w:val="32"/>
          <w:lang w:val="zh-CN"/>
        </w:rPr>
      </w:pPr>
      <w:r>
        <w:rPr>
          <w:rFonts w:hint="eastAsia" w:ascii="Times New Roman" w:hAnsi="Times New Roman" w:cs="Times New Roman"/>
          <w:color w:val="auto"/>
          <w:kern w:val="2"/>
          <w:sz w:val="32"/>
          <w:szCs w:val="32"/>
          <w:highlight w:val="none"/>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绩效目标科学完整，资金管理到位，预算执行规范，按期完成开支进度，实现政协建言献策的社会效应，</w:t>
      </w:r>
      <w:r>
        <w:rPr>
          <w:rFonts w:hint="default" w:ascii="Times New Roman" w:hAnsi="Times New Roman" w:eastAsia="仿宋_GB2312" w:cs="Times New Roman"/>
          <w:color w:val="auto"/>
          <w:kern w:val="2"/>
          <w:sz w:val="32"/>
          <w:szCs w:val="32"/>
          <w:lang w:val="en-US" w:eastAsia="zh-CN" w:bidi="ar-SA"/>
        </w:rPr>
        <w:t>综合评价得分100分，详见下表</w:t>
      </w:r>
      <w:r>
        <w:rPr>
          <w:rFonts w:hint="default" w:ascii="Times New Roman" w:hAnsi="Times New Roman" w:eastAsia="仿宋_GB2312" w:cs="Times New Roman"/>
          <w:color w:val="auto"/>
          <w:kern w:val="2"/>
          <w:sz w:val="32"/>
          <w:szCs w:val="32"/>
          <w:lang w:val="zh-CN" w:eastAsia="zh-CN" w:bidi="ar-SA"/>
        </w:rPr>
        <w:t>。</w:t>
      </w:r>
    </w:p>
    <w:tbl>
      <w:tblPr>
        <w:tblStyle w:val="20"/>
        <w:tblW w:w="8914" w:type="dxa"/>
        <w:jc w:val="center"/>
        <w:tblLayout w:type="fixed"/>
        <w:tblCellMar>
          <w:top w:w="0" w:type="dxa"/>
          <w:left w:w="0" w:type="dxa"/>
          <w:bottom w:w="0" w:type="dxa"/>
          <w:right w:w="0" w:type="dxa"/>
        </w:tblCellMar>
      </w:tblPr>
      <w:tblGrid>
        <w:gridCol w:w="1140"/>
        <w:gridCol w:w="926"/>
        <w:gridCol w:w="1009"/>
        <w:gridCol w:w="1658"/>
        <w:gridCol w:w="688"/>
        <w:gridCol w:w="1172"/>
        <w:gridCol w:w="1275"/>
        <w:gridCol w:w="1046"/>
      </w:tblGrid>
      <w:tr w14:paraId="185E42A8">
        <w:tblPrEx>
          <w:tblCellMar>
            <w:top w:w="0" w:type="dxa"/>
            <w:left w:w="0" w:type="dxa"/>
            <w:bottom w:w="0" w:type="dxa"/>
            <w:right w:w="0" w:type="dxa"/>
          </w:tblCellMar>
        </w:tblPrEx>
        <w:trPr>
          <w:trHeight w:val="432" w:hRule="atLeast"/>
          <w:jc w:val="center"/>
        </w:trPr>
        <w:tc>
          <w:tcPr>
            <w:tcW w:w="473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ADED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68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203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11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CEE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27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C923E4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49DA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08E09D38">
        <w:tblPrEx>
          <w:tblCellMar>
            <w:top w:w="0" w:type="dxa"/>
            <w:left w:w="0" w:type="dxa"/>
            <w:bottom w:w="0" w:type="dxa"/>
            <w:right w:w="0" w:type="dxa"/>
          </w:tblCellMar>
        </w:tblPrEx>
        <w:trPr>
          <w:trHeight w:val="432"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3596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41F4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8F61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29DD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68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ECF2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AAE8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75" w:type="dxa"/>
            <w:vMerge w:val="continue"/>
            <w:tcBorders>
              <w:left w:val="single" w:color="000000" w:sz="4" w:space="0"/>
              <w:right w:val="single" w:color="000000" w:sz="4" w:space="0"/>
            </w:tcBorders>
            <w:tcMar>
              <w:top w:w="15" w:type="dxa"/>
              <w:left w:w="15" w:type="dxa"/>
              <w:right w:w="15" w:type="dxa"/>
            </w:tcMar>
            <w:vAlign w:val="center"/>
          </w:tcPr>
          <w:p w14:paraId="1A32C19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F747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r>
      <w:tr w14:paraId="4BAA9675">
        <w:tblPrEx>
          <w:tblCellMar>
            <w:top w:w="0" w:type="dxa"/>
            <w:left w:w="0" w:type="dxa"/>
            <w:bottom w:w="0" w:type="dxa"/>
            <w:right w:w="0" w:type="dxa"/>
          </w:tblCellMar>
        </w:tblPrEx>
        <w:trPr>
          <w:trHeight w:val="325"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40B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413F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59BF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4015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8AB9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B542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56E1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0012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1F89B706">
        <w:tblPrEx>
          <w:tblCellMar>
            <w:top w:w="0" w:type="dxa"/>
            <w:left w:w="0" w:type="dxa"/>
            <w:bottom w:w="0" w:type="dxa"/>
            <w:right w:w="0" w:type="dxa"/>
          </w:tblCellMar>
        </w:tblPrEx>
        <w:trPr>
          <w:trHeight w:val="426"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6E5A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E1FA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522E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FA59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C66B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7813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A45F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733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23595877">
        <w:tblPrEx>
          <w:tblCellMar>
            <w:top w:w="0" w:type="dxa"/>
            <w:left w:w="0" w:type="dxa"/>
            <w:bottom w:w="0" w:type="dxa"/>
            <w:right w:w="0" w:type="dxa"/>
          </w:tblCellMar>
        </w:tblPrEx>
        <w:trPr>
          <w:trHeight w:val="395"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A820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9594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8F8F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0E91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EF14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AE98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506A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FBD5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2B8572E2">
        <w:tblPrEx>
          <w:tblCellMar>
            <w:top w:w="0" w:type="dxa"/>
            <w:left w:w="0" w:type="dxa"/>
            <w:bottom w:w="0" w:type="dxa"/>
            <w:right w:w="0" w:type="dxa"/>
          </w:tblCellMar>
        </w:tblPrEx>
        <w:trPr>
          <w:trHeight w:val="352"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75DE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9F9D9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6AA2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FD0D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C0E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033E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82657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FD1E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24E62BD1">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F212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93B1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8753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523D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1291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380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6B76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72AF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4E37D8C2">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7E31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7ABC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86EA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DE3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D086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E811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EE16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338C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4BFF9995">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8FB9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6E46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8C04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DF84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0465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8437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815C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9DE8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7E384FB8">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67E5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0FF7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CC2B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6867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出差人数</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D9F2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B1AC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400</w:t>
            </w:r>
            <w:r>
              <w:rPr>
                <w:rFonts w:hint="eastAsia" w:ascii="Times New Roman" w:hAnsi="Times New Roman" w:eastAsia="仿宋_GB2312" w:cs="Times New Roman"/>
                <w:b w:val="0"/>
                <w:bCs/>
                <w:i w:val="0"/>
                <w:color w:val="auto"/>
                <w:kern w:val="0"/>
                <w:sz w:val="21"/>
                <w:szCs w:val="21"/>
                <w:highlight w:val="none"/>
                <w:u w:val="none"/>
                <w:lang w:val="en-US" w:eastAsia="zh-CN" w:bidi="ar"/>
              </w:rPr>
              <w:t>人次</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7DC3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400</w:t>
            </w:r>
            <w:r>
              <w:rPr>
                <w:rFonts w:hint="eastAsia" w:ascii="Times New Roman" w:hAnsi="Times New Roman" w:eastAsia="仿宋_GB2312" w:cs="Times New Roman"/>
                <w:b w:val="0"/>
                <w:bCs/>
                <w:i w:val="0"/>
                <w:color w:val="auto"/>
                <w:kern w:val="0"/>
                <w:sz w:val="21"/>
                <w:szCs w:val="21"/>
                <w:highlight w:val="none"/>
                <w:u w:val="none"/>
                <w:lang w:val="en-US" w:eastAsia="zh-CN" w:bidi="ar"/>
              </w:rPr>
              <w:t>人次</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0BF4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40CF4DEF">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F329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B097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1EC91E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18A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出差人员到岗率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192B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0F2C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67EE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FB2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74F272C8">
        <w:tblPrEx>
          <w:tblCellMar>
            <w:top w:w="0" w:type="dxa"/>
            <w:left w:w="0" w:type="dxa"/>
            <w:bottom w:w="0" w:type="dxa"/>
            <w:right w:w="0" w:type="dxa"/>
          </w:tblCellMar>
        </w:tblPrEx>
        <w:trPr>
          <w:trHeight w:val="459"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D560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2723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FDF7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E800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项目总投入</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1D10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5458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≤4.8万元</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6A57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≤4.8万元</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551D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4A8F0E75">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19D3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F57F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E49F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83B9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9C7F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2F7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48DC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B04C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74BDFA91">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FA12BD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926"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797444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3F9F9E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0791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基层政协工作正常开展率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26EE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45CA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2D4A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0C09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7B9082D8">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165D11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1686C6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314A13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E42E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CB05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FB29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4575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3357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3A192F3B">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2C6568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BD512E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39CE7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C3BB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62F7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CA82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D762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18C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172F547B">
        <w:tblPrEx>
          <w:tblCellMar>
            <w:top w:w="0" w:type="dxa"/>
            <w:left w:w="0" w:type="dxa"/>
            <w:bottom w:w="0" w:type="dxa"/>
            <w:right w:w="0" w:type="dxa"/>
          </w:tblCellMar>
        </w:tblPrEx>
        <w:trPr>
          <w:trHeight w:val="694"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842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594E26F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34E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084C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19CA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基层政协工作人员满意度</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A04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15AA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22FE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w:t>
            </w:r>
            <w:r>
              <w:rPr>
                <w:rFonts w:hint="default" w:ascii="Times New Roman" w:hAnsi="Times New Roman" w:eastAsia="仿宋_GB2312" w:cs="Times New Roman"/>
                <w:b w:val="0"/>
                <w:bCs/>
                <w:i w:val="0"/>
                <w:color w:val="auto"/>
                <w:kern w:val="0"/>
                <w:sz w:val="21"/>
                <w:szCs w:val="21"/>
                <w:highlight w:val="none"/>
                <w:u w:val="none"/>
                <w:lang w:val="en-US" w:eastAsia="zh-CN" w:bidi="ar"/>
              </w:rPr>
              <w:t>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E938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14D05840">
      <w:pPr>
        <w:keepNext w:val="0"/>
        <w:keepLines w:val="0"/>
        <w:pageBreakBefore w:val="0"/>
        <w:widowControl w:val="0"/>
        <w:numPr>
          <w:ilvl w:val="0"/>
          <w:numId w:val="5"/>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绩效评价分析</w:t>
      </w:r>
    </w:p>
    <w:p w14:paraId="3306AE47">
      <w:pPr>
        <w:keepNext w:val="0"/>
        <w:keepLines w:val="0"/>
        <w:pageBreakBefore w:val="0"/>
        <w:widowControl w:val="0"/>
        <w:kinsoku/>
        <w:wordWrap/>
        <w:overflowPunct/>
        <w:topLinePunct w:val="0"/>
        <w:autoSpaceDE/>
        <w:autoSpaceDN/>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为进一步加强基层政协工作指导，按照《关于加强和改进新时代市县政协工作的实施意见》相关安排部署和省市区政协工作要求立项，</w:t>
      </w:r>
      <w:r>
        <w:rPr>
          <w:rFonts w:hint="default" w:ascii="Times New Roman" w:hAnsi="Times New Roman" w:eastAsia="仿宋_GB2312" w:cs="Times New Roman"/>
          <w:color w:val="auto"/>
          <w:sz w:val="32"/>
          <w:szCs w:val="32"/>
          <w:highlight w:val="none"/>
          <w:lang w:val="en-US" w:eastAsia="zh-CN"/>
        </w:rPr>
        <w:t>绩效目标</w:t>
      </w:r>
      <w:r>
        <w:rPr>
          <w:rFonts w:hint="eastAsia" w:ascii="Times New Roman" w:hAnsi="Times New Roman" w:eastAsia="仿宋_GB2312" w:cs="Times New Roman"/>
          <w:color w:val="auto"/>
          <w:sz w:val="32"/>
          <w:szCs w:val="32"/>
          <w:highlight w:val="none"/>
          <w:lang w:val="en-US" w:eastAsia="zh-CN"/>
        </w:rPr>
        <w:t>科学完整、立项依据充分、使用过程规范、管理制度健全，</w:t>
      </w:r>
      <w:r>
        <w:rPr>
          <w:rFonts w:hint="default" w:ascii="Times New Roman" w:hAnsi="Times New Roman" w:eastAsia="仿宋_GB2312" w:cs="Times New Roman"/>
          <w:color w:val="auto"/>
          <w:sz w:val="32"/>
          <w:szCs w:val="32"/>
          <w:highlight w:val="none"/>
          <w:lang w:val="en-US" w:eastAsia="zh-CN"/>
        </w:rPr>
        <w:t>整体情况良好。</w:t>
      </w:r>
    </w:p>
    <w:p w14:paraId="6BFEF722">
      <w:pPr>
        <w:keepNext w:val="0"/>
        <w:keepLines w:val="0"/>
        <w:pageBreakBefore w:val="0"/>
        <w:widowControl w:val="0"/>
        <w:kinsoku/>
        <w:wordWrap/>
        <w:overflowPunct/>
        <w:topLinePunct w:val="0"/>
        <w:autoSpaceDE/>
        <w:autoSpaceDN/>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严格执行项目申报，</w:t>
      </w:r>
      <w:r>
        <w:rPr>
          <w:rFonts w:hint="eastAsia" w:ascii="Times New Roman" w:hAnsi="Times New Roman" w:eastAsia="仿宋_GB2312" w:cs="Times New Roman"/>
          <w:color w:val="auto"/>
          <w:sz w:val="32"/>
          <w:szCs w:val="32"/>
          <w:highlight w:val="none"/>
          <w:lang w:val="en-US" w:eastAsia="zh-CN"/>
        </w:rPr>
        <w:t>项目实施及</w:t>
      </w:r>
      <w:r>
        <w:rPr>
          <w:rFonts w:hint="default" w:ascii="Times New Roman" w:hAnsi="Times New Roman" w:eastAsia="仿宋_GB2312" w:cs="Times New Roman"/>
          <w:color w:val="auto"/>
          <w:sz w:val="32"/>
          <w:szCs w:val="32"/>
          <w:highlight w:val="none"/>
          <w:lang w:val="en-US" w:eastAsia="zh-CN"/>
        </w:rPr>
        <w:t>资金使用严格按照预算</w:t>
      </w:r>
      <w:r>
        <w:rPr>
          <w:rFonts w:hint="eastAsia" w:ascii="Times New Roman" w:hAnsi="Times New Roman" w:eastAsia="仿宋_GB2312" w:cs="Times New Roman"/>
          <w:color w:val="auto"/>
          <w:sz w:val="32"/>
          <w:szCs w:val="32"/>
          <w:highlight w:val="none"/>
          <w:lang w:val="en-US" w:eastAsia="zh-CN"/>
        </w:rPr>
        <w:t>及单位内控等</w:t>
      </w:r>
      <w:r>
        <w:rPr>
          <w:rFonts w:hint="default" w:ascii="Times New Roman" w:hAnsi="Times New Roman" w:eastAsia="仿宋_GB2312" w:cs="Times New Roman"/>
          <w:color w:val="auto"/>
          <w:sz w:val="32"/>
          <w:szCs w:val="32"/>
          <w:highlight w:val="none"/>
          <w:lang w:val="en-US" w:eastAsia="zh-CN"/>
        </w:rPr>
        <w:t>相关</w:t>
      </w:r>
      <w:r>
        <w:rPr>
          <w:rFonts w:hint="eastAsia" w:ascii="Times New Roman" w:hAnsi="Times New Roman" w:eastAsia="仿宋_GB2312" w:cs="Times New Roman"/>
          <w:color w:val="auto"/>
          <w:sz w:val="32"/>
          <w:szCs w:val="32"/>
          <w:highlight w:val="none"/>
          <w:lang w:val="en-US" w:eastAsia="zh-CN"/>
        </w:rPr>
        <w:t>规定</w:t>
      </w:r>
      <w:r>
        <w:rPr>
          <w:rFonts w:hint="default" w:ascii="Times New Roman" w:hAnsi="Times New Roman" w:eastAsia="仿宋_GB2312" w:cs="Times New Roman"/>
          <w:color w:val="auto"/>
          <w:sz w:val="32"/>
          <w:szCs w:val="32"/>
          <w:highlight w:val="none"/>
          <w:lang w:val="en-US" w:eastAsia="zh-CN"/>
        </w:rPr>
        <w:t>执行。</w:t>
      </w:r>
    </w:p>
    <w:p w14:paraId="17CD9673">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（三）项目产出情况。</w:t>
      </w:r>
      <w:r>
        <w:rPr>
          <w:rFonts w:hint="eastAsia" w:ascii="Times New Roman" w:hAnsi="Times New Roman" w:eastAsia="仿宋_GB2312" w:cs="Times New Roman"/>
          <w:color w:val="auto"/>
          <w:sz w:val="32"/>
          <w:szCs w:val="32"/>
          <w:highlight w:val="none"/>
          <w:lang w:val="en-US" w:eastAsia="zh-CN"/>
        </w:rPr>
        <w:t>充分发挥专门协商机构作用，深入各乡镇（街道）、村（社区）及界别委员工作室推进协商、调研、视察活动，形成高质量协商意见18篇，24</w:t>
      </w:r>
      <w:r>
        <w:rPr>
          <w:rFonts w:hint="default" w:ascii="Times New Roman" w:hAnsi="Times New Roman" w:eastAsia="仿宋_GB2312" w:cs="Times New Roman"/>
          <w:color w:val="auto"/>
          <w:sz w:val="32"/>
          <w:szCs w:val="32"/>
          <w:highlight w:val="none"/>
          <w:lang w:val="en-US" w:eastAsia="zh-CN"/>
        </w:rPr>
        <w:t>项协商意见实现成果转化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协调解决停车难等问题</w:t>
      </w:r>
      <w:r>
        <w:rPr>
          <w:rFonts w:hint="eastAsia" w:ascii="Times New Roman" w:hAnsi="Times New Roman" w:eastAsia="仿宋_GB2312" w:cs="Times New Roman"/>
          <w:color w:val="auto"/>
          <w:sz w:val="32"/>
          <w:szCs w:val="32"/>
          <w:highlight w:val="none"/>
          <w:lang w:val="en-US" w:eastAsia="zh-CN"/>
        </w:rPr>
        <w:t>，督办好“关于进一步提振中小微企业发展信心”等重点提案。抓好“有事来协商”升级版工作，在乡镇（街道）全覆盖建立委员联络站12个，指导各联络站、界别委员工作室开展好“有事来协商”工作，全年开展小微协商40余场，推动解决群众急难愁盼问题50余个，《小微协商助百年老街展新颜》等案例</w:t>
      </w:r>
      <w:r>
        <w:rPr>
          <w:rFonts w:hint="default" w:ascii="Times New Roman" w:hAnsi="Times New Roman" w:eastAsia="仿宋_GB2312" w:cs="Times New Roman"/>
          <w:color w:val="auto"/>
          <w:sz w:val="32"/>
          <w:szCs w:val="32"/>
          <w:highlight w:val="none"/>
          <w:lang w:val="en-US" w:eastAsia="zh-CN"/>
        </w:rPr>
        <w:t>被</w:t>
      </w:r>
      <w:r>
        <w:rPr>
          <w:rFonts w:hint="eastAsia" w:ascii="Times New Roman" w:hAnsi="Times New Roman" w:eastAsia="仿宋_GB2312" w:cs="Times New Roman"/>
          <w:color w:val="auto"/>
          <w:sz w:val="32"/>
          <w:szCs w:val="32"/>
          <w:highlight w:val="none"/>
          <w:lang w:val="en-US" w:eastAsia="zh-CN"/>
        </w:rPr>
        <w:t>人民政协报等媒体报道。</w:t>
      </w:r>
      <w:r>
        <w:rPr>
          <w:rFonts w:hint="default" w:ascii="Times New Roman" w:hAnsi="Times New Roman" w:eastAsia="仿宋_GB2312" w:cs="Times New Roman"/>
          <w:color w:val="000000"/>
          <w:kern w:val="2"/>
          <w:sz w:val="32"/>
          <w:szCs w:val="32"/>
          <w:lang w:val="en-US" w:eastAsia="zh-CN" w:bidi="ar-SA"/>
        </w:rPr>
        <w:t>全年出差人数</w:t>
      </w:r>
      <w:r>
        <w:rPr>
          <w:rFonts w:hint="eastAsia" w:ascii="Times New Roman" w:hAnsi="Times New Roman" w:eastAsia="仿宋_GB2312" w:cs="Times New Roman"/>
          <w:color w:val="000000"/>
          <w:kern w:val="2"/>
          <w:sz w:val="32"/>
          <w:szCs w:val="32"/>
          <w:lang w:val="en-US" w:eastAsia="zh-CN" w:bidi="ar-SA"/>
        </w:rPr>
        <w:t>2000</w:t>
      </w:r>
      <w:r>
        <w:rPr>
          <w:rFonts w:hint="default" w:ascii="Times New Roman" w:hAnsi="Times New Roman" w:eastAsia="仿宋_GB2312" w:cs="Times New Roman"/>
          <w:color w:val="000000"/>
          <w:kern w:val="2"/>
          <w:sz w:val="32"/>
          <w:szCs w:val="32"/>
          <w:lang w:val="en-US" w:eastAsia="zh-CN" w:bidi="ar-SA"/>
        </w:rPr>
        <w:t>余人次，</w:t>
      </w:r>
      <w:r>
        <w:rPr>
          <w:rFonts w:hint="default" w:ascii="Times New Roman" w:hAnsi="Times New Roman" w:eastAsia="仿宋_GB2312" w:cs="Times New Roman"/>
          <w:color w:val="auto"/>
          <w:sz w:val="32"/>
          <w:szCs w:val="32"/>
          <w:highlight w:val="none"/>
          <w:lang w:val="en-US" w:eastAsia="zh-CN"/>
        </w:rPr>
        <w:t>出差人员到岗率、完成及时率、基层政协工作正常开展率、工作满意度达100%，</w:t>
      </w:r>
      <w:r>
        <w:rPr>
          <w:rFonts w:hint="eastAsia" w:ascii="Times New Roman" w:hAnsi="Times New Roman" w:eastAsia="仿宋_GB2312" w:cs="Times New Roman"/>
          <w:color w:val="auto"/>
          <w:sz w:val="32"/>
          <w:szCs w:val="32"/>
          <w:highlight w:val="none"/>
          <w:lang w:val="en-US" w:eastAsia="zh-CN"/>
        </w:rPr>
        <w:t>项目完成4.8万元，财务内控制度建立健全，</w:t>
      </w:r>
      <w:r>
        <w:rPr>
          <w:rFonts w:hint="default" w:ascii="Times New Roman" w:hAnsi="Times New Roman" w:eastAsia="仿宋_GB2312" w:cs="Times New Roman"/>
          <w:color w:val="auto"/>
          <w:sz w:val="32"/>
          <w:szCs w:val="32"/>
          <w:highlight w:val="none"/>
          <w:lang w:val="en-US" w:eastAsia="zh-CN"/>
        </w:rPr>
        <w:t>基层政协工作业务水平不断提升。</w:t>
      </w:r>
    </w:p>
    <w:p w14:paraId="6DA967BF">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color w:val="auto"/>
          <w:sz w:val="32"/>
          <w:szCs w:val="32"/>
          <w:highlight w:val="none"/>
        </w:rPr>
        <w:t>（四）项目效益情况。</w:t>
      </w:r>
      <w:r>
        <w:rPr>
          <w:rFonts w:hint="default" w:ascii="Times New Roman" w:hAnsi="Times New Roman" w:eastAsia="仿宋_GB2312" w:cs="Times New Roman"/>
          <w:color w:val="000000"/>
          <w:kern w:val="2"/>
          <w:sz w:val="32"/>
          <w:szCs w:val="32"/>
          <w:lang w:val="en-US" w:eastAsia="zh-CN" w:bidi="ar-SA"/>
        </w:rPr>
        <w:t>根据年度工作安排和财政预算批复，出差人员到岗率、完成及时率、基层政协工作正常开展率、工作满意度达100%</w:t>
      </w:r>
      <w:r>
        <w:rPr>
          <w:rFonts w:hint="eastAsia" w:ascii="Times New Roman" w:hAnsi="Times New Roman" w:eastAsia="仿宋_GB2312" w:cs="Times New Roman"/>
          <w:color w:val="000000"/>
          <w:kern w:val="2"/>
          <w:sz w:val="32"/>
          <w:szCs w:val="32"/>
          <w:lang w:val="en-US" w:eastAsia="zh-CN" w:bidi="ar-SA"/>
        </w:rPr>
        <w:t>，为基层政协工作正常开展提供了保障，推动基层政协工作水平进一步提升，</w:t>
      </w:r>
      <w:r>
        <w:rPr>
          <w:rFonts w:hint="default" w:ascii="Times New Roman" w:hAnsi="Times New Roman" w:eastAsia="仿宋_GB2312" w:cs="Times New Roman"/>
          <w:color w:val="000000"/>
          <w:kern w:val="2"/>
          <w:sz w:val="32"/>
          <w:szCs w:val="32"/>
          <w:lang w:val="en-US" w:eastAsia="zh-CN" w:bidi="ar-SA"/>
        </w:rPr>
        <w:t>初步实现预期目标</w:t>
      </w:r>
      <w:r>
        <w:rPr>
          <w:rFonts w:hint="eastAsia" w:ascii="Times New Roman" w:hAnsi="Times New Roman" w:eastAsia="仿宋_GB2312" w:cs="Times New Roman"/>
          <w:color w:val="000000"/>
          <w:kern w:val="2"/>
          <w:sz w:val="32"/>
          <w:szCs w:val="32"/>
          <w:lang w:val="en-US" w:eastAsia="zh-CN" w:bidi="ar-SA"/>
        </w:rPr>
        <w:t>。</w:t>
      </w:r>
    </w:p>
    <w:p w14:paraId="7C239CA0">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2B9100D0">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无</w:t>
      </w:r>
    </w:p>
    <w:p w14:paraId="7B6E8241">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305733B8">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无</w:t>
      </w:r>
    </w:p>
    <w:p w14:paraId="2750A97D">
      <w:pPr>
        <w:keepNext w:val="0"/>
        <w:keepLines w:val="0"/>
        <w:pageBreakBefore w:val="0"/>
        <w:widowControl w:val="0"/>
        <w:kinsoku/>
        <w:wordWrap/>
        <w:overflowPunct w:val="0"/>
        <w:topLinePunct w:val="0"/>
        <w:autoSpaceDE/>
        <w:autoSpaceDN/>
        <w:bidi w:val="0"/>
        <w:adjustRightInd w:val="0"/>
        <w:snapToGrid w:val="0"/>
        <w:spacing w:line="570" w:lineRule="exact"/>
        <w:jc w:val="both"/>
        <w:textAlignment w:val="auto"/>
        <w:rPr>
          <w:rFonts w:hint="default" w:ascii="Times New Roman" w:hAnsi="Times New Roman" w:eastAsia="方正小标宋简体" w:cs="Times New Roman"/>
          <w:color w:val="auto"/>
          <w:sz w:val="44"/>
          <w:szCs w:val="44"/>
          <w:highlight w:val="none"/>
          <w:lang w:val="en-US" w:eastAsia="zh-CN"/>
        </w:rPr>
      </w:pPr>
    </w:p>
    <w:p w14:paraId="1F50FE02">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br w:type="page"/>
      </w:r>
    </w:p>
    <w:p w14:paraId="3D6B27C7">
      <w:pPr>
        <w:keepNext w:val="0"/>
        <w:keepLines w:val="0"/>
        <w:pageBreakBefore w:val="0"/>
        <w:widowControl w:val="0"/>
        <w:kinsoku/>
        <w:wordWrap/>
        <w:overflowPunct w:val="0"/>
        <w:topLinePunct w:val="0"/>
        <w:autoSpaceDE/>
        <w:autoSpaceDN/>
        <w:bidi w:val="0"/>
        <w:adjustRightInd w:val="0"/>
        <w:snapToGrid w:val="0"/>
        <w:spacing w:line="57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政协遂宁市船山区委员会办公室</w:t>
      </w:r>
    </w:p>
    <w:p w14:paraId="0A6A7D2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202</w:t>
      </w:r>
      <w:r>
        <w:rPr>
          <w:rFonts w:hint="eastAsia" w:ascii="Times New Roman" w:hAnsi="Times New Roman" w:eastAsia="方正小标宋简体" w:cs="Times New Roman"/>
          <w:color w:val="auto"/>
          <w:sz w:val="44"/>
          <w:szCs w:val="44"/>
          <w:highlight w:val="none"/>
          <w:lang w:val="en-US" w:eastAsia="zh-CN"/>
        </w:rPr>
        <w:t>3</w:t>
      </w:r>
      <w:r>
        <w:rPr>
          <w:rFonts w:hint="default" w:ascii="Times New Roman" w:hAnsi="Times New Roman" w:eastAsia="方正小标宋简体" w:cs="Times New Roman"/>
          <w:color w:val="auto"/>
          <w:sz w:val="44"/>
          <w:szCs w:val="44"/>
          <w:highlight w:val="none"/>
          <w:lang w:val="en-US" w:eastAsia="zh-CN"/>
        </w:rPr>
        <w:t>年部门预算项目支出绩效自评报告</w:t>
      </w:r>
    </w:p>
    <w:p w14:paraId="76E2EDC6">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jc w:val="center"/>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w:t>
      </w:r>
      <w:r>
        <w:rPr>
          <w:rFonts w:hint="eastAsia" w:ascii="Times New Roman" w:hAnsi="Times New Roman" w:eastAsia="楷体_GB2312" w:cs="Times New Roman"/>
          <w:b/>
          <w:bCs/>
          <w:color w:val="auto"/>
          <w:sz w:val="32"/>
          <w:szCs w:val="32"/>
          <w:highlight w:val="none"/>
          <w:lang w:val="en-US" w:eastAsia="zh-CN"/>
        </w:rPr>
        <w:t>书香政协工作经费</w:t>
      </w:r>
      <w:r>
        <w:rPr>
          <w:rFonts w:hint="default" w:ascii="Times New Roman" w:hAnsi="Times New Roman" w:eastAsia="楷体_GB2312" w:cs="Times New Roman"/>
          <w:b/>
          <w:bCs/>
          <w:color w:val="auto"/>
          <w:sz w:val="32"/>
          <w:szCs w:val="32"/>
          <w:highlight w:val="none"/>
        </w:rPr>
        <w:t>）</w:t>
      </w:r>
    </w:p>
    <w:p w14:paraId="0B3854A0">
      <w:pPr>
        <w:keepNext w:val="0"/>
        <w:keepLines w:val="0"/>
        <w:pageBreakBefore w:val="0"/>
        <w:widowControl w:val="0"/>
        <w:tabs>
          <w:tab w:val="left" w:pos="3885"/>
        </w:tabs>
        <w:kinsoku/>
        <w:wordWrap/>
        <w:overflowPunct w:val="0"/>
        <w:topLinePunct w:val="0"/>
        <w:autoSpaceDE/>
        <w:autoSpaceDN/>
        <w:bidi w:val="0"/>
        <w:adjustRightInd w:val="0"/>
        <w:snapToGrid w:val="0"/>
        <w:spacing w:line="570" w:lineRule="exact"/>
        <w:ind w:firstLine="422" w:firstLineChars="200"/>
        <w:jc w:val="left"/>
        <w:rPr>
          <w:rFonts w:hint="default" w:ascii="Times New Roman" w:hAnsi="Times New Roman" w:cs="Times New Roman"/>
          <w:b/>
          <w:color w:val="auto"/>
          <w:szCs w:val="21"/>
          <w:highlight w:val="none"/>
        </w:rPr>
      </w:pPr>
    </w:p>
    <w:p w14:paraId="24086DF2">
      <w:pPr>
        <w:keepNext w:val="0"/>
        <w:keepLines w:val="0"/>
        <w:pageBreakBefore w:val="0"/>
        <w:widowControl w:val="0"/>
        <w:numPr>
          <w:ilvl w:val="0"/>
          <w:numId w:val="0"/>
        </w:numPr>
        <w:tabs>
          <w:tab w:val="left" w:pos="3885"/>
        </w:tabs>
        <w:kinsoku/>
        <w:wordWrap/>
        <w:overflowPunct w:val="0"/>
        <w:topLinePunct w:val="0"/>
        <w:autoSpaceDE/>
        <w:autoSpaceDN/>
        <w:bidi w:val="0"/>
        <w:adjustRightInd w:val="0"/>
        <w:snapToGrid w:val="0"/>
        <w:spacing w:line="57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一、</w:t>
      </w:r>
      <w:r>
        <w:rPr>
          <w:rFonts w:hint="default" w:ascii="Times New Roman" w:hAnsi="Times New Roman" w:eastAsia="黑体" w:cs="Times New Roman"/>
          <w:color w:val="auto"/>
          <w:sz w:val="32"/>
          <w:szCs w:val="32"/>
          <w:highlight w:val="none"/>
        </w:rPr>
        <w:t>基本情况</w:t>
      </w:r>
    </w:p>
    <w:p w14:paraId="62001D80">
      <w:pPr>
        <w:keepNext w:val="0"/>
        <w:keepLines w:val="0"/>
        <w:pageBreakBefore w:val="0"/>
        <w:widowControl w:val="0"/>
        <w:kinsoku/>
        <w:wordWrap/>
        <w:overflowPunct/>
        <w:topLinePunct w:val="0"/>
        <w:autoSpaceDE/>
        <w:autoSpaceDN/>
        <w:bidi w:val="0"/>
        <w:adjustRightInd/>
        <w:snapToGrid/>
        <w:spacing w:line="570" w:lineRule="exact"/>
        <w:ind w:firstLine="803" w:firstLineChars="250"/>
        <w:textAlignment w:val="auto"/>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楷体_GB2312" w:cs="Times New Roman"/>
          <w:b/>
          <w:bCs/>
          <w:color w:val="auto"/>
          <w:sz w:val="32"/>
          <w:szCs w:val="32"/>
          <w:highlight w:val="none"/>
          <w:lang w:val="en-US" w:eastAsia="zh-CN"/>
        </w:rPr>
        <w:t>（一）项目概况。</w:t>
      </w:r>
      <w:r>
        <w:rPr>
          <w:rFonts w:hint="eastAsia" w:ascii="仿宋_GB2312" w:hAnsi="仿宋_GB2312" w:eastAsia="仿宋_GB2312" w:cs="仿宋_GB2312"/>
          <w:color w:val="auto"/>
          <w:sz w:val="32"/>
          <w:szCs w:val="32"/>
          <w:highlight w:val="none"/>
          <w:lang w:val="en-US" w:eastAsia="zh-CN"/>
        </w:rPr>
        <w:t>为贯彻落实好习近平总书记关于加强全体机关干部和政协委员多读书、读好书、善读书的要求，充分发挥人民政协“重要阵地”“重要平台”“重要渠道”作用，切实推进书香政协建设，设立此项目，</w:t>
      </w:r>
      <w:r>
        <w:rPr>
          <w:rFonts w:hint="eastAsia" w:ascii="仿宋_GB2312" w:hAnsi="仿宋_GB2312" w:eastAsia="仿宋_GB2312" w:cs="仿宋_GB2312"/>
          <w:color w:val="auto"/>
          <w:sz w:val="32"/>
          <w:szCs w:val="32"/>
          <w:highlight w:val="none"/>
          <w:lang w:eastAsia="zh-CN"/>
        </w:rPr>
        <w:t>用于</w:t>
      </w:r>
      <w:r>
        <w:rPr>
          <w:rFonts w:hint="eastAsia" w:ascii="仿宋_GB2312" w:hAnsi="仿宋_GB2312" w:eastAsia="仿宋_GB2312" w:cs="仿宋_GB2312"/>
          <w:color w:val="auto"/>
          <w:sz w:val="32"/>
          <w:szCs w:val="32"/>
          <w:highlight w:val="none"/>
          <w:lang w:val="en-US" w:eastAsia="zh-CN"/>
        </w:rPr>
        <w:t>保障开展“书香政协”活动</w:t>
      </w:r>
      <w:r>
        <w:rPr>
          <w:rFonts w:hint="eastAsia" w:ascii="仿宋_GB2312" w:hAnsi="仿宋_GB2312" w:eastAsia="仿宋_GB2312" w:cs="仿宋_GB2312"/>
          <w:color w:val="auto"/>
          <w:sz w:val="32"/>
          <w:szCs w:val="32"/>
          <w:highlight w:val="none"/>
          <w:lang w:eastAsia="zh-CN"/>
        </w:rPr>
        <w:t>相关支出。</w:t>
      </w:r>
    </w:p>
    <w:p w14:paraId="6318F82F">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Times New Roman" w:hAnsi="Times New Roman" w:eastAsia="楷体_GB2312" w:cs="Times New Roman"/>
          <w:b/>
          <w:bCs/>
          <w:color w:val="auto"/>
          <w:kern w:val="2"/>
          <w:sz w:val="32"/>
          <w:szCs w:val="32"/>
          <w:highlight w:val="none"/>
          <w:lang w:val="en-US" w:eastAsia="zh-CN" w:bidi="ar-SA"/>
        </w:rPr>
        <w:t>（二）项目实施情况。</w:t>
      </w:r>
      <w:r>
        <w:rPr>
          <w:rFonts w:hint="eastAsia" w:ascii="仿宋_GB2312" w:hAnsi="仿宋_GB2312" w:eastAsia="仿宋_GB2312" w:cs="仿宋_GB2312"/>
          <w:color w:val="auto"/>
          <w:sz w:val="32"/>
          <w:szCs w:val="32"/>
          <w:highlight w:val="none"/>
          <w:lang w:val="en-US" w:eastAsia="zh-CN"/>
        </w:rPr>
        <w:t>项目计划组织开展不少于4次活动，购买书籍不少于100本，书籍阅读率、活动人员到岗率、完成及时率达100%，活动参与人员满意度不低于90%，财政监督管理制度健全，总投入不超过8万元。</w:t>
      </w:r>
      <w:r>
        <w:rPr>
          <w:rFonts w:hint="default" w:ascii="仿宋_GB2312" w:hAnsi="仿宋_GB2312" w:eastAsia="仿宋_GB2312" w:cs="仿宋_GB2312"/>
          <w:color w:val="auto"/>
          <w:sz w:val="32"/>
          <w:szCs w:val="32"/>
          <w:highlight w:val="none"/>
          <w:lang w:val="en-US" w:eastAsia="zh-CN"/>
        </w:rPr>
        <w:t>该项目均按照有关规章制度和工作要求有序推进。</w:t>
      </w:r>
      <w:r>
        <w:rPr>
          <w:rFonts w:hint="eastAsia" w:ascii="仿宋_GB2312" w:hAnsi="仿宋_GB2312" w:eastAsia="仿宋_GB2312" w:cs="仿宋_GB2312"/>
          <w:color w:val="auto"/>
          <w:sz w:val="32"/>
          <w:szCs w:val="32"/>
          <w:highlight w:val="none"/>
          <w:lang w:val="en-US" w:eastAsia="zh-CN"/>
        </w:rPr>
        <w:t>全年举办</w:t>
      </w:r>
      <w:r>
        <w:rPr>
          <w:rFonts w:hint="default" w:ascii="仿宋_GB2312" w:hAnsi="仿宋_GB2312" w:eastAsia="仿宋_GB2312" w:cs="仿宋_GB2312"/>
          <w:color w:val="auto"/>
          <w:sz w:val="32"/>
          <w:szCs w:val="32"/>
          <w:highlight w:val="none"/>
          <w:lang w:val="en-US" w:eastAsia="zh-CN"/>
        </w:rPr>
        <w:t>“学习新思想、践行新使命、奋进新征程”“同心共读革命史、履职奋进新征程”等线上线下读书活动40余次，</w:t>
      </w:r>
      <w:r>
        <w:rPr>
          <w:rFonts w:hint="eastAsia" w:ascii="仿宋_GB2312" w:hAnsi="仿宋_GB2312" w:eastAsia="仿宋_GB2312" w:cs="仿宋_GB2312"/>
          <w:color w:val="auto"/>
          <w:sz w:val="32"/>
          <w:szCs w:val="32"/>
          <w:highlight w:val="none"/>
          <w:lang w:val="en-US" w:eastAsia="zh-CN"/>
        </w:rPr>
        <w:t>向委员分享购买书籍200余册，书籍阅读率、活动人员到岗率、完成及时率、活动参与人员满意度达100%，财政监督管理制度健全，项目完成8万元，营造了良好的书香政协氛围，进一步推动委员将读书收获转化为做好政协工作的过硬本领。</w:t>
      </w:r>
    </w:p>
    <w:p w14:paraId="3B3A0C0F">
      <w:pPr>
        <w:pStyle w:val="24"/>
        <w:keepNext w:val="0"/>
        <w:keepLines w:val="0"/>
        <w:pageBreakBefore w:val="0"/>
        <w:widowControl w:val="0"/>
        <w:kinsoku/>
        <w:wordWrap/>
        <w:overflowPunct w:val="0"/>
        <w:topLinePunct w:val="0"/>
        <w:autoSpaceDE/>
        <w:autoSpaceDN/>
        <w:bidi w:val="0"/>
        <w:adjustRightInd w:val="0"/>
        <w:snapToGrid w:val="0"/>
        <w:spacing w:before="0" w:after="0" w:line="570" w:lineRule="exact"/>
        <w:jc w:val="both"/>
        <w:rPr>
          <w:rFonts w:hint="default" w:ascii="仿宋_GB2312" w:hAnsi="仿宋_GB2312" w:eastAsia="仿宋_GB2312" w:cs="仿宋_GB2312"/>
          <w:color w:val="auto"/>
          <w:kern w:val="2"/>
          <w:sz w:val="32"/>
          <w:szCs w:val="32"/>
          <w:highlight w:val="none"/>
          <w:lang w:val="en-US" w:eastAsia="zh-CN" w:bidi="ar-SA"/>
        </w:rPr>
      </w:pPr>
      <w:r>
        <w:rPr>
          <w:rFonts w:hint="eastAsia"/>
          <w:sz w:val="32"/>
          <w:szCs w:val="32"/>
          <w:lang w:val="en-US" w:eastAsia="zh-CN"/>
        </w:rPr>
        <w:t xml:space="preserve">      </w:t>
      </w:r>
      <w:r>
        <w:rPr>
          <w:rFonts w:hint="default" w:ascii="Times New Roman" w:hAnsi="Times New Roman" w:eastAsia="楷体_GB2312" w:cs="Times New Roman"/>
          <w:b/>
          <w:bCs/>
          <w:color w:val="auto"/>
          <w:kern w:val="2"/>
          <w:sz w:val="32"/>
          <w:szCs w:val="32"/>
          <w:highlight w:val="none"/>
          <w:lang w:val="en-US" w:eastAsia="zh-CN" w:bidi="ar-SA"/>
        </w:rPr>
        <w:t>（三）资金投入使用情况。</w:t>
      </w:r>
      <w:r>
        <w:rPr>
          <w:rFonts w:hint="default" w:ascii="仿宋_GB2312" w:hAnsi="仿宋_GB2312" w:eastAsia="仿宋_GB2312" w:cs="仿宋_GB2312"/>
          <w:color w:val="auto"/>
          <w:kern w:val="2"/>
          <w:sz w:val="32"/>
          <w:szCs w:val="32"/>
          <w:highlight w:val="none"/>
          <w:lang w:val="en-US" w:eastAsia="zh-CN" w:bidi="ar-SA"/>
        </w:rPr>
        <w:t>该项目202</w:t>
      </w:r>
      <w:r>
        <w:rPr>
          <w:rFonts w:hint="eastAsia" w:ascii="仿宋_GB2312" w:hAnsi="仿宋_GB2312" w:eastAsia="仿宋_GB2312" w:cs="仿宋_GB2312"/>
          <w:color w:val="auto"/>
          <w:kern w:val="2"/>
          <w:sz w:val="32"/>
          <w:szCs w:val="32"/>
          <w:highlight w:val="none"/>
          <w:lang w:val="en-US" w:eastAsia="zh-CN" w:bidi="ar-SA"/>
        </w:rPr>
        <w:t>3</w:t>
      </w:r>
      <w:r>
        <w:rPr>
          <w:rFonts w:hint="default" w:ascii="仿宋_GB2312" w:hAnsi="仿宋_GB2312" w:eastAsia="仿宋_GB2312" w:cs="仿宋_GB2312"/>
          <w:color w:val="auto"/>
          <w:kern w:val="2"/>
          <w:sz w:val="32"/>
          <w:szCs w:val="32"/>
          <w:highlight w:val="none"/>
          <w:lang w:val="en-US" w:eastAsia="zh-CN" w:bidi="ar-SA"/>
        </w:rPr>
        <w:t>年年初预算资金</w:t>
      </w:r>
      <w:r>
        <w:rPr>
          <w:rFonts w:hint="eastAsia" w:ascii="仿宋_GB2312" w:hAnsi="仿宋_GB2312" w:eastAsia="仿宋_GB2312" w:cs="仿宋_GB2312"/>
          <w:color w:val="auto"/>
          <w:kern w:val="2"/>
          <w:sz w:val="32"/>
          <w:szCs w:val="32"/>
          <w:highlight w:val="none"/>
          <w:lang w:val="en-US" w:eastAsia="zh-CN" w:bidi="ar-SA"/>
        </w:rPr>
        <w:t>8</w:t>
      </w:r>
      <w:r>
        <w:rPr>
          <w:rFonts w:hint="default" w:ascii="仿宋_GB2312" w:hAnsi="仿宋_GB2312" w:eastAsia="仿宋_GB2312" w:cs="仿宋_GB2312"/>
          <w:color w:val="auto"/>
          <w:kern w:val="2"/>
          <w:sz w:val="32"/>
          <w:szCs w:val="32"/>
          <w:highlight w:val="none"/>
          <w:lang w:val="en-US" w:eastAsia="zh-CN" w:bidi="ar-SA"/>
        </w:rPr>
        <w:t>万元，</w:t>
      </w:r>
      <w:r>
        <w:rPr>
          <w:rFonts w:hint="eastAsia" w:ascii="仿宋_GB2312" w:hAnsi="仿宋_GB2312" w:eastAsia="仿宋_GB2312" w:cs="仿宋_GB2312"/>
          <w:color w:val="auto"/>
          <w:kern w:val="2"/>
          <w:sz w:val="32"/>
          <w:szCs w:val="32"/>
          <w:highlight w:val="none"/>
          <w:lang w:val="en-US" w:eastAsia="zh-CN" w:bidi="ar-SA"/>
        </w:rPr>
        <w:t>财政下达资金8万元，</w:t>
      </w:r>
      <w:r>
        <w:rPr>
          <w:rFonts w:hint="default" w:ascii="仿宋_GB2312" w:hAnsi="仿宋_GB2312" w:eastAsia="仿宋_GB2312" w:cs="仿宋_GB2312"/>
          <w:color w:val="auto"/>
          <w:kern w:val="2"/>
          <w:sz w:val="32"/>
          <w:szCs w:val="32"/>
          <w:highlight w:val="none"/>
          <w:lang w:val="en-US" w:eastAsia="zh-CN" w:bidi="ar-SA"/>
        </w:rPr>
        <w:t>财政收回指标</w:t>
      </w:r>
      <w:r>
        <w:rPr>
          <w:rFonts w:hint="eastAsia" w:ascii="仿宋_GB2312" w:hAnsi="仿宋_GB2312" w:eastAsia="仿宋_GB2312" w:cs="仿宋_GB2312"/>
          <w:color w:val="auto"/>
          <w:kern w:val="2"/>
          <w:sz w:val="32"/>
          <w:szCs w:val="32"/>
          <w:highlight w:val="none"/>
          <w:lang w:val="en-US" w:eastAsia="zh-CN" w:bidi="ar-SA"/>
        </w:rPr>
        <w:t>0.08</w:t>
      </w:r>
      <w:r>
        <w:rPr>
          <w:rFonts w:hint="default" w:ascii="仿宋_GB2312" w:hAnsi="仿宋_GB2312" w:eastAsia="仿宋_GB2312" w:cs="仿宋_GB2312"/>
          <w:color w:val="auto"/>
          <w:kern w:val="2"/>
          <w:sz w:val="32"/>
          <w:szCs w:val="32"/>
          <w:highlight w:val="none"/>
          <w:lang w:val="en-US" w:eastAsia="zh-CN" w:bidi="ar-SA"/>
        </w:rPr>
        <w:t>万元，支出</w:t>
      </w:r>
      <w:r>
        <w:rPr>
          <w:rFonts w:hint="eastAsia" w:ascii="仿宋_GB2312" w:hAnsi="仿宋_GB2312" w:eastAsia="仿宋_GB2312" w:cs="仿宋_GB2312"/>
          <w:color w:val="auto"/>
          <w:kern w:val="2"/>
          <w:sz w:val="32"/>
          <w:szCs w:val="32"/>
          <w:highlight w:val="none"/>
          <w:lang w:val="en-US" w:eastAsia="zh-CN" w:bidi="ar-SA"/>
        </w:rPr>
        <w:t>7.92</w:t>
      </w:r>
      <w:r>
        <w:rPr>
          <w:rFonts w:hint="default" w:ascii="仿宋_GB2312" w:hAnsi="仿宋_GB2312" w:eastAsia="仿宋_GB2312" w:cs="仿宋_GB2312"/>
          <w:color w:val="auto"/>
          <w:kern w:val="2"/>
          <w:sz w:val="32"/>
          <w:szCs w:val="32"/>
          <w:highlight w:val="none"/>
          <w:lang w:val="en-US" w:eastAsia="zh-CN" w:bidi="ar-SA"/>
        </w:rPr>
        <w:t>万元，完成率100%。</w:t>
      </w:r>
    </w:p>
    <w:p w14:paraId="751312C0">
      <w:pPr>
        <w:keepNext w:val="0"/>
        <w:keepLines w:val="0"/>
        <w:pageBreakBefore w:val="0"/>
        <w:widowControl w:val="0"/>
        <w:kinsoku/>
        <w:wordWrap/>
        <w:overflowPunct w:val="0"/>
        <w:topLinePunct w:val="0"/>
        <w:autoSpaceDE/>
        <w:autoSpaceDN/>
        <w:bidi w:val="0"/>
        <w:adjustRightInd w:val="0"/>
        <w:snapToGrid w:val="0"/>
        <w:spacing w:line="570" w:lineRule="exact"/>
        <w:ind w:firstLine="640"/>
        <w:rPr>
          <w:rFonts w:hint="default" w:ascii="Times New Roman" w:hAnsi="Times New Roman" w:eastAsia="楷体_GB2312" w:cs="Times New Roman"/>
          <w:b/>
          <w:bCs/>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（四）项目绩效目标</w:t>
      </w:r>
    </w:p>
    <w:tbl>
      <w:tblPr>
        <w:tblStyle w:val="20"/>
        <w:tblW w:w="79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7"/>
        <w:gridCol w:w="1562"/>
        <w:gridCol w:w="2388"/>
        <w:gridCol w:w="1462"/>
        <w:gridCol w:w="1538"/>
      </w:tblGrid>
      <w:tr w14:paraId="2F19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0B527F93">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7053805B">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21B94AFD">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1462" w:type="dxa"/>
            <w:tcBorders>
              <w:top w:val="single" w:color="000000" w:sz="4" w:space="0"/>
              <w:left w:val="single" w:color="000000" w:sz="4" w:space="0"/>
              <w:bottom w:val="single" w:color="000000" w:sz="4" w:space="0"/>
              <w:right w:val="single" w:color="000000" w:sz="4" w:space="0"/>
            </w:tcBorders>
            <w:vAlign w:val="center"/>
          </w:tcPr>
          <w:p w14:paraId="147B19ED">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kern w:val="0"/>
                <w:sz w:val="18"/>
                <w:szCs w:val="18"/>
                <w:u w:val="none"/>
                <w:lang w:val="en-US" w:eastAsia="zh-CN" w:bidi="ar"/>
              </w:rPr>
              <w:t>年度指标值</w:t>
            </w:r>
          </w:p>
        </w:tc>
        <w:tc>
          <w:tcPr>
            <w:tcW w:w="1538" w:type="dxa"/>
            <w:tcBorders>
              <w:top w:val="single" w:color="000000" w:sz="4" w:space="0"/>
              <w:left w:val="single" w:color="000000" w:sz="4" w:space="0"/>
              <w:bottom w:val="single" w:color="000000" w:sz="4" w:space="0"/>
              <w:right w:val="single" w:color="000000" w:sz="4" w:space="0"/>
            </w:tcBorders>
            <w:vAlign w:val="center"/>
          </w:tcPr>
          <w:p w14:paraId="47FDC874">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eastAsia="zh-CN"/>
              </w:rPr>
            </w:pPr>
            <w:r>
              <w:rPr>
                <w:rFonts w:hint="eastAsia" w:ascii="等线" w:hAnsi="等线" w:eastAsia="等线" w:cs="等线"/>
                <w:b/>
                <w:bCs/>
                <w:i w:val="0"/>
                <w:iCs w:val="0"/>
                <w:color w:val="000000"/>
                <w:kern w:val="0"/>
                <w:sz w:val="18"/>
                <w:szCs w:val="18"/>
                <w:u w:val="none"/>
                <w:lang w:val="en-US" w:eastAsia="zh-CN" w:bidi="ar"/>
              </w:rPr>
              <w:t>全年完成情况</w:t>
            </w:r>
          </w:p>
        </w:tc>
      </w:tr>
      <w:tr w14:paraId="4012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63D92849">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6CAE92C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3408CF8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书籍阅读率</w:t>
            </w:r>
          </w:p>
        </w:tc>
        <w:tc>
          <w:tcPr>
            <w:tcW w:w="1462" w:type="dxa"/>
            <w:tcBorders>
              <w:top w:val="single" w:color="000000" w:sz="4" w:space="0"/>
              <w:left w:val="single" w:color="000000" w:sz="4" w:space="0"/>
              <w:bottom w:val="single" w:color="000000" w:sz="4" w:space="0"/>
              <w:right w:val="single" w:color="000000" w:sz="4" w:space="0"/>
            </w:tcBorders>
            <w:vAlign w:val="center"/>
          </w:tcPr>
          <w:p w14:paraId="5BFDF108">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100%</w:t>
            </w:r>
          </w:p>
        </w:tc>
        <w:tc>
          <w:tcPr>
            <w:tcW w:w="1538" w:type="dxa"/>
            <w:tcBorders>
              <w:top w:val="single" w:color="000000" w:sz="4" w:space="0"/>
              <w:left w:val="single" w:color="000000" w:sz="4" w:space="0"/>
              <w:bottom w:val="single" w:color="000000" w:sz="4" w:space="0"/>
              <w:right w:val="single" w:color="000000" w:sz="4" w:space="0"/>
            </w:tcBorders>
            <w:vAlign w:val="center"/>
          </w:tcPr>
          <w:p w14:paraId="5DFA7646">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100%</w:t>
            </w:r>
          </w:p>
        </w:tc>
      </w:tr>
      <w:tr w14:paraId="68E41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231A4D1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176ED49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2D9715C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购买书籍数量</w:t>
            </w:r>
          </w:p>
        </w:tc>
        <w:tc>
          <w:tcPr>
            <w:tcW w:w="1462" w:type="dxa"/>
            <w:tcBorders>
              <w:top w:val="single" w:color="000000" w:sz="4" w:space="0"/>
              <w:left w:val="single" w:color="000000" w:sz="4" w:space="0"/>
              <w:bottom w:val="single" w:color="000000" w:sz="4" w:space="0"/>
              <w:right w:val="single" w:color="000000" w:sz="4" w:space="0"/>
            </w:tcBorders>
            <w:vAlign w:val="center"/>
          </w:tcPr>
          <w:p w14:paraId="49CFC052">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≥100本</w:t>
            </w:r>
          </w:p>
        </w:tc>
        <w:tc>
          <w:tcPr>
            <w:tcW w:w="1538" w:type="dxa"/>
            <w:tcBorders>
              <w:top w:val="single" w:color="000000" w:sz="4" w:space="0"/>
              <w:left w:val="single" w:color="000000" w:sz="4" w:space="0"/>
              <w:bottom w:val="single" w:color="000000" w:sz="4" w:space="0"/>
              <w:right w:val="single" w:color="000000" w:sz="4" w:space="0"/>
            </w:tcBorders>
            <w:vAlign w:val="center"/>
          </w:tcPr>
          <w:p w14:paraId="4FAE7EDE">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＞100本</w:t>
            </w:r>
          </w:p>
        </w:tc>
      </w:tr>
      <w:tr w14:paraId="3A22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14D5B19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18179A8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3F18562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活动人员到岗率</w:t>
            </w:r>
          </w:p>
        </w:tc>
        <w:tc>
          <w:tcPr>
            <w:tcW w:w="1462" w:type="dxa"/>
            <w:tcBorders>
              <w:top w:val="single" w:color="000000" w:sz="4" w:space="0"/>
              <w:left w:val="single" w:color="000000" w:sz="4" w:space="0"/>
              <w:bottom w:val="single" w:color="000000" w:sz="4" w:space="0"/>
              <w:right w:val="single" w:color="000000" w:sz="4" w:space="0"/>
            </w:tcBorders>
            <w:vAlign w:val="center"/>
          </w:tcPr>
          <w:p w14:paraId="26AF7978">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sz w:val="18"/>
                <w:szCs w:val="18"/>
                <w:u w:val="none"/>
                <w:lang w:val="en-US" w:eastAsia="zh-CN"/>
              </w:rPr>
              <w:t>100%</w:t>
            </w:r>
          </w:p>
        </w:tc>
        <w:tc>
          <w:tcPr>
            <w:tcW w:w="1538" w:type="dxa"/>
            <w:tcBorders>
              <w:top w:val="single" w:color="000000" w:sz="4" w:space="0"/>
              <w:left w:val="single" w:color="000000" w:sz="4" w:space="0"/>
              <w:bottom w:val="single" w:color="000000" w:sz="4" w:space="0"/>
              <w:right w:val="single" w:color="000000" w:sz="4" w:space="0"/>
            </w:tcBorders>
            <w:vAlign w:val="center"/>
          </w:tcPr>
          <w:p w14:paraId="1B4D74D9">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100%</w:t>
            </w:r>
          </w:p>
        </w:tc>
      </w:tr>
      <w:tr w14:paraId="4927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2DBDD56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005FD93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364739E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完成及时率</w:t>
            </w:r>
          </w:p>
        </w:tc>
        <w:tc>
          <w:tcPr>
            <w:tcW w:w="1462" w:type="dxa"/>
            <w:tcBorders>
              <w:top w:val="single" w:color="000000" w:sz="4" w:space="0"/>
              <w:left w:val="single" w:color="000000" w:sz="4" w:space="0"/>
              <w:bottom w:val="single" w:color="000000" w:sz="4" w:space="0"/>
              <w:right w:val="single" w:color="000000" w:sz="4" w:space="0"/>
            </w:tcBorders>
            <w:vAlign w:val="center"/>
          </w:tcPr>
          <w:p w14:paraId="28353A9F">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sz w:val="18"/>
                <w:szCs w:val="18"/>
                <w:u w:val="none"/>
                <w:lang w:val="en-US" w:eastAsia="zh-CN"/>
              </w:rPr>
              <w:t>100%</w:t>
            </w:r>
          </w:p>
        </w:tc>
        <w:tc>
          <w:tcPr>
            <w:tcW w:w="1538" w:type="dxa"/>
            <w:tcBorders>
              <w:top w:val="single" w:color="000000" w:sz="4" w:space="0"/>
              <w:left w:val="single" w:color="000000" w:sz="4" w:space="0"/>
              <w:bottom w:val="single" w:color="000000" w:sz="4" w:space="0"/>
              <w:right w:val="single" w:color="000000" w:sz="4" w:space="0"/>
            </w:tcBorders>
            <w:vAlign w:val="center"/>
          </w:tcPr>
          <w:p w14:paraId="6F263BE6">
            <w:pPr>
              <w:jc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sz w:val="18"/>
                <w:szCs w:val="18"/>
                <w:u w:val="none"/>
                <w:lang w:val="en-US" w:eastAsia="zh-CN"/>
              </w:rPr>
              <w:t>100%</w:t>
            </w:r>
          </w:p>
        </w:tc>
      </w:tr>
      <w:tr w14:paraId="51AF3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07C218DB">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103A77A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6985EAC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开展活动次数</w:t>
            </w:r>
          </w:p>
        </w:tc>
        <w:tc>
          <w:tcPr>
            <w:tcW w:w="1462" w:type="dxa"/>
            <w:tcBorders>
              <w:top w:val="single" w:color="000000" w:sz="4" w:space="0"/>
              <w:left w:val="single" w:color="000000" w:sz="4" w:space="0"/>
              <w:bottom w:val="single" w:color="000000" w:sz="4" w:space="0"/>
              <w:right w:val="single" w:color="000000" w:sz="4" w:space="0"/>
            </w:tcBorders>
            <w:vAlign w:val="center"/>
          </w:tcPr>
          <w:p w14:paraId="4F690221">
            <w:pPr>
              <w:keepNext w:val="0"/>
              <w:keepLines w:val="0"/>
              <w:widowControl/>
              <w:suppressLineNumbers w:val="0"/>
              <w:jc w:val="center"/>
              <w:textAlignment w:val="center"/>
              <w:rPr>
                <w:rFonts w:hint="default"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≥4场次</w:t>
            </w:r>
          </w:p>
        </w:tc>
        <w:tc>
          <w:tcPr>
            <w:tcW w:w="1538" w:type="dxa"/>
            <w:tcBorders>
              <w:top w:val="single" w:color="000000" w:sz="4" w:space="0"/>
              <w:left w:val="single" w:color="000000" w:sz="4" w:space="0"/>
              <w:bottom w:val="single" w:color="000000" w:sz="4" w:space="0"/>
              <w:right w:val="single" w:color="000000" w:sz="4" w:space="0"/>
            </w:tcBorders>
            <w:vAlign w:val="center"/>
          </w:tcPr>
          <w:p w14:paraId="13C1E29A">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＞4场次</w:t>
            </w:r>
          </w:p>
        </w:tc>
      </w:tr>
      <w:tr w14:paraId="5B830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6ED33F1F">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743BE8E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2B8DD3A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财政监督管理制度健全性</w:t>
            </w:r>
          </w:p>
        </w:tc>
        <w:tc>
          <w:tcPr>
            <w:tcW w:w="1462" w:type="dxa"/>
            <w:tcBorders>
              <w:top w:val="single" w:color="000000" w:sz="4" w:space="0"/>
              <w:left w:val="single" w:color="000000" w:sz="4" w:space="0"/>
              <w:bottom w:val="single" w:color="000000" w:sz="4" w:space="0"/>
              <w:right w:val="single" w:color="000000" w:sz="4" w:space="0"/>
            </w:tcBorders>
            <w:vAlign w:val="center"/>
          </w:tcPr>
          <w:p w14:paraId="60A0319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优良中差</w:t>
            </w:r>
          </w:p>
        </w:tc>
        <w:tc>
          <w:tcPr>
            <w:tcW w:w="1538" w:type="dxa"/>
            <w:tcBorders>
              <w:top w:val="single" w:color="000000" w:sz="4" w:space="0"/>
              <w:left w:val="single" w:color="000000" w:sz="4" w:space="0"/>
              <w:bottom w:val="single" w:color="000000" w:sz="4" w:space="0"/>
              <w:right w:val="single" w:color="000000" w:sz="4" w:space="0"/>
            </w:tcBorders>
            <w:vAlign w:val="center"/>
          </w:tcPr>
          <w:p w14:paraId="64EF9E31">
            <w:pPr>
              <w:jc w:val="center"/>
              <w:rPr>
                <w:rFonts w:hint="default" w:ascii="等线" w:hAnsi="等线" w:eastAsia="等线" w:cs="等线"/>
                <w:i w:val="0"/>
                <w:iCs w:val="0"/>
                <w:color w:val="000000"/>
                <w:sz w:val="18"/>
                <w:szCs w:val="18"/>
                <w:u w:val="none"/>
                <w:lang w:val="en-US" w:eastAsia="zh-CN"/>
              </w:rPr>
            </w:pPr>
            <w:r>
              <w:rPr>
                <w:rFonts w:hint="eastAsia" w:ascii="等线" w:hAnsi="等线" w:eastAsia="等线" w:cs="等线"/>
                <w:i w:val="0"/>
                <w:iCs w:val="0"/>
                <w:color w:val="000000"/>
                <w:sz w:val="18"/>
                <w:szCs w:val="18"/>
                <w:u w:val="none"/>
                <w:lang w:val="en-US" w:eastAsia="zh-CN"/>
              </w:rPr>
              <w:t>优</w:t>
            </w:r>
          </w:p>
        </w:tc>
      </w:tr>
      <w:tr w14:paraId="4A8B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77" w:type="dxa"/>
            <w:tcBorders>
              <w:top w:val="single" w:color="000000" w:sz="4" w:space="0"/>
              <w:left w:val="single" w:color="000000" w:sz="4" w:space="0"/>
              <w:bottom w:val="single" w:color="000000" w:sz="4" w:space="0"/>
              <w:right w:val="single" w:color="000000" w:sz="4" w:space="0"/>
            </w:tcBorders>
            <w:vAlign w:val="center"/>
          </w:tcPr>
          <w:p w14:paraId="47E5B87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1562" w:type="dxa"/>
            <w:tcBorders>
              <w:top w:val="single" w:color="000000" w:sz="4" w:space="0"/>
              <w:left w:val="single" w:color="000000" w:sz="4" w:space="0"/>
              <w:bottom w:val="single" w:color="000000" w:sz="4" w:space="0"/>
              <w:right w:val="single" w:color="000000" w:sz="4" w:space="0"/>
            </w:tcBorders>
            <w:vAlign w:val="center"/>
          </w:tcPr>
          <w:p w14:paraId="463EA90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2388" w:type="dxa"/>
            <w:tcBorders>
              <w:top w:val="single" w:color="000000" w:sz="4" w:space="0"/>
              <w:left w:val="single" w:color="000000" w:sz="4" w:space="0"/>
              <w:bottom w:val="single" w:color="000000" w:sz="4" w:space="0"/>
              <w:right w:val="single" w:color="000000" w:sz="4" w:space="0"/>
            </w:tcBorders>
            <w:vAlign w:val="center"/>
          </w:tcPr>
          <w:p w14:paraId="26F04F3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书香政协氛围营造情况</w:t>
            </w:r>
          </w:p>
        </w:tc>
        <w:tc>
          <w:tcPr>
            <w:tcW w:w="1462" w:type="dxa"/>
            <w:tcBorders>
              <w:top w:val="single" w:color="000000" w:sz="4" w:space="0"/>
              <w:left w:val="single" w:color="000000" w:sz="4" w:space="0"/>
              <w:bottom w:val="single" w:color="000000" w:sz="4" w:space="0"/>
              <w:right w:val="single" w:color="000000" w:sz="4" w:space="0"/>
            </w:tcBorders>
            <w:vAlign w:val="center"/>
          </w:tcPr>
          <w:p w14:paraId="2FBE4D4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好坏</w:t>
            </w:r>
          </w:p>
        </w:tc>
        <w:tc>
          <w:tcPr>
            <w:tcW w:w="1538" w:type="dxa"/>
            <w:tcBorders>
              <w:top w:val="single" w:color="000000" w:sz="4" w:space="0"/>
              <w:left w:val="single" w:color="000000" w:sz="4" w:space="0"/>
              <w:bottom w:val="single" w:color="000000" w:sz="4" w:space="0"/>
              <w:right w:val="single" w:color="000000" w:sz="4" w:space="0"/>
            </w:tcBorders>
            <w:vAlign w:val="center"/>
          </w:tcPr>
          <w:p w14:paraId="56A64DF7">
            <w:pPr>
              <w:jc w:val="center"/>
              <w:rPr>
                <w:rFonts w:hint="eastAsia" w:ascii="等线" w:hAnsi="等线" w:eastAsia="等线" w:cs="等线"/>
                <w:i w:val="0"/>
                <w:iCs w:val="0"/>
                <w:color w:val="000000"/>
                <w:sz w:val="18"/>
                <w:szCs w:val="18"/>
                <w:u w:val="none"/>
                <w:lang w:eastAsia="zh-CN"/>
              </w:rPr>
            </w:pPr>
            <w:r>
              <w:rPr>
                <w:rFonts w:hint="eastAsia" w:ascii="等线" w:hAnsi="等线" w:eastAsia="等线" w:cs="等线"/>
                <w:i w:val="0"/>
                <w:iCs w:val="0"/>
                <w:color w:val="000000"/>
                <w:sz w:val="18"/>
                <w:szCs w:val="18"/>
                <w:u w:val="none"/>
                <w:lang w:eastAsia="zh-CN"/>
              </w:rPr>
              <w:t>好</w:t>
            </w:r>
          </w:p>
        </w:tc>
      </w:tr>
    </w:tbl>
    <w:p w14:paraId="29857420">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sz w:val="32"/>
          <w:szCs w:val="32"/>
          <w:highlight w:val="none"/>
        </w:rPr>
        <w:t>二、评价工作开展情况</w:t>
      </w:r>
    </w:p>
    <w:p w14:paraId="2EE9FBB9">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我单位本次项目支出绩效评价按照《遂宁市船山区财政局关于开展202</w:t>
      </w:r>
      <w:r>
        <w:rPr>
          <w:rFonts w:hint="eastAsia" w:ascii="仿宋_GB2312" w:hAnsi="仿宋_GB2312" w:eastAsia="仿宋_GB2312" w:cs="仿宋_GB2312"/>
          <w:color w:val="auto"/>
          <w:kern w:val="2"/>
          <w:sz w:val="32"/>
          <w:szCs w:val="32"/>
          <w:highlight w:val="none"/>
          <w:lang w:val="en-US" w:eastAsia="zh-CN" w:bidi="ar-SA"/>
        </w:rPr>
        <w:t>4</w:t>
      </w:r>
      <w:r>
        <w:rPr>
          <w:rFonts w:hint="default" w:ascii="仿宋_GB2312" w:hAnsi="仿宋_GB2312" w:eastAsia="仿宋_GB2312" w:cs="仿宋_GB2312"/>
          <w:color w:val="auto"/>
          <w:kern w:val="2"/>
          <w:sz w:val="32"/>
          <w:szCs w:val="32"/>
          <w:highlight w:val="none"/>
          <w:lang w:val="en-US" w:eastAsia="zh-CN" w:bidi="ar-SA"/>
        </w:rPr>
        <w:t>年部门、项目、政策支出绩效自评工作的通知》（遂船财</w:t>
      </w:r>
      <w:r>
        <w:rPr>
          <w:rFonts w:hint="eastAsia" w:ascii="仿宋_GB2312" w:hAnsi="仿宋_GB2312" w:eastAsia="仿宋_GB2312" w:cs="仿宋_GB2312"/>
          <w:color w:val="auto"/>
          <w:kern w:val="2"/>
          <w:sz w:val="32"/>
          <w:szCs w:val="32"/>
          <w:highlight w:val="none"/>
          <w:lang w:val="en-US" w:eastAsia="zh-CN" w:bidi="ar-SA"/>
        </w:rPr>
        <w:t>绩</w:t>
      </w:r>
      <w:r>
        <w:rPr>
          <w:rFonts w:hint="default" w:ascii="仿宋_GB2312" w:hAnsi="仿宋_GB2312" w:eastAsia="仿宋_GB2312" w:cs="仿宋_GB2312"/>
          <w:color w:val="auto"/>
          <w:kern w:val="2"/>
          <w:sz w:val="32"/>
          <w:szCs w:val="32"/>
          <w:highlight w:val="none"/>
          <w:lang w:val="en-US" w:eastAsia="zh-CN" w:bidi="ar-SA"/>
        </w:rPr>
        <w:t>〔202</w:t>
      </w:r>
      <w:r>
        <w:rPr>
          <w:rFonts w:hint="eastAsia" w:ascii="仿宋_GB2312" w:hAnsi="仿宋_GB2312" w:eastAsia="仿宋_GB2312" w:cs="仿宋_GB2312"/>
          <w:color w:val="auto"/>
          <w:kern w:val="2"/>
          <w:sz w:val="32"/>
          <w:szCs w:val="32"/>
          <w:highlight w:val="none"/>
          <w:lang w:val="en-US" w:eastAsia="zh-CN" w:bidi="ar-SA"/>
        </w:rPr>
        <w:t>4</w:t>
      </w:r>
      <w:r>
        <w:rPr>
          <w:rFonts w:hint="default"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2</w:t>
      </w:r>
      <w:r>
        <w:rPr>
          <w:rFonts w:hint="default" w:ascii="仿宋_GB2312" w:hAnsi="仿宋_GB2312" w:eastAsia="仿宋_GB2312" w:cs="仿宋_GB2312"/>
          <w:color w:val="auto"/>
          <w:kern w:val="2"/>
          <w:sz w:val="32"/>
          <w:szCs w:val="32"/>
          <w:highlight w:val="none"/>
          <w:lang w:val="en-US" w:eastAsia="zh-CN" w:bidi="ar-SA"/>
        </w:rPr>
        <w:t>号）文件要求执行。本次项目支出的指标体系分为4个</w:t>
      </w:r>
      <w:r>
        <w:rPr>
          <w:rFonts w:hint="eastAsia" w:ascii="仿宋_GB2312" w:hAnsi="仿宋_GB2312" w:eastAsia="仿宋_GB2312" w:cs="仿宋_GB2312"/>
          <w:color w:val="auto"/>
          <w:kern w:val="2"/>
          <w:sz w:val="32"/>
          <w:szCs w:val="32"/>
          <w:highlight w:val="none"/>
          <w:lang w:val="en-US" w:eastAsia="zh-CN" w:bidi="ar-SA"/>
        </w:rPr>
        <w:t>分层</w:t>
      </w:r>
      <w:r>
        <w:rPr>
          <w:rFonts w:hint="default" w:ascii="仿宋_GB2312" w:hAnsi="仿宋_GB2312" w:eastAsia="仿宋_GB2312" w:cs="仿宋_GB2312"/>
          <w:color w:val="auto"/>
          <w:kern w:val="2"/>
          <w:sz w:val="32"/>
          <w:szCs w:val="32"/>
          <w:highlight w:val="none"/>
          <w:lang w:val="en-US" w:eastAsia="zh-CN" w:bidi="ar-SA"/>
        </w:rPr>
        <w:t>指标、9个</w:t>
      </w:r>
      <w:r>
        <w:rPr>
          <w:rFonts w:hint="eastAsia" w:ascii="仿宋_GB2312" w:hAnsi="仿宋_GB2312" w:eastAsia="仿宋_GB2312" w:cs="仿宋_GB2312"/>
          <w:color w:val="auto"/>
          <w:kern w:val="2"/>
          <w:sz w:val="32"/>
          <w:szCs w:val="32"/>
          <w:highlight w:val="none"/>
          <w:lang w:val="en-US" w:eastAsia="zh-CN" w:bidi="ar-SA"/>
        </w:rPr>
        <w:t>一</w:t>
      </w:r>
      <w:r>
        <w:rPr>
          <w:rFonts w:hint="default" w:ascii="仿宋_GB2312" w:hAnsi="仿宋_GB2312" w:eastAsia="仿宋_GB2312" w:cs="仿宋_GB2312"/>
          <w:color w:val="auto"/>
          <w:kern w:val="2"/>
          <w:sz w:val="32"/>
          <w:szCs w:val="32"/>
          <w:highlight w:val="none"/>
          <w:lang w:val="en-US" w:eastAsia="zh-CN" w:bidi="ar-SA"/>
        </w:rPr>
        <w:t>级指标、13个</w:t>
      </w:r>
      <w:r>
        <w:rPr>
          <w:rFonts w:hint="eastAsia" w:ascii="仿宋_GB2312" w:hAnsi="仿宋_GB2312" w:eastAsia="仿宋_GB2312" w:cs="仿宋_GB2312"/>
          <w:color w:val="auto"/>
          <w:kern w:val="2"/>
          <w:sz w:val="32"/>
          <w:szCs w:val="32"/>
          <w:highlight w:val="none"/>
          <w:lang w:val="en-US" w:eastAsia="zh-CN" w:bidi="ar-SA"/>
        </w:rPr>
        <w:t>二</w:t>
      </w:r>
      <w:r>
        <w:rPr>
          <w:rFonts w:hint="default" w:ascii="仿宋_GB2312" w:hAnsi="仿宋_GB2312" w:eastAsia="仿宋_GB2312" w:cs="仿宋_GB2312"/>
          <w:color w:val="auto"/>
          <w:kern w:val="2"/>
          <w:sz w:val="32"/>
          <w:szCs w:val="32"/>
          <w:highlight w:val="none"/>
          <w:lang w:val="en-US" w:eastAsia="zh-CN" w:bidi="ar-SA"/>
        </w:rPr>
        <w:t>级指标，共计100分。评价</w:t>
      </w:r>
      <w:r>
        <w:rPr>
          <w:rFonts w:hint="eastAsia" w:ascii="仿宋_GB2312" w:hAnsi="仿宋_GB2312" w:eastAsia="仿宋_GB2312" w:cs="仿宋_GB2312"/>
          <w:color w:val="auto"/>
          <w:kern w:val="2"/>
          <w:sz w:val="32"/>
          <w:szCs w:val="32"/>
          <w:highlight w:val="none"/>
          <w:lang w:val="en-US" w:eastAsia="zh-CN" w:bidi="ar-SA"/>
        </w:rPr>
        <w:t>方法是</w:t>
      </w:r>
      <w:r>
        <w:rPr>
          <w:rFonts w:hint="default" w:ascii="仿宋_GB2312" w:hAnsi="仿宋_GB2312" w:eastAsia="仿宋_GB2312" w:cs="仿宋_GB2312"/>
          <w:color w:val="auto"/>
          <w:kern w:val="2"/>
          <w:sz w:val="32"/>
          <w:szCs w:val="32"/>
          <w:highlight w:val="none"/>
          <w:lang w:val="en-US" w:eastAsia="zh-CN" w:bidi="ar-SA"/>
        </w:rPr>
        <w:t>核对财务账目、检查档案资料，重点查看账目，账实对照，对资金使用进行综合分析，作出总体性评价。</w:t>
      </w:r>
    </w:p>
    <w:p w14:paraId="172159F5">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三、综合评价结论（附评分表）</w:t>
      </w:r>
    </w:p>
    <w:p w14:paraId="07C4D2D8">
      <w:pPr>
        <w:pStyle w:val="24"/>
        <w:keepNext w:val="0"/>
        <w:keepLines w:val="0"/>
        <w:pageBreakBefore w:val="0"/>
        <w:kinsoku/>
        <w:topLinePunct w:val="0"/>
        <w:autoSpaceDE/>
        <w:autoSpaceDN/>
        <w:bidi w:val="0"/>
        <w:spacing w:line="570" w:lineRule="exact"/>
        <w:jc w:val="left"/>
        <w:rPr>
          <w:rFonts w:hint="default"/>
          <w:lang w:val="zh-CN"/>
        </w:rPr>
      </w:pPr>
      <w:r>
        <w:rPr>
          <w:rFonts w:hint="eastAsia" w:ascii="Times New Roman" w:hAnsi="Times New Roman" w:cs="Times New Roman"/>
          <w:color w:val="auto"/>
          <w:kern w:val="2"/>
          <w:sz w:val="32"/>
          <w:szCs w:val="32"/>
          <w:highlight w:val="none"/>
          <w:lang w:val="en-US" w:eastAsia="zh-CN" w:bidi="ar-SA"/>
        </w:rPr>
        <w:t xml:space="preserve">    </w:t>
      </w:r>
      <w:r>
        <w:rPr>
          <w:rFonts w:hint="default" w:ascii="Times New Roman" w:hAnsi="Times New Roman" w:eastAsia="仿宋_GB2312" w:cs="Times New Roman"/>
          <w:color w:val="auto"/>
          <w:kern w:val="2"/>
          <w:sz w:val="32"/>
          <w:szCs w:val="32"/>
          <w:highlight w:val="none"/>
          <w:lang w:val="zh-CN" w:eastAsia="zh-CN" w:bidi="ar-SA"/>
        </w:rPr>
        <w:t>绩效目标科学完整，资金管理到位，预算执行规范，按期完成开支进度，实现政协建言献策的社会效应</w:t>
      </w:r>
      <w:r>
        <w:rPr>
          <w:rFonts w:hint="default" w:ascii="Times New Roman" w:hAnsi="Times New Roman" w:cs="Times New Roman"/>
          <w:color w:val="auto"/>
          <w:kern w:val="0"/>
          <w:highlight w:val="none"/>
          <w:shd w:val="clear" w:color="auto" w:fill="FFFFFF"/>
          <w:lang w:val="zh-CN"/>
        </w:rPr>
        <w:t>，</w:t>
      </w:r>
      <w:r>
        <w:rPr>
          <w:rFonts w:hint="default" w:ascii="Times New Roman" w:hAnsi="Times New Roman" w:eastAsia="仿宋_GB2312" w:cs="Times New Roman"/>
          <w:color w:val="auto"/>
          <w:kern w:val="2"/>
          <w:sz w:val="32"/>
          <w:szCs w:val="32"/>
          <w:highlight w:val="none"/>
          <w:lang w:val="en-US" w:eastAsia="zh-CN" w:bidi="ar-SA"/>
        </w:rPr>
        <w:t>综合评价得分100分，详见下表</w:t>
      </w:r>
      <w:r>
        <w:rPr>
          <w:rFonts w:hint="default" w:ascii="Times New Roman" w:hAnsi="Times New Roman" w:cs="Times New Roman"/>
          <w:color w:val="auto"/>
          <w:kern w:val="0"/>
          <w:highlight w:val="none"/>
          <w:shd w:val="clear" w:color="auto" w:fill="FFFFFF"/>
          <w:lang w:val="zh-CN"/>
        </w:rPr>
        <w:t>。</w:t>
      </w:r>
    </w:p>
    <w:tbl>
      <w:tblPr>
        <w:tblStyle w:val="20"/>
        <w:tblW w:w="8914" w:type="dxa"/>
        <w:jc w:val="center"/>
        <w:tblLayout w:type="fixed"/>
        <w:tblCellMar>
          <w:top w:w="0" w:type="dxa"/>
          <w:left w:w="0" w:type="dxa"/>
          <w:bottom w:w="0" w:type="dxa"/>
          <w:right w:w="0" w:type="dxa"/>
        </w:tblCellMar>
      </w:tblPr>
      <w:tblGrid>
        <w:gridCol w:w="1140"/>
        <w:gridCol w:w="926"/>
        <w:gridCol w:w="1009"/>
        <w:gridCol w:w="1658"/>
        <w:gridCol w:w="688"/>
        <w:gridCol w:w="1172"/>
        <w:gridCol w:w="1275"/>
        <w:gridCol w:w="1046"/>
      </w:tblGrid>
      <w:tr w14:paraId="19438CA7">
        <w:tblPrEx>
          <w:tblCellMar>
            <w:top w:w="0" w:type="dxa"/>
            <w:left w:w="0" w:type="dxa"/>
            <w:bottom w:w="0" w:type="dxa"/>
            <w:right w:w="0" w:type="dxa"/>
          </w:tblCellMar>
        </w:tblPrEx>
        <w:trPr>
          <w:trHeight w:val="432" w:hRule="atLeast"/>
          <w:jc w:val="center"/>
        </w:trPr>
        <w:tc>
          <w:tcPr>
            <w:tcW w:w="473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4518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分层分类指标</w:t>
            </w:r>
          </w:p>
        </w:tc>
        <w:tc>
          <w:tcPr>
            <w:tcW w:w="68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4495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分值</w:t>
            </w:r>
          </w:p>
        </w:tc>
        <w:tc>
          <w:tcPr>
            <w:tcW w:w="11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21C2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目标值</w:t>
            </w:r>
          </w:p>
        </w:tc>
        <w:tc>
          <w:tcPr>
            <w:tcW w:w="127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4658A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21"/>
                <w:szCs w:val="21"/>
                <w:highlight w:val="none"/>
                <w:u w:val="none"/>
                <w:lang w:val="en-US" w:eastAsia="zh-CN" w:bidi="ar"/>
              </w:rPr>
              <w:t>完成值</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BAF0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sz w:val="21"/>
                <w:szCs w:val="21"/>
                <w:highlight w:val="none"/>
                <w:u w:val="none"/>
              </w:rPr>
            </w:pPr>
            <w:r>
              <w:rPr>
                <w:rFonts w:hint="default" w:ascii="Times New Roman" w:hAnsi="Times New Roman" w:eastAsia="黑体" w:cs="Times New Roman"/>
                <w:b w:val="0"/>
                <w:bCs/>
                <w:i w:val="0"/>
                <w:color w:val="auto"/>
                <w:kern w:val="0"/>
                <w:sz w:val="21"/>
                <w:szCs w:val="21"/>
                <w:highlight w:val="none"/>
                <w:u w:val="none"/>
                <w:lang w:val="en-US" w:eastAsia="zh-CN" w:bidi="ar"/>
              </w:rPr>
              <w:t>自评得分</w:t>
            </w:r>
          </w:p>
        </w:tc>
      </w:tr>
      <w:tr w14:paraId="3DC75055">
        <w:tblPrEx>
          <w:tblCellMar>
            <w:top w:w="0" w:type="dxa"/>
            <w:left w:w="0" w:type="dxa"/>
            <w:bottom w:w="0" w:type="dxa"/>
            <w:right w:w="0" w:type="dxa"/>
          </w:tblCellMar>
        </w:tblPrEx>
        <w:trPr>
          <w:trHeight w:val="432"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1F5C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分层</w:t>
            </w:r>
            <w:r>
              <w:rPr>
                <w:rFonts w:hint="default" w:ascii="Times New Roman" w:hAnsi="Times New Roman" w:eastAsia="黑体" w:cs="Times New Roman"/>
                <w:b w:val="0"/>
                <w:bCs/>
                <w:i w:val="0"/>
                <w:color w:val="auto"/>
                <w:kern w:val="0"/>
                <w:sz w:val="18"/>
                <w:szCs w:val="18"/>
                <w:highlight w:val="none"/>
                <w:u w:val="none"/>
                <w:lang w:val="en-US" w:eastAsia="zh-CN" w:bidi="ar"/>
              </w:rPr>
              <w:t>指标</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5A0F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default" w:ascii="Times New Roman" w:hAnsi="Times New Roman" w:eastAsia="黑体" w:cs="Times New Roman"/>
                <w:b w:val="0"/>
                <w:bCs/>
                <w:i w:val="0"/>
                <w:color w:val="auto"/>
                <w:kern w:val="0"/>
                <w:sz w:val="18"/>
                <w:szCs w:val="18"/>
                <w:highlight w:val="none"/>
                <w:u w:val="none"/>
                <w:lang w:val="en-US" w:eastAsia="zh-CN" w:bidi="ar"/>
              </w:rPr>
              <w:t>适用范围</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E28D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一</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C10C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黑体" w:cs="Times New Roman"/>
                <w:b w:val="0"/>
                <w:bCs/>
                <w:i w:val="0"/>
                <w:color w:val="auto"/>
                <w:kern w:val="0"/>
                <w:sz w:val="21"/>
                <w:szCs w:val="21"/>
                <w:highlight w:val="none"/>
                <w:u w:val="none"/>
                <w:lang w:val="en-US" w:eastAsia="zh-CN" w:bidi="ar"/>
              </w:rPr>
            </w:pPr>
            <w:r>
              <w:rPr>
                <w:rFonts w:hint="eastAsia" w:ascii="Times New Roman" w:hAnsi="Times New Roman" w:eastAsia="黑体" w:cs="Times New Roman"/>
                <w:b w:val="0"/>
                <w:bCs/>
                <w:i w:val="0"/>
                <w:color w:val="auto"/>
                <w:kern w:val="0"/>
                <w:sz w:val="18"/>
                <w:szCs w:val="18"/>
                <w:highlight w:val="none"/>
                <w:u w:val="none"/>
                <w:lang w:val="en-US" w:eastAsia="zh-CN" w:bidi="ar"/>
              </w:rPr>
              <w:t>二</w:t>
            </w:r>
            <w:r>
              <w:rPr>
                <w:rFonts w:hint="default" w:ascii="Times New Roman" w:hAnsi="Times New Roman" w:eastAsia="黑体" w:cs="Times New Roman"/>
                <w:b w:val="0"/>
                <w:bCs/>
                <w:i w:val="0"/>
                <w:color w:val="auto"/>
                <w:kern w:val="0"/>
                <w:sz w:val="18"/>
                <w:szCs w:val="18"/>
                <w:highlight w:val="none"/>
                <w:u w:val="none"/>
                <w:lang w:val="en-US" w:eastAsia="zh-CN" w:bidi="ar"/>
              </w:rPr>
              <w:t>级指标</w:t>
            </w:r>
          </w:p>
        </w:tc>
        <w:tc>
          <w:tcPr>
            <w:tcW w:w="68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5CA5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1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5CA10">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275" w:type="dxa"/>
            <w:vMerge w:val="continue"/>
            <w:tcBorders>
              <w:left w:val="single" w:color="000000" w:sz="4" w:space="0"/>
              <w:right w:val="single" w:color="000000" w:sz="4" w:space="0"/>
            </w:tcBorders>
            <w:tcMar>
              <w:top w:w="15" w:type="dxa"/>
              <w:left w:w="15" w:type="dxa"/>
              <w:right w:w="15" w:type="dxa"/>
            </w:tcMar>
            <w:vAlign w:val="center"/>
          </w:tcPr>
          <w:p w14:paraId="5B80EC6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8576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r>
      <w:tr w14:paraId="68162F3B">
        <w:tblPrEx>
          <w:tblCellMar>
            <w:top w:w="0" w:type="dxa"/>
            <w:left w:w="0" w:type="dxa"/>
            <w:bottom w:w="0" w:type="dxa"/>
            <w:right w:w="0" w:type="dxa"/>
          </w:tblCellMar>
        </w:tblPrEx>
        <w:trPr>
          <w:trHeight w:val="325"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B117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通用指标（20分）不能修改</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C6B8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729E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项目决策</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E24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程序严密</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1659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3CB85">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048E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严密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1ABF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70D6A208">
        <w:tblPrEx>
          <w:tblCellMar>
            <w:top w:w="0" w:type="dxa"/>
            <w:left w:w="0" w:type="dxa"/>
            <w:bottom w:w="0" w:type="dxa"/>
            <w:right w:w="0" w:type="dxa"/>
          </w:tblCellMar>
        </w:tblPrEx>
        <w:trPr>
          <w:trHeight w:val="426"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6EC22">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E8C3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5BAB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16B9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规划合理</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15E9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7470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DE6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E27F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67D441AF">
        <w:tblPrEx>
          <w:tblCellMar>
            <w:top w:w="0" w:type="dxa"/>
            <w:left w:w="0" w:type="dxa"/>
            <w:bottom w:w="0" w:type="dxa"/>
            <w:right w:w="0" w:type="dxa"/>
          </w:tblCellMar>
        </w:tblPrEx>
        <w:trPr>
          <w:trHeight w:val="395"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1A2C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842D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68E38">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2E51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结果符合</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5694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4528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D36B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符合</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6FEB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2</w:t>
            </w:r>
          </w:p>
        </w:tc>
      </w:tr>
      <w:tr w14:paraId="64AF95F2">
        <w:tblPrEx>
          <w:tblCellMar>
            <w:top w:w="0" w:type="dxa"/>
            <w:left w:w="0" w:type="dxa"/>
            <w:bottom w:w="0" w:type="dxa"/>
            <w:right w:w="0" w:type="dxa"/>
          </w:tblCellMar>
        </w:tblPrEx>
        <w:trPr>
          <w:trHeight w:val="352"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5EB1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B5E1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0AAA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项目实施</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8BC6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执行有效</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2134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E0BD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D6A3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有效</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EA25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3AA43BDE">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06EF4">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67343">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F940A">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0D6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使用合规</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3C28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AE21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B389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2"/>
                <w:sz w:val="21"/>
                <w:szCs w:val="21"/>
                <w:highlight w:val="none"/>
                <w:u w:val="none"/>
                <w:lang w:val="en-US" w:eastAsia="zh-CN" w:bidi="ar-SA"/>
              </w:rPr>
            </w:pPr>
            <w:r>
              <w:rPr>
                <w:rFonts w:hint="default" w:ascii="Times New Roman" w:hAnsi="Times New Roman" w:eastAsia="仿宋_GB2312" w:cs="Times New Roman"/>
                <w:b w:val="0"/>
                <w:bCs/>
                <w:i w:val="0"/>
                <w:color w:val="auto"/>
                <w:kern w:val="0"/>
                <w:sz w:val="21"/>
                <w:szCs w:val="21"/>
                <w:highlight w:val="none"/>
                <w:u w:val="none"/>
                <w:lang w:val="en-US" w:eastAsia="zh-CN" w:bidi="ar"/>
              </w:rPr>
              <w:t>合规</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D8CB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4</w:t>
            </w:r>
          </w:p>
        </w:tc>
      </w:tr>
      <w:tr w14:paraId="3F473488">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4996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7678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58E6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5EA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预算执行率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E41A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cs="Times New Roman"/>
                <w:b w:val="0"/>
                <w:bCs/>
                <w:i w:val="0"/>
                <w:color w:val="auto"/>
                <w:kern w:val="0"/>
                <w:sz w:val="21"/>
                <w:szCs w:val="21"/>
                <w:highlight w:val="none"/>
                <w:u w:val="none"/>
                <w:lang w:val="en-US" w:eastAsia="zh-CN" w:bidi="ar"/>
              </w:rPr>
              <w:t>3</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A658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E503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59E2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6D3523DE">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E5807">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D63B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3F55E">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CE97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资金使用率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B11A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9A22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B5D4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auto"/>
                <w:kern w:val="0"/>
                <w:sz w:val="24"/>
                <w:szCs w:val="24"/>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D5DB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3</w:t>
            </w:r>
          </w:p>
        </w:tc>
      </w:tr>
      <w:tr w14:paraId="6F8F19A8">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5CD2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产出指标（20分）</w:t>
            </w:r>
          </w:p>
        </w:tc>
        <w:tc>
          <w:tcPr>
            <w:tcW w:w="9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8729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5851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数量指标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3EE2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购买书籍数量</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29CB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FE2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≥100本</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3960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≥100本</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7911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7493CB59">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145D1">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456F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B63CAD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质量指标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D12C9">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书籍阅读率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E9DA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338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CB71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3CE4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2E3964ED">
        <w:tblPrEx>
          <w:tblCellMar>
            <w:top w:w="0" w:type="dxa"/>
            <w:left w:w="0" w:type="dxa"/>
            <w:bottom w:w="0" w:type="dxa"/>
            <w:right w:w="0" w:type="dxa"/>
          </w:tblCellMar>
        </w:tblPrEx>
        <w:trPr>
          <w:trHeight w:val="459"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94E05">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184E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B295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成本指标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E2292">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项目总投入</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8BA7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E3BD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≤8万元</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D9AA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≤8万元</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9B1F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eastAsia"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5</w:t>
            </w:r>
          </w:p>
        </w:tc>
      </w:tr>
      <w:tr w14:paraId="6C008696">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07A39">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F79ED">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627A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时效指标</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4DFB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完成及时率</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A74E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372E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24AC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E6FA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w:t>
            </w:r>
          </w:p>
        </w:tc>
      </w:tr>
      <w:tr w14:paraId="66FAAA07">
        <w:tblPrEx>
          <w:tblCellMar>
            <w:top w:w="0" w:type="dxa"/>
            <w:left w:w="0" w:type="dxa"/>
            <w:bottom w:w="0" w:type="dxa"/>
            <w:right w:w="0" w:type="dxa"/>
          </w:tblCellMar>
        </w:tblPrEx>
        <w:trPr>
          <w:trHeight w:val="540" w:hRule="atLeast"/>
          <w:jc w:val="center"/>
        </w:trPr>
        <w:tc>
          <w:tcPr>
            <w:tcW w:w="1140"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DCDCC7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效益指标（50分）</w:t>
            </w:r>
          </w:p>
        </w:tc>
        <w:tc>
          <w:tcPr>
            <w:tcW w:w="926"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02BEDF1">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至少填写一栏效益</w:t>
            </w: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6B7F6E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社会效益</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209D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书香政协氛围营造情况</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9A67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BB37D">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好</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2E68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好</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2C50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50</w:t>
            </w:r>
          </w:p>
        </w:tc>
      </w:tr>
      <w:tr w14:paraId="45D6942B">
        <w:tblPrEx>
          <w:tblCellMar>
            <w:top w:w="0" w:type="dxa"/>
            <w:left w:w="0" w:type="dxa"/>
            <w:bottom w:w="0" w:type="dxa"/>
            <w:right w:w="0" w:type="dxa"/>
          </w:tblCellMar>
        </w:tblPrEx>
        <w:trPr>
          <w:trHeight w:val="573"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E56CBFB">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604667C">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FD7B2DC">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经济效益</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3FA1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D012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27BA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C23D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AFC3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3EE738C9">
        <w:tblPrEx>
          <w:tblCellMar>
            <w:top w:w="0" w:type="dxa"/>
            <w:left w:w="0" w:type="dxa"/>
            <w:bottom w:w="0" w:type="dxa"/>
            <w:right w:w="0" w:type="dxa"/>
          </w:tblCellMar>
        </w:tblPrEx>
        <w:trPr>
          <w:trHeight w:val="540" w:hRule="atLeast"/>
          <w:jc w:val="center"/>
        </w:trPr>
        <w:tc>
          <w:tcPr>
            <w:tcW w:w="1140"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DDBCB9F">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926"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04E93A6">
            <w:pPr>
              <w:keepNext w:val="0"/>
              <w:keepLines w:val="0"/>
              <w:pageBreakBefore w:val="0"/>
              <w:widowControl w:val="0"/>
              <w:kinsoku/>
              <w:wordWrap/>
              <w:overflowPunct w:val="0"/>
              <w:topLinePunct w:val="0"/>
              <w:autoSpaceDE/>
              <w:autoSpaceDN/>
              <w:bidi w:val="0"/>
              <w:adjustRightInd w:val="0"/>
              <w:snapToGrid w:val="0"/>
              <w:spacing w:line="570" w:lineRule="exact"/>
              <w:jc w:val="center"/>
              <w:rPr>
                <w:rFonts w:hint="default" w:ascii="Times New Roman" w:hAnsi="Times New Roman" w:eastAsia="仿宋_GB2312" w:cs="Times New Roman"/>
                <w:b w:val="0"/>
                <w:bCs/>
                <w:i w:val="0"/>
                <w:color w:val="auto"/>
                <w:sz w:val="21"/>
                <w:szCs w:val="21"/>
                <w:highlight w:val="none"/>
                <w:u w:val="none"/>
              </w:rPr>
            </w:pPr>
          </w:p>
        </w:tc>
        <w:tc>
          <w:tcPr>
            <w:tcW w:w="100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D421BB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生态效益</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F21DF">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2F48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C0D4A">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3DEC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C4830">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p>
        </w:tc>
      </w:tr>
      <w:tr w14:paraId="19023425">
        <w:tblPrEx>
          <w:tblCellMar>
            <w:top w:w="0" w:type="dxa"/>
            <w:left w:w="0" w:type="dxa"/>
            <w:bottom w:w="0" w:type="dxa"/>
            <w:right w:w="0" w:type="dxa"/>
          </w:tblCellMar>
        </w:tblPrEx>
        <w:trPr>
          <w:trHeight w:val="694" w:hRule="atLeast"/>
          <w:jc w:val="center"/>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87DCB">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p w14:paraId="2CE7B646">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（10分）</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5C5FE">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sz w:val="21"/>
                <w:szCs w:val="21"/>
                <w:highlight w:val="none"/>
                <w:u w:val="none"/>
              </w:rPr>
            </w:pPr>
            <w:r>
              <w:rPr>
                <w:rFonts w:hint="default" w:ascii="Times New Roman" w:hAnsi="Times New Roman" w:eastAsia="仿宋_GB2312" w:cs="Times New Roman"/>
                <w:b w:val="0"/>
                <w:bCs/>
                <w:i w:val="0"/>
                <w:color w:val="auto"/>
                <w:kern w:val="0"/>
                <w:sz w:val="21"/>
                <w:szCs w:val="21"/>
                <w:highlight w:val="none"/>
                <w:u w:val="none"/>
                <w:lang w:val="en-US" w:eastAsia="zh-CN" w:bidi="ar"/>
              </w:rPr>
              <w:t>所有项目</w:t>
            </w:r>
          </w:p>
        </w:tc>
        <w:tc>
          <w:tcPr>
            <w:tcW w:w="10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3EAF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满意度</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E6EE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活动参与</w:t>
            </w:r>
            <w:r>
              <w:rPr>
                <w:rFonts w:hint="default" w:ascii="Times New Roman" w:hAnsi="Times New Roman" w:eastAsia="仿宋_GB2312" w:cs="Times New Roman"/>
                <w:b w:val="0"/>
                <w:bCs/>
                <w:i w:val="0"/>
                <w:color w:val="auto"/>
                <w:kern w:val="0"/>
                <w:sz w:val="21"/>
                <w:szCs w:val="21"/>
                <w:highlight w:val="none"/>
                <w:u w:val="none"/>
                <w:lang w:val="en-US" w:eastAsia="zh-CN" w:bidi="ar"/>
              </w:rPr>
              <w:t>人员满意度</w:t>
            </w:r>
          </w:p>
        </w:tc>
        <w:tc>
          <w:tcPr>
            <w:tcW w:w="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E2727">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c>
          <w:tcPr>
            <w:tcW w:w="1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E4913">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w:t>
            </w:r>
            <w:r>
              <w:rPr>
                <w:rFonts w:hint="default" w:ascii="Times New Roman" w:hAnsi="Times New Roman" w:eastAsia="仿宋_GB2312" w:cs="Times New Roman"/>
                <w:b w:val="0"/>
                <w:bCs/>
                <w:i w:val="0"/>
                <w:color w:val="auto"/>
                <w:kern w:val="0"/>
                <w:sz w:val="21"/>
                <w:szCs w:val="21"/>
                <w:highlight w:val="none"/>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17DF8">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eastAsia" w:ascii="Times New Roman" w:hAnsi="Times New Roman" w:eastAsia="仿宋_GB2312" w:cs="Times New Roman"/>
                <w:b w:val="0"/>
                <w:bCs/>
                <w:i w:val="0"/>
                <w:color w:val="auto"/>
                <w:kern w:val="0"/>
                <w:sz w:val="21"/>
                <w:szCs w:val="21"/>
                <w:highlight w:val="none"/>
                <w:u w:val="none"/>
                <w:lang w:val="en-US" w:eastAsia="zh-CN" w:bidi="ar"/>
              </w:rPr>
              <w:t>10</w:t>
            </w:r>
            <w:r>
              <w:rPr>
                <w:rFonts w:hint="default" w:ascii="Times New Roman" w:hAnsi="Times New Roman" w:eastAsia="仿宋_GB2312" w:cs="Times New Roman"/>
                <w:b w:val="0"/>
                <w:bCs/>
                <w:i w:val="0"/>
                <w:color w:val="auto"/>
                <w:kern w:val="0"/>
                <w:sz w:val="21"/>
                <w:szCs w:val="21"/>
                <w:highlight w:val="none"/>
                <w:u w:val="none"/>
                <w:lang w:val="en-US" w:eastAsia="zh-CN" w:bidi="ar"/>
              </w:rPr>
              <w:t>%</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D12A4">
            <w:pPr>
              <w:keepNext w:val="0"/>
              <w:keepLines w:val="0"/>
              <w:pageBreakBefore w:val="0"/>
              <w:widowControl w:val="0"/>
              <w:suppressLineNumbers w:val="0"/>
              <w:kinsoku/>
              <w:wordWrap/>
              <w:overflowPunct w:val="0"/>
              <w:topLinePunct w:val="0"/>
              <w:autoSpaceDE/>
              <w:autoSpaceDN/>
              <w:bidi w:val="0"/>
              <w:adjustRightInd w:val="0"/>
              <w:snapToGrid w:val="0"/>
              <w:spacing w:line="570" w:lineRule="exact"/>
              <w:jc w:val="center"/>
              <w:textAlignment w:val="center"/>
              <w:rPr>
                <w:rFonts w:hint="default" w:ascii="Times New Roman" w:hAnsi="Times New Roman" w:eastAsia="仿宋_GB2312" w:cs="Times New Roman"/>
                <w:b w:val="0"/>
                <w:bCs/>
                <w:i w:val="0"/>
                <w:color w:val="auto"/>
                <w:kern w:val="0"/>
                <w:sz w:val="21"/>
                <w:szCs w:val="21"/>
                <w:highlight w:val="none"/>
                <w:u w:val="none"/>
                <w:lang w:val="en-US" w:eastAsia="zh-CN" w:bidi="ar"/>
              </w:rPr>
            </w:pPr>
            <w:r>
              <w:rPr>
                <w:rFonts w:hint="default" w:ascii="Times New Roman" w:hAnsi="Times New Roman" w:eastAsia="仿宋_GB2312" w:cs="Times New Roman"/>
                <w:b w:val="0"/>
                <w:bCs/>
                <w:i w:val="0"/>
                <w:color w:val="auto"/>
                <w:kern w:val="0"/>
                <w:sz w:val="21"/>
                <w:szCs w:val="21"/>
                <w:highlight w:val="none"/>
                <w:u w:val="none"/>
                <w:lang w:val="en-US" w:eastAsia="zh-CN" w:bidi="ar"/>
              </w:rPr>
              <w:t>10</w:t>
            </w:r>
          </w:p>
        </w:tc>
      </w:tr>
    </w:tbl>
    <w:p w14:paraId="1F485C9F">
      <w:pPr>
        <w:keepNext w:val="0"/>
        <w:keepLines w:val="0"/>
        <w:pageBreakBefore w:val="0"/>
        <w:widowControl w:val="0"/>
        <w:numPr>
          <w:ilvl w:val="0"/>
          <w:numId w:val="5"/>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绩效评价分析</w:t>
      </w:r>
    </w:p>
    <w:p w14:paraId="48615120">
      <w:pPr>
        <w:keepNext w:val="0"/>
        <w:keepLines w:val="0"/>
        <w:pageBreakBefore w:val="0"/>
        <w:widowControl w:val="0"/>
        <w:kinsoku/>
        <w:wordWrap/>
        <w:overflowPunct/>
        <w:topLinePunct w:val="0"/>
        <w:autoSpaceDE/>
        <w:autoSpaceDN/>
        <w:bidi w:val="0"/>
        <w:adjustRightInd w:val="0"/>
        <w:snapToGrid w:val="0"/>
        <w:spacing w:line="560" w:lineRule="atLeast"/>
        <w:ind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（一）项目决策情况</w:t>
      </w:r>
      <w:r>
        <w:rPr>
          <w:rFonts w:hint="default" w:ascii="Times New Roman" w:hAnsi="Times New Roman" w:eastAsia="楷体_GB2312" w:cs="Times New Roman"/>
          <w:b/>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为进一步加强“书香政协”建设，按照上级相关工作要求立项，</w:t>
      </w:r>
      <w:r>
        <w:rPr>
          <w:rFonts w:hint="default" w:ascii="Times New Roman" w:hAnsi="Times New Roman" w:eastAsia="仿宋_GB2312" w:cs="Times New Roman"/>
          <w:color w:val="auto"/>
          <w:sz w:val="32"/>
          <w:szCs w:val="32"/>
          <w:highlight w:val="none"/>
          <w:lang w:val="en-US" w:eastAsia="zh-CN"/>
        </w:rPr>
        <w:t>绩效目标</w:t>
      </w:r>
      <w:r>
        <w:rPr>
          <w:rFonts w:hint="eastAsia" w:ascii="Times New Roman" w:hAnsi="Times New Roman" w:eastAsia="仿宋_GB2312" w:cs="Times New Roman"/>
          <w:color w:val="auto"/>
          <w:sz w:val="32"/>
          <w:szCs w:val="32"/>
          <w:highlight w:val="none"/>
          <w:lang w:val="en-US" w:eastAsia="zh-CN"/>
        </w:rPr>
        <w:t>科学完整、立项依据充分、使用过程规范、管理制度健全，</w:t>
      </w:r>
      <w:r>
        <w:rPr>
          <w:rFonts w:hint="default" w:ascii="Times New Roman" w:hAnsi="Times New Roman" w:eastAsia="仿宋_GB2312" w:cs="Times New Roman"/>
          <w:color w:val="auto"/>
          <w:sz w:val="32"/>
          <w:szCs w:val="32"/>
          <w:highlight w:val="none"/>
          <w:lang w:val="en-US" w:eastAsia="zh-CN"/>
        </w:rPr>
        <w:t>整体情况良好。</w:t>
      </w:r>
    </w:p>
    <w:p w14:paraId="55671E6E">
      <w:pPr>
        <w:keepNext w:val="0"/>
        <w:keepLines w:val="0"/>
        <w:pageBreakBefore w:val="0"/>
        <w:widowControl w:val="0"/>
        <w:kinsoku/>
        <w:wordWrap/>
        <w:overflowPunct w:val="0"/>
        <w:topLinePunct w:val="0"/>
        <w:autoSpaceDE/>
        <w:autoSpaceDN/>
        <w:bidi w:val="0"/>
        <w:adjustRightInd w:val="0"/>
        <w:snapToGrid w:val="0"/>
        <w:spacing w:line="570" w:lineRule="exac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sz w:val="32"/>
          <w:szCs w:val="32"/>
          <w:highlight w:val="none"/>
        </w:rPr>
        <w:t>（二）项目管理情况</w:t>
      </w:r>
      <w:r>
        <w:rPr>
          <w:rFonts w:hint="default" w:ascii="Times New Roman" w:hAnsi="Times New Roman" w:eastAsia="楷体_GB2312" w:cs="Times New Roman"/>
          <w:b/>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严格执行项目申报，</w:t>
      </w:r>
      <w:r>
        <w:rPr>
          <w:rFonts w:hint="eastAsia" w:ascii="Times New Roman" w:hAnsi="Times New Roman" w:eastAsia="仿宋_GB2312" w:cs="Times New Roman"/>
          <w:color w:val="auto"/>
          <w:sz w:val="32"/>
          <w:szCs w:val="32"/>
          <w:highlight w:val="none"/>
          <w:lang w:val="en-US" w:eastAsia="zh-CN"/>
        </w:rPr>
        <w:t>项目实施及</w:t>
      </w:r>
      <w:r>
        <w:rPr>
          <w:rFonts w:hint="default" w:ascii="Times New Roman" w:hAnsi="Times New Roman" w:eastAsia="仿宋_GB2312" w:cs="Times New Roman"/>
          <w:color w:val="auto"/>
          <w:sz w:val="32"/>
          <w:szCs w:val="32"/>
          <w:highlight w:val="none"/>
          <w:lang w:val="en-US" w:eastAsia="zh-CN"/>
        </w:rPr>
        <w:t>资金使用严格按照预算</w:t>
      </w:r>
      <w:r>
        <w:rPr>
          <w:rFonts w:hint="eastAsia" w:ascii="Times New Roman" w:hAnsi="Times New Roman" w:eastAsia="仿宋_GB2312" w:cs="Times New Roman"/>
          <w:color w:val="auto"/>
          <w:sz w:val="32"/>
          <w:szCs w:val="32"/>
          <w:highlight w:val="none"/>
          <w:lang w:val="en-US" w:eastAsia="zh-CN"/>
        </w:rPr>
        <w:t>及单位内控等</w:t>
      </w:r>
      <w:r>
        <w:rPr>
          <w:rFonts w:hint="default" w:ascii="Times New Roman" w:hAnsi="Times New Roman" w:eastAsia="仿宋_GB2312" w:cs="Times New Roman"/>
          <w:color w:val="auto"/>
          <w:sz w:val="32"/>
          <w:szCs w:val="32"/>
          <w:highlight w:val="none"/>
          <w:lang w:val="en-US" w:eastAsia="zh-CN"/>
        </w:rPr>
        <w:t>相关</w:t>
      </w:r>
      <w:r>
        <w:rPr>
          <w:rFonts w:hint="eastAsia" w:ascii="Times New Roman" w:hAnsi="Times New Roman" w:eastAsia="仿宋_GB2312" w:cs="Times New Roman"/>
          <w:color w:val="auto"/>
          <w:sz w:val="32"/>
          <w:szCs w:val="32"/>
          <w:highlight w:val="none"/>
          <w:lang w:val="en-US" w:eastAsia="zh-CN"/>
        </w:rPr>
        <w:t>规定</w:t>
      </w:r>
      <w:r>
        <w:rPr>
          <w:rFonts w:hint="default" w:ascii="Times New Roman" w:hAnsi="Times New Roman" w:eastAsia="仿宋_GB2312" w:cs="Times New Roman"/>
          <w:color w:val="auto"/>
          <w:sz w:val="32"/>
          <w:szCs w:val="32"/>
          <w:highlight w:val="none"/>
          <w:lang w:val="en-US" w:eastAsia="zh-CN"/>
        </w:rPr>
        <w:t>执行。</w:t>
      </w:r>
    </w:p>
    <w:p w14:paraId="32ABC0E8">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color w:val="auto"/>
          <w:kern w:val="2"/>
          <w:sz w:val="32"/>
          <w:szCs w:val="32"/>
          <w:highlight w:val="none"/>
          <w:lang w:val="en-US" w:eastAsia="zh-CN" w:bidi="ar-SA"/>
        </w:rPr>
        <w:t>（三）项目产出情况。</w:t>
      </w:r>
      <w:r>
        <w:rPr>
          <w:rFonts w:hint="default" w:ascii="Times New Roman" w:hAnsi="Times New Roman" w:eastAsia="仿宋_GB2312" w:cs="Times New Roman"/>
          <w:color w:val="auto"/>
          <w:sz w:val="32"/>
          <w:szCs w:val="32"/>
          <w:highlight w:val="none"/>
          <w:lang w:val="en-US" w:eastAsia="zh-CN"/>
        </w:rPr>
        <w:t>深化“书香政协”建设，以书香提升履职能力、涵养“政协气质”，打造“悦读空间”“合言阅舍”等线下读书平台，</w:t>
      </w:r>
      <w:r>
        <w:rPr>
          <w:rFonts w:hint="eastAsia" w:ascii="Times New Roman" w:hAnsi="Times New Roman" w:eastAsia="仿宋_GB2312" w:cs="Times New Roman"/>
          <w:color w:val="auto"/>
          <w:sz w:val="32"/>
          <w:szCs w:val="32"/>
          <w:highlight w:val="none"/>
          <w:lang w:val="en-US" w:eastAsia="zh-CN"/>
        </w:rPr>
        <w:t>发挥</w:t>
      </w:r>
      <w:r>
        <w:rPr>
          <w:rFonts w:hint="default" w:ascii="Times New Roman" w:hAnsi="Times New Roman" w:eastAsia="仿宋_GB2312" w:cs="Times New Roman"/>
          <w:color w:val="auto"/>
          <w:sz w:val="32"/>
          <w:szCs w:val="32"/>
          <w:highlight w:val="none"/>
          <w:lang w:val="en-US" w:eastAsia="zh-CN"/>
        </w:rPr>
        <w:t>委员读书群</w:t>
      </w:r>
      <w:r>
        <w:rPr>
          <w:rFonts w:hint="eastAsia" w:ascii="Times New Roman" w:hAnsi="Times New Roman" w:eastAsia="仿宋_GB2312" w:cs="Times New Roman"/>
          <w:color w:val="auto"/>
          <w:sz w:val="32"/>
          <w:szCs w:val="32"/>
          <w:highlight w:val="none"/>
          <w:lang w:val="en-US" w:eastAsia="zh-CN"/>
        </w:rPr>
        <w:t>线上功能</w:t>
      </w:r>
      <w:r>
        <w:rPr>
          <w:rFonts w:hint="default" w:ascii="Times New Roman" w:hAnsi="Times New Roman" w:eastAsia="仿宋_GB2312" w:cs="Times New Roman"/>
          <w:color w:val="auto"/>
          <w:sz w:val="32"/>
          <w:szCs w:val="32"/>
          <w:highlight w:val="none"/>
          <w:lang w:val="en-US" w:eastAsia="zh-CN"/>
        </w:rPr>
        <w:t>，分享《习近平走进百姓家》</w:t>
      </w:r>
      <w:r>
        <w:rPr>
          <w:rFonts w:hint="eastAsia" w:ascii="Times New Roman" w:hAnsi="Times New Roman" w:eastAsia="仿宋_GB2312" w:cs="Times New Roman"/>
          <w:color w:val="auto"/>
          <w:sz w:val="32"/>
          <w:szCs w:val="32"/>
          <w:highlight w:val="none"/>
          <w:lang w:val="en-US" w:eastAsia="zh-CN"/>
        </w:rPr>
        <w:t>《解读中国经济》</w:t>
      </w:r>
      <w:r>
        <w:rPr>
          <w:rFonts w:hint="default" w:ascii="Times New Roman" w:hAnsi="Times New Roman" w:eastAsia="仿宋_GB2312" w:cs="Times New Roman"/>
          <w:color w:val="auto"/>
          <w:sz w:val="32"/>
          <w:szCs w:val="32"/>
          <w:highlight w:val="none"/>
          <w:lang w:val="en-US" w:eastAsia="zh-CN"/>
        </w:rPr>
        <w:t>等经典好书，举办“学习新思想、践行新使命、奋进新征程”“同心共读革命史、履职奋进新征程”等线上线下读书活动40余次，</w:t>
      </w:r>
      <w:r>
        <w:rPr>
          <w:rFonts w:hint="eastAsia" w:ascii="Times New Roman" w:hAnsi="Times New Roman" w:eastAsia="仿宋_GB2312" w:cs="Times New Roman"/>
          <w:color w:val="auto"/>
          <w:sz w:val="32"/>
          <w:szCs w:val="32"/>
          <w:highlight w:val="none"/>
          <w:lang w:val="en-US" w:eastAsia="zh-CN"/>
        </w:rPr>
        <w:t>形成的优秀作品被</w:t>
      </w:r>
      <w:r>
        <w:rPr>
          <w:rFonts w:hint="default" w:ascii="Times New Roman" w:hAnsi="Times New Roman" w:eastAsia="仿宋_GB2312" w:cs="Times New Roman"/>
          <w:color w:val="auto"/>
          <w:sz w:val="32"/>
          <w:szCs w:val="32"/>
          <w:highlight w:val="none"/>
          <w:lang w:val="en-US" w:eastAsia="zh-CN"/>
        </w:rPr>
        <w:t>市政协“书香遂悦”</w:t>
      </w:r>
      <w:r>
        <w:rPr>
          <w:rFonts w:hint="eastAsia" w:ascii="Times New Roman" w:hAnsi="Times New Roman" w:eastAsia="仿宋_GB2312" w:cs="Times New Roman"/>
          <w:color w:val="auto"/>
          <w:sz w:val="32"/>
          <w:szCs w:val="32"/>
          <w:highlight w:val="none"/>
          <w:lang w:val="en-US" w:eastAsia="zh-CN"/>
        </w:rPr>
        <w:t>公众号刊登</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向委员分享赠阅《为什么是中国》等书籍200余册，在政协机关干部和政协委员中营造了浓厚的读书氛围，充分调动了委员读书的积极性，促进委员把读书作为自身履职的新常态，跨界交流的新渠道，在读书学习中创新履职方式，不断提升履职效能，船山区政协被市政协评为“学习新思想、践行新使命、奋进新征程”主题读书与实践活动2023年度先进集体，4名同志被评为“学习新思想、践行新使命、奋进新征程”主题读书与实践活动先进个人。</w:t>
      </w:r>
    </w:p>
    <w:p w14:paraId="61226E8A">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3" w:firstLineChars="200"/>
        <w:rPr>
          <w:rFonts w:hint="default" w:ascii="Times New Roman" w:hAnsi="Times New Roman" w:eastAsia="楷体_GB2312" w:cs="Times New Roman"/>
          <w:b/>
          <w:color w:val="auto"/>
          <w:sz w:val="32"/>
          <w:szCs w:val="32"/>
          <w:highlight w:val="none"/>
        </w:rPr>
      </w:pPr>
      <w:r>
        <w:rPr>
          <w:rFonts w:hint="default" w:ascii="Times New Roman" w:hAnsi="Times New Roman" w:eastAsia="楷体_GB2312" w:cs="Times New Roman"/>
          <w:b/>
          <w:color w:val="auto"/>
          <w:sz w:val="32"/>
          <w:szCs w:val="32"/>
          <w:highlight w:val="none"/>
        </w:rPr>
        <w:t>（四）项目效益情况。</w:t>
      </w:r>
      <w:r>
        <w:rPr>
          <w:rFonts w:hint="default" w:ascii="Times New Roman" w:hAnsi="Times New Roman" w:eastAsia="仿宋_GB2312" w:cs="Times New Roman"/>
          <w:color w:val="auto"/>
          <w:sz w:val="32"/>
          <w:szCs w:val="32"/>
          <w:highlight w:val="none"/>
          <w:lang w:val="en-US" w:eastAsia="zh-CN"/>
        </w:rPr>
        <w:t>根据年度工作安排和财政预算批复，</w:t>
      </w:r>
      <w:r>
        <w:rPr>
          <w:rFonts w:hint="eastAsia" w:ascii="Times New Roman" w:hAnsi="Times New Roman" w:eastAsia="仿宋_GB2312" w:cs="Times New Roman"/>
          <w:color w:val="auto"/>
          <w:sz w:val="32"/>
          <w:szCs w:val="32"/>
          <w:highlight w:val="none"/>
          <w:lang w:val="en-US" w:eastAsia="zh-CN"/>
        </w:rPr>
        <w:t>书籍阅读率、活动人员到岗率、完成及时率、活动参与人员满意度</w:t>
      </w:r>
      <w:r>
        <w:rPr>
          <w:rFonts w:hint="default" w:ascii="Times New Roman" w:hAnsi="Times New Roman" w:eastAsia="仿宋_GB2312" w:cs="Times New Roman"/>
          <w:color w:val="auto"/>
          <w:sz w:val="32"/>
          <w:szCs w:val="32"/>
          <w:highlight w:val="none"/>
          <w:lang w:val="en-US" w:eastAsia="zh-CN"/>
        </w:rPr>
        <w:t>达100%</w:t>
      </w:r>
      <w:r>
        <w:rPr>
          <w:rFonts w:hint="eastAsia" w:ascii="Times New Roman" w:hAnsi="Times New Roman" w:eastAsia="仿宋_GB2312" w:cs="Times New Roman"/>
          <w:color w:val="auto"/>
          <w:sz w:val="32"/>
          <w:szCs w:val="32"/>
          <w:highlight w:val="none"/>
          <w:lang w:val="en-US" w:eastAsia="zh-CN"/>
        </w:rPr>
        <w:t>，财政监督管理制度健全，进一步推动“书香政协”建设，</w:t>
      </w:r>
      <w:r>
        <w:rPr>
          <w:rFonts w:hint="default" w:ascii="Times New Roman" w:hAnsi="Times New Roman" w:eastAsia="仿宋_GB2312" w:cs="Times New Roman"/>
          <w:color w:val="auto"/>
          <w:sz w:val="32"/>
          <w:szCs w:val="32"/>
          <w:highlight w:val="none"/>
          <w:lang w:val="en-US" w:eastAsia="zh-CN"/>
        </w:rPr>
        <w:t>初步实现预期目标</w:t>
      </w:r>
      <w:r>
        <w:rPr>
          <w:rFonts w:hint="eastAsia" w:ascii="Times New Roman" w:hAnsi="Times New Roman" w:eastAsia="仿宋_GB2312" w:cs="Times New Roman"/>
          <w:color w:val="auto"/>
          <w:sz w:val="32"/>
          <w:szCs w:val="32"/>
          <w:highlight w:val="none"/>
          <w:lang w:val="en-US" w:eastAsia="zh-CN"/>
        </w:rPr>
        <w:t>。</w:t>
      </w:r>
    </w:p>
    <w:p w14:paraId="727F5B23">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五、存在主要问题</w:t>
      </w:r>
    </w:p>
    <w:p w14:paraId="036808B7">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无</w:t>
      </w:r>
    </w:p>
    <w:p w14:paraId="3D7A9A74">
      <w:pPr>
        <w:keepNext w:val="0"/>
        <w:keepLines w:val="0"/>
        <w:pageBreakBefore w:val="0"/>
        <w:widowControl w:val="0"/>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六、相关措施建议</w:t>
      </w:r>
    </w:p>
    <w:p w14:paraId="4B71DBB0">
      <w:pPr>
        <w:keepNext w:val="0"/>
        <w:keepLines w:val="0"/>
        <w:pageBreakBefore w:val="0"/>
        <w:widowControl w:val="0"/>
        <w:numPr>
          <w:ilvl w:val="0"/>
          <w:numId w:val="0"/>
        </w:numPr>
        <w:kinsoku/>
        <w:wordWrap/>
        <w:overflowPunct w:val="0"/>
        <w:topLinePunct w:val="0"/>
        <w:autoSpaceDE/>
        <w:autoSpaceDN/>
        <w:bidi w:val="0"/>
        <w:adjustRightInd w:val="0"/>
        <w:snapToGrid w:val="0"/>
        <w:spacing w:line="570" w:lineRule="exact"/>
        <w:ind w:firstLine="640" w:firstLineChars="200"/>
        <w:rPr>
          <w:rFonts w:hint="default" w:ascii="Times New Roman" w:hAnsi="Times New Roman" w:cs="Times New Roman"/>
          <w:color w:val="auto"/>
          <w:highlight w:val="yellow"/>
        </w:rPr>
      </w:pPr>
      <w:r>
        <w:rPr>
          <w:rFonts w:hint="default" w:ascii="Times New Roman" w:hAnsi="Times New Roman" w:eastAsia="仿宋_GB2312" w:cs="Times New Roman"/>
          <w:color w:val="auto"/>
          <w:sz w:val="32"/>
          <w:szCs w:val="32"/>
          <w:highlight w:val="none"/>
          <w:lang w:val="en-US" w:eastAsia="zh-CN"/>
        </w:rPr>
        <w:t>无</w:t>
      </w:r>
    </w:p>
    <w:p w14:paraId="4DF41E2D">
      <w:pPr>
        <w:pStyle w:val="25"/>
        <w:keepNext w:val="0"/>
        <w:keepLines w:val="0"/>
        <w:pageBreakBefore w:val="0"/>
        <w:widowControl w:val="0"/>
        <w:kinsoku/>
        <w:wordWrap/>
        <w:overflowPunct w:val="0"/>
        <w:topLinePunct w:val="0"/>
        <w:autoSpaceDE/>
        <w:autoSpaceDN/>
        <w:bidi w:val="0"/>
        <w:adjustRightInd w:val="0"/>
        <w:snapToGrid w:val="0"/>
        <w:spacing w:line="560" w:lineRule="atLeast"/>
        <w:rPr>
          <w:rFonts w:hint="default" w:ascii="Times New Roman" w:hAnsi="Times New Roman" w:cs="Times New Roman"/>
          <w:color w:val="auto"/>
          <w:highlight w:val="none"/>
        </w:rPr>
      </w:pPr>
    </w:p>
    <w:p w14:paraId="3B2178E9">
      <w:pPr>
        <w:keepNext w:val="0"/>
        <w:keepLines w:val="0"/>
        <w:pageBreakBefore w:val="0"/>
        <w:widowControl w:val="0"/>
        <w:kinsoku/>
        <w:wordWrap/>
        <w:overflowPunct w:val="0"/>
        <w:topLinePunct w:val="0"/>
        <w:autoSpaceDE/>
        <w:autoSpaceDN/>
        <w:bidi w:val="0"/>
        <w:adjustRightInd w:val="0"/>
        <w:snapToGrid w:val="0"/>
        <w:spacing w:line="560" w:lineRule="atLeast"/>
        <w:rPr>
          <w:rFonts w:hint="default" w:ascii="Times New Roman" w:hAnsi="Times New Roman" w:cs="Times New Roman"/>
          <w:color w:val="auto"/>
          <w:highlight w:val="none"/>
        </w:rPr>
      </w:pPr>
    </w:p>
    <w:p w14:paraId="7D919D51">
      <w:pPr>
        <w:spacing w:line="580" w:lineRule="exact"/>
        <w:rPr>
          <w:rStyle w:val="35"/>
          <w:rFonts w:ascii="黑体" w:hAnsi="黑体" w:eastAsia="黑体"/>
          <w:b w:val="0"/>
          <w:color w:val="auto"/>
          <w:highlight w:val="none"/>
        </w:rPr>
      </w:pPr>
    </w:p>
    <w:p w14:paraId="3E8B274C">
      <w:pPr>
        <w:widowControl/>
        <w:jc w:val="left"/>
        <w:rPr>
          <w:rStyle w:val="35"/>
          <w:rFonts w:ascii="黑体" w:hAnsi="黑体" w:eastAsia="黑体"/>
          <w:b w:val="0"/>
          <w:color w:val="auto"/>
          <w:highlight w:val="none"/>
        </w:rPr>
      </w:pPr>
      <w:r>
        <w:rPr>
          <w:rStyle w:val="35"/>
          <w:rFonts w:ascii="黑体" w:hAnsi="黑体" w:eastAsia="黑体"/>
          <w:b w:val="0"/>
          <w:color w:val="auto"/>
          <w:highlight w:val="none"/>
        </w:rPr>
        <w:br w:type="page"/>
      </w:r>
    </w:p>
    <w:p w14:paraId="1697B4E8">
      <w:pPr>
        <w:spacing w:line="600" w:lineRule="exact"/>
        <w:jc w:val="center"/>
        <w:outlineLvl w:val="0"/>
        <w:rPr>
          <w:rFonts w:hint="eastAsia" w:ascii="仿宋" w:hAnsi="仿宋" w:eastAsia="仿宋"/>
          <w:b w:val="0"/>
          <w:color w:val="auto"/>
          <w:highlight w:val="none"/>
        </w:rPr>
      </w:pPr>
      <w:bookmarkStart w:id="78" w:name="_Toc1535"/>
      <w:bookmarkStart w:id="79" w:name="_Toc15396618"/>
      <w:r>
        <w:rPr>
          <w:rFonts w:hint="eastAsia" w:ascii="黑体" w:hAnsi="黑体" w:eastAsia="黑体"/>
          <w:color w:val="auto"/>
          <w:sz w:val="44"/>
          <w:szCs w:val="44"/>
          <w:highlight w:val="none"/>
        </w:rPr>
        <w:t>第</w:t>
      </w:r>
      <w:r>
        <w:rPr>
          <w:rStyle w:val="35"/>
          <w:rFonts w:hint="eastAsia" w:ascii="黑体" w:hAnsi="黑体" w:eastAsia="黑体"/>
          <w:b w:val="0"/>
          <w:color w:val="auto"/>
          <w:highlight w:val="none"/>
        </w:rPr>
        <w:t>五部分 附表</w:t>
      </w:r>
      <w:bookmarkEnd w:id="75"/>
      <w:bookmarkEnd w:id="78"/>
      <w:bookmarkEnd w:id="79"/>
      <w:bookmarkStart w:id="80" w:name="_Toc15396619"/>
    </w:p>
    <w:p w14:paraId="57553D38">
      <w:pPr>
        <w:pStyle w:val="4"/>
        <w:rPr>
          <w:rFonts w:ascii="仿宋" w:hAnsi="仿宋" w:eastAsia="仿宋"/>
          <w:color w:val="auto"/>
          <w:highlight w:val="none"/>
        </w:rPr>
      </w:pPr>
      <w:bookmarkStart w:id="81" w:name="_Toc12187"/>
      <w:r>
        <w:rPr>
          <w:rFonts w:hint="eastAsia" w:ascii="仿宋" w:hAnsi="仿宋" w:eastAsia="仿宋"/>
          <w:b w:val="0"/>
          <w:color w:val="auto"/>
          <w:highlight w:val="none"/>
        </w:rPr>
        <w:t>一、收</w:t>
      </w:r>
      <w:r>
        <w:rPr>
          <w:rStyle w:val="36"/>
          <w:rFonts w:hint="eastAsia" w:ascii="仿宋" w:hAnsi="仿宋" w:eastAsia="仿宋"/>
          <w:b w:val="0"/>
          <w:bCs w:val="0"/>
          <w:color w:val="auto"/>
          <w:highlight w:val="none"/>
        </w:rPr>
        <w:t>入支出决算总表</w:t>
      </w:r>
      <w:bookmarkEnd w:id="80"/>
      <w:bookmarkEnd w:id="81"/>
    </w:p>
    <w:p w14:paraId="09A7219A">
      <w:pPr>
        <w:pStyle w:val="4"/>
        <w:rPr>
          <w:rFonts w:ascii="仿宋" w:hAnsi="仿宋" w:eastAsia="仿宋"/>
          <w:color w:val="auto"/>
          <w:highlight w:val="none"/>
        </w:rPr>
      </w:pPr>
      <w:bookmarkStart w:id="82" w:name="_Toc13051"/>
      <w:bookmarkStart w:id="83" w:name="_Toc15396620"/>
      <w:r>
        <w:rPr>
          <w:rFonts w:hint="eastAsia" w:ascii="仿宋" w:hAnsi="仿宋" w:eastAsia="仿宋"/>
          <w:b w:val="0"/>
          <w:color w:val="auto"/>
          <w:highlight w:val="none"/>
        </w:rPr>
        <w:t>二、收</w:t>
      </w:r>
      <w:r>
        <w:rPr>
          <w:rStyle w:val="36"/>
          <w:rFonts w:hint="eastAsia" w:ascii="仿宋" w:hAnsi="仿宋" w:eastAsia="仿宋"/>
          <w:b w:val="0"/>
          <w:bCs w:val="0"/>
          <w:color w:val="auto"/>
          <w:highlight w:val="none"/>
        </w:rPr>
        <w:t>入决算表</w:t>
      </w:r>
      <w:bookmarkEnd w:id="82"/>
      <w:bookmarkEnd w:id="83"/>
    </w:p>
    <w:p w14:paraId="501D5E0F">
      <w:pPr>
        <w:pStyle w:val="4"/>
        <w:rPr>
          <w:rFonts w:ascii="仿宋" w:hAnsi="仿宋" w:eastAsia="仿宋"/>
          <w:color w:val="auto"/>
          <w:highlight w:val="none"/>
        </w:rPr>
      </w:pPr>
      <w:bookmarkStart w:id="84" w:name="_Toc15396621"/>
      <w:bookmarkStart w:id="85" w:name="_Toc13365"/>
      <w:r>
        <w:rPr>
          <w:rStyle w:val="36"/>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6"/>
          <w:rFonts w:hint="eastAsia" w:ascii="仿宋" w:hAnsi="仿宋" w:eastAsia="仿宋"/>
          <w:b w:val="0"/>
          <w:bCs w:val="0"/>
          <w:color w:val="auto"/>
          <w:highlight w:val="none"/>
        </w:rPr>
        <w:t>出决算表</w:t>
      </w:r>
      <w:bookmarkEnd w:id="84"/>
      <w:bookmarkEnd w:id="85"/>
    </w:p>
    <w:p w14:paraId="22ECB183">
      <w:pPr>
        <w:pStyle w:val="4"/>
        <w:rPr>
          <w:rFonts w:ascii="仿宋" w:hAnsi="仿宋" w:eastAsia="仿宋"/>
          <w:b w:val="0"/>
          <w:color w:val="auto"/>
          <w:highlight w:val="none"/>
        </w:rPr>
      </w:pPr>
      <w:bookmarkStart w:id="86" w:name="_Toc15396622"/>
      <w:bookmarkStart w:id="87" w:name="_Toc10921"/>
      <w:r>
        <w:rPr>
          <w:rStyle w:val="36"/>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6"/>
          <w:rFonts w:hint="eastAsia" w:ascii="仿宋" w:hAnsi="仿宋" w:eastAsia="仿宋"/>
          <w:b w:val="0"/>
          <w:bCs w:val="0"/>
          <w:color w:val="auto"/>
          <w:highlight w:val="none"/>
        </w:rPr>
        <w:t>政拨款收入支出决算总表</w:t>
      </w:r>
      <w:bookmarkEnd w:id="86"/>
      <w:bookmarkEnd w:id="87"/>
    </w:p>
    <w:p w14:paraId="4DE13D57">
      <w:pPr>
        <w:pStyle w:val="4"/>
        <w:rPr>
          <w:rStyle w:val="36"/>
          <w:rFonts w:ascii="仿宋" w:hAnsi="仿宋" w:eastAsia="仿宋"/>
          <w:b w:val="0"/>
          <w:bCs w:val="0"/>
          <w:color w:val="auto"/>
          <w:highlight w:val="none"/>
        </w:rPr>
      </w:pPr>
      <w:bookmarkStart w:id="88" w:name="_Toc17488"/>
      <w:bookmarkStart w:id="89" w:name="_Toc15396623"/>
      <w:r>
        <w:rPr>
          <w:rStyle w:val="36"/>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6"/>
          <w:rFonts w:hint="eastAsia" w:ascii="仿宋" w:hAnsi="仿宋" w:eastAsia="仿宋"/>
          <w:b w:val="0"/>
          <w:bCs w:val="0"/>
          <w:color w:val="auto"/>
          <w:highlight w:val="none"/>
        </w:rPr>
        <w:t>政拨款支出决算明细表</w:t>
      </w:r>
      <w:bookmarkEnd w:id="88"/>
      <w:bookmarkEnd w:id="89"/>
      <w:bookmarkStart w:id="90" w:name="_Toc15396624"/>
    </w:p>
    <w:p w14:paraId="7A8173A5">
      <w:pPr>
        <w:pStyle w:val="4"/>
        <w:rPr>
          <w:rFonts w:ascii="仿宋" w:hAnsi="仿宋" w:eastAsia="仿宋"/>
          <w:color w:val="auto"/>
          <w:highlight w:val="none"/>
        </w:rPr>
      </w:pPr>
      <w:bookmarkStart w:id="91" w:name="_Toc32256"/>
      <w:r>
        <w:rPr>
          <w:rStyle w:val="36"/>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6"/>
          <w:rFonts w:hint="eastAsia" w:ascii="仿宋" w:hAnsi="仿宋" w:eastAsia="仿宋"/>
          <w:b w:val="0"/>
          <w:bCs w:val="0"/>
          <w:color w:val="auto"/>
          <w:highlight w:val="none"/>
        </w:rPr>
        <w:t>般公共预算财政拨款支出决算表</w:t>
      </w:r>
      <w:bookmarkEnd w:id="90"/>
      <w:bookmarkEnd w:id="91"/>
    </w:p>
    <w:p w14:paraId="6DBE4654">
      <w:pPr>
        <w:pStyle w:val="4"/>
        <w:rPr>
          <w:rFonts w:ascii="仿宋" w:hAnsi="仿宋" w:eastAsia="仿宋"/>
          <w:color w:val="auto"/>
          <w:highlight w:val="none"/>
        </w:rPr>
      </w:pPr>
      <w:bookmarkStart w:id="92" w:name="_Toc15396625"/>
      <w:bookmarkStart w:id="93" w:name="_Toc1010"/>
      <w:r>
        <w:rPr>
          <w:rStyle w:val="36"/>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6"/>
          <w:rFonts w:hint="eastAsia" w:ascii="仿宋" w:hAnsi="仿宋" w:eastAsia="仿宋"/>
          <w:b w:val="0"/>
          <w:bCs w:val="0"/>
          <w:color w:val="auto"/>
          <w:highlight w:val="none"/>
        </w:rPr>
        <w:t>般公共预算财政拨款支出决算明细表</w:t>
      </w:r>
      <w:bookmarkEnd w:id="92"/>
      <w:bookmarkEnd w:id="93"/>
    </w:p>
    <w:p w14:paraId="20837D4D">
      <w:pPr>
        <w:pStyle w:val="4"/>
        <w:rPr>
          <w:rFonts w:ascii="仿宋" w:hAnsi="仿宋" w:eastAsia="仿宋"/>
          <w:color w:val="auto"/>
          <w:highlight w:val="none"/>
        </w:rPr>
      </w:pPr>
      <w:bookmarkStart w:id="94" w:name="_Toc15396626"/>
      <w:bookmarkStart w:id="95" w:name="_Toc17482"/>
      <w:r>
        <w:rPr>
          <w:rStyle w:val="36"/>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6"/>
          <w:rFonts w:hint="eastAsia" w:ascii="仿宋" w:hAnsi="仿宋" w:eastAsia="仿宋"/>
          <w:b w:val="0"/>
          <w:bCs w:val="0"/>
          <w:color w:val="auto"/>
          <w:highlight w:val="none"/>
        </w:rPr>
        <w:t>般公共预算财政拨款基本支出决算表</w:t>
      </w:r>
      <w:bookmarkEnd w:id="94"/>
      <w:bookmarkEnd w:id="95"/>
    </w:p>
    <w:p w14:paraId="36DA4261">
      <w:pPr>
        <w:pStyle w:val="4"/>
        <w:rPr>
          <w:rFonts w:ascii="仿宋" w:hAnsi="仿宋" w:eastAsia="仿宋"/>
          <w:color w:val="auto"/>
          <w:highlight w:val="none"/>
        </w:rPr>
      </w:pPr>
      <w:bookmarkStart w:id="96" w:name="_Toc2859"/>
      <w:bookmarkStart w:id="97" w:name="_Toc15396627"/>
      <w:r>
        <w:rPr>
          <w:rStyle w:val="36"/>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6"/>
          <w:rFonts w:hint="eastAsia" w:ascii="仿宋" w:hAnsi="仿宋" w:eastAsia="仿宋"/>
          <w:b w:val="0"/>
          <w:bCs w:val="0"/>
          <w:color w:val="auto"/>
          <w:highlight w:val="none"/>
        </w:rPr>
        <w:t>般公共预算财政拨款项目支出决算表</w:t>
      </w:r>
      <w:bookmarkEnd w:id="96"/>
      <w:bookmarkEnd w:id="97"/>
    </w:p>
    <w:p w14:paraId="7541F397">
      <w:pPr>
        <w:pStyle w:val="4"/>
        <w:rPr>
          <w:rFonts w:ascii="仿宋" w:hAnsi="仿宋" w:eastAsia="仿宋"/>
          <w:color w:val="auto"/>
          <w:highlight w:val="none"/>
        </w:rPr>
      </w:pPr>
      <w:bookmarkStart w:id="98" w:name="_Toc15396628"/>
      <w:bookmarkStart w:id="99" w:name="_Toc25468"/>
      <w:r>
        <w:rPr>
          <w:rStyle w:val="36"/>
          <w:rFonts w:hint="eastAsia" w:ascii="仿宋" w:hAnsi="仿宋" w:eastAsia="仿宋"/>
          <w:b w:val="0"/>
          <w:bCs w:val="0"/>
          <w:color w:val="auto"/>
          <w:highlight w:val="none"/>
        </w:rPr>
        <w:t>十、</w:t>
      </w:r>
      <w:bookmarkEnd w:id="98"/>
      <w:r>
        <w:rPr>
          <w:rFonts w:hint="eastAsia" w:ascii="仿宋" w:hAnsi="仿宋" w:eastAsia="仿宋"/>
          <w:b w:val="0"/>
          <w:color w:val="auto"/>
          <w:highlight w:val="none"/>
        </w:rPr>
        <w:t>政</w:t>
      </w:r>
      <w:r>
        <w:rPr>
          <w:rStyle w:val="36"/>
          <w:rFonts w:hint="eastAsia" w:ascii="仿宋" w:hAnsi="仿宋" w:eastAsia="仿宋"/>
          <w:b w:val="0"/>
          <w:bCs w:val="0"/>
          <w:color w:val="auto"/>
          <w:highlight w:val="none"/>
        </w:rPr>
        <w:t>府性基金预算财政拨款收入支出决算表</w:t>
      </w:r>
      <w:bookmarkEnd w:id="99"/>
    </w:p>
    <w:p w14:paraId="7CA4ACD4">
      <w:pPr>
        <w:pStyle w:val="4"/>
        <w:rPr>
          <w:rFonts w:ascii="仿宋" w:hAnsi="仿宋" w:eastAsia="仿宋"/>
          <w:color w:val="auto"/>
          <w:highlight w:val="none"/>
        </w:rPr>
      </w:pPr>
      <w:bookmarkStart w:id="100" w:name="_Toc15396629"/>
      <w:bookmarkStart w:id="101" w:name="_Toc17821"/>
      <w:r>
        <w:rPr>
          <w:rStyle w:val="36"/>
          <w:rFonts w:hint="eastAsia" w:ascii="仿宋" w:hAnsi="仿宋" w:eastAsia="仿宋"/>
          <w:b w:val="0"/>
          <w:bCs w:val="0"/>
          <w:color w:val="auto"/>
          <w:highlight w:val="none"/>
        </w:rPr>
        <w:t>十一、</w:t>
      </w:r>
      <w:bookmarkEnd w:id="100"/>
      <w:r>
        <w:rPr>
          <w:rFonts w:hint="eastAsia" w:ascii="仿宋" w:hAnsi="仿宋" w:eastAsia="仿宋"/>
          <w:b w:val="0"/>
          <w:color w:val="auto"/>
          <w:highlight w:val="none"/>
        </w:rPr>
        <w:t>国</w:t>
      </w:r>
      <w:r>
        <w:rPr>
          <w:rStyle w:val="36"/>
          <w:rFonts w:hint="eastAsia" w:ascii="仿宋" w:hAnsi="仿宋" w:eastAsia="仿宋"/>
          <w:b w:val="0"/>
          <w:bCs w:val="0"/>
          <w:color w:val="auto"/>
          <w:highlight w:val="none"/>
        </w:rPr>
        <w:t>有资本经营预算</w:t>
      </w:r>
      <w:r>
        <w:rPr>
          <w:rStyle w:val="36"/>
          <w:rFonts w:hint="eastAsia" w:ascii="仿宋" w:hAnsi="仿宋" w:eastAsia="仿宋"/>
          <w:b w:val="0"/>
          <w:bCs w:val="0"/>
          <w:color w:val="auto"/>
          <w:highlight w:val="none"/>
          <w:lang w:eastAsia="zh-CN"/>
        </w:rPr>
        <w:t>财政拨款收入</w:t>
      </w:r>
      <w:r>
        <w:rPr>
          <w:rStyle w:val="36"/>
          <w:rFonts w:hint="eastAsia" w:ascii="仿宋" w:hAnsi="仿宋" w:eastAsia="仿宋"/>
          <w:b w:val="0"/>
          <w:bCs w:val="0"/>
          <w:color w:val="auto"/>
          <w:highlight w:val="none"/>
        </w:rPr>
        <w:t>支出决算表</w:t>
      </w:r>
      <w:bookmarkEnd w:id="101"/>
    </w:p>
    <w:p w14:paraId="45CDCA15">
      <w:pPr>
        <w:pStyle w:val="4"/>
        <w:rPr>
          <w:rFonts w:ascii="仿宋" w:hAnsi="仿宋" w:eastAsia="仿宋"/>
          <w:color w:val="auto"/>
          <w:highlight w:val="none"/>
        </w:rPr>
      </w:pPr>
      <w:bookmarkStart w:id="102" w:name="_Toc15396630"/>
      <w:bookmarkStart w:id="103" w:name="_Toc18476"/>
      <w:r>
        <w:rPr>
          <w:rStyle w:val="36"/>
          <w:rFonts w:hint="eastAsia" w:ascii="仿宋" w:hAnsi="仿宋" w:eastAsia="仿宋"/>
          <w:b w:val="0"/>
          <w:bCs w:val="0"/>
          <w:color w:val="auto"/>
          <w:highlight w:val="none"/>
        </w:rPr>
        <w:t>十二、</w:t>
      </w:r>
      <w:bookmarkEnd w:id="102"/>
      <w:r>
        <w:rPr>
          <w:rStyle w:val="36"/>
          <w:rFonts w:hint="eastAsia" w:ascii="仿宋" w:hAnsi="仿宋" w:eastAsia="仿宋"/>
          <w:b w:val="0"/>
          <w:bCs w:val="0"/>
          <w:color w:val="auto"/>
          <w:highlight w:val="none"/>
          <w:lang w:eastAsia="zh-CN"/>
        </w:rPr>
        <w:t>国有资本经营预算财政拨款支出决算表</w:t>
      </w:r>
      <w:bookmarkEnd w:id="103"/>
    </w:p>
    <w:p w14:paraId="7E1DFE73">
      <w:pPr>
        <w:pStyle w:val="4"/>
        <w:rPr>
          <w:rFonts w:hint="eastAsia" w:eastAsia="仿宋"/>
          <w:color w:val="auto"/>
          <w:highlight w:val="none"/>
          <w:lang w:eastAsia="zh-CN"/>
        </w:rPr>
      </w:pPr>
      <w:bookmarkStart w:id="104" w:name="_Toc15396631"/>
      <w:bookmarkStart w:id="105" w:name="_Toc18203"/>
      <w:r>
        <w:rPr>
          <w:rStyle w:val="36"/>
          <w:rFonts w:hint="eastAsia" w:ascii="仿宋" w:hAnsi="仿宋" w:eastAsia="仿宋"/>
          <w:b w:val="0"/>
          <w:bCs w:val="0"/>
          <w:color w:val="auto"/>
          <w:highlight w:val="none"/>
        </w:rPr>
        <w:t>十三、</w:t>
      </w:r>
      <w:bookmarkEnd w:id="104"/>
      <w:r>
        <w:rPr>
          <w:rStyle w:val="36"/>
          <w:rFonts w:hint="eastAsia" w:ascii="仿宋" w:hAnsi="仿宋" w:eastAsia="仿宋"/>
          <w:b w:val="0"/>
          <w:bCs w:val="0"/>
          <w:color w:val="auto"/>
          <w:highlight w:val="none"/>
          <w:lang w:eastAsia="zh-CN"/>
        </w:rPr>
        <w:t>财政拨款“三公”经费支出决算表</w:t>
      </w:r>
      <w:bookmarkEnd w:id="105"/>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0551A5-B67E-48BF-8B63-11EEFB1F8C89}"/>
  </w:font>
  <w:font w:name="黑体">
    <w:panose1 w:val="02010609060101010101"/>
    <w:charset w:val="86"/>
    <w:family w:val="auto"/>
    <w:pitch w:val="default"/>
    <w:sig w:usb0="800002BF" w:usb1="38CF7CFA" w:usb2="00000016" w:usb3="00000000" w:csb0="00040001" w:csb1="00000000"/>
    <w:embedRegular r:id="rId2" w:fontKey="{1B88178A-6660-47D4-802A-819DBFC194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5454120-24F4-4EBF-B80A-5568CE2980BB}"/>
  </w:font>
  <w:font w:name="Cambria">
    <w:panose1 w:val="02040503050406030204"/>
    <w:charset w:val="00"/>
    <w:family w:val="roman"/>
    <w:pitch w:val="default"/>
    <w:sig w:usb0="E00006FF" w:usb1="420024FF" w:usb2="02000000" w:usb3="00000000" w:csb0="2000019F" w:csb1="00000000"/>
    <w:embedRegular r:id="rId4" w:fontKey="{C5CA144D-86A3-487E-907A-1BE9EB60E16E}"/>
  </w:font>
  <w:font w:name="楷体_GB2312">
    <w:altName w:val="楷体"/>
    <w:panose1 w:val="02010609030101010101"/>
    <w:charset w:val="86"/>
    <w:family w:val="auto"/>
    <w:pitch w:val="default"/>
    <w:sig w:usb0="00000000" w:usb1="00000000" w:usb2="00000000" w:usb3="00000000" w:csb0="00040000" w:csb1="00000000"/>
    <w:embedRegular r:id="rId5" w:fontKey="{C65379F8-8DEA-480C-B079-52CDB0F9FADA}"/>
  </w:font>
  <w:font w:name="仿宋_GB2312">
    <w:altName w:val="仿宋"/>
    <w:panose1 w:val="02010609030101010101"/>
    <w:charset w:val="86"/>
    <w:family w:val="modern"/>
    <w:pitch w:val="default"/>
    <w:sig w:usb0="00000000" w:usb1="00000000" w:usb2="00000000" w:usb3="00000000" w:csb0="00040000" w:csb1="00000000"/>
    <w:embedRegular r:id="rId6" w:fontKey="{81915EFA-07F2-4C83-9E15-BA9012FC12E1}"/>
  </w:font>
  <w:font w:name="仿宋">
    <w:panose1 w:val="02010609060101010101"/>
    <w:charset w:val="86"/>
    <w:family w:val="modern"/>
    <w:pitch w:val="default"/>
    <w:sig w:usb0="800002BF" w:usb1="38CF7CFA" w:usb2="00000016" w:usb3="00000000" w:csb0="00040001" w:csb1="00000000"/>
    <w:embedRegular r:id="rId7" w:fontKey="{47CB3922-1BE8-48C3-80E0-5DA94E3D9741}"/>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8" w:fontKey="{D70A5304-6A42-4F53-9540-6836F672276C}"/>
  </w:font>
  <w:font w:name="微软雅黑">
    <w:panose1 w:val="020B0503020204020204"/>
    <w:charset w:val="86"/>
    <w:family w:val="auto"/>
    <w:pitch w:val="default"/>
    <w:sig w:usb0="80000287" w:usb1="2ACF3C50" w:usb2="00000016" w:usb3="00000000" w:csb0="0004001F" w:csb1="00000000"/>
    <w:embedRegular r:id="rId9" w:fontKey="{2C84A4F1-1D1A-404C-8F9F-02B258C74AF4}"/>
  </w:font>
  <w:font w:name="等线">
    <w:panose1 w:val="02010600030101010101"/>
    <w:charset w:val="86"/>
    <w:family w:val="auto"/>
    <w:pitch w:val="default"/>
    <w:sig w:usb0="A00002BF" w:usb1="38CF7CFA" w:usb2="00000016" w:usb3="00000000" w:csb0="0004000F" w:csb1="00000000"/>
    <w:embedRegular r:id="rId10" w:fontKey="{31DA06DE-DA12-40F5-AA6F-6134EE534B8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4BDC0">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8DB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9448DB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562DF">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B40F1">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B3B40F1">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77F67">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12275">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D5565"/>
    <w:multiLevelType w:val="singleLevel"/>
    <w:tmpl w:val="8A1D5565"/>
    <w:lvl w:ilvl="0" w:tentative="0">
      <w:start w:val="4"/>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064A595"/>
    <w:multiLevelType w:val="singleLevel"/>
    <w:tmpl w:val="3064A595"/>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NDRjMGVmOGM1NzM1Mzg1NDUzZGU4ZmZhNTUxMDA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15E6983"/>
    <w:rsid w:val="02143E91"/>
    <w:rsid w:val="04685301"/>
    <w:rsid w:val="066E0107"/>
    <w:rsid w:val="07996F6E"/>
    <w:rsid w:val="08557045"/>
    <w:rsid w:val="09F95A24"/>
    <w:rsid w:val="0A2032A3"/>
    <w:rsid w:val="0AF24E16"/>
    <w:rsid w:val="0BEF13FD"/>
    <w:rsid w:val="0D1E593B"/>
    <w:rsid w:val="0EC64EC0"/>
    <w:rsid w:val="0F98263C"/>
    <w:rsid w:val="0FB37AA5"/>
    <w:rsid w:val="101860EC"/>
    <w:rsid w:val="10C055FF"/>
    <w:rsid w:val="118107EC"/>
    <w:rsid w:val="13D50BC4"/>
    <w:rsid w:val="16335F84"/>
    <w:rsid w:val="16BB723D"/>
    <w:rsid w:val="19E97A31"/>
    <w:rsid w:val="1A03205C"/>
    <w:rsid w:val="1A8A5296"/>
    <w:rsid w:val="1BAF242C"/>
    <w:rsid w:val="1BE8440E"/>
    <w:rsid w:val="1C48182E"/>
    <w:rsid w:val="1D155CEE"/>
    <w:rsid w:val="1DDC614B"/>
    <w:rsid w:val="1E342DB0"/>
    <w:rsid w:val="1FF35744"/>
    <w:rsid w:val="20C122B0"/>
    <w:rsid w:val="21A832B0"/>
    <w:rsid w:val="21FF081B"/>
    <w:rsid w:val="22AD5EA2"/>
    <w:rsid w:val="237D7EB9"/>
    <w:rsid w:val="23860B96"/>
    <w:rsid w:val="240371BF"/>
    <w:rsid w:val="240F5597"/>
    <w:rsid w:val="24CB5517"/>
    <w:rsid w:val="28FC05AD"/>
    <w:rsid w:val="29FD04D3"/>
    <w:rsid w:val="2B842E35"/>
    <w:rsid w:val="2C8556D1"/>
    <w:rsid w:val="2C8A61B5"/>
    <w:rsid w:val="2D1C48DB"/>
    <w:rsid w:val="2DF04E50"/>
    <w:rsid w:val="2F040D46"/>
    <w:rsid w:val="30172D3B"/>
    <w:rsid w:val="311452AA"/>
    <w:rsid w:val="31197F4E"/>
    <w:rsid w:val="319F7F4E"/>
    <w:rsid w:val="322D6016"/>
    <w:rsid w:val="32B826B2"/>
    <w:rsid w:val="3304709D"/>
    <w:rsid w:val="349B6C91"/>
    <w:rsid w:val="361A64D5"/>
    <w:rsid w:val="36AA5135"/>
    <w:rsid w:val="36BF491E"/>
    <w:rsid w:val="376D39B2"/>
    <w:rsid w:val="37E16F03"/>
    <w:rsid w:val="384937B2"/>
    <w:rsid w:val="38D469F0"/>
    <w:rsid w:val="39884330"/>
    <w:rsid w:val="3AB05D9C"/>
    <w:rsid w:val="3BDA5797"/>
    <w:rsid w:val="3C451EBB"/>
    <w:rsid w:val="3D98207C"/>
    <w:rsid w:val="3E78745D"/>
    <w:rsid w:val="3FDA3BF7"/>
    <w:rsid w:val="43BD57DD"/>
    <w:rsid w:val="44C87FE8"/>
    <w:rsid w:val="44E268DA"/>
    <w:rsid w:val="464B1C84"/>
    <w:rsid w:val="4A627F82"/>
    <w:rsid w:val="4A6A73F5"/>
    <w:rsid w:val="4A9E50A5"/>
    <w:rsid w:val="4B0E749A"/>
    <w:rsid w:val="4B4F25DA"/>
    <w:rsid w:val="4BE068DB"/>
    <w:rsid w:val="4D577224"/>
    <w:rsid w:val="4EAB630A"/>
    <w:rsid w:val="4ECE2238"/>
    <w:rsid w:val="518E1E3B"/>
    <w:rsid w:val="537E6D0A"/>
    <w:rsid w:val="54925CAC"/>
    <w:rsid w:val="55A371E8"/>
    <w:rsid w:val="56620951"/>
    <w:rsid w:val="5AF92295"/>
    <w:rsid w:val="5B12255C"/>
    <w:rsid w:val="5C113591"/>
    <w:rsid w:val="5CD71FC4"/>
    <w:rsid w:val="5D4930BA"/>
    <w:rsid w:val="61C526C8"/>
    <w:rsid w:val="635D32EE"/>
    <w:rsid w:val="65350284"/>
    <w:rsid w:val="659A18A8"/>
    <w:rsid w:val="69636773"/>
    <w:rsid w:val="696B6FF1"/>
    <w:rsid w:val="69C13C97"/>
    <w:rsid w:val="6C4A05C8"/>
    <w:rsid w:val="6E715B8E"/>
    <w:rsid w:val="6E7E3605"/>
    <w:rsid w:val="6FF5CC65"/>
    <w:rsid w:val="700A0883"/>
    <w:rsid w:val="70D67269"/>
    <w:rsid w:val="71396D3A"/>
    <w:rsid w:val="715C0E4B"/>
    <w:rsid w:val="72724F32"/>
    <w:rsid w:val="72734D90"/>
    <w:rsid w:val="73AD73D5"/>
    <w:rsid w:val="73B6EB34"/>
    <w:rsid w:val="744731E5"/>
    <w:rsid w:val="75A61140"/>
    <w:rsid w:val="75BF74B7"/>
    <w:rsid w:val="76E3355F"/>
    <w:rsid w:val="778769C8"/>
    <w:rsid w:val="79EE5BA4"/>
    <w:rsid w:val="7A894339"/>
    <w:rsid w:val="7BAD4295"/>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spacing w:before="260" w:after="260" w:line="416" w:lineRule="auto"/>
      <w:outlineLvl w:val="2"/>
    </w:pPr>
    <w:rPr>
      <w:b/>
      <w:bCs/>
      <w:sz w:val="32"/>
      <w:szCs w:val="32"/>
    </w:rPr>
  </w:style>
  <w:style w:type="character" w:default="1" w:styleId="21">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99"/>
    <w:pPr>
      <w:ind w:left="2100"/>
    </w:pPr>
    <w:rPr>
      <w:rFonts w:ascii="Times New Roman" w:hAnsi="Times New Roman" w:eastAsia="黑体"/>
      <w:sz w:val="32"/>
    </w:rPr>
  </w:style>
  <w:style w:type="paragraph" w:styleId="6">
    <w:name w:val="annotation text"/>
    <w:basedOn w:val="1"/>
    <w:semiHidden/>
    <w:unhideWhenUsed/>
    <w:qFormat/>
    <w:uiPriority w:val="99"/>
    <w:pPr>
      <w:jc w:val="left"/>
    </w:pPr>
  </w:style>
  <w:style w:type="paragraph" w:styleId="7">
    <w:name w:val="Salutation"/>
    <w:basedOn w:val="1"/>
    <w:next w:val="1"/>
    <w:qFormat/>
    <w:uiPriority w:val="0"/>
    <w:pPr>
      <w:topLinePunct/>
      <w:autoSpaceDE w:val="0"/>
      <w:autoSpaceDN w:val="0"/>
      <w:adjustRightInd w:val="0"/>
      <w:snapToGrid w:val="0"/>
      <w:spacing w:line="336" w:lineRule="auto"/>
      <w:jc w:val="left"/>
      <w:textAlignment w:val="baseline"/>
    </w:pPr>
    <w:rPr>
      <w:rFonts w:eastAsia="楷体_GB2312"/>
      <w:b/>
      <w:kern w:val="10"/>
      <w:sz w:val="30"/>
      <w:szCs w:val="20"/>
    </w:rPr>
  </w:style>
  <w:style w:type="paragraph" w:styleId="8">
    <w:name w:val="Body Text"/>
    <w:basedOn w:val="1"/>
    <w:link w:val="32"/>
    <w:qFormat/>
    <w:uiPriority w:val="99"/>
    <w:pPr>
      <w:spacing w:beforeLines="30"/>
    </w:pPr>
    <w:rPr>
      <w:rFonts w:ascii="仿宋_GB2312" w:eastAsia="仿宋_GB2312"/>
      <w:kern w:val="0"/>
      <w:sz w:val="30"/>
    </w:rPr>
  </w:style>
  <w:style w:type="paragraph" w:styleId="9">
    <w:name w:val="Body Text Indent"/>
    <w:basedOn w:val="1"/>
    <w:qFormat/>
    <w:uiPriority w:val="0"/>
    <w:pPr>
      <w:spacing w:after="120"/>
      <w:ind w:leftChars="200"/>
    </w:pPr>
    <w:rPr>
      <w:rFonts w:ascii="仿宋_GB2312"/>
      <w:szCs w:val="32"/>
    </w:rPr>
  </w:style>
  <w:style w:type="paragraph" w:styleId="10">
    <w:name w:val="toc 3"/>
    <w:basedOn w:val="1"/>
    <w:next w:val="1"/>
    <w:unhideWhenUsed/>
    <w:qFormat/>
    <w:uiPriority w:val="39"/>
    <w:pPr>
      <w:tabs>
        <w:tab w:val="right" w:leader="dot" w:pos="8296"/>
      </w:tabs>
      <w:ind w:left="840" w:leftChars="400"/>
    </w:pPr>
  </w:style>
  <w:style w:type="paragraph" w:styleId="11">
    <w:name w:val="Body Text Indent 2"/>
    <w:basedOn w:val="1"/>
    <w:semiHidden/>
    <w:unhideWhenUsed/>
    <w:qFormat/>
    <w:uiPriority w:val="99"/>
    <w:pPr>
      <w:spacing w:after="120" w:line="480" w:lineRule="auto"/>
      <w:ind w:left="420" w:leftChars="200"/>
    </w:pPr>
  </w:style>
  <w:style w:type="paragraph" w:styleId="12">
    <w:name w:val="Balloon Text"/>
    <w:basedOn w:val="1"/>
    <w:link w:val="38"/>
    <w:semiHidden/>
    <w:unhideWhenUsed/>
    <w:qFormat/>
    <w:uiPriority w:val="99"/>
    <w:rPr>
      <w:sz w:val="18"/>
      <w:szCs w:val="18"/>
    </w:rPr>
  </w:style>
  <w:style w:type="paragraph" w:styleId="13">
    <w:name w:val="footer"/>
    <w:basedOn w:val="1"/>
    <w:link w:val="30"/>
    <w:qFormat/>
    <w:uiPriority w:val="99"/>
    <w:pPr>
      <w:tabs>
        <w:tab w:val="center" w:pos="4153"/>
        <w:tab w:val="right" w:pos="8306"/>
      </w:tabs>
      <w:snapToGrid w:val="0"/>
      <w:jc w:val="left"/>
    </w:pPr>
    <w:rPr>
      <w:rFonts w:ascii="Calibri" w:hAnsi="Calibri"/>
      <w:kern w:val="0"/>
      <w:sz w:val="18"/>
      <w:szCs w:val="18"/>
    </w:rPr>
  </w:style>
  <w:style w:type="paragraph" w:styleId="14">
    <w:name w:val="header"/>
    <w:basedOn w:val="1"/>
    <w:link w:val="2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6">
    <w:name w:val="footnote text"/>
    <w:basedOn w:val="1"/>
    <w:semiHidden/>
    <w:unhideWhenUsed/>
    <w:qFormat/>
    <w:uiPriority w:val="99"/>
    <w:pPr>
      <w:snapToGrid w:val="0"/>
    </w:pPr>
    <w:rPr>
      <w:sz w:val="18"/>
    </w:rPr>
  </w:style>
  <w:style w:type="paragraph" w:styleId="17">
    <w:name w:val="toc 2"/>
    <w:basedOn w:val="1"/>
    <w:next w:val="1"/>
    <w:unhideWhenUsed/>
    <w:qFormat/>
    <w:uiPriority w:val="39"/>
    <w:pPr>
      <w:tabs>
        <w:tab w:val="right" w:leader="dot" w:pos="8296"/>
      </w:tabs>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2"/>
    <w:basedOn w:val="9"/>
    <w:unhideWhenUsed/>
    <w:qFormat/>
    <w:uiPriority w:val="99"/>
    <w:pPr>
      <w:ind w:firstLine="420" w:firstLineChars="200"/>
    </w:pPr>
  </w:style>
  <w:style w:type="character" w:styleId="22">
    <w:name w:val="Strong"/>
    <w:basedOn w:val="21"/>
    <w:qFormat/>
    <w:uiPriority w:val="99"/>
    <w:rPr>
      <w:b/>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paragraph" w:customStyle="1" w:styleId="24">
    <w:name w:val="章标题"/>
    <w:basedOn w:val="1"/>
    <w:next w:val="25"/>
    <w:qFormat/>
    <w:uiPriority w:val="99"/>
    <w:pPr>
      <w:widowControl/>
      <w:spacing w:before="158" w:after="153" w:line="323" w:lineRule="atLeast"/>
      <w:ind w:right="-120"/>
      <w:jc w:val="center"/>
      <w:textAlignment w:val="baseline"/>
    </w:pPr>
    <w:rPr>
      <w:color w:val="FF0000"/>
      <w:sz w:val="18"/>
    </w:rPr>
  </w:style>
  <w:style w:type="paragraph" w:customStyle="1" w:styleId="25">
    <w:name w:val="节标题"/>
    <w:basedOn w:val="1"/>
    <w:next w:val="1"/>
    <w:qFormat/>
    <w:uiPriority w:val="99"/>
    <w:pPr>
      <w:widowControl/>
      <w:spacing w:line="289" w:lineRule="atLeast"/>
      <w:jc w:val="center"/>
      <w:textAlignment w:val="baseline"/>
    </w:pPr>
    <w:rPr>
      <w:color w:val="000000"/>
      <w:sz w:val="28"/>
    </w:rPr>
  </w:style>
  <w:style w:type="paragraph" w:customStyle="1" w:styleId="26">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7">
    <w:name w:val="Header Char"/>
    <w:basedOn w:val="21"/>
    <w:semiHidden/>
    <w:qFormat/>
    <w:uiPriority w:val="99"/>
    <w:rPr>
      <w:rFonts w:ascii="Times New Roman" w:hAnsi="Times New Roman"/>
      <w:sz w:val="18"/>
      <w:szCs w:val="18"/>
    </w:rPr>
  </w:style>
  <w:style w:type="character" w:customStyle="1" w:styleId="28">
    <w:name w:val="页眉 Char"/>
    <w:link w:val="14"/>
    <w:semiHidden/>
    <w:qFormat/>
    <w:locked/>
    <w:uiPriority w:val="99"/>
    <w:rPr>
      <w:sz w:val="18"/>
    </w:rPr>
  </w:style>
  <w:style w:type="character" w:customStyle="1" w:styleId="29">
    <w:name w:val="Footer Char"/>
    <w:basedOn w:val="21"/>
    <w:semiHidden/>
    <w:qFormat/>
    <w:uiPriority w:val="99"/>
    <w:rPr>
      <w:rFonts w:ascii="Times New Roman" w:hAnsi="Times New Roman"/>
      <w:sz w:val="18"/>
      <w:szCs w:val="18"/>
    </w:rPr>
  </w:style>
  <w:style w:type="character" w:customStyle="1" w:styleId="30">
    <w:name w:val="页脚 Char"/>
    <w:link w:val="13"/>
    <w:qFormat/>
    <w:locked/>
    <w:uiPriority w:val="99"/>
    <w:rPr>
      <w:sz w:val="18"/>
    </w:rPr>
  </w:style>
  <w:style w:type="character" w:customStyle="1" w:styleId="31">
    <w:name w:val="Body Text Char"/>
    <w:basedOn w:val="21"/>
    <w:semiHidden/>
    <w:qFormat/>
    <w:uiPriority w:val="99"/>
    <w:rPr>
      <w:rFonts w:ascii="Times New Roman" w:hAnsi="Times New Roman"/>
      <w:szCs w:val="24"/>
    </w:rPr>
  </w:style>
  <w:style w:type="character" w:customStyle="1" w:styleId="32">
    <w:name w:val="正文文本 Char"/>
    <w:link w:val="8"/>
    <w:qFormat/>
    <w:locked/>
    <w:uiPriority w:val="99"/>
    <w:rPr>
      <w:rFonts w:ascii="仿宋_GB2312" w:hAnsi="Times New Roman" w:eastAsia="仿宋_GB2312"/>
      <w:sz w:val="24"/>
    </w:rPr>
  </w:style>
  <w:style w:type="paragraph" w:customStyle="1" w:styleId="3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4">
    <w:name w:val="List Paragraph"/>
    <w:basedOn w:val="1"/>
    <w:qFormat/>
    <w:uiPriority w:val="34"/>
    <w:pPr>
      <w:ind w:firstLine="420" w:firstLineChars="200"/>
    </w:pPr>
  </w:style>
  <w:style w:type="character" w:customStyle="1" w:styleId="35">
    <w:name w:val="标题 1 Char"/>
    <w:basedOn w:val="21"/>
    <w:link w:val="3"/>
    <w:qFormat/>
    <w:uiPriority w:val="9"/>
    <w:rPr>
      <w:rFonts w:ascii="Times New Roman" w:hAnsi="Times New Roman"/>
      <w:b/>
      <w:bCs/>
      <w:kern w:val="44"/>
      <w:sz w:val="44"/>
      <w:szCs w:val="44"/>
    </w:rPr>
  </w:style>
  <w:style w:type="character" w:customStyle="1" w:styleId="36">
    <w:name w:val="标题 2 Char"/>
    <w:basedOn w:val="21"/>
    <w:link w:val="4"/>
    <w:qFormat/>
    <w:uiPriority w:val="9"/>
    <w:rPr>
      <w:rFonts w:asciiTheme="majorHAnsi" w:hAnsiTheme="majorHAnsi" w:eastAsiaTheme="majorEastAsia" w:cstheme="majorBidi"/>
      <w:b/>
      <w:bCs/>
      <w:kern w:val="2"/>
      <w:sz w:val="32"/>
      <w:szCs w:val="32"/>
    </w:rPr>
  </w:style>
  <w:style w:type="paragraph" w:customStyle="1" w:styleId="3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1"/>
    <w:link w:val="12"/>
    <w:semiHidden/>
    <w:qFormat/>
    <w:uiPriority w:val="99"/>
    <w:rPr>
      <w:rFonts w:ascii="Times New Roman" w:hAnsi="Times New Roman"/>
      <w:kern w:val="2"/>
      <w:sz w:val="18"/>
      <w:szCs w:val="18"/>
    </w:rPr>
  </w:style>
  <w:style w:type="character" w:customStyle="1" w:styleId="39">
    <w:name w:val="标题 3 Char"/>
    <w:basedOn w:val="21"/>
    <w:link w:val="5"/>
    <w:qFormat/>
    <w:uiPriority w:val="9"/>
    <w:rPr>
      <w:rFonts w:ascii="Times New Roman" w:hAnsi="Times New Roman"/>
      <w:b/>
      <w:bCs/>
      <w:kern w:val="2"/>
      <w:sz w:val="32"/>
      <w:szCs w:val="32"/>
    </w:rPr>
  </w:style>
  <w:style w:type="paragraph" w:customStyle="1" w:styleId="40">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42">
    <w:name w:val="常用样式（方正仿宋简）"/>
    <w:basedOn w:val="1"/>
    <w:qFormat/>
    <w:uiPriority w:val="0"/>
    <w:pPr>
      <w:spacing w:line="560" w:lineRule="exact"/>
      <w:ind w:firstLine="640" w:firstLineChars="200"/>
    </w:pPr>
  </w:style>
  <w:style w:type="paragraph" w:customStyle="1" w:styleId="43">
    <w:name w:val="WPSOffice手动目录 1"/>
    <w:qFormat/>
    <w:uiPriority w:val="0"/>
    <w:pPr>
      <w:ind w:leftChars="0"/>
    </w:pPr>
    <w:rPr>
      <w:rFonts w:ascii="Times New Roman" w:hAnsi="Times New Roman" w:eastAsia="宋体" w:cs="Times New Roman"/>
      <w:sz w:val="20"/>
      <w:szCs w:val="20"/>
    </w:rPr>
  </w:style>
  <w:style w:type="paragraph" w:customStyle="1" w:styleId="4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收、支决算总计（万元）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#,##0.00_ </c:formatCode>
                <c:ptCount val="2"/>
                <c:pt idx="0">
                  <c:v>1387.5</c:v>
                </c:pt>
                <c:pt idx="1">
                  <c:v>1402.5</c:v>
                </c:pt>
              </c:numCache>
            </c:numRef>
          </c:val>
        </c:ser>
        <c:dLbls>
          <c:showLegendKey val="0"/>
          <c:showVal val="0"/>
          <c:showCatName val="0"/>
          <c:showSerName val="0"/>
          <c:showPercent val="0"/>
          <c:showBubbleSize val="0"/>
        </c:dLbls>
        <c:gapWidth val="219"/>
        <c:overlap val="-27"/>
        <c:axId val="112766336"/>
        <c:axId val="112776320"/>
      </c:barChart>
      <c:catAx>
        <c:axId val="112766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776320"/>
        <c:crosses val="autoZero"/>
        <c:auto val="1"/>
        <c:lblAlgn val="ctr"/>
        <c:lblOffset val="100"/>
        <c:noMultiLvlLbl val="0"/>
      </c:catAx>
      <c:valAx>
        <c:axId val="112776320"/>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7663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tx>
            <c:strRef>
              <c:f>Sheet1!$B$1</c:f>
              <c:strCache>
                <c:ptCount val="1"/>
                <c:pt idx="0">
                  <c:v>收入决算</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其他收入</c:v>
                </c:pt>
              </c:strCache>
            </c:strRef>
          </c:cat>
          <c:val>
            <c:numRef>
              <c:f>Sheet1!$B$2:$B$3</c:f>
              <c:numCache>
                <c:formatCode>0.00%</c:formatCode>
                <c:ptCount val="2"/>
                <c:pt idx="0">
                  <c:v>0.9995</c:v>
                </c:pt>
                <c:pt idx="1">
                  <c:v>0.0005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tx>
            <c:strRef>
              <c:f>Sheet1!$B$1</c:f>
              <c:strCache>
                <c:ptCount val="1"/>
                <c:pt idx="0">
                  <c:v>支出决算</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0.8752</c:v>
                </c:pt>
                <c:pt idx="1">
                  <c:v>0.1248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manualLayout>
          <c:xMode val="edge"/>
          <c:yMode val="edge"/>
          <c:x val="0.149936015924925"/>
          <c:y val="0.028117359413202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财政拨款收、支决算总计（万元）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#,##0.00_ </c:formatCode>
                <c:ptCount val="2"/>
                <c:pt idx="0">
                  <c:v>1373.93</c:v>
                </c:pt>
                <c:pt idx="1">
                  <c:v>1392.11</c:v>
                </c:pt>
              </c:numCache>
            </c:numRef>
          </c:val>
        </c:ser>
        <c:dLbls>
          <c:showLegendKey val="0"/>
          <c:showVal val="1"/>
          <c:showCatName val="0"/>
          <c:showSerName val="0"/>
          <c:showPercent val="0"/>
          <c:showBubbleSize val="0"/>
        </c:dLbls>
        <c:gapWidth val="219"/>
        <c:overlap val="-27"/>
        <c:axId val="164486528"/>
        <c:axId val="165792000"/>
      </c:barChart>
      <c:catAx>
        <c:axId val="1644865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792000"/>
        <c:crosses val="autoZero"/>
        <c:auto val="1"/>
        <c:lblAlgn val="ctr"/>
        <c:lblOffset val="100"/>
        <c:noMultiLvlLbl val="0"/>
      </c:catAx>
      <c:valAx>
        <c:axId val="165792000"/>
        <c:scaling>
          <c:orientation val="minMax"/>
          <c:max val="1500"/>
          <c:min val="400"/>
        </c:scaling>
        <c:delete val="0"/>
        <c:axPos val="l"/>
        <c:majorGridlines>
          <c:spPr>
            <a:ln w="9525" cap="flat" cmpd="sng" algn="ctr">
              <a:solidFill>
                <a:schemeClr val="tx1">
                  <a:lumMod val="15000"/>
                  <a:lumOff val="85000"/>
                </a:schemeClr>
              </a:solidFill>
              <a:round/>
            </a:ln>
            <a:effectLst/>
          </c:spPr>
        </c:majorGridlines>
        <c:numFmt formatCode="#,##0.00_ "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4865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一般公共预算财政拨款支出（万元）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#,##0.00_ </c:formatCode>
                <c:ptCount val="2"/>
                <c:pt idx="0">
                  <c:v>1373.93</c:v>
                </c:pt>
                <c:pt idx="1">
                  <c:v>1392.11</c:v>
                </c:pt>
              </c:numCache>
            </c:numRef>
          </c:val>
        </c:ser>
        <c:dLbls>
          <c:showLegendKey val="0"/>
          <c:showVal val="1"/>
          <c:showCatName val="0"/>
          <c:showSerName val="0"/>
          <c:showPercent val="0"/>
          <c:showBubbleSize val="0"/>
        </c:dLbls>
        <c:gapWidth val="219"/>
        <c:overlap val="-27"/>
        <c:axId val="164447744"/>
        <c:axId val="165958016"/>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Sheet1!$A$2:$A$3</c15:sqref>
                        </c15:formulaRef>
                      </c:ext>
                    </c:extLst>
                    <c:strCache>
                      <c:ptCount val="2"/>
                      <c:pt idx="0">
                        <c:v>2022年</c:v>
                      </c:pt>
                      <c:pt idx="1">
                        <c:v>2023年</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Sheet1!$A$2:$A$3</c15:sqref>
                        </c15:formulaRef>
                      </c:ext>
                    </c:extLst>
                    <c:strCache>
                      <c:ptCount val="2"/>
                      <c:pt idx="0">
                        <c:v>2022年</c:v>
                      </c:pt>
                      <c:pt idx="1">
                        <c:v>2023年</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1644477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958016"/>
        <c:crosses val="autoZero"/>
        <c:auto val="1"/>
        <c:lblAlgn val="ctr"/>
        <c:lblOffset val="100"/>
        <c:noMultiLvlLbl val="0"/>
      </c:catAx>
      <c:valAx>
        <c:axId val="165958016"/>
        <c:scaling>
          <c:orientation val="minMax"/>
          <c:max val="1500"/>
          <c:min val="40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4477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tx>
            <c:strRef>
              <c:f>Sheet1!$B$1</c:f>
              <c:strCache>
                <c:ptCount val="1"/>
                <c:pt idx="0">
                  <c:v>一般公共预算财政拨款支出</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0.0471568788473693"/>
                  <c:y val="0.12065812225878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294633692623555"/>
                  <c:y val="0.11463977822796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190866547822853"/>
                  <c:y val="0.073689130290718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0.00%</c:formatCode>
                <c:ptCount val="4"/>
                <c:pt idx="0">
                  <c:v>0.7755</c:v>
                </c:pt>
                <c:pt idx="1">
                  <c:v>0.1374</c:v>
                </c:pt>
                <c:pt idx="2">
                  <c:v>0.0302</c:v>
                </c:pt>
                <c:pt idx="3">
                  <c:v>0.0569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tx>
            <c:strRef>
              <c:f>Sheet1!$B$1</c:f>
              <c:strCache>
                <c:ptCount val="1"/>
                <c:pt idx="0">
                  <c:v>“三公”经费财政拨款支出</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c:v>
                </c:pt>
                <c:pt idx="1">
                  <c:v>公务接待费</c:v>
                </c:pt>
                <c:pt idx="2">
                  <c:v>公务用车购置及运行维护费支出</c:v>
                </c:pt>
              </c:strCache>
            </c:strRef>
          </c:cat>
          <c:val>
            <c:numRef>
              <c:f>Sheet1!$B$2:$B$4</c:f>
              <c:numCache>
                <c:formatCode>0.00%</c:formatCode>
                <c:ptCount val="3"/>
                <c:pt idx="0">
                  <c:v>0</c:v>
                </c:pt>
                <c:pt idx="1">
                  <c:v>0.2799</c:v>
                </c:pt>
                <c:pt idx="2">
                  <c:v>0.7201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4.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5.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6.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7.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85</Pages>
  <Words>34998</Words>
  <Characters>38577</Characters>
  <Lines>61</Lines>
  <Paragraphs>17</Paragraphs>
  <TotalTime>0</TotalTime>
  <ScaleCrop>false</ScaleCrop>
  <LinksUpToDate>false</LinksUpToDate>
  <CharactersWithSpaces>38747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WPS_1421587654</cp:lastModifiedBy>
  <cp:lastPrinted>2023-07-31T02:35:00Z</cp:lastPrinted>
  <dcterms:modified xsi:type="dcterms:W3CDTF">2024-12-20T07:49:09Z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260AA5858F6A451FB045605E1BE86AB5_13</vt:lpwstr>
  </property>
</Properties>
</file>