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B927F">
      <w:pPr>
        <w:pStyle w:val="2"/>
        <w:jc w:val="center"/>
        <w:rPr>
          <w:rFonts w:hint="eastAsia" w:ascii="方正小标宋简体" w:hAnsi="宋体" w:eastAsia="方正小标宋简体" w:cs="Times New Roman"/>
          <w:color w:val="auto"/>
          <w:kern w:val="2"/>
          <w:sz w:val="44"/>
          <w:szCs w:val="44"/>
          <w:highlight w:val="none"/>
          <w:lang w:val="en-US" w:eastAsia="zh-CN" w:bidi="ar-SA"/>
        </w:rPr>
      </w:pPr>
    </w:p>
    <w:p w14:paraId="58990149">
      <w:pPr>
        <w:pStyle w:val="2"/>
        <w:jc w:val="center"/>
        <w:rPr>
          <w:rFonts w:hint="eastAsia" w:ascii="方正小标宋简体" w:hAnsi="宋体" w:eastAsia="方正小标宋简体" w:cs="Times New Roman"/>
          <w:color w:val="auto"/>
          <w:kern w:val="2"/>
          <w:sz w:val="44"/>
          <w:szCs w:val="44"/>
          <w:highlight w:val="none"/>
          <w:lang w:val="en-US" w:eastAsia="zh-CN" w:bidi="ar-SA"/>
        </w:rPr>
      </w:pPr>
    </w:p>
    <w:p w14:paraId="367F2D96">
      <w:pPr>
        <w:pStyle w:val="2"/>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2023年度</w:t>
      </w:r>
      <w:bookmarkStart w:id="0" w:name="_Toc15396598"/>
      <w:bookmarkStart w:id="1" w:name="_Toc15377426"/>
      <w:bookmarkStart w:id="2" w:name="_Toc15377194"/>
      <w:bookmarkStart w:id="3" w:name="_Toc15396476"/>
      <w:bookmarkStart w:id="4" w:name="_Toc15378442"/>
      <w:r>
        <w:rPr>
          <w:rFonts w:hint="eastAsia" w:ascii="方正小标宋简体" w:hAnsi="宋体" w:eastAsia="方正小标宋简体" w:cs="Times New Roman"/>
          <w:color w:val="auto"/>
          <w:kern w:val="2"/>
          <w:sz w:val="44"/>
          <w:szCs w:val="44"/>
          <w:highlight w:val="none"/>
          <w:lang w:val="en-US" w:eastAsia="zh-CN" w:bidi="ar-SA"/>
        </w:rPr>
        <w:t>四川省</w:t>
      </w:r>
      <w:bookmarkStart w:id="5" w:name="_Toc15306268"/>
      <w:r>
        <w:rPr>
          <w:rFonts w:hint="eastAsia" w:ascii="方正小标宋简体" w:hAnsi="宋体" w:eastAsia="方正小标宋简体" w:cs="Times New Roman"/>
          <w:color w:val="auto"/>
          <w:kern w:val="2"/>
          <w:sz w:val="44"/>
          <w:szCs w:val="44"/>
          <w:highlight w:val="none"/>
          <w:lang w:val="en-US" w:eastAsia="zh-CN" w:bidi="ar-SA"/>
        </w:rPr>
        <w:t>遂宁市船山区文化广播电视和旅游局部门决算</w:t>
      </w:r>
      <w:bookmarkEnd w:id="0"/>
      <w:bookmarkEnd w:id="1"/>
      <w:bookmarkEnd w:id="2"/>
      <w:bookmarkEnd w:id="3"/>
      <w:bookmarkEnd w:id="4"/>
      <w:bookmarkEnd w:id="5"/>
    </w:p>
    <w:p w14:paraId="4288ED70">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4199F4B4">
      <w:pPr>
        <w:widowControl/>
        <w:jc w:val="center"/>
        <w:rPr>
          <w:rFonts w:ascii="黑体" w:hAnsi="黑体" w:eastAsia="黑体" w:cs="Times New Roman"/>
          <w:color w:val="auto"/>
          <w:sz w:val="28"/>
          <w:szCs w:val="28"/>
          <w:highlight w:val="none"/>
        </w:rPr>
      </w:pPr>
    </w:p>
    <w:p w14:paraId="47C1EC4E">
      <w:pPr>
        <w:pStyle w:val="10"/>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11</w:t>
      </w:r>
      <w:r>
        <w:rPr>
          <w:rFonts w:hint="eastAsia"/>
          <w:color w:val="auto"/>
          <w:highlight w:val="none"/>
        </w:rPr>
        <w:t>日</w:t>
      </w:r>
    </w:p>
    <w:p w14:paraId="5DC4D23F">
      <w:pPr>
        <w:rPr>
          <w:color w:val="auto"/>
          <w:highlight w:val="none"/>
        </w:rPr>
      </w:pPr>
    </w:p>
    <w:p w14:paraId="194113FE">
      <w:pPr>
        <w:spacing w:before="0" w:beforeLines="0" w:after="0" w:afterLines="0" w:line="240" w:lineRule="auto"/>
        <w:ind w:left="0" w:leftChars="0" w:right="0" w:rightChars="0" w:firstLine="0" w:firstLineChars="0"/>
        <w:jc w:val="center"/>
      </w:pPr>
      <w:bookmarkStart w:id="6" w:name="_Toc28532_WPSOffice_Type2"/>
      <w:r>
        <w:rPr>
          <w:rFonts w:ascii="宋体" w:hAnsi="宋体" w:eastAsia="宋体"/>
          <w:sz w:val="21"/>
        </w:rPr>
        <w:t>目录</w:t>
      </w:r>
    </w:p>
    <w:p w14:paraId="0F990311">
      <w:pPr>
        <w:pStyle w:val="17"/>
        <w:tabs>
          <w:tab w:val="right" w:leader="dot" w:pos="8306"/>
        </w:tabs>
      </w:pPr>
      <w:r>
        <w:rPr>
          <w:b/>
          <w:bCs/>
        </w:rPr>
        <w:fldChar w:fldCharType="begin"/>
      </w:r>
      <w:r>
        <w:instrText xml:space="preserve"> HYPERLINK \l _Toc4680_WPSOffice_Level1 </w:instrText>
      </w:r>
      <w:r>
        <w:rPr>
          <w:b/>
          <w:bCs/>
        </w:rPr>
        <w:fldChar w:fldCharType="separate"/>
      </w:r>
      <w:r>
        <w:rPr>
          <w:rFonts w:hint="eastAsia" w:ascii="黑体" w:hAnsi="黑体" w:eastAsia="黑体" w:cs="Times New Roman"/>
          <w:b/>
          <w:bCs/>
        </w:rPr>
        <w:t>第一部分 部门概况</w:t>
      </w:r>
      <w:r>
        <w:rPr>
          <w:b/>
          <w:bCs/>
        </w:rPr>
        <w:tab/>
      </w:r>
      <w:bookmarkStart w:id="7" w:name="_Toc4680_WPSOffice_Level1Page"/>
      <w:r>
        <w:rPr>
          <w:b/>
          <w:bCs/>
        </w:rPr>
        <w:t>1</w:t>
      </w:r>
      <w:bookmarkEnd w:id="7"/>
      <w:r>
        <w:rPr>
          <w:b/>
          <w:bCs/>
        </w:rPr>
        <w:fldChar w:fldCharType="end"/>
      </w:r>
    </w:p>
    <w:p w14:paraId="1A48417E">
      <w:pPr>
        <w:pStyle w:val="18"/>
        <w:tabs>
          <w:tab w:val="right" w:leader="dot" w:pos="8306"/>
        </w:tabs>
      </w:pPr>
      <w:r>
        <w:fldChar w:fldCharType="begin"/>
      </w:r>
      <w:r>
        <w:instrText xml:space="preserve"> HYPERLINK \l _Toc30117_WPSOffice_Level2 </w:instrText>
      </w:r>
      <w:r>
        <w:fldChar w:fldCharType="separate"/>
      </w:r>
      <w:r>
        <w:rPr>
          <w:rFonts w:hint="eastAsia" w:ascii="黑体" w:hAnsi="黑体" w:eastAsia="黑体" w:cs="Times New Roman"/>
        </w:rPr>
        <w:t>一、 部门职责</w:t>
      </w:r>
      <w:r>
        <w:tab/>
      </w:r>
      <w:bookmarkStart w:id="8" w:name="_Toc30117_WPSOffice_Level2Page"/>
      <w:r>
        <w:t>1</w:t>
      </w:r>
      <w:bookmarkEnd w:id="8"/>
      <w:r>
        <w:fldChar w:fldCharType="end"/>
      </w:r>
    </w:p>
    <w:p w14:paraId="03E6C694">
      <w:pPr>
        <w:pStyle w:val="18"/>
        <w:tabs>
          <w:tab w:val="right" w:leader="dot" w:pos="8306"/>
        </w:tabs>
      </w:pPr>
      <w:r>
        <w:fldChar w:fldCharType="begin"/>
      </w:r>
      <w:r>
        <w:instrText xml:space="preserve"> HYPERLINK \l _Toc4964_WPSOffice_Level2 </w:instrText>
      </w:r>
      <w:r>
        <w:fldChar w:fldCharType="separate"/>
      </w:r>
      <w:r>
        <w:rPr>
          <w:rFonts w:hint="eastAsia" w:ascii="黑体" w:hAnsi="Cambria" w:eastAsia="黑体" w:cs="Times New Roman"/>
        </w:rPr>
        <w:t>二、</w:t>
      </w:r>
      <w:r>
        <w:rPr>
          <w:rFonts w:hint="eastAsia" w:ascii="黑体" w:hAnsi="Cambria" w:eastAsia="黑体" w:cs="Times New Roman"/>
          <w:lang w:val="en-US" w:eastAsia="zh-CN"/>
        </w:rPr>
        <w:t xml:space="preserve"> </w:t>
      </w:r>
      <w:r>
        <w:rPr>
          <w:rFonts w:hint="eastAsia" w:ascii="黑体" w:hAnsi="黑体" w:eastAsia="黑体" w:cs="Times New Roman"/>
        </w:rPr>
        <w:t>机构设置</w:t>
      </w:r>
      <w:r>
        <w:tab/>
      </w:r>
      <w:bookmarkStart w:id="9" w:name="_Toc4964_WPSOffice_Level2Page"/>
      <w:r>
        <w:t>3</w:t>
      </w:r>
      <w:bookmarkEnd w:id="9"/>
      <w:r>
        <w:fldChar w:fldCharType="end"/>
      </w:r>
    </w:p>
    <w:p w14:paraId="0196B53C">
      <w:pPr>
        <w:pStyle w:val="17"/>
        <w:tabs>
          <w:tab w:val="right" w:leader="dot" w:pos="8306"/>
        </w:tabs>
      </w:pPr>
      <w:r>
        <w:rPr>
          <w:b/>
          <w:bCs/>
        </w:rPr>
        <w:fldChar w:fldCharType="begin"/>
      </w:r>
      <w:r>
        <w:instrText xml:space="preserve"> HYPERLINK \l _Toc25045_WPSOffice_Level1 </w:instrText>
      </w:r>
      <w:r>
        <w:rPr>
          <w:b/>
          <w:bCs/>
        </w:rPr>
        <w:fldChar w:fldCharType="separate"/>
      </w:r>
      <w:r>
        <w:rPr>
          <w:rFonts w:hint="eastAsia" w:ascii="黑体" w:hAnsi="黑体" w:eastAsia="黑体" w:cs="Times New Roman"/>
          <w:b/>
          <w:bCs/>
        </w:rPr>
        <w:t>第二部分 2023年度部门决算情况说明</w:t>
      </w:r>
      <w:r>
        <w:rPr>
          <w:b/>
          <w:bCs/>
        </w:rPr>
        <w:tab/>
      </w:r>
      <w:bookmarkStart w:id="10" w:name="_Toc25045_WPSOffice_Level1Page"/>
      <w:r>
        <w:rPr>
          <w:b/>
          <w:bCs/>
        </w:rPr>
        <w:t>4</w:t>
      </w:r>
      <w:bookmarkEnd w:id="10"/>
      <w:r>
        <w:rPr>
          <w:b/>
          <w:bCs/>
        </w:rPr>
        <w:fldChar w:fldCharType="end"/>
      </w:r>
    </w:p>
    <w:p w14:paraId="4B5D59C5">
      <w:pPr>
        <w:pStyle w:val="18"/>
        <w:tabs>
          <w:tab w:val="right" w:leader="dot" w:pos="8306"/>
        </w:tabs>
      </w:pPr>
      <w:r>
        <w:fldChar w:fldCharType="begin"/>
      </w:r>
      <w:r>
        <w:instrText xml:space="preserve"> HYPERLINK \l _Toc16872_WPSOffice_Level2 </w:instrText>
      </w:r>
      <w:r>
        <w:fldChar w:fldCharType="separate"/>
      </w:r>
      <w:r>
        <w:rPr>
          <w:rFonts w:hint="default" w:ascii="黑体" w:hAnsi="黑体" w:eastAsia="黑体" w:cs="Times New Roman"/>
        </w:rPr>
        <w:t xml:space="preserve">一、 </w:t>
      </w:r>
      <w:r>
        <w:rPr>
          <w:rFonts w:hint="eastAsia" w:ascii="黑体" w:hAnsi="黑体" w:eastAsia="黑体" w:cs="Times New Roman"/>
        </w:rPr>
        <w:t>收入支出决算总体情况说明</w:t>
      </w:r>
      <w:r>
        <w:tab/>
      </w:r>
      <w:bookmarkStart w:id="11" w:name="_Toc16872_WPSOffice_Level2Page"/>
      <w:r>
        <w:t>4</w:t>
      </w:r>
      <w:bookmarkEnd w:id="11"/>
      <w:r>
        <w:fldChar w:fldCharType="end"/>
      </w:r>
    </w:p>
    <w:p w14:paraId="35F3E98F">
      <w:pPr>
        <w:pStyle w:val="18"/>
        <w:tabs>
          <w:tab w:val="right" w:leader="dot" w:pos="8306"/>
        </w:tabs>
      </w:pPr>
      <w:r>
        <w:fldChar w:fldCharType="begin"/>
      </w:r>
      <w:r>
        <w:instrText xml:space="preserve"> HYPERLINK \l _Toc14378_WPSOffice_Level2 </w:instrText>
      </w:r>
      <w:r>
        <w:fldChar w:fldCharType="separate"/>
      </w:r>
      <w:r>
        <w:rPr>
          <w:rFonts w:hint="default" w:ascii="黑体" w:hAnsi="黑体" w:eastAsia="黑体" w:cs="Times New Roman"/>
        </w:rPr>
        <w:t xml:space="preserve">二、 </w:t>
      </w:r>
      <w:r>
        <w:rPr>
          <w:rFonts w:hint="eastAsia" w:ascii="黑体" w:hAnsi="黑体" w:eastAsia="黑体" w:cs="Times New Roman"/>
        </w:rPr>
        <w:t>收入决算情况说明</w:t>
      </w:r>
      <w:r>
        <w:tab/>
      </w:r>
      <w:bookmarkStart w:id="12" w:name="_Toc14378_WPSOffice_Level2Page"/>
      <w:r>
        <w:t>4</w:t>
      </w:r>
      <w:bookmarkEnd w:id="12"/>
      <w:r>
        <w:fldChar w:fldCharType="end"/>
      </w:r>
    </w:p>
    <w:p w14:paraId="43E177DB">
      <w:pPr>
        <w:pStyle w:val="18"/>
        <w:tabs>
          <w:tab w:val="right" w:leader="dot" w:pos="8306"/>
        </w:tabs>
      </w:pPr>
      <w:r>
        <w:fldChar w:fldCharType="begin"/>
      </w:r>
      <w:r>
        <w:instrText xml:space="preserve"> HYPERLINK \l _Toc26590_WPSOffice_Level2 </w:instrText>
      </w:r>
      <w:r>
        <w:fldChar w:fldCharType="separate"/>
      </w:r>
      <w:r>
        <w:rPr>
          <w:rFonts w:hint="default" w:ascii="黑体" w:hAnsi="黑体" w:eastAsia="黑体" w:cs="Times New Roman"/>
        </w:rPr>
        <w:t xml:space="preserve">三、 </w:t>
      </w:r>
      <w:r>
        <w:rPr>
          <w:rFonts w:hint="eastAsia" w:ascii="黑体" w:hAnsi="黑体" w:eastAsia="黑体" w:cs="Times New Roman"/>
        </w:rPr>
        <w:t>支出决算情况说明</w:t>
      </w:r>
      <w:r>
        <w:tab/>
      </w:r>
      <w:bookmarkStart w:id="13" w:name="_Toc26590_WPSOffice_Level2Page"/>
      <w:r>
        <w:t>5</w:t>
      </w:r>
      <w:bookmarkEnd w:id="13"/>
      <w:r>
        <w:fldChar w:fldCharType="end"/>
      </w:r>
    </w:p>
    <w:p w14:paraId="3D63F42D">
      <w:pPr>
        <w:pStyle w:val="18"/>
        <w:tabs>
          <w:tab w:val="right" w:leader="dot" w:pos="8306"/>
        </w:tabs>
      </w:pPr>
      <w:r>
        <w:fldChar w:fldCharType="begin"/>
      </w:r>
      <w:r>
        <w:instrText xml:space="preserve"> HYPERLINK \l _Toc24452_WPSOffice_Level2 </w:instrText>
      </w:r>
      <w:r>
        <w:fldChar w:fldCharType="separate"/>
      </w:r>
      <w:r>
        <w:rPr>
          <w:rFonts w:hint="eastAsia" w:ascii="黑体" w:hAnsi="黑体" w:eastAsia="黑体" w:cs="Times New Roman"/>
        </w:rPr>
        <w:t>四、财政拨款收入支出决算总体情况说明</w:t>
      </w:r>
      <w:r>
        <w:tab/>
      </w:r>
      <w:bookmarkStart w:id="14" w:name="_Toc24452_WPSOffice_Level2Page"/>
      <w:r>
        <w:t>5</w:t>
      </w:r>
      <w:bookmarkEnd w:id="14"/>
      <w:r>
        <w:fldChar w:fldCharType="end"/>
      </w:r>
    </w:p>
    <w:p w14:paraId="4ABD987E">
      <w:pPr>
        <w:pStyle w:val="18"/>
        <w:tabs>
          <w:tab w:val="right" w:leader="dot" w:pos="8306"/>
        </w:tabs>
      </w:pPr>
      <w:r>
        <w:fldChar w:fldCharType="begin"/>
      </w:r>
      <w:r>
        <w:instrText xml:space="preserve"> HYPERLINK \l _Toc27067_WPSOffice_Level2 </w:instrText>
      </w:r>
      <w:r>
        <w:fldChar w:fldCharType="separate"/>
      </w:r>
      <w:r>
        <w:rPr>
          <w:rFonts w:hint="eastAsia" w:ascii="黑体" w:hAnsi="黑体" w:eastAsia="黑体" w:cs="Times New Roman"/>
        </w:rPr>
        <w:t>五、一般公共预算财政拨款支出决算情况说明</w:t>
      </w:r>
      <w:r>
        <w:tab/>
      </w:r>
      <w:bookmarkStart w:id="15" w:name="_Toc27067_WPSOffice_Level2Page"/>
      <w:r>
        <w:t>6</w:t>
      </w:r>
      <w:bookmarkEnd w:id="15"/>
      <w:r>
        <w:fldChar w:fldCharType="end"/>
      </w:r>
    </w:p>
    <w:p w14:paraId="0D7CC58B">
      <w:pPr>
        <w:pStyle w:val="18"/>
        <w:tabs>
          <w:tab w:val="right" w:leader="dot" w:pos="8306"/>
        </w:tabs>
      </w:pPr>
      <w:r>
        <w:fldChar w:fldCharType="begin"/>
      </w:r>
      <w:r>
        <w:instrText xml:space="preserve"> HYPERLINK \l _Toc10063_WPSOffice_Level2 </w:instrText>
      </w:r>
      <w:r>
        <w:fldChar w:fldCharType="separate"/>
      </w:r>
      <w:r>
        <w:rPr>
          <w:rFonts w:hint="eastAsia" w:ascii="黑体" w:hAnsi="Calibri" w:eastAsia="黑体" w:cs="Times New Roman"/>
        </w:rPr>
        <w:t>六、</w:t>
      </w:r>
      <w:r>
        <w:rPr>
          <w:rFonts w:hint="eastAsia" w:ascii="黑体" w:hAnsi="黑体" w:eastAsia="黑体" w:cs="Times New Roman"/>
        </w:rPr>
        <w:t>一般公共预算财政拨款基本支出决算情况说明</w:t>
      </w:r>
      <w:r>
        <w:tab/>
      </w:r>
      <w:bookmarkStart w:id="16" w:name="_Toc10063_WPSOffice_Level2Page"/>
      <w:r>
        <w:t>9</w:t>
      </w:r>
      <w:bookmarkEnd w:id="16"/>
      <w:r>
        <w:fldChar w:fldCharType="end"/>
      </w:r>
    </w:p>
    <w:p w14:paraId="73D3F797">
      <w:pPr>
        <w:pStyle w:val="18"/>
        <w:tabs>
          <w:tab w:val="right" w:leader="dot" w:pos="8306"/>
        </w:tabs>
      </w:pPr>
      <w:r>
        <w:fldChar w:fldCharType="begin"/>
      </w:r>
      <w:r>
        <w:instrText xml:space="preserve"> HYPERLINK \l _Toc2779_WPSOffice_Level2 </w:instrText>
      </w:r>
      <w:r>
        <w:fldChar w:fldCharType="separate"/>
      </w:r>
      <w:r>
        <w:rPr>
          <w:rFonts w:hint="eastAsia" w:ascii="黑体" w:hAnsi="Calibri" w:eastAsia="黑体" w:cs="Times New Roman"/>
        </w:rPr>
        <w:t>七、</w:t>
      </w:r>
      <w:r>
        <w:rPr>
          <w:rFonts w:hint="eastAsia" w:ascii="黑体" w:hAnsi="黑体" w:eastAsia="黑体" w:cs="Times New Roman"/>
        </w:rPr>
        <w:t>财政拨款“三公”经费支出决算情况说明</w:t>
      </w:r>
      <w:r>
        <w:tab/>
      </w:r>
      <w:bookmarkStart w:id="17" w:name="_Toc2779_WPSOffice_Level2Page"/>
      <w:r>
        <w:t>9</w:t>
      </w:r>
      <w:bookmarkEnd w:id="17"/>
      <w:r>
        <w:fldChar w:fldCharType="end"/>
      </w:r>
    </w:p>
    <w:p w14:paraId="31A47646">
      <w:pPr>
        <w:pStyle w:val="18"/>
        <w:tabs>
          <w:tab w:val="right" w:leader="dot" w:pos="8306"/>
        </w:tabs>
      </w:pPr>
      <w:r>
        <w:fldChar w:fldCharType="begin"/>
      </w:r>
      <w:r>
        <w:instrText xml:space="preserve"> HYPERLINK \l _Toc14475_WPSOffice_Level2 </w:instrText>
      </w:r>
      <w:r>
        <w:fldChar w:fldCharType="separate"/>
      </w:r>
      <w:r>
        <w:rPr>
          <w:rFonts w:hint="eastAsia" w:ascii="黑体" w:hAnsi="Calibri" w:eastAsia="黑体" w:cs="Times New Roman"/>
        </w:rPr>
        <w:t>八、</w:t>
      </w:r>
      <w:r>
        <w:rPr>
          <w:rFonts w:hint="eastAsia" w:ascii="黑体" w:hAnsi="黑体" w:eastAsia="黑体" w:cs="Times New Roman"/>
        </w:rPr>
        <w:t>政府性基金预算支出决算情况说明</w:t>
      </w:r>
      <w:r>
        <w:tab/>
      </w:r>
      <w:bookmarkStart w:id="18" w:name="_Toc14475_WPSOffice_Level2Page"/>
      <w:r>
        <w:t>1</w:t>
      </w:r>
      <w:bookmarkEnd w:id="18"/>
      <w:r>
        <w:rPr>
          <w:rFonts w:hint="eastAsia"/>
          <w:lang w:val="en-US" w:eastAsia="zh-CN"/>
        </w:rPr>
        <w:t>2</w:t>
      </w:r>
      <w:r>
        <w:fldChar w:fldCharType="end"/>
      </w:r>
    </w:p>
    <w:p w14:paraId="6E84D521">
      <w:pPr>
        <w:pStyle w:val="18"/>
        <w:tabs>
          <w:tab w:val="right" w:leader="dot" w:pos="8306"/>
        </w:tabs>
      </w:pPr>
      <w:r>
        <w:fldChar w:fldCharType="begin"/>
      </w:r>
      <w:r>
        <w:instrText xml:space="preserve"> HYPERLINK \l _Toc24306_WPSOffice_Level2 </w:instrText>
      </w:r>
      <w:r>
        <w:fldChar w:fldCharType="separate"/>
      </w:r>
      <w:r>
        <w:rPr>
          <w:rFonts w:hint="eastAsia" w:ascii="黑体" w:hAnsi="黑体" w:eastAsia="黑体" w:cs="Times New Roman"/>
        </w:rPr>
        <w:t>九、 国有资本经营预算支出决算情况说明</w:t>
      </w:r>
      <w:r>
        <w:tab/>
      </w:r>
      <w:bookmarkStart w:id="19" w:name="_Toc24306_WPSOffice_Level2Page"/>
      <w:r>
        <w:t>1</w:t>
      </w:r>
      <w:bookmarkEnd w:id="19"/>
      <w:r>
        <w:rPr>
          <w:rFonts w:hint="eastAsia"/>
          <w:lang w:val="en-US" w:eastAsia="zh-CN"/>
        </w:rPr>
        <w:t>2</w:t>
      </w:r>
      <w:r>
        <w:fldChar w:fldCharType="end"/>
      </w:r>
    </w:p>
    <w:p w14:paraId="2C2ADC0C">
      <w:pPr>
        <w:pStyle w:val="18"/>
        <w:tabs>
          <w:tab w:val="right" w:leader="dot" w:pos="8306"/>
        </w:tabs>
      </w:pPr>
      <w:r>
        <w:fldChar w:fldCharType="begin"/>
      </w:r>
      <w:r>
        <w:instrText xml:space="preserve"> HYPERLINK \l _Toc29707_WPSOffice_Level2 </w:instrText>
      </w:r>
      <w:r>
        <w:fldChar w:fldCharType="separate"/>
      </w:r>
      <w:r>
        <w:rPr>
          <w:rFonts w:hint="eastAsia" w:ascii="黑体" w:hAnsi="黑体" w:eastAsia="黑体" w:cs="Times New Roman"/>
        </w:rPr>
        <w:t>十、 其他重要事项的情况说明</w:t>
      </w:r>
      <w:r>
        <w:tab/>
      </w:r>
      <w:bookmarkStart w:id="20" w:name="_Toc29707_WPSOffice_Level2Page"/>
      <w:r>
        <w:t>1</w:t>
      </w:r>
      <w:bookmarkEnd w:id="20"/>
      <w:r>
        <w:rPr>
          <w:rFonts w:hint="eastAsia"/>
          <w:lang w:val="en-US" w:eastAsia="zh-CN"/>
        </w:rPr>
        <w:t>2</w:t>
      </w:r>
      <w:r>
        <w:fldChar w:fldCharType="end"/>
      </w:r>
    </w:p>
    <w:p w14:paraId="613C5FDD">
      <w:pPr>
        <w:pStyle w:val="17"/>
        <w:tabs>
          <w:tab w:val="right" w:leader="dot" w:pos="8306"/>
        </w:tabs>
      </w:pPr>
      <w:r>
        <w:rPr>
          <w:b/>
          <w:bCs/>
        </w:rPr>
        <w:fldChar w:fldCharType="begin"/>
      </w:r>
      <w:r>
        <w:instrText xml:space="preserve"> HYPERLINK \l _Toc6084_WPSOffice_Level1 </w:instrText>
      </w:r>
      <w:r>
        <w:rPr>
          <w:b/>
          <w:bCs/>
        </w:rPr>
        <w:fldChar w:fldCharType="separate"/>
      </w:r>
      <w:r>
        <w:rPr>
          <w:rFonts w:hint="eastAsia" w:ascii="黑体" w:hAnsi="黑体" w:eastAsia="黑体" w:cs="Times New Roman"/>
          <w:b/>
          <w:bCs/>
        </w:rPr>
        <w:t>第三部分 名词解释</w:t>
      </w:r>
      <w:r>
        <w:rPr>
          <w:b/>
          <w:bCs/>
        </w:rPr>
        <w:tab/>
      </w:r>
      <w:bookmarkStart w:id="21" w:name="_Toc6084_WPSOffice_Level1Page"/>
      <w:r>
        <w:rPr>
          <w:b/>
          <w:bCs/>
        </w:rPr>
        <w:t>1</w:t>
      </w:r>
      <w:bookmarkEnd w:id="21"/>
      <w:r>
        <w:rPr>
          <w:rFonts w:hint="eastAsia"/>
          <w:b/>
          <w:bCs/>
          <w:lang w:val="en-US" w:eastAsia="zh-CN"/>
        </w:rPr>
        <w:t>5</w:t>
      </w:r>
      <w:r>
        <w:rPr>
          <w:b/>
          <w:bCs/>
        </w:rPr>
        <w:fldChar w:fldCharType="end"/>
      </w:r>
    </w:p>
    <w:p w14:paraId="76E834CB">
      <w:pPr>
        <w:pStyle w:val="17"/>
        <w:tabs>
          <w:tab w:val="right" w:leader="dot" w:pos="8306"/>
        </w:tabs>
        <w:rPr>
          <w:rFonts w:hint="eastAsia" w:eastAsia="宋体"/>
          <w:lang w:val="en-US" w:eastAsia="zh-CN"/>
        </w:rPr>
      </w:pPr>
      <w:r>
        <w:rPr>
          <w:b/>
          <w:bCs/>
        </w:rPr>
        <w:fldChar w:fldCharType="begin"/>
      </w:r>
      <w:r>
        <w:instrText xml:space="preserve"> HYPERLINK \l _Toc20410_WPSOffice_Level1 </w:instrText>
      </w:r>
      <w:r>
        <w:rPr>
          <w:b/>
          <w:bCs/>
        </w:rPr>
        <w:fldChar w:fldCharType="separate"/>
      </w:r>
      <w:r>
        <w:rPr>
          <w:rFonts w:hint="eastAsia" w:ascii="黑体" w:hAnsi="黑体" w:eastAsia="黑体" w:cs="Times New Roman"/>
          <w:b/>
          <w:bCs/>
        </w:rPr>
        <w:t>第四部分 附件</w:t>
      </w:r>
      <w:r>
        <w:rPr>
          <w:b/>
          <w:bCs/>
        </w:rPr>
        <w:tab/>
      </w:r>
      <w:r>
        <w:rPr>
          <w:rFonts w:hint="eastAsia"/>
          <w:b/>
          <w:bCs/>
          <w:lang w:val="en-US" w:eastAsia="zh-CN"/>
        </w:rPr>
        <w:t>1</w:t>
      </w:r>
      <w:r>
        <w:rPr>
          <w:b/>
          <w:bCs/>
        </w:rPr>
        <w:fldChar w:fldCharType="end"/>
      </w:r>
      <w:r>
        <w:rPr>
          <w:rFonts w:hint="eastAsia"/>
          <w:b/>
          <w:bCs/>
          <w:lang w:val="en-US" w:eastAsia="zh-CN"/>
        </w:rPr>
        <w:t>9</w:t>
      </w:r>
    </w:p>
    <w:p w14:paraId="5F952B1D">
      <w:pPr>
        <w:pStyle w:val="18"/>
        <w:tabs>
          <w:tab w:val="right" w:leader="dot" w:pos="8306"/>
        </w:tabs>
        <w:rPr>
          <w:rFonts w:hint="eastAsia" w:eastAsia="宋体"/>
          <w:lang w:val="en-US" w:eastAsia="zh-CN"/>
        </w:rPr>
      </w:pPr>
      <w:r>
        <w:fldChar w:fldCharType="begin"/>
      </w:r>
      <w:r>
        <w:instrText xml:space="preserve"> HYPERLINK \l _Toc6632_WPSOffice_Level2 </w:instrText>
      </w:r>
      <w:r>
        <w:fldChar w:fldCharType="separate"/>
      </w:r>
      <w:r>
        <w:rPr>
          <w:rFonts w:hint="default" w:ascii="Times New Roman" w:hAnsi="Times New Roman" w:eastAsia="方正小标宋简体" w:cs="Times New Roman"/>
        </w:rPr>
        <w:t>部门</w:t>
      </w:r>
      <w:r>
        <w:rPr>
          <w:rFonts w:hint="eastAsia" w:eastAsia="方正小标宋简体" w:cs="Times New Roman"/>
          <w:lang w:val="en-US" w:eastAsia="zh-CN"/>
        </w:rPr>
        <w:t>整体支出</w:t>
      </w:r>
      <w:r>
        <w:rPr>
          <w:rFonts w:hint="default" w:ascii="Times New Roman" w:hAnsi="Times New Roman" w:eastAsia="方正小标宋简体" w:cs="Times New Roman"/>
        </w:rPr>
        <w:t>绩效</w:t>
      </w:r>
      <w:r>
        <w:rPr>
          <w:rFonts w:hint="eastAsia" w:ascii="Times New Roman" w:hAnsi="Times New Roman" w:eastAsia="方正小标宋简体" w:cs="Times New Roman"/>
        </w:rPr>
        <w:t>评价</w:t>
      </w:r>
      <w:r>
        <w:rPr>
          <w:rFonts w:hint="default" w:ascii="Times New Roman" w:hAnsi="Times New Roman" w:eastAsia="方正小标宋简体" w:cs="Times New Roman"/>
        </w:rPr>
        <w:t>报告</w:t>
      </w:r>
      <w:r>
        <w:tab/>
      </w:r>
      <w:r>
        <w:rPr>
          <w:rFonts w:hint="eastAsia"/>
          <w:lang w:val="en-US" w:eastAsia="zh-CN"/>
        </w:rPr>
        <w:t>1</w:t>
      </w:r>
      <w:r>
        <w:fldChar w:fldCharType="end"/>
      </w:r>
      <w:r>
        <w:rPr>
          <w:rFonts w:hint="eastAsia"/>
          <w:lang w:val="en-US" w:eastAsia="zh-CN"/>
        </w:rPr>
        <w:t>9</w:t>
      </w:r>
    </w:p>
    <w:p w14:paraId="5622BC77">
      <w:pPr>
        <w:pStyle w:val="18"/>
        <w:tabs>
          <w:tab w:val="right" w:leader="dot" w:pos="8306"/>
        </w:tabs>
        <w:rPr>
          <w:rFonts w:hint="eastAsia" w:eastAsia="宋体"/>
          <w:lang w:val="en-US" w:eastAsia="zh-CN"/>
        </w:rPr>
      </w:pPr>
      <w:r>
        <w:fldChar w:fldCharType="begin"/>
      </w:r>
      <w:r>
        <w:instrText xml:space="preserve"> HYPERLINK \l _Toc4832_WPSOffice_Level2 </w:instrText>
      </w:r>
      <w:r>
        <w:fldChar w:fldCharType="separate"/>
      </w:r>
      <w:r>
        <w:rPr>
          <w:rFonts w:hint="eastAsia" w:ascii="Calibri" w:hAnsi="Calibri" w:eastAsia="黑体" w:cs="Times New Roman"/>
        </w:rPr>
        <w:t>一、</w:t>
      </w:r>
      <w:r>
        <w:rPr>
          <w:rFonts w:hint="default" w:ascii="Calibri" w:hAnsi="Calibri" w:eastAsia="黑体" w:cs="Times New Roman"/>
        </w:rPr>
        <w:t>部门（单位）</w:t>
      </w:r>
      <w:r>
        <w:rPr>
          <w:rFonts w:hint="eastAsia" w:ascii="Calibri" w:hAnsi="Calibri" w:eastAsia="黑体" w:cs="Times New Roman"/>
          <w:lang w:val="en-US" w:eastAsia="zh-CN"/>
        </w:rPr>
        <w:t>概况</w:t>
      </w:r>
      <w:r>
        <w:tab/>
      </w:r>
      <w:r>
        <w:rPr>
          <w:rFonts w:hint="eastAsia"/>
          <w:lang w:val="en-US" w:eastAsia="zh-CN"/>
        </w:rPr>
        <w:t>1</w:t>
      </w:r>
      <w:r>
        <w:fldChar w:fldCharType="end"/>
      </w:r>
      <w:r>
        <w:rPr>
          <w:rFonts w:hint="eastAsia"/>
          <w:lang w:val="en-US" w:eastAsia="zh-CN"/>
        </w:rPr>
        <w:t>9</w:t>
      </w:r>
    </w:p>
    <w:p w14:paraId="0CABBBF3">
      <w:pPr>
        <w:pStyle w:val="18"/>
        <w:tabs>
          <w:tab w:val="right" w:leader="dot" w:pos="8306"/>
        </w:tabs>
        <w:rPr>
          <w:rFonts w:hint="eastAsia" w:eastAsia="宋体"/>
          <w:lang w:val="en-US" w:eastAsia="zh-CN"/>
        </w:rPr>
      </w:pPr>
      <w:r>
        <w:fldChar w:fldCharType="begin"/>
      </w:r>
      <w:r>
        <w:instrText xml:space="preserve"> HYPERLINK \l _Toc22628_WPSOffice_Level2 </w:instrText>
      </w:r>
      <w:r>
        <w:fldChar w:fldCharType="separate"/>
      </w:r>
      <w:r>
        <w:rPr>
          <w:rFonts w:hint="default" w:ascii="Calibri" w:hAnsi="Calibri" w:eastAsia="黑体" w:cs="Times New Roman"/>
        </w:rPr>
        <w:t>二、部门</w:t>
      </w:r>
      <w:r>
        <w:rPr>
          <w:rFonts w:hint="eastAsia" w:ascii="Calibri" w:hAnsi="Calibri" w:eastAsia="黑体" w:cs="Times New Roman"/>
          <w:lang w:val="en-US" w:eastAsia="zh-CN"/>
        </w:rPr>
        <w:t>财政</w:t>
      </w:r>
      <w:r>
        <w:rPr>
          <w:rFonts w:hint="default" w:ascii="Calibri" w:hAnsi="Calibri" w:eastAsia="黑体" w:cs="Times New Roman"/>
        </w:rPr>
        <w:t>资金收支情况</w:t>
      </w:r>
      <w:r>
        <w:tab/>
      </w:r>
      <w:r>
        <w:rPr>
          <w:rFonts w:hint="eastAsia"/>
          <w:lang w:val="en-US" w:eastAsia="zh-CN"/>
        </w:rPr>
        <w:t>2</w:t>
      </w:r>
      <w:r>
        <w:fldChar w:fldCharType="end"/>
      </w:r>
      <w:r>
        <w:rPr>
          <w:rFonts w:hint="eastAsia"/>
          <w:lang w:val="en-US" w:eastAsia="zh-CN"/>
        </w:rPr>
        <w:t>1</w:t>
      </w:r>
    </w:p>
    <w:p w14:paraId="4C9EBD69">
      <w:pPr>
        <w:pStyle w:val="18"/>
        <w:tabs>
          <w:tab w:val="right" w:leader="dot" w:pos="8306"/>
        </w:tabs>
      </w:pPr>
      <w:r>
        <w:fldChar w:fldCharType="begin"/>
      </w:r>
      <w:r>
        <w:instrText xml:space="preserve"> HYPERLINK \l _Toc4544_WPSOffice_Level2 </w:instrText>
      </w:r>
      <w:r>
        <w:fldChar w:fldCharType="separate"/>
      </w:r>
      <w:r>
        <w:rPr>
          <w:rFonts w:hint="default" w:ascii="Calibri" w:hAnsi="Calibri" w:eastAsia="黑体" w:cs="Times New Roman"/>
        </w:rPr>
        <w:t>三、部门整体预算绩效管理情况</w:t>
      </w:r>
      <w:r>
        <w:tab/>
      </w:r>
      <w:bookmarkStart w:id="22" w:name="_Toc4544_WPSOffice_Level2Page"/>
      <w:r>
        <w:t>2</w:t>
      </w:r>
      <w:bookmarkEnd w:id="22"/>
      <w:r>
        <w:rPr>
          <w:rFonts w:hint="eastAsia"/>
          <w:lang w:val="en-US" w:eastAsia="zh-CN"/>
        </w:rPr>
        <w:t>3</w:t>
      </w:r>
      <w:r>
        <w:fldChar w:fldCharType="end"/>
      </w:r>
    </w:p>
    <w:p w14:paraId="3551E7DE">
      <w:pPr>
        <w:pStyle w:val="18"/>
        <w:tabs>
          <w:tab w:val="right" w:leader="dot" w:pos="8306"/>
        </w:tabs>
        <w:rPr>
          <w:rFonts w:hint="eastAsia" w:eastAsia="宋体"/>
          <w:lang w:val="en-US" w:eastAsia="zh-CN"/>
        </w:rPr>
      </w:pPr>
      <w:r>
        <w:fldChar w:fldCharType="begin"/>
      </w:r>
      <w:r>
        <w:instrText xml:space="preserve"> HYPERLINK \l _Toc13922_WPSOffice_Level2 </w:instrText>
      </w:r>
      <w:r>
        <w:fldChar w:fldCharType="separate"/>
      </w:r>
      <w:r>
        <w:rPr>
          <w:rFonts w:hint="default" w:ascii="Calibri" w:hAnsi="Calibri" w:eastAsia="黑体" w:cs="Times New Roman"/>
        </w:rPr>
        <w:t>四、评价结论及建议</w:t>
      </w:r>
      <w:r>
        <w:tab/>
      </w:r>
      <w:r>
        <w:rPr>
          <w:rFonts w:hint="eastAsia"/>
          <w:lang w:val="en-US" w:eastAsia="zh-CN"/>
        </w:rPr>
        <w:t>2</w:t>
      </w:r>
      <w:r>
        <w:fldChar w:fldCharType="end"/>
      </w:r>
      <w:r>
        <w:rPr>
          <w:rFonts w:hint="eastAsia"/>
          <w:lang w:val="en-US" w:eastAsia="zh-CN"/>
        </w:rPr>
        <w:t>9</w:t>
      </w:r>
    </w:p>
    <w:p w14:paraId="09D84E05">
      <w:pPr>
        <w:pStyle w:val="18"/>
        <w:tabs>
          <w:tab w:val="right" w:leader="dot" w:pos="8306"/>
        </w:tabs>
        <w:rPr>
          <w:rFonts w:hint="eastAsia" w:eastAsia="宋体"/>
          <w:lang w:val="en-US" w:eastAsia="zh-CN"/>
        </w:rPr>
      </w:pPr>
      <w:r>
        <w:fldChar w:fldCharType="begin"/>
      </w:r>
      <w:r>
        <w:instrText xml:space="preserve"> HYPERLINK \l _Toc19213_WPSOffice_Level2 </w:instrText>
      </w:r>
      <w:r>
        <w:fldChar w:fldCharType="separate"/>
      </w:r>
      <w:r>
        <w:rPr>
          <w:rFonts w:hint="eastAsia" w:ascii="方正小标宋简体" w:hAnsi="方正小标宋简体" w:eastAsia="方正小标宋简体" w:cs="方正小标宋简体"/>
        </w:rPr>
        <w:t>专项预算项目绩效评价报告</w:t>
      </w:r>
      <w:r>
        <w:tab/>
      </w:r>
      <w:r>
        <w:rPr>
          <w:rFonts w:hint="eastAsia"/>
          <w:lang w:val="en-US" w:eastAsia="zh-CN"/>
        </w:rPr>
        <w:t>9</w:t>
      </w:r>
      <w:r>
        <w:fldChar w:fldCharType="end"/>
      </w:r>
      <w:r>
        <w:rPr>
          <w:rFonts w:hint="eastAsia"/>
          <w:lang w:val="en-US" w:eastAsia="zh-CN"/>
        </w:rPr>
        <w:t>5</w:t>
      </w:r>
    </w:p>
    <w:p w14:paraId="23A5A795">
      <w:pPr>
        <w:pStyle w:val="18"/>
        <w:tabs>
          <w:tab w:val="right" w:leader="dot" w:pos="8306"/>
        </w:tabs>
        <w:rPr>
          <w:rFonts w:hint="eastAsia" w:eastAsia="宋体"/>
          <w:lang w:val="en-US" w:eastAsia="zh-CN"/>
        </w:rPr>
      </w:pPr>
      <w:r>
        <w:fldChar w:fldCharType="begin"/>
      </w:r>
      <w:r>
        <w:instrText xml:space="preserve"> HYPERLINK \l _Toc26444_WPSOffice_Level2 </w:instrText>
      </w:r>
      <w:r>
        <w:fldChar w:fldCharType="separate"/>
      </w:r>
      <w:r>
        <w:rPr>
          <w:rFonts w:hint="eastAsia" w:ascii="黑体" w:hAnsi="宋体" w:eastAsia="黑体" w:cs="Times New Roman"/>
        </w:rPr>
        <w:t>一、项目概况</w:t>
      </w:r>
      <w:r>
        <w:tab/>
      </w:r>
      <w:r>
        <w:rPr>
          <w:rFonts w:hint="eastAsia"/>
          <w:lang w:val="en-US" w:eastAsia="zh-CN"/>
        </w:rPr>
        <w:t>9</w:t>
      </w:r>
      <w:r>
        <w:fldChar w:fldCharType="end"/>
      </w:r>
      <w:r>
        <w:rPr>
          <w:rFonts w:hint="eastAsia"/>
          <w:lang w:val="en-US" w:eastAsia="zh-CN"/>
        </w:rPr>
        <w:t>5</w:t>
      </w:r>
    </w:p>
    <w:p w14:paraId="7E51821E">
      <w:pPr>
        <w:pStyle w:val="18"/>
        <w:tabs>
          <w:tab w:val="right" w:leader="dot" w:pos="8306"/>
        </w:tabs>
        <w:rPr>
          <w:rFonts w:hint="eastAsia" w:eastAsia="宋体"/>
          <w:lang w:val="en-US" w:eastAsia="zh-CN"/>
        </w:rPr>
      </w:pPr>
      <w:r>
        <w:fldChar w:fldCharType="begin"/>
      </w:r>
      <w:r>
        <w:instrText xml:space="preserve"> HYPERLINK \l _Toc7676_WPSOffice_Level2 </w:instrText>
      </w:r>
      <w:r>
        <w:fldChar w:fldCharType="separate"/>
      </w:r>
      <w:r>
        <w:rPr>
          <w:rFonts w:hint="eastAsia" w:ascii="黑体" w:hAnsi="宋体" w:eastAsia="黑体" w:cs="Times New Roman"/>
        </w:rPr>
        <w:t>二、</w:t>
      </w:r>
      <w:r>
        <w:rPr>
          <w:rFonts w:hint="eastAsia" w:ascii="黑体" w:hAnsi="宋体" w:eastAsia="黑体" w:cs="Times New Roman"/>
          <w:lang w:val="en-US" w:eastAsia="zh-CN"/>
        </w:rPr>
        <w:t>项目资金使用情况</w:t>
      </w:r>
      <w:r>
        <w:tab/>
      </w:r>
      <w:r>
        <w:rPr>
          <w:rFonts w:hint="eastAsia"/>
          <w:lang w:val="en-US" w:eastAsia="zh-CN"/>
        </w:rPr>
        <w:t>96</w:t>
      </w:r>
      <w:r>
        <w:fldChar w:fldCharType="end"/>
      </w:r>
    </w:p>
    <w:p w14:paraId="5D280919">
      <w:pPr>
        <w:pStyle w:val="18"/>
        <w:tabs>
          <w:tab w:val="right" w:leader="dot" w:pos="8306"/>
        </w:tabs>
        <w:rPr>
          <w:rFonts w:hint="default" w:eastAsia="宋体"/>
          <w:lang w:val="en-US" w:eastAsia="zh-CN"/>
        </w:rPr>
      </w:pPr>
      <w:r>
        <w:fldChar w:fldCharType="begin"/>
      </w:r>
      <w:r>
        <w:instrText xml:space="preserve"> HYPERLINK \l _Toc18709_WPSOffice_Level2 </w:instrText>
      </w:r>
      <w:r>
        <w:fldChar w:fldCharType="separate"/>
      </w:r>
      <w:r>
        <w:rPr>
          <w:rFonts w:hint="eastAsia" w:ascii="黑体" w:hAnsi="宋体" w:eastAsia="黑体" w:cs="Times New Roman"/>
        </w:rPr>
        <w:t>三、项目实施及管理情况</w:t>
      </w:r>
      <w:r>
        <w:tab/>
      </w:r>
      <w:r>
        <w:fldChar w:fldCharType="end"/>
      </w:r>
      <w:r>
        <w:rPr>
          <w:rFonts w:hint="eastAsia"/>
          <w:lang w:val="en-US" w:eastAsia="zh-CN"/>
        </w:rPr>
        <w:t>97</w:t>
      </w:r>
    </w:p>
    <w:p w14:paraId="0F560D5D">
      <w:pPr>
        <w:pStyle w:val="18"/>
        <w:tabs>
          <w:tab w:val="right" w:leader="dot" w:pos="8306"/>
        </w:tabs>
        <w:rPr>
          <w:rFonts w:hint="eastAsia" w:eastAsia="宋体"/>
          <w:lang w:val="en-US" w:eastAsia="zh-CN"/>
        </w:rPr>
      </w:pPr>
      <w:r>
        <w:fldChar w:fldCharType="begin"/>
      </w:r>
      <w:r>
        <w:instrText xml:space="preserve"> HYPERLINK \l _Toc17924_WPSOffice_Level2 </w:instrText>
      </w:r>
      <w:r>
        <w:fldChar w:fldCharType="separate"/>
      </w:r>
      <w:r>
        <w:rPr>
          <w:rFonts w:hint="eastAsia" w:ascii="黑体" w:hAnsi="宋体" w:eastAsia="黑体" w:cs="Times New Roman"/>
        </w:rPr>
        <w:t>四、项目绩效情况</w:t>
      </w:r>
      <w:r>
        <w:tab/>
      </w:r>
      <w:r>
        <w:rPr>
          <w:rFonts w:hint="eastAsia"/>
          <w:lang w:val="en-US" w:eastAsia="zh-CN"/>
        </w:rPr>
        <w:t>9</w:t>
      </w:r>
      <w:r>
        <w:fldChar w:fldCharType="end"/>
      </w:r>
      <w:r>
        <w:rPr>
          <w:rFonts w:hint="eastAsia"/>
          <w:lang w:val="en-US" w:eastAsia="zh-CN"/>
        </w:rPr>
        <w:t>8</w:t>
      </w:r>
    </w:p>
    <w:p w14:paraId="24065E6F">
      <w:pPr>
        <w:pStyle w:val="18"/>
        <w:tabs>
          <w:tab w:val="right" w:leader="dot" w:pos="8306"/>
        </w:tabs>
        <w:rPr>
          <w:rFonts w:hint="eastAsia" w:eastAsia="宋体"/>
          <w:lang w:val="en-US" w:eastAsia="zh-CN"/>
        </w:rPr>
      </w:pPr>
      <w:r>
        <w:fldChar w:fldCharType="begin"/>
      </w:r>
      <w:r>
        <w:instrText xml:space="preserve"> HYPERLINK \l _Toc20854_WPSOffice_Level2 </w:instrText>
      </w:r>
      <w:r>
        <w:fldChar w:fldCharType="separate"/>
      </w:r>
      <w:r>
        <w:rPr>
          <w:rFonts w:hint="eastAsia" w:ascii="黑体" w:hAnsi="宋体" w:eastAsia="黑体" w:cs="Times New Roman"/>
        </w:rPr>
        <w:t>五、评价结论及建议</w:t>
      </w:r>
      <w:r>
        <w:tab/>
      </w:r>
      <w:r>
        <w:rPr>
          <w:rFonts w:hint="eastAsia"/>
          <w:lang w:val="en-US" w:eastAsia="zh-CN"/>
        </w:rPr>
        <w:t>9</w:t>
      </w:r>
      <w:r>
        <w:fldChar w:fldCharType="end"/>
      </w:r>
      <w:r>
        <w:rPr>
          <w:rFonts w:hint="eastAsia"/>
          <w:lang w:val="en-US" w:eastAsia="zh-CN"/>
        </w:rPr>
        <w:t>8</w:t>
      </w:r>
    </w:p>
    <w:p w14:paraId="19A3D329">
      <w:pPr>
        <w:pStyle w:val="17"/>
        <w:tabs>
          <w:tab w:val="right" w:leader="dot" w:pos="8306"/>
        </w:tabs>
        <w:rPr>
          <w:rFonts w:hint="default" w:eastAsia="宋体"/>
          <w:lang w:val="en-US" w:eastAsia="zh-CN"/>
        </w:rPr>
      </w:pPr>
      <w:r>
        <w:rPr>
          <w:b/>
          <w:bCs/>
        </w:rPr>
        <w:fldChar w:fldCharType="begin"/>
      </w:r>
      <w:r>
        <w:instrText xml:space="preserve"> HYPERLINK \l _Toc11880_WPSOffice_Level1 </w:instrText>
      </w:r>
      <w:r>
        <w:rPr>
          <w:b/>
          <w:bCs/>
        </w:rPr>
        <w:fldChar w:fldCharType="separate"/>
      </w:r>
      <w:r>
        <w:rPr>
          <w:rFonts w:hint="eastAsia" w:ascii="黑体" w:hAnsi="黑体" w:eastAsia="黑体" w:cs="Times New Roman"/>
          <w:b/>
          <w:bCs/>
        </w:rPr>
        <w:t>第五部分 附表</w:t>
      </w:r>
      <w:r>
        <w:rPr>
          <w:b/>
          <w:bCs/>
        </w:rPr>
        <w:tab/>
      </w:r>
      <w:r>
        <w:rPr>
          <w:rFonts w:hint="eastAsia"/>
          <w:b/>
          <w:bCs/>
          <w:lang w:val="en-US" w:eastAsia="zh-CN"/>
        </w:rPr>
        <w:t>1</w:t>
      </w:r>
      <w:r>
        <w:rPr>
          <w:b/>
          <w:bCs/>
        </w:rPr>
        <w:fldChar w:fldCharType="end"/>
      </w:r>
      <w:r>
        <w:rPr>
          <w:rFonts w:hint="eastAsia"/>
          <w:b/>
          <w:bCs/>
          <w:lang w:val="en-US" w:eastAsia="zh-CN"/>
        </w:rPr>
        <w:t>65</w:t>
      </w:r>
    </w:p>
    <w:p w14:paraId="0B620687">
      <w:pPr>
        <w:pStyle w:val="18"/>
        <w:tabs>
          <w:tab w:val="right" w:leader="dot" w:pos="8306"/>
        </w:tabs>
        <w:rPr>
          <w:rFonts w:hint="default" w:eastAsia="宋体"/>
          <w:lang w:val="en-US" w:eastAsia="zh-CN"/>
        </w:rPr>
      </w:pPr>
      <w:r>
        <w:fldChar w:fldCharType="begin"/>
      </w:r>
      <w:r>
        <w:instrText xml:space="preserve"> HYPERLINK \l _Toc13086_WPSOffice_Level2 </w:instrText>
      </w:r>
      <w:r>
        <w:fldChar w:fldCharType="separate"/>
      </w:r>
      <w:r>
        <w:rPr>
          <w:rFonts w:hint="eastAsia" w:ascii="仿宋" w:hAnsi="仿宋" w:eastAsia="仿宋" w:cs="Times New Roman"/>
        </w:rPr>
        <w:t>一、收入支出决算总表</w:t>
      </w:r>
      <w:r>
        <w:tab/>
      </w:r>
      <w:r>
        <w:rPr>
          <w:rFonts w:hint="eastAsia"/>
          <w:lang w:val="en-US" w:eastAsia="zh-CN"/>
        </w:rPr>
        <w:t>1</w:t>
      </w:r>
      <w:r>
        <w:fldChar w:fldCharType="end"/>
      </w:r>
      <w:r>
        <w:rPr>
          <w:rFonts w:hint="eastAsia"/>
          <w:lang w:val="en-US" w:eastAsia="zh-CN"/>
        </w:rPr>
        <w:t>65</w:t>
      </w:r>
    </w:p>
    <w:p w14:paraId="45768594">
      <w:pPr>
        <w:pStyle w:val="18"/>
        <w:tabs>
          <w:tab w:val="right" w:leader="dot" w:pos="8306"/>
        </w:tabs>
        <w:rPr>
          <w:rFonts w:hint="default" w:eastAsia="宋体"/>
          <w:lang w:val="en-US" w:eastAsia="zh-CN"/>
        </w:rPr>
      </w:pPr>
      <w:r>
        <w:fldChar w:fldCharType="begin"/>
      </w:r>
      <w:r>
        <w:instrText xml:space="preserve"> HYPERLINK \l _Toc31528_WPSOffice_Level2 </w:instrText>
      </w:r>
      <w:r>
        <w:fldChar w:fldCharType="separate"/>
      </w:r>
      <w:r>
        <w:rPr>
          <w:rFonts w:hint="eastAsia" w:ascii="仿宋" w:hAnsi="仿宋" w:eastAsia="仿宋" w:cs="Times New Roman"/>
        </w:rPr>
        <w:t>二、收入决算表</w:t>
      </w:r>
      <w:r>
        <w:tab/>
      </w:r>
      <w:r>
        <w:rPr>
          <w:rFonts w:hint="eastAsia"/>
          <w:lang w:val="en-US" w:eastAsia="zh-CN"/>
        </w:rPr>
        <w:t>1</w:t>
      </w:r>
      <w:r>
        <w:fldChar w:fldCharType="end"/>
      </w:r>
      <w:r>
        <w:rPr>
          <w:rFonts w:hint="eastAsia"/>
          <w:lang w:val="en-US" w:eastAsia="zh-CN"/>
        </w:rPr>
        <w:t>65</w:t>
      </w:r>
    </w:p>
    <w:p w14:paraId="06FE2045">
      <w:pPr>
        <w:pStyle w:val="18"/>
        <w:tabs>
          <w:tab w:val="right" w:leader="dot" w:pos="8306"/>
        </w:tabs>
        <w:rPr>
          <w:rFonts w:hint="default" w:eastAsia="宋体"/>
          <w:lang w:val="en-US" w:eastAsia="zh-CN"/>
        </w:rPr>
      </w:pPr>
      <w:r>
        <w:fldChar w:fldCharType="begin"/>
      </w:r>
      <w:r>
        <w:instrText xml:space="preserve"> HYPERLINK \l _Toc18614_WPSOffice_Level2 </w:instrText>
      </w:r>
      <w:r>
        <w:fldChar w:fldCharType="separate"/>
      </w:r>
      <w:r>
        <w:rPr>
          <w:rFonts w:hint="eastAsia" w:ascii="仿宋" w:hAnsi="仿宋" w:eastAsia="仿宋" w:cs="Times New Roman"/>
        </w:rPr>
        <w:t>三、支出决算表</w:t>
      </w:r>
      <w:r>
        <w:tab/>
      </w:r>
      <w:r>
        <w:rPr>
          <w:rFonts w:hint="eastAsia"/>
          <w:lang w:val="en-US" w:eastAsia="zh-CN"/>
        </w:rPr>
        <w:t>1</w:t>
      </w:r>
      <w:r>
        <w:fldChar w:fldCharType="end"/>
      </w:r>
      <w:r>
        <w:rPr>
          <w:rFonts w:hint="eastAsia"/>
          <w:lang w:val="en-US" w:eastAsia="zh-CN"/>
        </w:rPr>
        <w:t>65</w:t>
      </w:r>
    </w:p>
    <w:p w14:paraId="5F9B7CA8">
      <w:pPr>
        <w:pStyle w:val="18"/>
        <w:tabs>
          <w:tab w:val="right" w:leader="dot" w:pos="8306"/>
        </w:tabs>
        <w:rPr>
          <w:rFonts w:hint="default" w:eastAsia="宋体"/>
          <w:lang w:val="en-US" w:eastAsia="zh-CN"/>
        </w:rPr>
      </w:pPr>
      <w:r>
        <w:fldChar w:fldCharType="begin"/>
      </w:r>
      <w:r>
        <w:instrText xml:space="preserve"> HYPERLINK \l _Toc13948_WPSOffice_Level2 </w:instrText>
      </w:r>
      <w:r>
        <w:fldChar w:fldCharType="separate"/>
      </w:r>
      <w:r>
        <w:rPr>
          <w:rFonts w:hint="eastAsia" w:ascii="仿宋" w:hAnsi="仿宋" w:eastAsia="仿宋" w:cs="Times New Roman"/>
        </w:rPr>
        <w:t>四、财政拨款收入支出决算总表</w:t>
      </w:r>
      <w:r>
        <w:tab/>
      </w:r>
      <w:r>
        <w:rPr>
          <w:rFonts w:hint="eastAsia"/>
          <w:lang w:val="en-US" w:eastAsia="zh-CN"/>
        </w:rPr>
        <w:t>1</w:t>
      </w:r>
      <w:r>
        <w:fldChar w:fldCharType="end"/>
      </w:r>
      <w:r>
        <w:rPr>
          <w:rFonts w:hint="eastAsia"/>
          <w:lang w:val="en-US" w:eastAsia="zh-CN"/>
        </w:rPr>
        <w:t>65</w:t>
      </w:r>
    </w:p>
    <w:p w14:paraId="3B8ED8EE">
      <w:pPr>
        <w:pStyle w:val="18"/>
        <w:tabs>
          <w:tab w:val="right" w:leader="dot" w:pos="8306"/>
        </w:tabs>
        <w:rPr>
          <w:rFonts w:hint="eastAsia" w:eastAsia="宋体"/>
          <w:lang w:val="en-US" w:eastAsia="zh-CN"/>
        </w:rPr>
      </w:pPr>
      <w:r>
        <w:fldChar w:fldCharType="begin"/>
      </w:r>
      <w:r>
        <w:instrText xml:space="preserve"> HYPERLINK \l _Toc21390_WPSOffice_Level2 </w:instrText>
      </w:r>
      <w:r>
        <w:fldChar w:fldCharType="separate"/>
      </w:r>
      <w:r>
        <w:rPr>
          <w:rFonts w:hint="eastAsia" w:ascii="仿宋" w:hAnsi="仿宋" w:eastAsia="仿宋" w:cs="Times New Roman"/>
        </w:rPr>
        <w:t>五、财政拨款支出决算明细表</w:t>
      </w:r>
      <w:r>
        <w:tab/>
      </w:r>
      <w:bookmarkStart w:id="23" w:name="_Toc21390_WPSOffice_Level2Page"/>
      <w:r>
        <w:rPr>
          <w:rFonts w:hint="eastAsia"/>
          <w:lang w:val="en-US" w:eastAsia="zh-CN"/>
        </w:rPr>
        <w:t>1</w:t>
      </w:r>
      <w:bookmarkEnd w:id="23"/>
      <w:r>
        <w:rPr>
          <w:rFonts w:hint="eastAsia"/>
          <w:lang w:val="en-US" w:eastAsia="zh-CN"/>
        </w:rPr>
        <w:t>6</w:t>
      </w:r>
      <w:r>
        <w:fldChar w:fldCharType="end"/>
      </w:r>
      <w:r>
        <w:rPr>
          <w:rFonts w:hint="eastAsia"/>
          <w:lang w:val="en-US" w:eastAsia="zh-CN"/>
        </w:rPr>
        <w:t>5</w:t>
      </w:r>
    </w:p>
    <w:p w14:paraId="7A636AC7">
      <w:pPr>
        <w:pStyle w:val="18"/>
        <w:tabs>
          <w:tab w:val="right" w:leader="dot" w:pos="8306"/>
        </w:tabs>
        <w:rPr>
          <w:rFonts w:hint="eastAsia" w:eastAsia="宋体"/>
          <w:lang w:val="en-US" w:eastAsia="zh-CN"/>
        </w:rPr>
      </w:pPr>
      <w:r>
        <w:fldChar w:fldCharType="begin"/>
      </w:r>
      <w:r>
        <w:instrText xml:space="preserve"> HYPERLINK \l _Toc19483_WPSOffice_Level2 </w:instrText>
      </w:r>
      <w:r>
        <w:fldChar w:fldCharType="separate"/>
      </w:r>
      <w:r>
        <w:rPr>
          <w:rFonts w:hint="eastAsia" w:ascii="仿宋" w:hAnsi="仿宋" w:eastAsia="仿宋" w:cs="Times New Roman"/>
        </w:rPr>
        <w:t>六、一般公共预算财政拨款支出决算表</w:t>
      </w:r>
      <w:r>
        <w:tab/>
      </w:r>
      <w:bookmarkStart w:id="24" w:name="_Toc19483_WPSOffice_Level2Page"/>
      <w:r>
        <w:rPr>
          <w:rFonts w:hint="eastAsia"/>
          <w:lang w:val="en-US" w:eastAsia="zh-CN"/>
        </w:rPr>
        <w:t>1</w:t>
      </w:r>
      <w:bookmarkEnd w:id="24"/>
      <w:r>
        <w:rPr>
          <w:rFonts w:hint="eastAsia"/>
          <w:lang w:val="en-US" w:eastAsia="zh-CN"/>
        </w:rPr>
        <w:t>6</w:t>
      </w:r>
      <w:r>
        <w:fldChar w:fldCharType="end"/>
      </w:r>
      <w:r>
        <w:rPr>
          <w:rFonts w:hint="eastAsia"/>
          <w:lang w:val="en-US" w:eastAsia="zh-CN"/>
        </w:rPr>
        <w:t>5</w:t>
      </w:r>
    </w:p>
    <w:p w14:paraId="67143E57">
      <w:pPr>
        <w:pStyle w:val="18"/>
        <w:tabs>
          <w:tab w:val="right" w:leader="dot" w:pos="8306"/>
        </w:tabs>
        <w:rPr>
          <w:rFonts w:hint="eastAsia" w:eastAsia="宋体"/>
          <w:lang w:val="en-US" w:eastAsia="zh-CN"/>
        </w:rPr>
      </w:pPr>
      <w:r>
        <w:fldChar w:fldCharType="begin"/>
      </w:r>
      <w:r>
        <w:instrText xml:space="preserve"> HYPERLINK \l _Toc10839_WPSOffice_Level2 </w:instrText>
      </w:r>
      <w:r>
        <w:fldChar w:fldCharType="separate"/>
      </w:r>
      <w:r>
        <w:rPr>
          <w:rFonts w:hint="eastAsia" w:ascii="仿宋" w:hAnsi="仿宋" w:eastAsia="仿宋" w:cs="Times New Roman"/>
        </w:rPr>
        <w:t>七、一般公共预算财政拨款支出决算明细表</w:t>
      </w:r>
      <w:r>
        <w:tab/>
      </w:r>
      <w:bookmarkStart w:id="25" w:name="_Toc10839_WPSOffice_Level2Page"/>
      <w:r>
        <w:rPr>
          <w:rFonts w:hint="eastAsia"/>
          <w:lang w:val="en-US" w:eastAsia="zh-CN"/>
        </w:rPr>
        <w:t>1</w:t>
      </w:r>
      <w:bookmarkEnd w:id="25"/>
      <w:r>
        <w:rPr>
          <w:rFonts w:hint="eastAsia"/>
          <w:lang w:val="en-US" w:eastAsia="zh-CN"/>
        </w:rPr>
        <w:t>6</w:t>
      </w:r>
      <w:r>
        <w:fldChar w:fldCharType="end"/>
      </w:r>
      <w:r>
        <w:rPr>
          <w:rFonts w:hint="eastAsia"/>
          <w:lang w:val="en-US" w:eastAsia="zh-CN"/>
        </w:rPr>
        <w:t>5</w:t>
      </w:r>
    </w:p>
    <w:p w14:paraId="1AFE11BE">
      <w:pPr>
        <w:pStyle w:val="18"/>
        <w:tabs>
          <w:tab w:val="right" w:leader="dot" w:pos="8306"/>
        </w:tabs>
        <w:rPr>
          <w:rFonts w:hint="eastAsia" w:eastAsia="宋体"/>
          <w:lang w:val="en-US" w:eastAsia="zh-CN"/>
        </w:rPr>
      </w:pPr>
      <w:r>
        <w:fldChar w:fldCharType="begin"/>
      </w:r>
      <w:r>
        <w:instrText xml:space="preserve"> HYPERLINK \l _Toc21097_WPSOffice_Level2 </w:instrText>
      </w:r>
      <w:r>
        <w:fldChar w:fldCharType="separate"/>
      </w:r>
      <w:r>
        <w:rPr>
          <w:rFonts w:hint="eastAsia" w:ascii="仿宋" w:hAnsi="仿宋" w:eastAsia="仿宋" w:cs="Times New Roman"/>
        </w:rPr>
        <w:t>八、一般公共预算财政拨款基本支出决算表</w:t>
      </w:r>
      <w:r>
        <w:tab/>
      </w:r>
      <w:bookmarkStart w:id="26" w:name="_Toc21097_WPSOffice_Level2Page"/>
      <w:r>
        <w:rPr>
          <w:rFonts w:hint="eastAsia"/>
          <w:lang w:val="en-US" w:eastAsia="zh-CN"/>
        </w:rPr>
        <w:t>1</w:t>
      </w:r>
      <w:bookmarkEnd w:id="26"/>
      <w:r>
        <w:rPr>
          <w:rFonts w:hint="eastAsia"/>
          <w:lang w:val="en-US" w:eastAsia="zh-CN"/>
        </w:rPr>
        <w:t>6</w:t>
      </w:r>
      <w:r>
        <w:fldChar w:fldCharType="end"/>
      </w:r>
      <w:r>
        <w:rPr>
          <w:rFonts w:hint="eastAsia"/>
          <w:lang w:val="en-US" w:eastAsia="zh-CN"/>
        </w:rPr>
        <w:t>5</w:t>
      </w:r>
    </w:p>
    <w:p w14:paraId="728390B2">
      <w:pPr>
        <w:pStyle w:val="18"/>
        <w:tabs>
          <w:tab w:val="right" w:leader="dot" w:pos="8306"/>
        </w:tabs>
        <w:rPr>
          <w:rFonts w:hint="eastAsia" w:eastAsia="宋体"/>
          <w:lang w:val="en-US" w:eastAsia="zh-CN"/>
        </w:rPr>
      </w:pPr>
      <w:r>
        <w:fldChar w:fldCharType="begin"/>
      </w:r>
      <w:r>
        <w:instrText xml:space="preserve"> HYPERLINK \l _Toc660_WPSOffice_Level2 </w:instrText>
      </w:r>
      <w:r>
        <w:fldChar w:fldCharType="separate"/>
      </w:r>
      <w:r>
        <w:rPr>
          <w:rFonts w:hint="eastAsia" w:ascii="仿宋" w:hAnsi="仿宋" w:eastAsia="仿宋" w:cs="Times New Roman"/>
        </w:rPr>
        <w:t>九、一般公共预算财政拨款项目支出决算表</w:t>
      </w:r>
      <w:r>
        <w:tab/>
      </w:r>
      <w:bookmarkStart w:id="27" w:name="_Toc660_WPSOffice_Level2Page"/>
      <w:r>
        <w:rPr>
          <w:rFonts w:hint="eastAsia"/>
          <w:lang w:val="en-US" w:eastAsia="zh-CN"/>
        </w:rPr>
        <w:t>1</w:t>
      </w:r>
      <w:bookmarkEnd w:id="27"/>
      <w:r>
        <w:rPr>
          <w:rFonts w:hint="eastAsia"/>
          <w:lang w:val="en-US" w:eastAsia="zh-CN"/>
        </w:rPr>
        <w:t>6</w:t>
      </w:r>
      <w:r>
        <w:fldChar w:fldCharType="end"/>
      </w:r>
      <w:r>
        <w:rPr>
          <w:rFonts w:hint="eastAsia"/>
          <w:lang w:val="en-US" w:eastAsia="zh-CN"/>
        </w:rPr>
        <w:t>5</w:t>
      </w:r>
    </w:p>
    <w:p w14:paraId="4A494A65">
      <w:pPr>
        <w:pStyle w:val="18"/>
        <w:tabs>
          <w:tab w:val="right" w:leader="dot" w:pos="8306"/>
        </w:tabs>
        <w:rPr>
          <w:rFonts w:hint="eastAsia" w:eastAsia="宋体"/>
          <w:lang w:val="en-US" w:eastAsia="zh-CN"/>
        </w:rPr>
      </w:pPr>
      <w:r>
        <w:fldChar w:fldCharType="begin"/>
      </w:r>
      <w:r>
        <w:instrText xml:space="preserve"> HYPERLINK \l _Toc26333_WPSOffice_Level2 </w:instrText>
      </w:r>
      <w:r>
        <w:fldChar w:fldCharType="separate"/>
      </w:r>
      <w:r>
        <w:rPr>
          <w:rFonts w:hint="eastAsia" w:ascii="仿宋" w:hAnsi="仿宋" w:eastAsia="仿宋" w:cs="Times New Roman"/>
        </w:rPr>
        <w:t>十、政府性基金预算财政拨款收入支出决算表</w:t>
      </w:r>
      <w:r>
        <w:tab/>
      </w:r>
      <w:bookmarkStart w:id="28" w:name="_Toc26333_WPSOffice_Level2Page"/>
      <w:r>
        <w:rPr>
          <w:rFonts w:hint="eastAsia"/>
          <w:lang w:val="en-US" w:eastAsia="zh-CN"/>
        </w:rPr>
        <w:t>1</w:t>
      </w:r>
      <w:bookmarkEnd w:id="28"/>
      <w:r>
        <w:rPr>
          <w:rFonts w:hint="eastAsia"/>
          <w:lang w:val="en-US" w:eastAsia="zh-CN"/>
        </w:rPr>
        <w:t>6</w:t>
      </w:r>
      <w:r>
        <w:fldChar w:fldCharType="end"/>
      </w:r>
      <w:r>
        <w:rPr>
          <w:rFonts w:hint="eastAsia"/>
          <w:lang w:val="en-US" w:eastAsia="zh-CN"/>
        </w:rPr>
        <w:t>5</w:t>
      </w:r>
    </w:p>
    <w:p w14:paraId="6CCA11CC">
      <w:pPr>
        <w:pStyle w:val="18"/>
        <w:tabs>
          <w:tab w:val="right" w:leader="dot" w:pos="8306"/>
        </w:tabs>
        <w:rPr>
          <w:rFonts w:hint="eastAsia" w:eastAsia="宋体"/>
          <w:lang w:val="en-US" w:eastAsia="zh-CN"/>
        </w:rPr>
      </w:pPr>
      <w:r>
        <w:fldChar w:fldCharType="begin"/>
      </w:r>
      <w:r>
        <w:instrText xml:space="preserve"> HYPERLINK \l _Toc20953_WPSOffice_Level2 </w:instrText>
      </w:r>
      <w:r>
        <w:fldChar w:fldCharType="separate"/>
      </w:r>
      <w:r>
        <w:rPr>
          <w:rFonts w:hint="eastAsia" w:ascii="仿宋" w:hAnsi="仿宋" w:eastAsia="仿宋" w:cs="Times New Roman"/>
        </w:rPr>
        <w:t>十一、国有资本经营预算财政拨款收入支出决算表</w:t>
      </w:r>
      <w:r>
        <w:tab/>
      </w:r>
      <w:bookmarkStart w:id="29" w:name="_Toc20953_WPSOffice_Level2Page"/>
      <w:r>
        <w:rPr>
          <w:rFonts w:hint="eastAsia"/>
          <w:lang w:val="en-US" w:eastAsia="zh-CN"/>
        </w:rPr>
        <w:t>1</w:t>
      </w:r>
      <w:bookmarkEnd w:id="29"/>
      <w:r>
        <w:rPr>
          <w:rFonts w:hint="eastAsia"/>
          <w:lang w:val="en-US" w:eastAsia="zh-CN"/>
        </w:rPr>
        <w:t>6</w:t>
      </w:r>
      <w:r>
        <w:fldChar w:fldCharType="end"/>
      </w:r>
      <w:r>
        <w:rPr>
          <w:rFonts w:hint="eastAsia"/>
          <w:lang w:val="en-US" w:eastAsia="zh-CN"/>
        </w:rPr>
        <w:t>5</w:t>
      </w:r>
    </w:p>
    <w:p w14:paraId="4C354573">
      <w:pPr>
        <w:pStyle w:val="18"/>
        <w:tabs>
          <w:tab w:val="right" w:leader="dot" w:pos="8306"/>
        </w:tabs>
        <w:rPr>
          <w:rFonts w:hint="eastAsia" w:eastAsia="宋体"/>
          <w:lang w:val="en-US" w:eastAsia="zh-CN"/>
        </w:rPr>
      </w:pPr>
      <w:r>
        <w:fldChar w:fldCharType="begin"/>
      </w:r>
      <w:r>
        <w:instrText xml:space="preserve"> HYPERLINK \l _Toc9931_WPSOffice_Level2 </w:instrText>
      </w:r>
      <w:r>
        <w:fldChar w:fldCharType="separate"/>
      </w:r>
      <w:r>
        <w:rPr>
          <w:rFonts w:hint="eastAsia" w:ascii="仿宋" w:hAnsi="仿宋" w:eastAsia="仿宋" w:cs="Times New Roman"/>
        </w:rPr>
        <w:t>十二、国有资本经营预算财政拨款支出决算表</w:t>
      </w:r>
      <w:r>
        <w:tab/>
      </w:r>
      <w:bookmarkStart w:id="30" w:name="_Toc9931_WPSOffice_Level2Page"/>
      <w:r>
        <w:rPr>
          <w:rFonts w:hint="eastAsia"/>
          <w:lang w:val="en-US" w:eastAsia="zh-CN"/>
        </w:rPr>
        <w:t>1</w:t>
      </w:r>
      <w:bookmarkEnd w:id="30"/>
      <w:r>
        <w:rPr>
          <w:rFonts w:hint="eastAsia"/>
          <w:lang w:val="en-US" w:eastAsia="zh-CN"/>
        </w:rPr>
        <w:t>6</w:t>
      </w:r>
      <w:r>
        <w:fldChar w:fldCharType="end"/>
      </w:r>
      <w:r>
        <w:rPr>
          <w:rFonts w:hint="eastAsia"/>
          <w:lang w:val="en-US" w:eastAsia="zh-CN"/>
        </w:rPr>
        <w:t>5</w:t>
      </w:r>
    </w:p>
    <w:p w14:paraId="4BBFD756">
      <w:pPr>
        <w:pStyle w:val="18"/>
        <w:tabs>
          <w:tab w:val="right" w:leader="dot" w:pos="8306"/>
        </w:tabs>
        <w:rPr>
          <w:rFonts w:hint="eastAsia" w:eastAsia="宋体"/>
          <w:lang w:val="en-US" w:eastAsia="zh-CN"/>
        </w:rPr>
      </w:pPr>
      <w:r>
        <w:fldChar w:fldCharType="begin"/>
      </w:r>
      <w:r>
        <w:instrText xml:space="preserve"> HYPERLINK \l _Toc3571_WPSOffice_Level2 </w:instrText>
      </w:r>
      <w:r>
        <w:fldChar w:fldCharType="separate"/>
      </w:r>
      <w:r>
        <w:rPr>
          <w:rFonts w:hint="eastAsia" w:ascii="仿宋" w:hAnsi="仿宋" w:eastAsia="仿宋" w:cs="Times New Roman"/>
        </w:rPr>
        <w:t>十三、财政拨款“三公”经费支出决算表</w:t>
      </w:r>
      <w:r>
        <w:tab/>
      </w:r>
      <w:bookmarkStart w:id="31" w:name="_Toc3571_WPSOffice_Level2Page"/>
      <w:r>
        <w:rPr>
          <w:rFonts w:hint="eastAsia"/>
          <w:lang w:val="en-US" w:eastAsia="zh-CN"/>
        </w:rPr>
        <w:t>1</w:t>
      </w:r>
      <w:bookmarkEnd w:id="31"/>
      <w:r>
        <w:rPr>
          <w:rFonts w:hint="eastAsia"/>
          <w:lang w:val="en-US" w:eastAsia="zh-CN"/>
        </w:rPr>
        <w:t>6</w:t>
      </w:r>
      <w:r>
        <w:fldChar w:fldCharType="end"/>
      </w:r>
      <w:bookmarkEnd w:id="6"/>
      <w:r>
        <w:rPr>
          <w:rFonts w:hint="eastAsia"/>
          <w:lang w:val="en-US" w:eastAsia="zh-CN"/>
        </w:rPr>
        <w:t>5</w:t>
      </w:r>
    </w:p>
    <w:p w14:paraId="42586335">
      <w:pPr>
        <w:pStyle w:val="2"/>
      </w:pPr>
    </w:p>
    <w:p w14:paraId="0CFEE2EC"/>
    <w:p w14:paraId="03C054A5">
      <w:pPr>
        <w:pStyle w:val="2"/>
      </w:pPr>
    </w:p>
    <w:p w14:paraId="6E582C45"/>
    <w:p w14:paraId="00E15C2D">
      <w:pPr>
        <w:pStyle w:val="2"/>
      </w:pPr>
    </w:p>
    <w:p w14:paraId="6579ED9E"/>
    <w:p w14:paraId="5406E4CA">
      <w:pPr>
        <w:pStyle w:val="2"/>
      </w:pPr>
    </w:p>
    <w:p w14:paraId="4464DA8C"/>
    <w:p w14:paraId="3BCFF104">
      <w:pPr>
        <w:pStyle w:val="2"/>
      </w:pPr>
    </w:p>
    <w:p w14:paraId="1D4EBB31"/>
    <w:p w14:paraId="54CC8E28">
      <w:pPr>
        <w:pStyle w:val="2"/>
      </w:pPr>
    </w:p>
    <w:p w14:paraId="155D54C1"/>
    <w:p w14:paraId="36AA62C1">
      <w:pPr>
        <w:pStyle w:val="2"/>
      </w:pPr>
    </w:p>
    <w:p w14:paraId="6A4F7D44"/>
    <w:p w14:paraId="7D113AF1">
      <w:pPr>
        <w:pStyle w:val="2"/>
      </w:pPr>
    </w:p>
    <w:p w14:paraId="096E95EC"/>
    <w:p w14:paraId="0D93A162">
      <w:pPr>
        <w:pStyle w:val="2"/>
      </w:pPr>
    </w:p>
    <w:p w14:paraId="017265CA"/>
    <w:p w14:paraId="70191156">
      <w:pPr>
        <w:pStyle w:val="2"/>
      </w:pPr>
    </w:p>
    <w:p w14:paraId="52E12303"/>
    <w:p w14:paraId="746E9D10">
      <w:pPr>
        <w:pStyle w:val="2"/>
      </w:pPr>
    </w:p>
    <w:p w14:paraId="5854303E"/>
    <w:p w14:paraId="7D12EC96">
      <w:pPr>
        <w:pStyle w:val="2"/>
      </w:pPr>
    </w:p>
    <w:p w14:paraId="16E5B4E0"/>
    <w:p w14:paraId="0B7FBB96">
      <w:pPr>
        <w:pStyle w:val="2"/>
      </w:pPr>
    </w:p>
    <w:p w14:paraId="04BD49F9"/>
    <w:p w14:paraId="1ACFDC35">
      <w:pPr>
        <w:pStyle w:val="3"/>
        <w:jc w:val="center"/>
        <w:rPr>
          <w:rFonts w:hint="eastAsia" w:ascii="黑体" w:hAnsi="黑体" w:eastAsia="黑体"/>
          <w:b w:val="0"/>
          <w:color w:val="auto"/>
          <w:highlight w:val="none"/>
        </w:rPr>
        <w:sectPr>
          <w:footerReference r:id="rId3" w:type="default"/>
          <w:pgSz w:w="11906" w:h="16838"/>
          <w:pgMar w:top="1440" w:right="1800" w:bottom="1440" w:left="1800" w:header="720" w:footer="720" w:gutter="0"/>
          <w:pgNumType w:fmt="decimal" w:start="1"/>
          <w:cols w:space="720" w:num="1"/>
          <w:docGrid w:type="lines" w:linePitch="312" w:charSpace="0"/>
        </w:sectPr>
      </w:pPr>
    </w:p>
    <w:p w14:paraId="38C23EED">
      <w:pPr>
        <w:pStyle w:val="3"/>
        <w:jc w:val="center"/>
        <w:rPr>
          <w:rFonts w:ascii="黑体" w:eastAsia="黑体"/>
          <w:color w:val="auto"/>
          <w:sz w:val="32"/>
          <w:szCs w:val="32"/>
          <w:highlight w:val="none"/>
        </w:rPr>
      </w:pPr>
      <w:bookmarkStart w:id="32" w:name="_Toc4680_WPSOffice_Level1"/>
      <w:r>
        <w:rPr>
          <w:rFonts w:hint="eastAsia" w:ascii="黑体" w:hAnsi="黑体" w:eastAsia="黑体"/>
          <w:b w:val="0"/>
          <w:color w:val="auto"/>
          <w:highlight w:val="none"/>
        </w:rPr>
        <w:t xml:space="preserve">第一部分 </w:t>
      </w:r>
      <w:r>
        <w:rPr>
          <w:rStyle w:val="19"/>
          <w:rFonts w:hint="eastAsia" w:ascii="黑体" w:hAnsi="黑体" w:eastAsia="黑体"/>
          <w:b w:val="0"/>
          <w:bCs w:val="0"/>
          <w:color w:val="auto"/>
          <w:highlight w:val="none"/>
        </w:rPr>
        <w:t>部门概况</w:t>
      </w:r>
      <w:bookmarkEnd w:id="32"/>
    </w:p>
    <w:p w14:paraId="42418CD1">
      <w:pPr>
        <w:pStyle w:val="4"/>
        <w:numPr>
          <w:ilvl w:val="0"/>
          <w:numId w:val="2"/>
        </w:numPr>
        <w:rPr>
          <w:rFonts w:hint="eastAsia" w:ascii="黑体" w:hAnsi="黑体" w:eastAsia="黑体"/>
          <w:b w:val="0"/>
          <w:color w:val="auto"/>
          <w:highlight w:val="none"/>
          <w:lang w:eastAsia="zh-CN"/>
        </w:rPr>
      </w:pPr>
      <w:bookmarkStart w:id="33" w:name="_Toc30117_WPSOffice_Level2"/>
      <w:r>
        <w:rPr>
          <w:rFonts w:hint="eastAsia" w:ascii="黑体" w:hAnsi="黑体" w:eastAsia="黑体"/>
          <w:b w:val="0"/>
          <w:color w:val="auto"/>
          <w:highlight w:val="none"/>
          <w:lang w:eastAsia="zh-CN"/>
        </w:rPr>
        <w:t>部门职责</w:t>
      </w:r>
      <w:bookmarkEnd w:id="33"/>
    </w:p>
    <w:p w14:paraId="3F0299DA">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Times New Roman" w:hAnsi="Times New Roman" w:eastAsia="仿宋_GB2312"/>
          <w:color w:val="auto"/>
          <w:sz w:val="32"/>
          <w:szCs w:val="32"/>
          <w:highlight w:val="none"/>
          <w:lang w:eastAsia="zh-CN"/>
        </w:rPr>
      </w:pPr>
      <w:r>
        <w:rPr>
          <w:rFonts w:hint="eastAsia"/>
          <w:lang w:val="en-US" w:eastAsia="zh-CN"/>
        </w:rPr>
        <w:t xml:space="preserve">   </w:t>
      </w:r>
      <w:r>
        <w:rPr>
          <w:rFonts w:hint="eastAsia" w:eastAsia="仿宋_GB2312"/>
          <w:color w:val="auto"/>
          <w:sz w:val="32"/>
          <w:szCs w:val="32"/>
          <w:highlight w:val="none"/>
          <w:lang w:val="en-US" w:eastAsia="zh-CN"/>
        </w:rPr>
        <w:t>1、</w:t>
      </w:r>
      <w:r>
        <w:rPr>
          <w:rFonts w:hint="eastAsia" w:ascii="Times New Roman" w:hAnsi="Times New Roman" w:eastAsia="仿宋_GB2312"/>
          <w:color w:val="auto"/>
          <w:sz w:val="32"/>
          <w:szCs w:val="32"/>
          <w:highlight w:val="none"/>
          <w:lang w:eastAsia="zh-CN"/>
        </w:rPr>
        <w:t>贯彻执行党和国家文化、旅游、</w:t>
      </w:r>
      <w:r>
        <w:rPr>
          <w:rFonts w:hint="eastAsia" w:ascii="Times New Roman" w:hAnsi="Times New Roman" w:eastAsia="仿宋_GB2312"/>
          <w:color w:val="auto"/>
          <w:sz w:val="32"/>
          <w:szCs w:val="32"/>
          <w:highlight w:val="none"/>
          <w:lang w:val="en-US" w:eastAsia="zh-CN"/>
        </w:rPr>
        <w:t>文物</w:t>
      </w:r>
      <w:r>
        <w:rPr>
          <w:rFonts w:hint="eastAsia" w:ascii="Times New Roman" w:hAnsi="Times New Roman" w:eastAsia="仿宋_GB2312"/>
          <w:color w:val="auto"/>
          <w:sz w:val="32"/>
          <w:szCs w:val="32"/>
          <w:highlight w:val="none"/>
          <w:lang w:eastAsia="zh-CN"/>
        </w:rPr>
        <w:t>及广播电视事业发展的路线、方针、政策和法律法规；贯彻执行省、市、区关于文化、文物、广播电视和旅游事业工作部署。</w:t>
      </w:r>
    </w:p>
    <w:p w14:paraId="7AC23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2、</w:t>
      </w:r>
      <w:r>
        <w:rPr>
          <w:rFonts w:hint="eastAsia" w:ascii="Times New Roman" w:hAnsi="Times New Roman" w:eastAsia="仿宋_GB2312"/>
          <w:color w:val="auto"/>
          <w:sz w:val="32"/>
          <w:szCs w:val="32"/>
          <w:highlight w:val="none"/>
          <w:lang w:eastAsia="zh-CN"/>
        </w:rPr>
        <w:t>研究制定全区文化、旅游、</w:t>
      </w:r>
      <w:r>
        <w:rPr>
          <w:rFonts w:hint="eastAsia" w:ascii="Times New Roman" w:hAnsi="Times New Roman" w:eastAsia="仿宋_GB2312"/>
          <w:color w:val="auto"/>
          <w:sz w:val="32"/>
          <w:szCs w:val="32"/>
          <w:highlight w:val="none"/>
          <w:lang w:val="en-US" w:eastAsia="zh-CN"/>
        </w:rPr>
        <w:t>文物</w:t>
      </w:r>
      <w:r>
        <w:rPr>
          <w:rFonts w:hint="eastAsia" w:ascii="Times New Roman" w:hAnsi="Times New Roman" w:eastAsia="仿宋_GB2312"/>
          <w:color w:val="auto"/>
          <w:sz w:val="32"/>
          <w:szCs w:val="32"/>
          <w:highlight w:val="none"/>
          <w:lang w:eastAsia="zh-CN"/>
        </w:rPr>
        <w:t>及广播电视发展规划并组织实施，负责本部门依法行政工作。推进文化、文物、广播电视和旅游体制机制改革，推进文化和旅游融合发展。</w:t>
      </w:r>
    </w:p>
    <w:p w14:paraId="1D05C0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3、</w:t>
      </w:r>
      <w:r>
        <w:rPr>
          <w:rFonts w:hint="eastAsia" w:ascii="Times New Roman" w:hAnsi="Times New Roman" w:eastAsia="仿宋_GB2312"/>
          <w:color w:val="auto"/>
          <w:sz w:val="32"/>
          <w:szCs w:val="32"/>
          <w:highlight w:val="none"/>
          <w:lang w:val="en-US" w:eastAsia="zh-CN"/>
        </w:rPr>
        <w:t>指导</w:t>
      </w:r>
      <w:r>
        <w:rPr>
          <w:rFonts w:hint="eastAsia" w:ascii="Times New Roman" w:hAnsi="Times New Roman" w:eastAsia="仿宋_GB2312"/>
          <w:color w:val="auto"/>
          <w:sz w:val="32"/>
          <w:szCs w:val="32"/>
          <w:highlight w:val="none"/>
          <w:lang w:eastAsia="zh-CN"/>
        </w:rPr>
        <w:t>全区重大文化、文物、广播电视和旅游活动，指导全区重点文化、文物、广播电视和旅游设施建设，推动文化旅游品牌建设，制定文化旅游市场开发战略并组织实施，推进全域旅游。</w:t>
      </w:r>
    </w:p>
    <w:p w14:paraId="21EDE6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4、</w:t>
      </w:r>
      <w:r>
        <w:rPr>
          <w:rFonts w:hint="eastAsia" w:ascii="Times New Roman" w:hAnsi="Times New Roman" w:eastAsia="仿宋_GB2312"/>
          <w:color w:val="auto"/>
          <w:sz w:val="32"/>
          <w:szCs w:val="32"/>
          <w:highlight w:val="none"/>
          <w:lang w:eastAsia="zh-CN"/>
        </w:rPr>
        <w:t>指导管理文艺事业，推动艺术创作生产，扶持体现社会主义核心价值观，具有导向性、代表性、示范性的文艺作品，推动各门类艺术、各艺术品种发展，推动中华优秀传统文化和巴蜀文化传承发展。</w:t>
      </w:r>
    </w:p>
    <w:p w14:paraId="6DE172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lang w:eastAsia="zh-CN"/>
        </w:rPr>
        <w:t>负责公共文化事业发展，推进全区公共文化服务体系建设和旅游公共服务建设，深入实施文化惠民工程，统筹推进基本公共服务标准化、均等化。</w:t>
      </w:r>
    </w:p>
    <w:p w14:paraId="60BEB0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6、</w:t>
      </w:r>
      <w:r>
        <w:rPr>
          <w:rFonts w:hint="eastAsia" w:ascii="Times New Roman" w:hAnsi="Times New Roman" w:eastAsia="仿宋_GB2312"/>
          <w:color w:val="auto"/>
          <w:sz w:val="32"/>
          <w:szCs w:val="32"/>
          <w:highlight w:val="none"/>
          <w:lang w:eastAsia="zh-CN"/>
        </w:rPr>
        <w:t>推进文化广播电视和旅游科技创新发展，推进文化广播电视和旅游行业信息化、标准化建设。</w:t>
      </w:r>
    </w:p>
    <w:p w14:paraId="13544F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7、</w:t>
      </w:r>
      <w:r>
        <w:rPr>
          <w:rFonts w:hint="eastAsia" w:ascii="Times New Roman" w:hAnsi="Times New Roman" w:eastAsia="仿宋_GB2312"/>
          <w:color w:val="auto"/>
          <w:sz w:val="32"/>
          <w:szCs w:val="32"/>
          <w:highlight w:val="none"/>
          <w:lang w:eastAsia="zh-CN"/>
        </w:rPr>
        <w:t>负责非物质文化遗产保护，推动非物质文化遗产的保护、传承、普及、弘扬和振兴。</w:t>
      </w:r>
    </w:p>
    <w:p w14:paraId="1A2737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8、</w:t>
      </w:r>
      <w:r>
        <w:rPr>
          <w:rFonts w:hint="eastAsia" w:ascii="Times New Roman" w:hAnsi="Times New Roman" w:eastAsia="仿宋_GB2312"/>
          <w:color w:val="auto"/>
          <w:sz w:val="32"/>
          <w:szCs w:val="32"/>
          <w:highlight w:val="none"/>
          <w:lang w:eastAsia="zh-CN"/>
        </w:rPr>
        <w:t>组织实施文化和旅游资源普查、挖掘、保护与利用工作，促进文化和旅游产业融合发展。</w:t>
      </w:r>
    </w:p>
    <w:p w14:paraId="65546A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9、</w:t>
      </w:r>
      <w:r>
        <w:rPr>
          <w:rFonts w:hint="eastAsia" w:ascii="Times New Roman" w:hAnsi="Times New Roman" w:eastAsia="仿宋_GB2312"/>
          <w:color w:val="auto"/>
          <w:sz w:val="32"/>
          <w:szCs w:val="32"/>
          <w:highlight w:val="none"/>
          <w:lang w:eastAsia="zh-CN"/>
        </w:rPr>
        <w:t>指导文化旅游、广播电视市场发展，对文化旅游、广播电视市场经营进行行业监管，推进文化旅游、广播电视行业信用体系建设，依法规范文化旅游、</w:t>
      </w:r>
      <w:r>
        <w:rPr>
          <w:rFonts w:hint="eastAsia" w:ascii="Times New Roman" w:hAnsi="Times New Roman" w:eastAsia="仿宋_GB2312"/>
          <w:color w:val="auto"/>
          <w:sz w:val="32"/>
          <w:szCs w:val="32"/>
          <w:highlight w:val="none"/>
          <w:lang w:val="en-US" w:eastAsia="zh-CN"/>
        </w:rPr>
        <w:t>广播电视</w:t>
      </w:r>
      <w:r>
        <w:rPr>
          <w:rFonts w:hint="eastAsia" w:ascii="Times New Roman" w:hAnsi="Times New Roman" w:eastAsia="仿宋_GB2312"/>
          <w:color w:val="auto"/>
          <w:sz w:val="32"/>
          <w:szCs w:val="32"/>
          <w:highlight w:val="none"/>
          <w:lang w:eastAsia="zh-CN"/>
        </w:rPr>
        <w:t>市场。</w:t>
      </w:r>
    </w:p>
    <w:p w14:paraId="3A0011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10、</w:t>
      </w:r>
      <w:r>
        <w:rPr>
          <w:rFonts w:hint="eastAsia" w:ascii="Times New Roman" w:hAnsi="Times New Roman" w:eastAsia="仿宋_GB2312"/>
          <w:color w:val="auto"/>
          <w:sz w:val="32"/>
          <w:szCs w:val="32"/>
          <w:highlight w:val="none"/>
          <w:lang w:eastAsia="zh-CN"/>
        </w:rPr>
        <w:t>开展全区</w:t>
      </w:r>
      <w:r>
        <w:rPr>
          <w:rFonts w:hint="eastAsia" w:ascii="Times New Roman" w:hAnsi="Times New Roman" w:eastAsia="仿宋_GB2312"/>
          <w:color w:val="auto"/>
          <w:sz w:val="32"/>
          <w:szCs w:val="32"/>
          <w:highlight w:val="none"/>
          <w:lang w:val="en-US" w:eastAsia="zh-CN"/>
        </w:rPr>
        <w:t>文化</w:t>
      </w:r>
      <w:r>
        <w:rPr>
          <w:rFonts w:hint="eastAsia" w:ascii="Times New Roman" w:hAnsi="Times New Roman" w:eastAsia="仿宋_GB2312"/>
          <w:color w:val="auto"/>
          <w:sz w:val="32"/>
          <w:szCs w:val="32"/>
          <w:highlight w:val="none"/>
          <w:lang w:eastAsia="zh-CN"/>
        </w:rPr>
        <w:t>市场综合执法，查处文化、文物、广播电视、旅游等市场的违法行为，维护市场秩序。</w:t>
      </w:r>
    </w:p>
    <w:p w14:paraId="44DC6D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11、</w:t>
      </w:r>
      <w:r>
        <w:rPr>
          <w:rFonts w:hint="eastAsia" w:ascii="Times New Roman" w:hAnsi="Times New Roman" w:eastAsia="仿宋_GB2312"/>
          <w:color w:val="auto"/>
          <w:sz w:val="32"/>
          <w:szCs w:val="32"/>
          <w:highlight w:val="none"/>
          <w:lang w:eastAsia="zh-CN"/>
        </w:rPr>
        <w:t>负责</w:t>
      </w:r>
      <w:r>
        <w:rPr>
          <w:rFonts w:hint="eastAsia" w:ascii="Times New Roman" w:hAnsi="Times New Roman" w:eastAsia="仿宋_GB2312"/>
          <w:color w:val="auto"/>
          <w:sz w:val="32"/>
          <w:szCs w:val="32"/>
          <w:highlight w:val="none"/>
          <w:lang w:val="en-US" w:eastAsia="zh-CN"/>
        </w:rPr>
        <w:t>管理指导</w:t>
      </w:r>
      <w:r>
        <w:rPr>
          <w:rFonts w:hint="eastAsia" w:ascii="Times New Roman" w:hAnsi="Times New Roman" w:eastAsia="仿宋_GB2312"/>
          <w:color w:val="auto"/>
          <w:sz w:val="32"/>
          <w:szCs w:val="32"/>
          <w:highlight w:val="none"/>
          <w:lang w:eastAsia="zh-CN"/>
        </w:rPr>
        <w:t>文化和旅游对外及对港澳台交流合作与宣传推广工作，指导规范重大文化和旅游对外及对港澳台交流活动，组织全区重大文化旅游整体形象推广。</w:t>
      </w:r>
    </w:p>
    <w:p w14:paraId="3B8F07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eastAsia="仿宋_GB2312"/>
          <w:color w:val="auto"/>
          <w:sz w:val="32"/>
          <w:szCs w:val="32"/>
          <w:highlight w:val="none"/>
          <w:lang w:val="en-US" w:eastAsia="zh-CN"/>
        </w:rPr>
        <w:t>12、</w:t>
      </w:r>
      <w:r>
        <w:rPr>
          <w:rFonts w:hint="eastAsia" w:ascii="Times New Roman" w:hAnsi="Times New Roman" w:eastAsia="仿宋_GB2312"/>
          <w:color w:val="auto"/>
          <w:sz w:val="32"/>
          <w:szCs w:val="32"/>
          <w:highlight w:val="none"/>
          <w:lang w:eastAsia="zh-CN"/>
        </w:rPr>
        <w:t>监督管理广播电视节目、网络视听节目</w:t>
      </w:r>
      <w:r>
        <w:rPr>
          <w:rFonts w:hint="eastAsia" w:ascii="Times New Roman" w:hAnsi="Times New Roman" w:eastAsia="仿宋_GB2312"/>
          <w:color w:val="auto"/>
          <w:sz w:val="32"/>
          <w:szCs w:val="32"/>
          <w:highlight w:val="none"/>
          <w:lang w:val="en-US" w:eastAsia="zh-CN"/>
        </w:rPr>
        <w:t>的</w:t>
      </w:r>
      <w:r>
        <w:rPr>
          <w:rFonts w:hint="eastAsia" w:ascii="Times New Roman" w:hAnsi="Times New Roman" w:eastAsia="仿宋_GB2312"/>
          <w:color w:val="auto"/>
          <w:sz w:val="32"/>
          <w:szCs w:val="32"/>
          <w:highlight w:val="none"/>
          <w:lang w:eastAsia="zh-CN"/>
        </w:rPr>
        <w:t>内容及质量。</w:t>
      </w:r>
      <w:r>
        <w:rPr>
          <w:rFonts w:hint="eastAsia" w:ascii="Times New Roman" w:hAnsi="Times New Roman" w:eastAsia="仿宋_GB2312"/>
          <w:color w:val="auto"/>
          <w:sz w:val="32"/>
          <w:szCs w:val="32"/>
          <w:highlight w:val="none"/>
          <w:lang w:val="en-US" w:eastAsia="zh-CN"/>
        </w:rPr>
        <w:t>指导、监督广播电视广告播放。指导</w:t>
      </w:r>
      <w:r>
        <w:rPr>
          <w:rFonts w:hint="eastAsia" w:ascii="Times New Roman" w:hAnsi="Times New Roman" w:eastAsia="仿宋_GB2312"/>
          <w:color w:val="auto"/>
          <w:sz w:val="32"/>
          <w:szCs w:val="32"/>
          <w:highlight w:val="none"/>
          <w:lang w:eastAsia="zh-CN"/>
        </w:rPr>
        <w:t>监督实施行业技术标准。负责广播电视节目传输覆盖、监测和安全播出的监督管理。负责对各类广播电视机构进行业务指导和行业监管，会同有关部门对网络视听节目服务机构进行管理。负责推进广播电视与新媒体新技术新业态融合发展。</w:t>
      </w:r>
    </w:p>
    <w:p w14:paraId="4CD92A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仿宋_GB2312" w:eastAsia="仿宋_GB2312"/>
          <w:b w:val="0"/>
          <w:bCs/>
          <w:color w:val="auto"/>
          <w:sz w:val="32"/>
          <w:szCs w:val="32"/>
          <w:highlight w:val="none"/>
          <w:lang w:val="en-US" w:eastAsia="zh-CN"/>
        </w:rPr>
      </w:pPr>
      <w:r>
        <w:rPr>
          <w:rFonts w:hint="eastAsia" w:eastAsia="仿宋_GB2312"/>
          <w:color w:val="auto"/>
          <w:sz w:val="32"/>
          <w:szCs w:val="32"/>
          <w:highlight w:val="none"/>
          <w:lang w:val="en-US" w:eastAsia="zh-CN"/>
        </w:rPr>
        <w:t>13、</w:t>
      </w:r>
      <w:r>
        <w:rPr>
          <w:rFonts w:hint="eastAsia" w:ascii="Times New Roman" w:hAnsi="Times New Roman" w:eastAsia="仿宋_GB2312"/>
          <w:color w:val="auto"/>
          <w:sz w:val="32"/>
          <w:szCs w:val="32"/>
          <w:highlight w:val="none"/>
          <w:lang w:eastAsia="zh-CN"/>
        </w:rPr>
        <w:t>管理和指导全区文物保护利用与考古工作。协调和监督全区文物安全工作，履行文物行政监督职责。协同相关部门负责世界文化与自然遗产、历史文化名城（镇、村</w:t>
      </w:r>
      <w:r>
        <w:rPr>
          <w:rFonts w:hint="eastAsia" w:ascii="Times New Roman" w:hAnsi="仿宋_GB2312" w:eastAsia="仿宋_GB2312"/>
          <w:b w:val="0"/>
          <w:bCs/>
          <w:color w:val="auto"/>
          <w:sz w:val="32"/>
          <w:szCs w:val="32"/>
          <w:highlight w:val="none"/>
          <w:lang w:val="en-US" w:eastAsia="zh-CN"/>
        </w:rPr>
        <w:t>）申报和监督管理工作。负责推动完善全区文物公共服务体系建设。指导和监督社会文物管理工作。</w:t>
      </w:r>
    </w:p>
    <w:p w14:paraId="72DB9B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Times New Roman" w:hAnsi="仿宋_GB2312" w:eastAsia="仿宋_GB2312"/>
          <w:b w:val="0"/>
          <w:bCs/>
          <w:color w:val="auto"/>
          <w:sz w:val="32"/>
          <w:szCs w:val="32"/>
          <w:highlight w:val="none"/>
          <w:lang w:val="en-US" w:eastAsia="zh-CN"/>
        </w:rPr>
      </w:pPr>
      <w:r>
        <w:rPr>
          <w:rFonts w:hint="eastAsia" w:eastAsia="仿宋_GB2312"/>
          <w:color w:val="auto"/>
          <w:sz w:val="32"/>
          <w:szCs w:val="32"/>
          <w:highlight w:val="none"/>
          <w:lang w:val="en-US" w:eastAsia="zh-CN"/>
        </w:rPr>
        <w:t>14、</w:t>
      </w:r>
      <w:r>
        <w:rPr>
          <w:rFonts w:hint="eastAsia" w:ascii="Times New Roman" w:hAnsi="Times New Roman" w:eastAsia="仿宋_GB2312"/>
          <w:color w:val="auto"/>
          <w:sz w:val="32"/>
          <w:szCs w:val="32"/>
          <w:highlight w:val="none"/>
          <w:lang w:eastAsia="zh-CN"/>
        </w:rPr>
        <w:t>负责职责范围内的意识形态责任制、安全生产和职业健康</w:t>
      </w:r>
      <w:r>
        <w:rPr>
          <w:rFonts w:hint="eastAsia" w:ascii="Times New Roman" w:hAnsi="仿宋_GB2312" w:eastAsia="仿宋_GB2312"/>
          <w:b w:val="0"/>
          <w:bCs/>
          <w:color w:val="auto"/>
          <w:sz w:val="32"/>
          <w:szCs w:val="32"/>
          <w:highlight w:val="none"/>
          <w:lang w:val="en-US" w:eastAsia="zh-CN"/>
        </w:rPr>
        <w:t>、生态环境保护、行政服务便民化等工作。</w:t>
      </w:r>
    </w:p>
    <w:p w14:paraId="3CE5409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仿宋_GB2312" w:eastAsia="仿宋_GB2312"/>
          <w:b w:val="0"/>
          <w:bCs/>
          <w:color w:val="auto"/>
          <w:sz w:val="32"/>
          <w:szCs w:val="32"/>
          <w:highlight w:val="none"/>
          <w:lang w:val="en-US" w:eastAsia="zh-CN"/>
        </w:rPr>
      </w:pPr>
      <w:r>
        <w:rPr>
          <w:rFonts w:hint="eastAsia" w:hAnsi="仿宋_GB2312" w:eastAsia="仿宋_GB2312"/>
          <w:b w:val="0"/>
          <w:bCs/>
          <w:color w:val="auto"/>
          <w:sz w:val="32"/>
          <w:szCs w:val="32"/>
          <w:highlight w:val="none"/>
          <w:lang w:val="en-US" w:eastAsia="zh-CN"/>
        </w:rPr>
        <w:t>15、</w:t>
      </w:r>
      <w:r>
        <w:rPr>
          <w:rFonts w:hint="eastAsia" w:ascii="Times New Roman" w:hAnsi="仿宋_GB2312" w:eastAsia="仿宋_GB2312"/>
          <w:b w:val="0"/>
          <w:bCs/>
          <w:color w:val="auto"/>
          <w:sz w:val="32"/>
          <w:szCs w:val="32"/>
          <w:highlight w:val="none"/>
          <w:lang w:val="en-US" w:eastAsia="zh-CN"/>
        </w:rPr>
        <w:t>承担区政府公布的相关权利事项。</w:t>
      </w:r>
    </w:p>
    <w:p w14:paraId="2ECB08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Times New Roman" w:hAnsi="仿宋_GB2312" w:eastAsia="仿宋_GB2312"/>
          <w:b w:val="0"/>
          <w:bCs/>
          <w:color w:val="auto"/>
          <w:sz w:val="32"/>
          <w:szCs w:val="32"/>
          <w:highlight w:val="none"/>
          <w:lang w:val="en-US" w:eastAsia="zh-CN"/>
        </w:rPr>
      </w:pPr>
      <w:r>
        <w:rPr>
          <w:rFonts w:hint="eastAsia" w:hAnsi="仿宋_GB2312" w:eastAsia="仿宋_GB2312"/>
          <w:b w:val="0"/>
          <w:bCs/>
          <w:color w:val="auto"/>
          <w:sz w:val="32"/>
          <w:szCs w:val="32"/>
          <w:highlight w:val="none"/>
          <w:lang w:val="en-US" w:eastAsia="zh-CN"/>
        </w:rPr>
        <w:t>16、</w:t>
      </w:r>
      <w:r>
        <w:rPr>
          <w:rFonts w:hint="eastAsia" w:ascii="Times New Roman" w:hAnsi="仿宋_GB2312" w:eastAsia="仿宋_GB2312"/>
          <w:b w:val="0"/>
          <w:bCs/>
          <w:color w:val="auto"/>
          <w:sz w:val="32"/>
          <w:szCs w:val="32"/>
          <w:highlight w:val="none"/>
          <w:lang w:val="en-US" w:eastAsia="zh-CN"/>
        </w:rPr>
        <w:t>完成区委、区政府交办的其他任务。</w:t>
      </w:r>
    </w:p>
    <w:p w14:paraId="3B03F80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lang w:val="en-US" w:eastAsia="zh-CN"/>
        </w:rPr>
      </w:pPr>
      <w:r>
        <w:rPr>
          <w:rFonts w:hint="eastAsia" w:hAnsi="仿宋_GB2312" w:eastAsia="仿宋_GB2312"/>
          <w:b w:val="0"/>
          <w:bCs/>
          <w:color w:val="auto"/>
          <w:sz w:val="32"/>
          <w:szCs w:val="32"/>
          <w:highlight w:val="none"/>
          <w:lang w:val="en-US" w:eastAsia="zh-CN"/>
        </w:rPr>
        <w:t>17、</w:t>
      </w:r>
      <w:r>
        <w:rPr>
          <w:rFonts w:hint="eastAsia" w:ascii="Times New Roman" w:hAnsi="仿宋_GB2312" w:eastAsia="仿宋_GB2312"/>
          <w:b w:val="0"/>
          <w:bCs/>
          <w:color w:val="auto"/>
          <w:sz w:val="32"/>
          <w:szCs w:val="32"/>
          <w:highlight w:val="none"/>
          <w:lang w:val="en-US" w:eastAsia="zh-CN"/>
        </w:rPr>
        <w:t>职能转变。以人民美好生活为引</w:t>
      </w:r>
      <w:r>
        <w:rPr>
          <w:rFonts w:hint="eastAsia" w:ascii="Times New Roman" w:hAnsi="Times New Roman" w:eastAsia="仿宋_GB2312"/>
          <w:color w:val="auto"/>
          <w:sz w:val="32"/>
          <w:szCs w:val="32"/>
          <w:highlight w:val="none"/>
          <w:lang w:eastAsia="zh-CN"/>
        </w:rPr>
        <w:t>导，统筹推进文化事业、文化产业和旅游业融合发展。深化“放管服”改革，进一步简政放权，强化事中事后监管，推进行政服务便民化。</w:t>
      </w:r>
      <w:r>
        <w:rPr>
          <w:rFonts w:hint="eastAsia" w:ascii="仿宋_GB2312" w:hAnsi="仿宋_GB2312" w:eastAsia="仿宋_GB2312" w:cs="仿宋_GB2312"/>
          <w:color w:val="auto"/>
          <w:sz w:val="32"/>
          <w:szCs w:val="32"/>
          <w:highlight w:val="none"/>
          <w:lang w:eastAsia="zh-CN"/>
        </w:rPr>
        <w:t>提升文旅产业在全区产业发展格局中的支撑作用，增强船山文化软实力，加快建设文化旅游强区。</w:t>
      </w:r>
    </w:p>
    <w:p w14:paraId="724231DC">
      <w:pPr>
        <w:pStyle w:val="4"/>
        <w:keepNext/>
        <w:keepLines/>
        <w:pageBreakBefore w:val="0"/>
        <w:widowControl w:val="0"/>
        <w:kinsoku/>
        <w:wordWrap/>
        <w:overflowPunct/>
        <w:topLinePunct w:val="0"/>
        <w:autoSpaceDE/>
        <w:autoSpaceDN/>
        <w:bidi w:val="0"/>
        <w:adjustRightInd/>
        <w:snapToGrid/>
        <w:spacing w:before="0" w:after="0" w:line="416" w:lineRule="auto"/>
        <w:textAlignment w:val="auto"/>
        <w:rPr>
          <w:rStyle w:val="20"/>
          <w:b w:val="0"/>
          <w:bCs w:val="0"/>
          <w:color w:val="auto"/>
          <w:highlight w:val="none"/>
        </w:rPr>
      </w:pPr>
      <w:bookmarkStart w:id="34" w:name="_Toc15377200"/>
      <w:bookmarkStart w:id="35" w:name="_Toc4964_WPSOffice_Level2"/>
      <w:bookmarkStart w:id="36"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20"/>
          <w:rFonts w:hint="eastAsia" w:ascii="黑体" w:hAnsi="黑体" w:eastAsia="黑体"/>
          <w:b w:val="0"/>
          <w:bCs w:val="0"/>
          <w:color w:val="auto"/>
          <w:highlight w:val="none"/>
        </w:rPr>
        <w:t>构设置</w:t>
      </w:r>
      <w:bookmarkEnd w:id="34"/>
      <w:bookmarkEnd w:id="35"/>
      <w:bookmarkEnd w:id="36"/>
    </w:p>
    <w:p w14:paraId="03DE6F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val="en-US" w:eastAsia="zh-CN"/>
        </w:rPr>
        <w:t>区文化广电旅游局</w:t>
      </w:r>
      <w:r>
        <w:rPr>
          <w:rFonts w:hint="eastAsia" w:ascii="Times New Roman" w:hAnsi="Times New Roman" w:eastAsia="仿宋_GB2312"/>
          <w:color w:val="auto"/>
          <w:sz w:val="32"/>
          <w:szCs w:val="32"/>
          <w:highlight w:val="none"/>
          <w:lang w:eastAsia="zh-CN"/>
        </w:rPr>
        <w:t>下属二级单位</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lang w:eastAsia="zh-CN"/>
        </w:rPr>
        <w:t>个，其中行政单位</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lang w:eastAsia="zh-CN"/>
        </w:rPr>
        <w:t>个，参照公务员法管理的事业单位</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lang w:eastAsia="zh-CN"/>
        </w:rPr>
        <w:t>个，其他事业单位</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lang w:eastAsia="zh-CN"/>
        </w:rPr>
        <w:t>个。</w:t>
      </w:r>
    </w:p>
    <w:p w14:paraId="485DB0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olor w:val="auto"/>
          <w:sz w:val="32"/>
          <w:szCs w:val="32"/>
          <w:highlight w:val="none"/>
          <w:lang w:eastAsia="zh-CN"/>
        </w:rPr>
        <w:t>纳入</w:t>
      </w:r>
      <w:r>
        <w:rPr>
          <w:rFonts w:hint="eastAsia" w:ascii="Times New Roman" w:hAnsi="Times New Roman" w:eastAsia="仿宋_GB2312"/>
          <w:color w:val="auto"/>
          <w:sz w:val="32"/>
          <w:szCs w:val="32"/>
          <w:highlight w:val="none"/>
          <w:lang w:val="en-US" w:eastAsia="zh-CN"/>
        </w:rPr>
        <w:t>区文化广电旅游局</w:t>
      </w:r>
      <w:r>
        <w:rPr>
          <w:rFonts w:hint="eastAsia" w:ascii="Times New Roman" w:hAnsi="Times New Roman" w:eastAsia="仿宋_GB2312"/>
          <w:color w:val="auto"/>
          <w:sz w:val="32"/>
          <w:szCs w:val="32"/>
          <w:highlight w:val="none"/>
          <w:lang w:eastAsia="zh-CN"/>
        </w:rPr>
        <w:t>2023年度部门决算编制范围的二级预算单位包括：</w:t>
      </w:r>
    </w:p>
    <w:p w14:paraId="5157F59E">
      <w:pPr>
        <w:pStyle w:val="2"/>
        <w:keepNext w:val="0"/>
        <w:keepLines w:val="0"/>
        <w:pageBreakBefore w:val="0"/>
        <w:widowControl w:val="0"/>
        <w:numPr>
          <w:ilvl w:val="0"/>
          <w:numId w:val="3"/>
        </w:numPr>
        <w:kinsoku/>
        <w:wordWrap/>
        <w:overflowPunct/>
        <w:topLinePunct w:val="0"/>
        <w:autoSpaceDE/>
        <w:autoSpaceDN/>
        <w:bidi w:val="0"/>
        <w:adjustRightInd w:val="0"/>
        <w:snapToGrid w:val="0"/>
        <w:spacing w:before="0" w:after="0" w:line="600" w:lineRule="exact"/>
        <w:textAlignment w:val="auto"/>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区文化馆</w:t>
      </w:r>
    </w:p>
    <w:p w14:paraId="614EE99E">
      <w:pPr>
        <w:pStyle w:val="2"/>
        <w:keepNext w:val="0"/>
        <w:keepLines w:val="0"/>
        <w:pageBreakBefore w:val="0"/>
        <w:widowControl w:val="0"/>
        <w:numPr>
          <w:ilvl w:val="0"/>
          <w:numId w:val="3"/>
        </w:numPr>
        <w:kinsoku/>
        <w:wordWrap/>
        <w:overflowPunct/>
        <w:topLinePunct w:val="0"/>
        <w:autoSpaceDE/>
        <w:autoSpaceDN/>
        <w:bidi w:val="0"/>
        <w:adjustRightInd w:val="0"/>
        <w:snapToGrid w:val="0"/>
        <w:spacing w:before="0" w:after="0" w:line="600" w:lineRule="exact"/>
        <w:textAlignment w:val="auto"/>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区图书馆</w:t>
      </w:r>
    </w:p>
    <w:p w14:paraId="14C5C54C">
      <w:pPr>
        <w:pStyle w:val="2"/>
        <w:keepNext w:val="0"/>
        <w:keepLines w:val="0"/>
        <w:pageBreakBefore w:val="0"/>
        <w:widowControl w:val="0"/>
        <w:numPr>
          <w:ilvl w:val="0"/>
          <w:numId w:val="3"/>
        </w:numPr>
        <w:kinsoku/>
        <w:wordWrap/>
        <w:overflowPunct/>
        <w:topLinePunct w:val="0"/>
        <w:autoSpaceDE/>
        <w:autoSpaceDN/>
        <w:bidi w:val="0"/>
        <w:adjustRightInd w:val="0"/>
        <w:snapToGrid w:val="0"/>
        <w:spacing w:before="0" w:after="0" w:line="600" w:lineRule="exact"/>
        <w:textAlignment w:val="auto"/>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区美术馆</w:t>
      </w:r>
    </w:p>
    <w:p w14:paraId="7E895BDD">
      <w:pPr>
        <w:pStyle w:val="2"/>
        <w:keepNext w:val="0"/>
        <w:keepLines w:val="0"/>
        <w:pageBreakBefore w:val="0"/>
        <w:widowControl w:val="0"/>
        <w:numPr>
          <w:ilvl w:val="0"/>
          <w:numId w:val="3"/>
        </w:numPr>
        <w:kinsoku/>
        <w:wordWrap/>
        <w:overflowPunct/>
        <w:topLinePunct w:val="0"/>
        <w:autoSpaceDE/>
        <w:autoSpaceDN/>
        <w:bidi w:val="0"/>
        <w:adjustRightInd w:val="0"/>
        <w:snapToGrid w:val="0"/>
        <w:spacing w:before="0" w:after="0" w:line="600" w:lineRule="exact"/>
        <w:textAlignment w:val="auto"/>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区</w:t>
      </w:r>
      <w:r>
        <w:rPr>
          <w:rFonts w:hint="eastAsia" w:ascii="仿宋" w:hAnsi="仿宋" w:eastAsia="仿宋"/>
          <w:color w:val="000000"/>
          <w:sz w:val="32"/>
          <w:szCs w:val="32"/>
          <w:highlight w:val="none"/>
          <w:lang w:val="en-US" w:eastAsia="zh-CN"/>
        </w:rPr>
        <w:t>文管所</w:t>
      </w:r>
    </w:p>
    <w:p w14:paraId="0CA0F3C1">
      <w:pPr>
        <w:pStyle w:val="2"/>
        <w:keepNext w:val="0"/>
        <w:keepLines w:val="0"/>
        <w:pageBreakBefore w:val="0"/>
        <w:widowControl w:val="0"/>
        <w:numPr>
          <w:ilvl w:val="0"/>
          <w:numId w:val="3"/>
        </w:numPr>
        <w:kinsoku/>
        <w:wordWrap/>
        <w:overflowPunct/>
        <w:topLinePunct w:val="0"/>
        <w:autoSpaceDE/>
        <w:autoSpaceDN/>
        <w:bidi w:val="0"/>
        <w:adjustRightInd w:val="0"/>
        <w:snapToGrid w:val="0"/>
        <w:spacing w:before="0" w:after="0" w:line="600" w:lineRule="exact"/>
        <w:textAlignment w:val="auto"/>
        <w:outlineLvl w:val="2"/>
        <w:rPr>
          <w:rFonts w:ascii="仿宋" w:hAnsi="仿宋" w:eastAsia="仿宋"/>
          <w:color w:val="auto"/>
          <w:sz w:val="32"/>
          <w:szCs w:val="32"/>
          <w:highlight w:val="none"/>
        </w:rPr>
      </w:pPr>
      <w:r>
        <w:rPr>
          <w:rFonts w:hint="eastAsia" w:ascii="仿宋" w:hAnsi="仿宋" w:eastAsia="仿宋"/>
          <w:color w:val="000000"/>
          <w:sz w:val="32"/>
          <w:szCs w:val="32"/>
          <w:highlight w:val="none"/>
          <w:lang w:val="en-US" w:eastAsia="zh-CN"/>
        </w:rPr>
        <w:t>区文化旅游发展服务中心</w:t>
      </w:r>
    </w:p>
    <w:p w14:paraId="66A0D27E">
      <w:pPr>
        <w:widowControl/>
        <w:jc w:val="left"/>
        <w:rPr>
          <w:rFonts w:ascii="仿宋" w:hAnsi="仿宋" w:eastAsia="仿宋"/>
          <w:color w:val="auto"/>
          <w:kern w:val="0"/>
          <w:sz w:val="32"/>
          <w:szCs w:val="32"/>
          <w:highlight w:val="none"/>
        </w:rPr>
      </w:pPr>
    </w:p>
    <w:p w14:paraId="03F5D07F">
      <w:pPr>
        <w:pStyle w:val="15"/>
        <w:rPr>
          <w:rFonts w:ascii="仿宋" w:hAnsi="仿宋" w:eastAsia="仿宋"/>
          <w:color w:val="auto"/>
          <w:kern w:val="0"/>
          <w:sz w:val="32"/>
          <w:szCs w:val="32"/>
          <w:highlight w:val="none"/>
        </w:rPr>
      </w:pPr>
    </w:p>
    <w:p w14:paraId="4F516E24">
      <w:pPr>
        <w:rPr>
          <w:rFonts w:ascii="仿宋" w:hAnsi="仿宋" w:eastAsia="仿宋"/>
          <w:color w:val="auto"/>
          <w:kern w:val="0"/>
          <w:sz w:val="32"/>
          <w:szCs w:val="32"/>
          <w:highlight w:val="none"/>
        </w:rPr>
      </w:pPr>
    </w:p>
    <w:p w14:paraId="6F635535">
      <w:pPr>
        <w:pStyle w:val="15"/>
      </w:pPr>
    </w:p>
    <w:p w14:paraId="7EF39430">
      <w:pPr>
        <w:pStyle w:val="3"/>
        <w:ind w:right="440"/>
        <w:jc w:val="center"/>
        <w:rPr>
          <w:rFonts w:hint="eastAsia" w:ascii="黑体" w:hAnsi="黑体" w:eastAsia="黑体"/>
          <w:b w:val="0"/>
          <w:bCs/>
          <w:color w:val="auto"/>
          <w:highlight w:val="none"/>
        </w:rPr>
      </w:pPr>
      <w:bookmarkStart w:id="37" w:name="_Toc15396602"/>
      <w:bookmarkStart w:id="38" w:name="_Toc15377204"/>
      <w:bookmarkStart w:id="39" w:name="_Toc25045_WPSOffice_Level1"/>
    </w:p>
    <w:p w14:paraId="44E7B70B">
      <w:pPr>
        <w:pStyle w:val="3"/>
        <w:ind w:right="440"/>
        <w:jc w:val="center"/>
        <w:rPr>
          <w:color w:val="auto"/>
          <w:highlight w:val="none"/>
        </w:rPr>
      </w:pPr>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19"/>
          <w:rFonts w:hint="eastAsia" w:ascii="黑体" w:hAnsi="黑体" w:eastAsia="黑体"/>
          <w:b w:val="0"/>
          <w:bCs/>
          <w:color w:val="auto"/>
          <w:highlight w:val="none"/>
        </w:rPr>
        <w:t>部门决算情况说明</w:t>
      </w:r>
      <w:bookmarkEnd w:id="37"/>
      <w:bookmarkEnd w:id="38"/>
      <w:bookmarkEnd w:id="39"/>
    </w:p>
    <w:p w14:paraId="620C7357">
      <w:pPr>
        <w:pStyle w:val="21"/>
        <w:numPr>
          <w:ilvl w:val="0"/>
          <w:numId w:val="4"/>
        </w:numPr>
        <w:spacing w:line="600" w:lineRule="exact"/>
        <w:ind w:firstLineChars="0"/>
        <w:outlineLvl w:val="1"/>
        <w:rPr>
          <w:rStyle w:val="20"/>
          <w:rFonts w:ascii="黑体" w:hAnsi="黑体" w:eastAsia="黑体"/>
          <w:b w:val="0"/>
          <w:color w:val="auto"/>
          <w:highlight w:val="none"/>
        </w:rPr>
      </w:pPr>
      <w:bookmarkStart w:id="40" w:name="_Toc16872_WPSOffice_Level2"/>
      <w:bookmarkStart w:id="41" w:name="_Toc15396603"/>
      <w:bookmarkStart w:id="42" w:name="_Toc15377205"/>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入支出决算总体情况说明</w:t>
      </w:r>
      <w:bookmarkEnd w:id="40"/>
      <w:bookmarkEnd w:id="41"/>
      <w:bookmarkEnd w:id="42"/>
    </w:p>
    <w:p w14:paraId="363EC7CE">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1,553.64</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相比，收、支总计各增加</w:t>
      </w:r>
      <w:r>
        <w:rPr>
          <w:rFonts w:hint="eastAsia" w:ascii="仿宋" w:hAnsi="仿宋" w:eastAsia="仿宋"/>
          <w:color w:val="auto"/>
          <w:sz w:val="32"/>
          <w:szCs w:val="32"/>
          <w:highlight w:val="none"/>
          <w:lang w:val="en-US" w:eastAsia="zh-CN"/>
        </w:rPr>
        <w:t>26.43</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1.73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2023年新增加了天府旅游名县创建、2021年旅游发展资金等项目经费</w:t>
      </w:r>
      <w:r>
        <w:rPr>
          <w:rFonts w:hint="eastAsia" w:ascii="仿宋" w:hAnsi="仿宋" w:eastAsia="仿宋"/>
          <w:color w:val="auto"/>
          <w:sz w:val="32"/>
          <w:szCs w:val="32"/>
          <w:highlight w:val="none"/>
          <w:lang w:eastAsia="zh-CN"/>
        </w:rPr>
        <w:t>。</w:t>
      </w:r>
    </w:p>
    <w:p w14:paraId="7288A6B4">
      <w:pPr>
        <w:spacing w:line="600" w:lineRule="exact"/>
        <w:ind w:firstLine="640" w:firstLineChars="200"/>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72FEDCAA">
      <w:pPr>
        <w:pStyle w:val="15"/>
      </w:pPr>
      <w:r>
        <w:drawing>
          <wp:inline distT="0" distB="0" distL="114300" distR="114300">
            <wp:extent cx="3541395" cy="1876425"/>
            <wp:effectExtent l="4445" t="4445" r="16510" b="5080"/>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DB143A">
      <w:pPr>
        <w:pStyle w:val="21"/>
        <w:numPr>
          <w:ilvl w:val="0"/>
          <w:numId w:val="4"/>
        </w:numPr>
        <w:spacing w:line="600" w:lineRule="exact"/>
        <w:ind w:firstLineChars="0"/>
        <w:outlineLvl w:val="1"/>
        <w:rPr>
          <w:rStyle w:val="20"/>
          <w:rFonts w:ascii="黑体" w:hAnsi="黑体" w:eastAsia="黑体"/>
          <w:b w:val="0"/>
          <w:color w:val="auto"/>
          <w:highlight w:val="none"/>
        </w:rPr>
      </w:pPr>
      <w:bookmarkStart w:id="43" w:name="_Toc15377206"/>
      <w:bookmarkStart w:id="44" w:name="_Toc15396604"/>
      <w:bookmarkStart w:id="45" w:name="_Toc14378_WPSOffice_Level2"/>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入决算情况说明</w:t>
      </w:r>
      <w:bookmarkEnd w:id="43"/>
      <w:bookmarkEnd w:id="44"/>
      <w:bookmarkEnd w:id="45"/>
    </w:p>
    <w:p w14:paraId="3C1970E0">
      <w:pPr>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1,553.64</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1,523.93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98.09</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29.71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1.91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2BC2982F">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68FCB258">
      <w:pPr>
        <w:spacing w:line="600" w:lineRule="exact"/>
        <w:ind w:firstLine="640" w:firstLineChars="200"/>
        <w:rPr>
          <w:rFonts w:ascii="仿宋_GB2312" w:eastAsia="仿宋_GB2312"/>
          <w:color w:val="auto"/>
          <w:sz w:val="32"/>
          <w:szCs w:val="32"/>
          <w:highlight w:val="none"/>
        </w:rPr>
      </w:pPr>
    </w:p>
    <w:p w14:paraId="204B4880">
      <w:pPr>
        <w:pStyle w:val="15"/>
      </w:pPr>
      <w:r>
        <w:drawing>
          <wp:inline distT="0" distB="0" distL="114300" distR="114300">
            <wp:extent cx="3371850" cy="1524000"/>
            <wp:effectExtent l="4445" t="4445" r="14605" b="14605"/>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E2D5C9">
      <w:pPr>
        <w:pStyle w:val="21"/>
        <w:numPr>
          <w:ilvl w:val="0"/>
          <w:numId w:val="4"/>
        </w:numPr>
        <w:spacing w:line="600" w:lineRule="exact"/>
        <w:ind w:firstLineChars="0"/>
        <w:outlineLvl w:val="1"/>
        <w:rPr>
          <w:rStyle w:val="20"/>
          <w:rFonts w:ascii="黑体" w:hAnsi="黑体" w:eastAsia="黑体"/>
          <w:b w:val="0"/>
          <w:color w:val="auto"/>
          <w:highlight w:val="none"/>
        </w:rPr>
      </w:pPr>
      <w:bookmarkStart w:id="46" w:name="_Toc26590_WPSOffice_Level2"/>
      <w:bookmarkStart w:id="47" w:name="_Toc15377207"/>
      <w:bookmarkStart w:id="48" w:name="_Toc15396605"/>
      <w:r>
        <w:rPr>
          <w:rFonts w:hint="eastAsia" w:ascii="黑体" w:hAnsi="黑体" w:eastAsia="黑体"/>
          <w:color w:val="auto"/>
          <w:sz w:val="32"/>
          <w:szCs w:val="32"/>
          <w:highlight w:val="none"/>
        </w:rPr>
        <w:t>支</w:t>
      </w:r>
      <w:r>
        <w:rPr>
          <w:rStyle w:val="20"/>
          <w:rFonts w:hint="eastAsia" w:ascii="黑体" w:hAnsi="黑体" w:eastAsia="黑体"/>
          <w:b w:val="0"/>
          <w:color w:val="auto"/>
          <w:highlight w:val="none"/>
        </w:rPr>
        <w:t>出决算情况说明</w:t>
      </w:r>
      <w:bookmarkEnd w:id="46"/>
      <w:bookmarkEnd w:id="47"/>
      <w:bookmarkEnd w:id="48"/>
    </w:p>
    <w:p w14:paraId="652E8678">
      <w:pPr>
        <w:spacing w:line="600" w:lineRule="exact"/>
        <w:ind w:firstLine="640" w:firstLineChars="200"/>
        <w:outlineLvl w:val="1"/>
        <w:rPr>
          <w:rFonts w:ascii="仿宋" w:hAnsi="仿宋" w:eastAsia="仿宋"/>
          <w:color w:val="auto"/>
          <w:sz w:val="32"/>
          <w:szCs w:val="32"/>
          <w:highlight w:val="none"/>
          <w:shd w:val="pct10" w:color="auto" w:fill="FFFFFF"/>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1,553.64</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743.88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47.88</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809.76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52.12</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06418B6F">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40607C47">
      <w:pPr>
        <w:pStyle w:val="15"/>
        <w:rPr>
          <w:rFonts w:ascii="仿宋_GB2312" w:eastAsia="仿宋_GB2312"/>
          <w:color w:val="auto"/>
          <w:sz w:val="32"/>
          <w:szCs w:val="32"/>
          <w:highlight w:val="none"/>
        </w:rPr>
      </w:pPr>
      <w:r>
        <w:drawing>
          <wp:inline distT="0" distB="0" distL="114300" distR="114300">
            <wp:extent cx="3311525" cy="1559560"/>
            <wp:effectExtent l="4445" t="4445" r="1778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1A2B9D">
      <w:pPr>
        <w:spacing w:line="600" w:lineRule="exact"/>
        <w:ind w:firstLine="640" w:firstLineChars="200"/>
        <w:outlineLvl w:val="1"/>
        <w:rPr>
          <w:rStyle w:val="20"/>
          <w:rFonts w:ascii="黑体" w:hAnsi="黑体" w:eastAsia="黑体"/>
          <w:b w:val="0"/>
          <w:color w:val="auto"/>
          <w:highlight w:val="none"/>
        </w:rPr>
      </w:pPr>
      <w:bookmarkStart w:id="49" w:name="_Toc15377208"/>
      <w:bookmarkStart w:id="50" w:name="_Toc15396606"/>
      <w:bookmarkStart w:id="51" w:name="_Toc24452_WPSOffice_Level2"/>
      <w:r>
        <w:rPr>
          <w:rFonts w:hint="eastAsia" w:ascii="黑体" w:hAnsi="黑体" w:eastAsia="黑体"/>
          <w:color w:val="auto"/>
          <w:sz w:val="32"/>
          <w:szCs w:val="32"/>
          <w:highlight w:val="none"/>
        </w:rPr>
        <w:t>四、财</w:t>
      </w:r>
      <w:r>
        <w:rPr>
          <w:rStyle w:val="20"/>
          <w:rFonts w:hint="eastAsia" w:ascii="黑体" w:hAnsi="黑体" w:eastAsia="黑体"/>
          <w:b w:val="0"/>
          <w:color w:val="auto"/>
          <w:highlight w:val="none"/>
        </w:rPr>
        <w:t>政拨款收入支出决算总体情况说明</w:t>
      </w:r>
      <w:bookmarkEnd w:id="49"/>
      <w:bookmarkEnd w:id="50"/>
      <w:bookmarkEnd w:id="51"/>
    </w:p>
    <w:p w14:paraId="60D5802E">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财政拨款收、支总计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1,523.93</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相比，财政拨款收、支总计各增加</w:t>
      </w:r>
      <w:r>
        <w:rPr>
          <w:rFonts w:hint="eastAsia" w:ascii="仿宋" w:hAnsi="仿宋" w:eastAsia="仿宋"/>
          <w:color w:val="auto"/>
          <w:sz w:val="32"/>
          <w:szCs w:val="32"/>
          <w:highlight w:val="none"/>
          <w:lang w:val="en-US" w:eastAsia="zh-CN"/>
        </w:rPr>
        <w:t>63.04</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4.32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2023年新增加了天府旅游名县创建、2021年旅游发展资金等项目经费</w:t>
      </w:r>
      <w:r>
        <w:rPr>
          <w:rFonts w:hint="eastAsia" w:ascii="仿宋" w:hAnsi="仿宋" w:eastAsia="仿宋"/>
          <w:color w:val="auto"/>
          <w:sz w:val="32"/>
          <w:szCs w:val="32"/>
          <w:highlight w:val="none"/>
          <w:lang w:eastAsia="zh-CN"/>
        </w:rPr>
        <w:t>。</w:t>
      </w:r>
    </w:p>
    <w:p w14:paraId="7AD289B2">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3618392B">
      <w:pPr>
        <w:spacing w:line="600" w:lineRule="exact"/>
        <w:ind w:firstLine="640"/>
      </w:pPr>
    </w:p>
    <w:p w14:paraId="4F85C068">
      <w:pPr>
        <w:pStyle w:val="15"/>
      </w:pPr>
      <w:r>
        <w:drawing>
          <wp:inline distT="0" distB="0" distL="114300" distR="114300">
            <wp:extent cx="2743200" cy="1790700"/>
            <wp:effectExtent l="4445" t="4445" r="14605" b="14605"/>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080C3E">
      <w:pPr>
        <w:spacing w:line="600" w:lineRule="exact"/>
        <w:ind w:firstLine="640" w:firstLineChars="200"/>
        <w:outlineLvl w:val="1"/>
        <w:rPr>
          <w:rStyle w:val="20"/>
          <w:rFonts w:ascii="黑体" w:hAnsi="黑体" w:eastAsia="黑体"/>
          <w:b w:val="0"/>
          <w:color w:val="auto"/>
          <w:highlight w:val="none"/>
        </w:rPr>
      </w:pPr>
      <w:bookmarkStart w:id="52" w:name="_Toc15377209"/>
      <w:bookmarkStart w:id="53" w:name="_Toc27067_WPSOffice_Level2"/>
      <w:bookmarkStart w:id="54" w:name="_Toc15396607"/>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般公共预算财政拨款支出决算情况说明</w:t>
      </w:r>
      <w:bookmarkEnd w:id="52"/>
      <w:bookmarkEnd w:id="53"/>
      <w:bookmarkEnd w:id="54"/>
    </w:p>
    <w:p w14:paraId="049B580B">
      <w:pPr>
        <w:spacing w:line="600" w:lineRule="exact"/>
        <w:ind w:firstLine="643" w:firstLineChars="200"/>
        <w:outlineLvl w:val="2"/>
        <w:rPr>
          <w:rFonts w:ascii="仿宋" w:hAnsi="仿宋" w:eastAsia="仿宋"/>
          <w:b/>
          <w:color w:val="auto"/>
          <w:sz w:val="32"/>
          <w:szCs w:val="32"/>
          <w:highlight w:val="none"/>
        </w:rPr>
      </w:pPr>
      <w:bookmarkStart w:id="55" w:name="_Toc15377210"/>
      <w:r>
        <w:rPr>
          <w:rFonts w:hint="eastAsia" w:ascii="仿宋" w:hAnsi="仿宋" w:eastAsia="仿宋"/>
          <w:b/>
          <w:color w:val="auto"/>
          <w:sz w:val="32"/>
          <w:szCs w:val="32"/>
          <w:highlight w:val="none"/>
        </w:rPr>
        <w:t>（一）一般公共预算财政拨款支出决算总体情况</w:t>
      </w:r>
      <w:bookmarkEnd w:id="55"/>
    </w:p>
    <w:p w14:paraId="53CA5F00">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1,523.93</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98.09</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63.04</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4.32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2023年新增加了天府旅游名县创建、2021年旅游发展资金等项目经费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（图5：一般公共预算财政拨款支出决算变动情况）（柱状图）</w:t>
      </w:r>
    </w:p>
    <w:p w14:paraId="3BB374D5">
      <w:pPr>
        <w:pStyle w:val="15"/>
      </w:pPr>
      <w:r>
        <w:drawing>
          <wp:inline distT="0" distB="0" distL="114300" distR="114300">
            <wp:extent cx="2838450" cy="1828800"/>
            <wp:effectExtent l="4445" t="4445" r="14605" b="14605"/>
            <wp:docPr id="4"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7257EF">
      <w:pPr>
        <w:spacing w:line="600" w:lineRule="exact"/>
        <w:ind w:firstLine="643" w:firstLineChars="200"/>
        <w:outlineLvl w:val="2"/>
        <w:rPr>
          <w:rFonts w:ascii="仿宋" w:hAnsi="仿宋" w:eastAsia="仿宋"/>
          <w:b/>
          <w:color w:val="auto"/>
          <w:sz w:val="32"/>
          <w:szCs w:val="32"/>
          <w:highlight w:val="none"/>
        </w:rPr>
      </w:pPr>
      <w:bookmarkStart w:id="56" w:name="_Toc15377211"/>
      <w:r>
        <w:rPr>
          <w:rFonts w:hint="eastAsia" w:ascii="仿宋" w:hAnsi="仿宋" w:eastAsia="仿宋"/>
          <w:b/>
          <w:color w:val="auto"/>
          <w:sz w:val="32"/>
          <w:szCs w:val="32"/>
          <w:highlight w:val="none"/>
        </w:rPr>
        <w:t>（二）一般公共预算财政拨款支出决算结构情况</w:t>
      </w:r>
      <w:bookmarkEnd w:id="56"/>
    </w:p>
    <w:p w14:paraId="22495316">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1,523.93</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1.75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0.11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文化旅游体育与传媒支出</w:t>
      </w:r>
      <w:r>
        <w:rPr>
          <w:rFonts w:hint="eastAsia" w:ascii="仿宋" w:hAnsi="仿宋" w:eastAsia="仿宋"/>
          <w:b w:val="0"/>
          <w:bCs w:val="0"/>
          <w:color w:val="auto"/>
          <w:sz w:val="32"/>
          <w:szCs w:val="32"/>
          <w:highlight w:val="none"/>
          <w:lang w:val="en-US" w:eastAsia="zh-CN"/>
        </w:rPr>
        <w:t>1,220.80</w:t>
      </w:r>
      <w:r>
        <w:rPr>
          <w:rFonts w:hint="eastAsia" w:ascii="仿宋" w:hAnsi="仿宋" w:eastAsia="仿宋"/>
          <w:b w:val="0"/>
          <w:bCs w:val="0"/>
          <w:color w:val="auto"/>
          <w:sz w:val="32"/>
          <w:szCs w:val="32"/>
          <w:highlight w:val="none"/>
        </w:rPr>
        <w:t>万元，占</w:t>
      </w:r>
      <w:r>
        <w:rPr>
          <w:rFonts w:hint="eastAsia" w:ascii="仿宋" w:hAnsi="仿宋" w:eastAsia="仿宋"/>
          <w:b w:val="0"/>
          <w:bCs w:val="0"/>
          <w:color w:val="auto"/>
          <w:sz w:val="32"/>
          <w:szCs w:val="32"/>
          <w:highlight w:val="none"/>
          <w:lang w:val="en-US" w:eastAsia="zh-CN"/>
        </w:rPr>
        <w:t>80.11</w:t>
      </w:r>
      <w:r>
        <w:rPr>
          <w:rFonts w:ascii="仿宋" w:hAnsi="仿宋" w:eastAsia="仿宋"/>
          <w:b w:val="0"/>
          <w:bCs w:val="0"/>
          <w:color w:val="auto"/>
          <w:sz w:val="32"/>
          <w:szCs w:val="32"/>
          <w:highlight w:val="none"/>
        </w:rPr>
        <w:t>%</w:t>
      </w:r>
      <w:r>
        <w:rPr>
          <w:rFonts w:hint="eastAsia" w:ascii="仿宋" w:hAnsi="仿宋" w:eastAsia="仿宋"/>
          <w:b w:val="0"/>
          <w:bCs w:val="0"/>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162.04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10.64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26.62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1.75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农林水支出</w:t>
      </w:r>
      <w:r>
        <w:rPr>
          <w:rFonts w:hint="eastAsia" w:ascii="仿宋" w:hAnsi="仿宋" w:eastAsia="仿宋"/>
          <w:color w:val="auto"/>
          <w:sz w:val="32"/>
          <w:szCs w:val="32"/>
          <w:highlight w:val="none"/>
          <w:lang w:val="en-US" w:eastAsia="zh-CN"/>
        </w:rPr>
        <w:t>64.69万元，占4.24%；</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48.04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3.15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37CBF63E">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1FAC8A13">
      <w:pPr>
        <w:pStyle w:val="15"/>
      </w:pPr>
      <w:r>
        <w:drawing>
          <wp:inline distT="0" distB="0" distL="114300" distR="114300">
            <wp:extent cx="4057650" cy="1466850"/>
            <wp:effectExtent l="5080" t="4445" r="13970" b="14605"/>
            <wp:docPr id="5" name="图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56BFB8">
      <w:pPr>
        <w:spacing w:line="600" w:lineRule="exact"/>
        <w:ind w:firstLine="643" w:firstLineChars="200"/>
        <w:outlineLvl w:val="2"/>
        <w:rPr>
          <w:rFonts w:ascii="仿宋" w:hAnsi="仿宋" w:eastAsia="仿宋"/>
          <w:b/>
          <w:color w:val="auto"/>
          <w:sz w:val="32"/>
          <w:szCs w:val="32"/>
          <w:highlight w:val="none"/>
        </w:rPr>
      </w:pPr>
      <w:bookmarkStart w:id="57" w:name="_Toc15377212"/>
      <w:r>
        <w:rPr>
          <w:rFonts w:hint="eastAsia" w:ascii="仿宋" w:hAnsi="仿宋" w:eastAsia="仿宋"/>
          <w:b/>
          <w:color w:val="auto"/>
          <w:sz w:val="32"/>
          <w:szCs w:val="32"/>
          <w:highlight w:val="none"/>
        </w:rPr>
        <w:t>（三）一般公共预算财政拨款支出决算具体情况</w:t>
      </w:r>
      <w:bookmarkEnd w:id="57"/>
    </w:p>
    <w:p w14:paraId="268E0954">
      <w:pPr>
        <w:spacing w:line="600" w:lineRule="exact"/>
        <w:ind w:firstLine="643" w:firstLineChars="200"/>
        <w:outlineLvl w:val="2"/>
        <w:rPr>
          <w:rFonts w:ascii="仿宋" w:hAnsi="仿宋" w:eastAsia="仿宋"/>
          <w:color w:val="auto"/>
          <w:sz w:val="32"/>
          <w:szCs w:val="32"/>
          <w:highlight w:val="none"/>
        </w:rPr>
      </w:pPr>
      <w:bookmarkStart w:id="58" w:name="_Toc15377213"/>
      <w:bookmarkStart w:id="59" w:name="_Toc15378460"/>
      <w:bookmarkStart w:id="60" w:name="_Toc15377444"/>
      <w:r>
        <w:rPr>
          <w:rFonts w:hint="eastAsia" w:ascii="仿宋" w:hAnsi="仿宋" w:eastAsia="仿宋"/>
          <w:b/>
          <w:color w:val="auto"/>
          <w:sz w:val="32"/>
          <w:szCs w:val="32"/>
          <w:highlight w:val="none"/>
          <w:lang w:eastAsia="zh-CN"/>
        </w:rPr>
        <w:t>2023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度一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1,523.93万元</w:t>
      </w:r>
      <w:r>
        <w:rPr>
          <w:rStyle w:val="13"/>
          <w:rFonts w:hint="eastAsia" w:ascii="仿宋" w:hAnsi="仿宋" w:eastAsia="仿宋"/>
          <w:bCs/>
          <w:color w:val="auto"/>
          <w:sz w:val="32"/>
          <w:szCs w:val="32"/>
          <w:highlight w:val="none"/>
        </w:rPr>
        <w:t>完成预算</w:t>
      </w:r>
      <w:r>
        <w:rPr>
          <w:rStyle w:val="13"/>
          <w:rFonts w:hint="eastAsia" w:ascii="仿宋" w:hAnsi="仿宋" w:eastAsia="仿宋"/>
          <w:bCs/>
          <w:color w:val="auto"/>
          <w:sz w:val="32"/>
          <w:szCs w:val="32"/>
          <w:highlight w:val="none"/>
          <w:lang w:val="en-US" w:eastAsia="zh-CN"/>
        </w:rPr>
        <w:t>100</w:t>
      </w:r>
      <w:r>
        <w:rPr>
          <w:rStyle w:val="13"/>
          <w:rFonts w:ascii="仿宋" w:hAnsi="仿宋" w:eastAsia="仿宋"/>
          <w:bCs/>
          <w:color w:val="auto"/>
          <w:sz w:val="32"/>
          <w:szCs w:val="32"/>
          <w:highlight w:val="none"/>
        </w:rPr>
        <w:t>%</w:t>
      </w:r>
      <w:r>
        <w:rPr>
          <w:rStyle w:val="13"/>
          <w:rFonts w:hint="eastAsia" w:ascii="仿宋" w:hAnsi="仿宋" w:eastAsia="仿宋"/>
          <w:bCs/>
          <w:color w:val="auto"/>
          <w:sz w:val="32"/>
          <w:szCs w:val="32"/>
          <w:highlight w:val="none"/>
        </w:rPr>
        <w:t>。其中：</w:t>
      </w:r>
      <w:bookmarkEnd w:id="58"/>
      <w:bookmarkEnd w:id="59"/>
      <w:bookmarkEnd w:id="60"/>
    </w:p>
    <w:p w14:paraId="527015C7">
      <w:pPr>
        <w:spacing w:line="600" w:lineRule="exact"/>
        <w:ind w:firstLine="643" w:firstLineChars="200"/>
        <w:rPr>
          <w:rFonts w:ascii="仿宋" w:hAnsi="仿宋" w:eastAsia="仿宋"/>
          <w:b/>
          <w:color w:val="auto"/>
          <w:sz w:val="32"/>
          <w:szCs w:val="32"/>
          <w:highlight w:val="none"/>
        </w:rPr>
      </w:pPr>
      <w:r>
        <w:rPr>
          <w:rStyle w:val="13"/>
          <w:rFonts w:ascii="仿宋" w:hAnsi="仿宋" w:eastAsia="仿宋"/>
          <w:bCs/>
          <w:color w:val="auto"/>
          <w:sz w:val="32"/>
          <w:szCs w:val="32"/>
          <w:highlight w:val="none"/>
        </w:rPr>
        <w:t>1.</w:t>
      </w:r>
      <w:r>
        <w:rPr>
          <w:rStyle w:val="13"/>
          <w:rFonts w:hint="eastAsia" w:ascii="仿宋" w:hAnsi="仿宋" w:eastAsia="仿宋"/>
          <w:bCs/>
          <w:color w:val="auto"/>
          <w:sz w:val="32"/>
          <w:szCs w:val="32"/>
          <w:highlight w:val="none"/>
        </w:rPr>
        <w:t>一般公共服务（</w:t>
      </w:r>
      <w:r>
        <w:rPr>
          <w:rStyle w:val="13"/>
          <w:rFonts w:hint="eastAsia" w:ascii="仿宋" w:hAnsi="仿宋" w:eastAsia="仿宋"/>
          <w:bCs/>
          <w:color w:val="auto"/>
          <w:sz w:val="32"/>
          <w:szCs w:val="32"/>
          <w:highlight w:val="none"/>
          <w:lang w:val="en-US" w:eastAsia="zh-CN"/>
        </w:rPr>
        <w:t>201</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组织事务</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32</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一般行政管理事务</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02</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1.75</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DAE34C5">
      <w:pPr>
        <w:spacing w:line="600" w:lineRule="exact"/>
        <w:ind w:firstLine="643" w:firstLineChars="200"/>
        <w:rPr>
          <w:rFonts w:ascii="仿宋" w:hAnsi="仿宋" w:eastAsia="仿宋"/>
          <w:b/>
          <w:color w:val="auto"/>
          <w:sz w:val="32"/>
          <w:szCs w:val="32"/>
          <w:highlight w:val="none"/>
        </w:rPr>
      </w:pPr>
      <w:r>
        <w:rPr>
          <w:rStyle w:val="13"/>
          <w:rFonts w:ascii="仿宋" w:hAnsi="仿宋" w:eastAsia="仿宋"/>
          <w:bCs/>
          <w:color w:val="auto"/>
          <w:sz w:val="32"/>
          <w:szCs w:val="32"/>
          <w:highlight w:val="none"/>
        </w:rPr>
        <w:t>2.</w:t>
      </w:r>
      <w:r>
        <w:rPr>
          <w:rStyle w:val="13"/>
          <w:rFonts w:hint="eastAsia" w:ascii="仿宋" w:hAnsi="仿宋" w:eastAsia="仿宋"/>
          <w:bCs/>
          <w:color w:val="auto"/>
          <w:sz w:val="32"/>
          <w:szCs w:val="32"/>
          <w:highlight w:val="none"/>
        </w:rPr>
        <w:t>文化旅游体育与传媒</w:t>
      </w:r>
      <w:r>
        <w:rPr>
          <w:rStyle w:val="13"/>
          <w:rFonts w:hint="eastAsia" w:ascii="仿宋" w:hAnsi="仿宋" w:eastAsia="仿宋"/>
          <w:bCs/>
          <w:color w:val="auto"/>
          <w:sz w:val="32"/>
          <w:szCs w:val="32"/>
          <w:highlight w:val="none"/>
          <w:lang w:eastAsia="zh-CN"/>
        </w:rPr>
        <w:t>支出</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207</w:t>
      </w:r>
      <w:r>
        <w:rPr>
          <w:rStyle w:val="13"/>
          <w:rFonts w:hint="eastAsia" w:ascii="仿宋" w:hAnsi="仿宋" w:eastAsia="仿宋"/>
          <w:bCs/>
          <w:color w:val="auto"/>
          <w:sz w:val="32"/>
          <w:szCs w:val="32"/>
          <w:highlight w:val="none"/>
        </w:rPr>
        <w:t>）</w:t>
      </w:r>
      <w:r>
        <w:rPr>
          <w:rStyle w:val="13"/>
          <w:rFonts w:hint="eastAsia" w:ascii="仿宋" w:hAnsi="仿宋" w:eastAsia="仿宋"/>
          <w:bCs/>
          <w:color w:val="000000"/>
          <w:sz w:val="32"/>
          <w:szCs w:val="32"/>
          <w:lang w:eastAsia="zh-CN"/>
        </w:rPr>
        <w:t>文化和旅游</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行政运行</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159.24</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188E2519">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auto"/>
          <w:sz w:val="32"/>
          <w:szCs w:val="32"/>
          <w:highlight w:val="none"/>
          <w:lang w:val="en-US" w:eastAsia="zh-CN"/>
        </w:rPr>
        <w:t>3</w:t>
      </w:r>
      <w:r>
        <w:rPr>
          <w:rStyle w:val="13"/>
          <w:rFonts w:ascii="仿宋" w:hAnsi="仿宋" w:eastAsia="仿宋"/>
          <w:bCs/>
          <w:color w:val="auto"/>
          <w:sz w:val="32"/>
          <w:szCs w:val="32"/>
          <w:highlight w:val="none"/>
        </w:rPr>
        <w:t>.</w:t>
      </w:r>
      <w:r>
        <w:rPr>
          <w:rStyle w:val="13"/>
          <w:rFonts w:hint="eastAsia" w:ascii="仿宋" w:hAnsi="仿宋" w:eastAsia="仿宋"/>
          <w:bCs/>
          <w:color w:val="000000"/>
          <w:sz w:val="32"/>
          <w:szCs w:val="32"/>
        </w:rPr>
        <w:t>文化旅游体育与传媒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207</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文化和旅游</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图书馆</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02</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15.00</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2BFE5646">
      <w:pPr>
        <w:spacing w:line="600" w:lineRule="exact"/>
        <w:ind w:firstLine="643" w:firstLineChars="200"/>
        <w:rPr>
          <w:rStyle w:val="13"/>
          <w:rFonts w:hint="eastAsia" w:ascii="仿宋" w:hAnsi="仿宋" w:eastAsia="仿宋"/>
          <w:bCs/>
          <w:color w:val="auto"/>
          <w:sz w:val="32"/>
          <w:szCs w:val="32"/>
          <w:highlight w:val="none"/>
          <w:lang w:val="en-US" w:eastAsia="zh-CN"/>
        </w:rPr>
      </w:pPr>
      <w:r>
        <w:rPr>
          <w:rStyle w:val="13"/>
          <w:rFonts w:hint="eastAsia" w:ascii="仿宋" w:hAnsi="仿宋" w:eastAsia="仿宋"/>
          <w:bCs/>
          <w:color w:val="auto"/>
          <w:sz w:val="32"/>
          <w:szCs w:val="32"/>
          <w:highlight w:val="none"/>
          <w:lang w:val="en-US" w:eastAsia="zh-CN"/>
        </w:rPr>
        <w:t>4</w:t>
      </w:r>
      <w:r>
        <w:rPr>
          <w:rStyle w:val="13"/>
          <w:rFonts w:ascii="仿宋" w:hAnsi="仿宋" w:eastAsia="仿宋"/>
          <w:bCs/>
          <w:color w:val="auto"/>
          <w:sz w:val="32"/>
          <w:szCs w:val="32"/>
          <w:highlight w:val="none"/>
        </w:rPr>
        <w:t>.</w:t>
      </w:r>
      <w:r>
        <w:rPr>
          <w:rStyle w:val="13"/>
          <w:rFonts w:hint="eastAsia" w:ascii="仿宋" w:hAnsi="仿宋" w:eastAsia="仿宋"/>
          <w:bCs/>
          <w:color w:val="000000"/>
          <w:sz w:val="32"/>
          <w:szCs w:val="32"/>
        </w:rPr>
        <w:t>文化旅游体育与传媒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207</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文化和旅游</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文化活动</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02</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3.00</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2CE142A3">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auto"/>
          <w:sz w:val="32"/>
          <w:szCs w:val="32"/>
          <w:highlight w:val="none"/>
          <w:lang w:val="en-US" w:eastAsia="zh-CN"/>
        </w:rPr>
        <w:t>5</w:t>
      </w:r>
      <w:r>
        <w:rPr>
          <w:rStyle w:val="13"/>
          <w:rFonts w:ascii="仿宋" w:hAnsi="仿宋" w:eastAsia="仿宋"/>
          <w:bCs/>
          <w:color w:val="auto"/>
          <w:sz w:val="32"/>
          <w:szCs w:val="32"/>
          <w:highlight w:val="none"/>
        </w:rPr>
        <w:t>.</w:t>
      </w:r>
      <w:r>
        <w:rPr>
          <w:rStyle w:val="13"/>
          <w:rFonts w:hint="eastAsia" w:ascii="仿宋" w:hAnsi="仿宋" w:eastAsia="仿宋"/>
          <w:bCs/>
          <w:color w:val="auto"/>
          <w:sz w:val="32"/>
          <w:szCs w:val="32"/>
          <w:highlight w:val="none"/>
        </w:rPr>
        <w:t>文化旅游体育与传媒</w:t>
      </w:r>
      <w:r>
        <w:rPr>
          <w:rStyle w:val="13"/>
          <w:rFonts w:hint="eastAsia" w:ascii="仿宋" w:hAnsi="仿宋" w:eastAsia="仿宋"/>
          <w:bCs/>
          <w:color w:val="auto"/>
          <w:sz w:val="32"/>
          <w:szCs w:val="32"/>
          <w:highlight w:val="none"/>
          <w:lang w:eastAsia="zh-CN"/>
        </w:rPr>
        <w:t>支出</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207</w:t>
      </w:r>
      <w:r>
        <w:rPr>
          <w:rStyle w:val="13"/>
          <w:rFonts w:hint="eastAsia" w:ascii="仿宋" w:hAnsi="仿宋" w:eastAsia="仿宋"/>
          <w:bCs/>
          <w:color w:val="auto"/>
          <w:sz w:val="32"/>
          <w:szCs w:val="32"/>
          <w:highlight w:val="none"/>
        </w:rPr>
        <w:t>）</w:t>
      </w:r>
      <w:r>
        <w:rPr>
          <w:rStyle w:val="13"/>
          <w:rFonts w:hint="eastAsia" w:ascii="仿宋" w:hAnsi="仿宋" w:eastAsia="仿宋"/>
          <w:bCs/>
          <w:color w:val="000000"/>
          <w:sz w:val="32"/>
          <w:szCs w:val="32"/>
          <w:lang w:eastAsia="zh-CN"/>
        </w:rPr>
        <w:t>文化和旅游</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其他文化和旅游支出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609.98</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53C6657">
      <w:pPr>
        <w:spacing w:line="600" w:lineRule="exact"/>
        <w:ind w:firstLine="643" w:firstLineChars="200"/>
        <w:rPr>
          <w:rFonts w:ascii="仿宋" w:hAnsi="仿宋" w:eastAsia="仿宋"/>
          <w:b/>
          <w:color w:val="auto"/>
          <w:sz w:val="32"/>
          <w:szCs w:val="32"/>
          <w:highlight w:val="none"/>
        </w:rPr>
      </w:pPr>
      <w:r>
        <w:rPr>
          <w:rStyle w:val="13"/>
          <w:rFonts w:hint="eastAsia" w:ascii="仿宋" w:hAnsi="仿宋" w:eastAsia="仿宋"/>
          <w:bCs/>
          <w:color w:val="auto"/>
          <w:sz w:val="32"/>
          <w:szCs w:val="32"/>
          <w:highlight w:val="none"/>
          <w:lang w:val="en-US" w:eastAsia="zh-CN"/>
        </w:rPr>
        <w:t>6</w:t>
      </w:r>
      <w:r>
        <w:rPr>
          <w:rStyle w:val="13"/>
          <w:rFonts w:ascii="仿宋" w:hAnsi="仿宋" w:eastAsia="仿宋"/>
          <w:bCs/>
          <w:color w:val="auto"/>
          <w:sz w:val="32"/>
          <w:szCs w:val="32"/>
          <w:highlight w:val="none"/>
        </w:rPr>
        <w:t>.</w:t>
      </w:r>
      <w:r>
        <w:rPr>
          <w:rStyle w:val="13"/>
          <w:rFonts w:hint="eastAsia" w:ascii="仿宋" w:hAnsi="仿宋" w:eastAsia="仿宋" w:cs="Times New Roman"/>
          <w:bCs/>
          <w:color w:val="auto"/>
          <w:sz w:val="32"/>
          <w:szCs w:val="32"/>
          <w:highlight w:val="none"/>
          <w:lang w:val="en-US" w:eastAsia="zh-CN"/>
        </w:rPr>
        <w:t>文化旅游体育与传媒支出（207）文物（02）文物保护（04）：</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50.74</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17556E6">
      <w:pPr>
        <w:spacing w:line="600" w:lineRule="exact"/>
        <w:ind w:firstLine="643" w:firstLineChars="200"/>
        <w:rPr>
          <w:rFonts w:ascii="仿宋" w:hAnsi="仿宋" w:eastAsia="仿宋"/>
          <w:b/>
          <w:color w:val="auto"/>
          <w:sz w:val="32"/>
          <w:szCs w:val="32"/>
          <w:highlight w:val="none"/>
        </w:rPr>
      </w:pPr>
      <w:r>
        <w:rPr>
          <w:rStyle w:val="13"/>
          <w:rFonts w:hint="eastAsia" w:ascii="仿宋" w:hAnsi="仿宋" w:eastAsia="仿宋"/>
          <w:bCs/>
          <w:color w:val="auto"/>
          <w:sz w:val="32"/>
          <w:szCs w:val="32"/>
          <w:highlight w:val="none"/>
          <w:lang w:val="en-US" w:eastAsia="zh-CN"/>
        </w:rPr>
        <w:t>7</w:t>
      </w:r>
      <w:r>
        <w:rPr>
          <w:rStyle w:val="13"/>
          <w:rFonts w:ascii="仿宋" w:hAnsi="仿宋" w:eastAsia="仿宋"/>
          <w:bCs/>
          <w:color w:val="auto"/>
          <w:sz w:val="32"/>
          <w:szCs w:val="32"/>
          <w:highlight w:val="none"/>
        </w:rPr>
        <w:t>.</w:t>
      </w:r>
      <w:r>
        <w:rPr>
          <w:rStyle w:val="13"/>
          <w:rFonts w:hint="eastAsia" w:ascii="仿宋" w:hAnsi="仿宋" w:eastAsia="仿宋"/>
          <w:bCs/>
          <w:color w:val="000000"/>
          <w:sz w:val="32"/>
          <w:szCs w:val="32"/>
        </w:rPr>
        <w:t>文化旅游体育与传媒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207</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广播电视</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08</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其他广播电视支出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ascii="仿宋" w:hAnsi="仿宋" w:eastAsia="仿宋"/>
          <w:b w:val="0"/>
          <w:bCs/>
          <w:color w:val="auto"/>
          <w:sz w:val="32"/>
          <w:szCs w:val="32"/>
          <w:highlight w:val="none"/>
        </w:rPr>
        <w:t xml:space="preserve"> </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340.13</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544FDDCA">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000000"/>
          <w:sz w:val="32"/>
          <w:szCs w:val="32"/>
          <w:lang w:val="en-US" w:eastAsia="zh-CN"/>
        </w:rPr>
        <w:t>8</w:t>
      </w:r>
      <w:r>
        <w:rPr>
          <w:rStyle w:val="13"/>
          <w:rFonts w:ascii="仿宋" w:hAnsi="仿宋" w:eastAsia="仿宋"/>
          <w:bCs/>
          <w:color w:val="000000"/>
          <w:sz w:val="32"/>
          <w:szCs w:val="32"/>
        </w:rPr>
        <w:t>.</w:t>
      </w:r>
      <w:r>
        <w:rPr>
          <w:rStyle w:val="13"/>
          <w:rFonts w:hint="eastAsia" w:ascii="仿宋" w:hAnsi="仿宋" w:eastAsia="仿宋"/>
          <w:bCs/>
          <w:color w:val="000000"/>
          <w:sz w:val="32"/>
          <w:szCs w:val="32"/>
        </w:rPr>
        <w:t>文化旅游体育与传媒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207</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w:t>
      </w:r>
      <w:r>
        <w:rPr>
          <w:rStyle w:val="13"/>
          <w:rFonts w:hint="eastAsia" w:ascii="仿宋" w:hAnsi="仿宋" w:eastAsia="仿宋"/>
          <w:bCs/>
          <w:color w:val="000000"/>
          <w:sz w:val="32"/>
          <w:szCs w:val="32"/>
        </w:rPr>
        <w:t>文化体育与传媒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w:t>
      </w:r>
      <w:r>
        <w:rPr>
          <w:rStyle w:val="13"/>
          <w:rFonts w:hint="eastAsia" w:ascii="仿宋" w:hAnsi="仿宋" w:eastAsia="仿宋"/>
          <w:bCs/>
          <w:color w:val="000000"/>
          <w:sz w:val="32"/>
          <w:szCs w:val="32"/>
        </w:rPr>
        <w:t>文化</w:t>
      </w:r>
      <w:r>
        <w:rPr>
          <w:rStyle w:val="13"/>
          <w:rFonts w:hint="eastAsia" w:ascii="仿宋" w:hAnsi="仿宋" w:eastAsia="仿宋"/>
          <w:bCs/>
          <w:color w:val="000000"/>
          <w:sz w:val="32"/>
          <w:szCs w:val="32"/>
          <w:lang w:eastAsia="zh-CN"/>
        </w:rPr>
        <w:t>旅游</w:t>
      </w:r>
      <w:r>
        <w:rPr>
          <w:rStyle w:val="13"/>
          <w:rFonts w:hint="eastAsia" w:ascii="仿宋" w:hAnsi="仿宋" w:eastAsia="仿宋"/>
          <w:bCs/>
          <w:color w:val="000000"/>
          <w:sz w:val="32"/>
          <w:szCs w:val="32"/>
        </w:rPr>
        <w:t>体育与传媒</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42.70</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A281490">
      <w:pPr>
        <w:spacing w:line="600" w:lineRule="exact"/>
        <w:ind w:firstLine="643" w:firstLineChars="200"/>
        <w:rPr>
          <w:rStyle w:val="13"/>
          <w:rFonts w:hint="eastAsia" w:ascii="仿宋" w:hAnsi="仿宋" w:eastAsia="仿宋" w:cs="Times New Roman"/>
          <w:b w:val="0"/>
          <w:bCs w:val="0"/>
          <w:color w:val="000000"/>
          <w:sz w:val="32"/>
          <w:szCs w:val="32"/>
          <w:lang w:val="en-US" w:eastAsia="zh-CN"/>
        </w:rPr>
      </w:pPr>
      <w:r>
        <w:rPr>
          <w:rStyle w:val="13"/>
          <w:rFonts w:hint="eastAsia" w:ascii="仿宋" w:hAnsi="仿宋" w:eastAsia="仿宋" w:cs="Times New Roman"/>
          <w:bCs/>
          <w:color w:val="000000"/>
          <w:sz w:val="32"/>
          <w:szCs w:val="32"/>
          <w:lang w:val="en-US" w:eastAsia="zh-CN"/>
        </w:rPr>
        <w:t>9.社会保障和就业支出（208）行政事业单位养老支出（05）行政单位离退休（01）：</w:t>
      </w:r>
      <w:r>
        <w:rPr>
          <w:rStyle w:val="13"/>
          <w:rFonts w:hint="eastAsia" w:ascii="仿宋" w:hAnsi="仿宋" w:eastAsia="仿宋" w:cs="Times New Roman"/>
          <w:b w:val="0"/>
          <w:bCs w:val="0"/>
          <w:color w:val="000000"/>
          <w:sz w:val="32"/>
          <w:szCs w:val="32"/>
          <w:lang w:val="en-US" w:eastAsia="zh-CN"/>
        </w:rPr>
        <w:t>支出决算为1.85万元，完成预算100%。</w:t>
      </w:r>
    </w:p>
    <w:p w14:paraId="6AF9CA6A">
      <w:pPr>
        <w:spacing w:line="600" w:lineRule="exact"/>
        <w:ind w:firstLine="643" w:firstLineChars="200"/>
        <w:rPr>
          <w:rFonts w:ascii="仿宋" w:hAnsi="仿宋" w:eastAsia="仿宋"/>
          <w:b/>
          <w:color w:val="auto"/>
          <w:sz w:val="32"/>
          <w:szCs w:val="32"/>
          <w:highlight w:val="none"/>
        </w:rPr>
      </w:pPr>
      <w:r>
        <w:rPr>
          <w:rStyle w:val="13"/>
          <w:rFonts w:hint="eastAsia" w:ascii="仿宋" w:hAnsi="仿宋" w:eastAsia="仿宋"/>
          <w:bCs/>
          <w:color w:val="000000"/>
          <w:sz w:val="32"/>
          <w:szCs w:val="32"/>
          <w:lang w:val="en-US" w:eastAsia="zh-CN"/>
        </w:rPr>
        <w:t>10</w:t>
      </w:r>
      <w:r>
        <w:rPr>
          <w:rStyle w:val="13"/>
          <w:rFonts w:ascii="仿宋" w:hAnsi="仿宋" w:eastAsia="仿宋"/>
          <w:bCs/>
          <w:color w:val="000000"/>
          <w:sz w:val="32"/>
          <w:szCs w:val="32"/>
        </w:rPr>
        <w:t>.</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208</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行政事业单位养老支出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05</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机关事业单位基本养老保险缴费支出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05</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58.67</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1DC383D3">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000000"/>
          <w:sz w:val="32"/>
          <w:szCs w:val="32"/>
          <w:lang w:val="en-US" w:eastAsia="zh-CN"/>
        </w:rPr>
        <w:t>11</w:t>
      </w:r>
      <w:r>
        <w:rPr>
          <w:rStyle w:val="13"/>
          <w:rFonts w:ascii="仿宋" w:hAnsi="仿宋" w:eastAsia="仿宋"/>
          <w:bCs/>
          <w:color w:val="000000"/>
          <w:sz w:val="32"/>
          <w:szCs w:val="32"/>
        </w:rPr>
        <w:t>.</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208</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行政事业单位养老支出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05</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机关事业单位职业年金缴费支出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06</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12.73</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400A45DC">
      <w:pPr>
        <w:spacing w:line="600" w:lineRule="exact"/>
        <w:ind w:firstLine="643" w:firstLineChars="200"/>
      </w:pPr>
      <w:r>
        <w:rPr>
          <w:rStyle w:val="13"/>
          <w:rFonts w:hint="eastAsia" w:ascii="仿宋" w:hAnsi="仿宋" w:eastAsia="仿宋"/>
          <w:bCs/>
          <w:color w:val="000000"/>
          <w:sz w:val="32"/>
          <w:szCs w:val="32"/>
          <w:lang w:val="en-US" w:eastAsia="zh-CN"/>
        </w:rPr>
        <w:t>12</w:t>
      </w:r>
      <w:r>
        <w:rPr>
          <w:rStyle w:val="13"/>
          <w:rFonts w:ascii="仿宋" w:hAnsi="仿宋" w:eastAsia="仿宋"/>
          <w:bCs/>
          <w:color w:val="000000"/>
          <w:sz w:val="32"/>
          <w:szCs w:val="32"/>
        </w:rPr>
        <w:t>.</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208</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残疾人事业</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11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残疾人就业</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05</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4.32</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348DCC0">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000000"/>
          <w:sz w:val="32"/>
          <w:szCs w:val="32"/>
          <w:lang w:val="en-US" w:eastAsia="zh-CN"/>
        </w:rPr>
        <w:t>13</w:t>
      </w:r>
      <w:r>
        <w:rPr>
          <w:rStyle w:val="13"/>
          <w:rFonts w:ascii="仿宋" w:hAnsi="仿宋" w:eastAsia="仿宋"/>
          <w:bCs/>
          <w:color w:val="000000"/>
          <w:sz w:val="32"/>
          <w:szCs w:val="32"/>
        </w:rPr>
        <w:t>.</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208</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w:t>
      </w:r>
      <w:r>
        <w:rPr>
          <w:rStyle w:val="13"/>
          <w:rFonts w:hint="eastAsia" w:ascii="仿宋" w:hAnsi="仿宋" w:eastAsia="仿宋"/>
          <w:bCs/>
          <w:color w:val="000000"/>
          <w:sz w:val="32"/>
          <w:szCs w:val="32"/>
          <w:lang w:val="en-US" w:eastAsia="zh-CN"/>
        </w:rPr>
        <w:t>社会保障</w:t>
      </w:r>
      <w:r>
        <w:rPr>
          <w:rStyle w:val="13"/>
          <w:rFonts w:hint="eastAsia" w:ascii="仿宋" w:hAnsi="仿宋" w:eastAsia="仿宋"/>
          <w:bCs/>
          <w:color w:val="000000"/>
          <w:sz w:val="32"/>
          <w:szCs w:val="32"/>
        </w:rPr>
        <w:t>和就业</w:t>
      </w:r>
      <w:r>
        <w:rPr>
          <w:rStyle w:val="13"/>
          <w:rFonts w:hint="eastAsia" w:ascii="仿宋" w:hAnsi="仿宋" w:eastAsia="仿宋"/>
          <w:bCs/>
          <w:color w:val="000000"/>
          <w:sz w:val="32"/>
          <w:szCs w:val="32"/>
          <w:lang w:eastAsia="zh-CN"/>
        </w:rPr>
        <w:t>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84.47</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48722478">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auto"/>
          <w:sz w:val="32"/>
          <w:szCs w:val="32"/>
          <w:highlight w:val="none"/>
          <w:lang w:val="en-US" w:eastAsia="zh-CN"/>
        </w:rPr>
        <w:t>14</w:t>
      </w:r>
      <w:r>
        <w:rPr>
          <w:rStyle w:val="13"/>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eastAsia="zh-CN"/>
        </w:rPr>
        <w:t>支出</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210</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行政事业单位医疗</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11</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行政单位医疗</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01</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5.79</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0741CA62">
      <w:pPr>
        <w:spacing w:line="600" w:lineRule="exact"/>
        <w:ind w:firstLine="643" w:firstLineChars="200"/>
        <w:rPr>
          <w:rFonts w:ascii="仿宋" w:hAnsi="仿宋" w:eastAsia="仿宋"/>
          <w:b/>
          <w:color w:val="auto"/>
          <w:sz w:val="32"/>
          <w:szCs w:val="32"/>
          <w:highlight w:val="none"/>
        </w:rPr>
      </w:pPr>
      <w:r>
        <w:rPr>
          <w:rStyle w:val="13"/>
          <w:rFonts w:hint="eastAsia" w:ascii="仿宋" w:hAnsi="仿宋" w:eastAsia="仿宋"/>
          <w:bCs/>
          <w:color w:val="auto"/>
          <w:sz w:val="32"/>
          <w:szCs w:val="32"/>
          <w:highlight w:val="none"/>
          <w:lang w:val="en-US" w:eastAsia="zh-CN"/>
        </w:rPr>
        <w:t>15</w:t>
      </w:r>
      <w:r>
        <w:rPr>
          <w:rStyle w:val="13"/>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eastAsia="zh-CN"/>
        </w:rPr>
        <w:t>支出</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210</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行政事业单位医疗</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11</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事业单位医疗</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02</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13.51</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6AEDACCB">
      <w:pPr>
        <w:spacing w:line="600" w:lineRule="exact"/>
        <w:ind w:firstLine="643" w:firstLineChars="200"/>
        <w:rPr>
          <w:rStyle w:val="13"/>
          <w:rFonts w:hint="eastAsia" w:ascii="仿宋" w:hAnsi="仿宋" w:eastAsia="仿宋"/>
          <w:b w:val="0"/>
          <w:bCs/>
          <w:color w:val="auto"/>
          <w:sz w:val="32"/>
          <w:szCs w:val="32"/>
          <w:highlight w:val="none"/>
        </w:rPr>
      </w:pPr>
      <w:r>
        <w:rPr>
          <w:rStyle w:val="13"/>
          <w:rFonts w:hint="eastAsia" w:ascii="仿宋" w:hAnsi="仿宋" w:eastAsia="仿宋"/>
          <w:bCs/>
          <w:color w:val="auto"/>
          <w:sz w:val="32"/>
          <w:szCs w:val="32"/>
          <w:highlight w:val="none"/>
          <w:lang w:val="en-US" w:eastAsia="zh-CN"/>
        </w:rPr>
        <w:t>16</w:t>
      </w:r>
      <w:r>
        <w:rPr>
          <w:rStyle w:val="13"/>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Fonts w:hint="eastAsia" w:ascii="仿宋" w:hAnsi="仿宋" w:eastAsia="仿宋"/>
          <w:b/>
          <w:bCs/>
          <w:color w:val="auto"/>
          <w:sz w:val="32"/>
          <w:szCs w:val="32"/>
          <w:highlight w:val="none"/>
          <w:lang w:eastAsia="zh-CN"/>
        </w:rPr>
        <w:t>支出</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210</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行政事业单位医疗</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11</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公务员医疗补助</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val="en-US" w:eastAsia="zh-CN"/>
        </w:rPr>
        <w:t>03</w:t>
      </w:r>
      <w:r>
        <w:rPr>
          <w:rStyle w:val="13"/>
          <w:rFonts w:hint="eastAsia" w:ascii="仿宋" w:hAnsi="仿宋" w:eastAsia="仿宋"/>
          <w:bCs/>
          <w:color w:val="auto"/>
          <w:sz w:val="32"/>
          <w:szCs w:val="32"/>
          <w:highlight w:val="none"/>
        </w:rPr>
        <w:t>）</w:t>
      </w:r>
      <w:r>
        <w:rPr>
          <w:rStyle w:val="13"/>
          <w:rFonts w:hint="eastAsia" w:ascii="仿宋" w:hAnsi="仿宋" w:eastAsia="仿宋"/>
          <w:bCs/>
          <w:color w:val="auto"/>
          <w:sz w:val="32"/>
          <w:szCs w:val="32"/>
          <w:highlight w:val="none"/>
          <w:lang w:eastAsia="zh-CN"/>
        </w:rPr>
        <w:t>：</w:t>
      </w:r>
      <w:r>
        <w:rPr>
          <w:rStyle w:val="13"/>
          <w:rFonts w:hint="eastAsia" w:ascii="仿宋" w:hAnsi="仿宋" w:eastAsia="仿宋"/>
          <w:b w:val="0"/>
          <w:bCs/>
          <w:color w:val="auto"/>
          <w:sz w:val="32"/>
          <w:szCs w:val="32"/>
          <w:highlight w:val="none"/>
        </w:rPr>
        <w:t>支出决算为</w:t>
      </w:r>
      <w:r>
        <w:rPr>
          <w:rStyle w:val="13"/>
          <w:rFonts w:hint="eastAsia" w:ascii="仿宋" w:hAnsi="仿宋" w:eastAsia="仿宋"/>
          <w:b w:val="0"/>
          <w:bCs/>
          <w:color w:val="auto"/>
          <w:sz w:val="32"/>
          <w:szCs w:val="32"/>
          <w:highlight w:val="none"/>
          <w:lang w:val="en-US" w:eastAsia="zh-CN"/>
        </w:rPr>
        <w:t>7.32</w:t>
      </w:r>
      <w:r>
        <w:rPr>
          <w:rStyle w:val="13"/>
          <w:rFonts w:hint="eastAsia" w:ascii="仿宋" w:hAnsi="仿宋" w:eastAsia="仿宋"/>
          <w:b w:val="0"/>
          <w:bCs/>
          <w:color w:val="auto"/>
          <w:sz w:val="32"/>
          <w:szCs w:val="32"/>
          <w:highlight w:val="none"/>
        </w:rPr>
        <w:t>万元，完成预算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20D05E2E">
      <w:pPr>
        <w:pStyle w:val="22"/>
      </w:pPr>
      <w:r>
        <w:rPr>
          <w:rStyle w:val="13"/>
          <w:rFonts w:hint="eastAsia" w:ascii="仿宋" w:hAnsi="仿宋" w:eastAsia="仿宋"/>
          <w:bCs/>
          <w:color w:val="000000"/>
          <w:sz w:val="32"/>
          <w:szCs w:val="32"/>
          <w:lang w:val="en-US" w:eastAsia="zh-CN"/>
        </w:rPr>
        <w:t>17</w:t>
      </w:r>
      <w:r>
        <w:rPr>
          <w:rStyle w:val="13"/>
          <w:rFonts w:ascii="仿宋" w:hAnsi="仿宋" w:eastAsia="仿宋"/>
          <w:bCs/>
          <w:color w:val="000000"/>
          <w:sz w:val="32"/>
          <w:szCs w:val="32"/>
        </w:rPr>
        <w:t>.</w:t>
      </w:r>
      <w:r>
        <w:rPr>
          <w:rFonts w:hint="eastAsia" w:ascii="仿宋" w:hAnsi="仿宋" w:eastAsia="仿宋"/>
          <w:b/>
          <w:bCs/>
          <w:color w:val="000000"/>
          <w:sz w:val="32"/>
          <w:szCs w:val="32"/>
          <w:lang w:eastAsia="zh-CN"/>
        </w:rPr>
        <w:t>农林水支出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213</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巩固拓展脱贫攻坚成果</w:t>
      </w:r>
      <w:r>
        <w:rPr>
          <w:rStyle w:val="13"/>
          <w:rFonts w:hint="eastAsia" w:ascii="仿宋" w:hAnsi="仿宋" w:eastAsia="仿宋"/>
          <w:bCs/>
          <w:color w:val="000000"/>
          <w:sz w:val="32"/>
          <w:szCs w:val="32"/>
          <w:lang w:val="en-US" w:eastAsia="zh-CN"/>
        </w:rPr>
        <w:t>衔接</w:t>
      </w:r>
      <w:r>
        <w:rPr>
          <w:rStyle w:val="13"/>
          <w:rFonts w:hint="eastAsia" w:ascii="仿宋" w:hAnsi="仿宋" w:eastAsia="仿宋"/>
          <w:bCs/>
          <w:color w:val="000000"/>
          <w:sz w:val="32"/>
          <w:szCs w:val="32"/>
          <w:lang w:eastAsia="zh-CN"/>
        </w:rPr>
        <w:t>乡村振兴</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05</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其他巩固拓展脱贫攻坚成果衔接乡村振兴支出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99</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64.69</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7ADF0674">
      <w:pPr>
        <w:spacing w:line="600" w:lineRule="exact"/>
        <w:ind w:firstLine="643" w:firstLineChars="200"/>
        <w:rPr>
          <w:rFonts w:ascii="仿宋" w:hAnsi="仿宋" w:eastAsia="仿宋"/>
          <w:b/>
          <w:color w:val="auto"/>
          <w:sz w:val="32"/>
          <w:szCs w:val="32"/>
          <w:highlight w:val="none"/>
        </w:rPr>
      </w:pPr>
      <w:r>
        <w:rPr>
          <w:rStyle w:val="13"/>
          <w:rFonts w:hint="eastAsia" w:ascii="仿宋" w:hAnsi="仿宋" w:eastAsia="仿宋"/>
          <w:bCs/>
          <w:color w:val="000000"/>
          <w:sz w:val="32"/>
          <w:szCs w:val="32"/>
          <w:lang w:val="en-US" w:eastAsia="zh-CN"/>
        </w:rPr>
        <w:t>18</w:t>
      </w:r>
      <w:r>
        <w:rPr>
          <w:rStyle w:val="13"/>
          <w:rFonts w:ascii="仿宋" w:hAnsi="仿宋" w:eastAsia="仿宋"/>
          <w:bCs/>
          <w:color w:val="000000"/>
          <w:sz w:val="32"/>
          <w:szCs w:val="32"/>
        </w:rPr>
        <w:t>.</w:t>
      </w:r>
      <w:r>
        <w:rPr>
          <w:rFonts w:hint="eastAsia" w:ascii="仿宋" w:hAnsi="仿宋" w:eastAsia="仿宋"/>
          <w:b/>
          <w:bCs/>
          <w:color w:val="000000"/>
          <w:sz w:val="32"/>
          <w:szCs w:val="32"/>
          <w:lang w:eastAsia="zh-CN"/>
        </w:rPr>
        <w:t>住房保障支出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221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住房改革支出</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02</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住房公积金</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val="en-US" w:eastAsia="zh-CN"/>
        </w:rPr>
        <w:t>01</w:t>
      </w:r>
      <w:r>
        <w:rPr>
          <w:rStyle w:val="13"/>
          <w:rFonts w:hint="eastAsia" w:ascii="仿宋" w:hAnsi="仿宋" w:eastAsia="仿宋"/>
          <w:bCs/>
          <w:color w:val="000000"/>
          <w:sz w:val="32"/>
          <w:szCs w:val="32"/>
        </w:rPr>
        <w:t>）</w:t>
      </w:r>
      <w:r>
        <w:rPr>
          <w:rStyle w:val="13"/>
          <w:rFonts w:hint="eastAsia" w:ascii="仿宋" w:hAnsi="仿宋" w:eastAsia="仿宋"/>
          <w:bCs/>
          <w:color w:val="000000"/>
          <w:sz w:val="32"/>
          <w:szCs w:val="32"/>
          <w:lang w:eastAsia="zh-CN"/>
        </w:rPr>
        <w:t>：</w:t>
      </w:r>
      <w:r>
        <w:rPr>
          <w:rStyle w:val="13"/>
          <w:rFonts w:hint="eastAsia" w:ascii="仿宋" w:hAnsi="仿宋" w:eastAsia="仿宋"/>
          <w:b w:val="0"/>
          <w:bCs/>
          <w:color w:val="000000"/>
          <w:sz w:val="32"/>
          <w:szCs w:val="32"/>
        </w:rPr>
        <w:t>支出决算为</w:t>
      </w:r>
      <w:r>
        <w:rPr>
          <w:rStyle w:val="13"/>
          <w:rFonts w:hint="eastAsia" w:ascii="仿宋" w:hAnsi="仿宋" w:eastAsia="仿宋"/>
          <w:b w:val="0"/>
          <w:bCs/>
          <w:color w:val="000000"/>
          <w:sz w:val="32"/>
          <w:szCs w:val="32"/>
          <w:lang w:val="en-US" w:eastAsia="zh-CN"/>
        </w:rPr>
        <w:t>48.04</w:t>
      </w:r>
      <w:r>
        <w:rPr>
          <w:rStyle w:val="13"/>
          <w:rFonts w:hint="eastAsia" w:ascii="仿宋" w:hAnsi="仿宋" w:eastAsia="仿宋"/>
          <w:b w:val="0"/>
          <w:bCs/>
          <w:color w:val="000000"/>
          <w:sz w:val="32"/>
          <w:szCs w:val="32"/>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100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p>
    <w:p w14:paraId="639A8965">
      <w:pPr>
        <w:tabs>
          <w:tab w:val="right" w:pos="8306"/>
        </w:tabs>
        <w:spacing w:line="600" w:lineRule="exact"/>
        <w:ind w:firstLine="640"/>
        <w:outlineLvl w:val="1"/>
        <w:rPr>
          <w:rStyle w:val="20"/>
          <w:color w:val="auto"/>
          <w:highlight w:val="none"/>
        </w:rPr>
      </w:pPr>
      <w:bookmarkStart w:id="61" w:name="_Toc10063_WPSOffice_Level2"/>
      <w:bookmarkStart w:id="62" w:name="_Toc15377214"/>
      <w:bookmarkStart w:id="63"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般公共预算财政拨款基本支出决算情况说明</w:t>
      </w:r>
      <w:bookmarkEnd w:id="61"/>
      <w:bookmarkEnd w:id="62"/>
      <w:bookmarkEnd w:id="63"/>
      <w:r>
        <w:rPr>
          <w:rStyle w:val="20"/>
          <w:rFonts w:ascii="黑体" w:hAnsi="黑体" w:eastAsia="黑体"/>
          <w:b w:val="0"/>
          <w:color w:val="auto"/>
          <w:highlight w:val="none"/>
        </w:rPr>
        <w:tab/>
      </w:r>
    </w:p>
    <w:p w14:paraId="2ED72D41">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724.88</w:t>
      </w:r>
      <w:r>
        <w:rPr>
          <w:rFonts w:hint="eastAsia" w:ascii="仿宋" w:hAnsi="仿宋" w:eastAsia="仿宋"/>
          <w:color w:val="auto"/>
          <w:sz w:val="32"/>
          <w:szCs w:val="32"/>
          <w:highlight w:val="none"/>
        </w:rPr>
        <w:t>万元，其中：</w:t>
      </w:r>
    </w:p>
    <w:p w14:paraId="7FB9383C">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648.04</w:t>
      </w:r>
      <w:r>
        <w:rPr>
          <w:rFonts w:hint="eastAsia" w:ascii="仿宋" w:hAnsi="仿宋" w:eastAsia="仿宋"/>
          <w:color w:val="auto"/>
          <w:sz w:val="32"/>
          <w:szCs w:val="32"/>
          <w:highlight w:val="none"/>
        </w:rPr>
        <w:t>万元，主要包括：基本工资、津贴补贴、奖金</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绩效工资、机关事业单位基本养老保险缴费、职业年金缴费、职工基本医疗保险缴费</w:t>
      </w:r>
      <w:r>
        <w:rPr>
          <w:rFonts w:hint="eastAsia" w:ascii="仿宋" w:hAnsi="仿宋" w:eastAsia="仿宋"/>
          <w:color w:val="auto"/>
          <w:sz w:val="32"/>
          <w:szCs w:val="32"/>
          <w:highlight w:val="none"/>
          <w:lang w:eastAsia="zh-CN"/>
        </w:rPr>
        <w:t>、公务员医疗补助缴费、</w:t>
      </w:r>
      <w:r>
        <w:rPr>
          <w:rFonts w:hint="eastAsia" w:ascii="仿宋" w:hAnsi="仿宋" w:eastAsia="仿宋"/>
          <w:color w:val="auto"/>
          <w:sz w:val="32"/>
          <w:szCs w:val="32"/>
          <w:highlight w:val="none"/>
        </w:rPr>
        <w:t>其他社会保障缴费、住房公积金、其他工资福利支出、生活补助、其他对个人和家庭的补助支出等。</w:t>
      </w:r>
    </w:p>
    <w:p w14:paraId="7E6C2CC3">
      <w:pPr>
        <w:spacing w:line="600" w:lineRule="exact"/>
        <w:ind w:firstLine="645"/>
        <w:rPr>
          <w:rFonts w:ascii="仿宋" w:hAnsi="仿宋" w:eastAsia="仿宋"/>
          <w:b/>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76.84</w:t>
      </w:r>
      <w:r>
        <w:rPr>
          <w:rFonts w:hint="eastAsia" w:ascii="仿宋" w:hAnsi="仿宋" w:eastAsia="仿宋"/>
          <w:color w:val="auto"/>
          <w:sz w:val="32"/>
          <w:szCs w:val="32"/>
          <w:highlight w:val="none"/>
        </w:rPr>
        <w:t>万元，主要包括：办公费、印刷费、手续费、水费、电费、邮电费、差旅费、维修（护）费、会议费、培训费、公务接待费、劳务费、委托业务费、福利费、其他交通费、其他商品和服务支出等。</w:t>
      </w:r>
    </w:p>
    <w:p w14:paraId="5AB9C2D9">
      <w:pPr>
        <w:spacing w:line="600" w:lineRule="exact"/>
        <w:ind w:firstLine="640"/>
        <w:outlineLvl w:val="1"/>
        <w:rPr>
          <w:rStyle w:val="20"/>
          <w:rFonts w:ascii="黑体" w:hAnsi="黑体" w:eastAsia="黑体"/>
          <w:b w:val="0"/>
          <w:color w:val="auto"/>
          <w:highlight w:val="none"/>
        </w:rPr>
      </w:pPr>
      <w:bookmarkStart w:id="64" w:name="_Toc15377215"/>
      <w:bookmarkStart w:id="65" w:name="_Toc2779_WPSOffice_Level2"/>
      <w:bookmarkStart w:id="66" w:name="_Toc15396609"/>
      <w:r>
        <w:rPr>
          <w:rFonts w:hint="eastAsia" w:ascii="黑体" w:eastAsia="黑体"/>
          <w:color w:val="auto"/>
          <w:sz w:val="32"/>
          <w:szCs w:val="32"/>
          <w:highlight w:val="none"/>
        </w:rPr>
        <w:t>七、</w:t>
      </w:r>
      <w:r>
        <w:rPr>
          <w:rStyle w:val="20"/>
          <w:rFonts w:hint="eastAsia" w:ascii="黑体" w:hAnsi="黑体" w:eastAsia="黑体"/>
          <w:b w:val="0"/>
          <w:color w:val="auto"/>
          <w:highlight w:val="none"/>
        </w:rPr>
        <w:t>财政拨款</w:t>
      </w:r>
      <w:r>
        <w:rPr>
          <w:rStyle w:val="20"/>
          <w:rFonts w:hint="eastAsia" w:ascii="黑体" w:hAnsi="黑体" w:eastAsia="黑体"/>
          <w:color w:val="auto"/>
          <w:highlight w:val="none"/>
        </w:rPr>
        <w:t>“</w:t>
      </w:r>
      <w:r>
        <w:rPr>
          <w:rStyle w:val="20"/>
          <w:rFonts w:hint="eastAsia" w:ascii="黑体" w:hAnsi="黑体" w:eastAsia="黑体"/>
          <w:b w:val="0"/>
          <w:color w:val="auto"/>
          <w:highlight w:val="none"/>
        </w:rPr>
        <w:t>三公”经费支出决算情况说明</w:t>
      </w:r>
      <w:bookmarkEnd w:id="64"/>
      <w:bookmarkEnd w:id="65"/>
      <w:bookmarkEnd w:id="66"/>
    </w:p>
    <w:p w14:paraId="4CD0D109">
      <w:pPr>
        <w:spacing w:line="600" w:lineRule="exact"/>
        <w:ind w:firstLine="640"/>
        <w:outlineLvl w:val="2"/>
        <w:rPr>
          <w:rFonts w:ascii="仿宋" w:hAnsi="仿宋" w:eastAsia="仿宋"/>
          <w:b/>
          <w:color w:val="auto"/>
          <w:sz w:val="32"/>
          <w:szCs w:val="32"/>
          <w:highlight w:val="none"/>
        </w:rPr>
      </w:pPr>
      <w:bookmarkStart w:id="67" w:name="_Toc15377216"/>
      <w:r>
        <w:rPr>
          <w:rFonts w:hint="eastAsia" w:ascii="仿宋" w:hAnsi="仿宋" w:eastAsia="仿宋"/>
          <w:b/>
          <w:color w:val="auto"/>
          <w:sz w:val="32"/>
          <w:szCs w:val="32"/>
          <w:highlight w:val="none"/>
        </w:rPr>
        <w:t>（一）“三公”经费财政拨款支出决算总体情况说明</w:t>
      </w:r>
      <w:bookmarkEnd w:id="67"/>
    </w:p>
    <w:p w14:paraId="778A30DA">
      <w:pPr>
        <w:numPr>
          <w:ilvl w:val="0"/>
          <w:numId w:val="5"/>
        </w:num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1.87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32.52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较上年度</w:t>
      </w:r>
      <w:r>
        <w:rPr>
          <w:rFonts w:hint="eastAsia" w:ascii="仿宋" w:hAnsi="仿宋" w:eastAsia="仿宋"/>
          <w:color w:val="auto"/>
          <w:sz w:val="32"/>
          <w:szCs w:val="32"/>
          <w:highlight w:val="none"/>
          <w:lang w:val="en-US" w:eastAsia="zh-CN"/>
        </w:rPr>
        <w:t>减少0.05万元，下降2.60%。</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val="en-US" w:eastAsia="zh-CN"/>
        </w:rPr>
        <w:t>厉行节约，非必要不接待</w:t>
      </w:r>
      <w:r>
        <w:rPr>
          <w:rFonts w:hint="eastAsia" w:ascii="仿宋_GB2312" w:eastAsia="仿宋_GB2312"/>
          <w:color w:val="auto"/>
          <w:sz w:val="32"/>
          <w:szCs w:val="32"/>
          <w:highlight w:val="none"/>
        </w:rPr>
        <w:t>。</w:t>
      </w:r>
    </w:p>
    <w:p w14:paraId="5815DF43">
      <w:pPr>
        <w:spacing w:line="600" w:lineRule="exact"/>
        <w:ind w:firstLine="640"/>
        <w:outlineLvl w:val="2"/>
        <w:rPr>
          <w:rFonts w:ascii="仿宋" w:hAnsi="仿宋" w:eastAsia="仿宋"/>
          <w:b/>
          <w:color w:val="auto"/>
          <w:sz w:val="32"/>
          <w:szCs w:val="32"/>
          <w:highlight w:val="none"/>
        </w:rPr>
      </w:pPr>
      <w:bookmarkStart w:id="68" w:name="_Toc15377217"/>
      <w:r>
        <w:rPr>
          <w:rFonts w:hint="eastAsia" w:ascii="仿宋" w:hAnsi="仿宋" w:eastAsia="仿宋"/>
          <w:b/>
          <w:color w:val="auto"/>
          <w:sz w:val="32"/>
          <w:szCs w:val="32"/>
          <w:highlight w:val="none"/>
        </w:rPr>
        <w:t>（二）“三公”经费财政拨款支出决算具体情况说明</w:t>
      </w:r>
      <w:bookmarkEnd w:id="68"/>
    </w:p>
    <w:p w14:paraId="51497CD4">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1.87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4D7B90A1">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6B7B99EE">
      <w:pPr>
        <w:pStyle w:val="2"/>
      </w:pPr>
      <w:r>
        <w:drawing>
          <wp:inline distT="0" distB="0" distL="114300" distR="114300">
            <wp:extent cx="3924300" cy="1695450"/>
            <wp:effectExtent l="4445" t="4445" r="14605" b="14605"/>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EC4570">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000000"/>
          <w:sz w:val="32"/>
          <w:szCs w:val="32"/>
          <w:lang w:eastAsia="zh-CN"/>
        </w:rPr>
        <w:t>与</w:t>
      </w:r>
      <w:r>
        <w:rPr>
          <w:rFonts w:hint="eastAsia" w:ascii="仿宋_GB2312" w:eastAsia="仿宋_GB2312"/>
          <w:color w:val="000000"/>
          <w:sz w:val="32"/>
          <w:szCs w:val="32"/>
          <w:lang w:val="en-US" w:eastAsia="zh-CN"/>
        </w:rPr>
        <w:t>2022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持平</w:t>
      </w:r>
      <w:r>
        <w:rPr>
          <w:rFonts w:hint="eastAsia" w:ascii="仿宋_GB2312" w:eastAsia="仿宋_GB2312"/>
          <w:color w:val="auto"/>
          <w:sz w:val="32"/>
          <w:szCs w:val="32"/>
          <w:highlight w:val="none"/>
        </w:rPr>
        <w:t>。</w:t>
      </w:r>
    </w:p>
    <w:p w14:paraId="45E57768">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0</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000000"/>
          <w:sz w:val="32"/>
          <w:szCs w:val="32"/>
          <w:lang w:eastAsia="zh-CN"/>
        </w:rPr>
        <w:t>与</w:t>
      </w:r>
      <w:r>
        <w:rPr>
          <w:rFonts w:hint="eastAsia" w:ascii="仿宋_GB2312" w:eastAsia="仿宋_GB2312"/>
          <w:color w:val="000000"/>
          <w:sz w:val="32"/>
          <w:szCs w:val="32"/>
          <w:lang w:val="en-US" w:eastAsia="zh-CN"/>
        </w:rPr>
        <w:t>2022</w:t>
      </w:r>
      <w:r>
        <w:rPr>
          <w:rFonts w:hint="eastAsia" w:ascii="仿宋_GB2312" w:eastAsia="仿宋_GB2312"/>
          <w:color w:val="000000"/>
          <w:sz w:val="32"/>
          <w:szCs w:val="32"/>
        </w:rPr>
        <w:t>年</w:t>
      </w:r>
      <w:r>
        <w:rPr>
          <w:rFonts w:hint="eastAsia" w:ascii="仿宋_GB2312" w:eastAsia="仿宋_GB2312"/>
          <w:color w:val="000000"/>
          <w:sz w:val="32"/>
          <w:szCs w:val="32"/>
          <w:lang w:eastAsia="zh-CN"/>
        </w:rPr>
        <w:t>持平</w:t>
      </w:r>
      <w:r>
        <w:rPr>
          <w:rFonts w:hint="eastAsia" w:ascii="仿宋_GB2312" w:eastAsia="仿宋_GB2312"/>
          <w:color w:val="auto"/>
          <w:sz w:val="32"/>
          <w:szCs w:val="32"/>
          <w:highlight w:val="none"/>
        </w:rPr>
        <w:t>。</w:t>
      </w:r>
    </w:p>
    <w:p w14:paraId="14134EA7">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31日</w:t>
      </w:r>
      <w:r>
        <w:rPr>
          <w:rFonts w:hint="eastAsia" w:ascii="仿宋_GB2312" w:eastAsia="仿宋_GB2312"/>
          <w:color w:val="auto"/>
          <w:sz w:val="32"/>
          <w:szCs w:val="32"/>
          <w:highlight w:val="none"/>
        </w:rPr>
        <w:t>，单位共有公务用车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14:paraId="30C7C671">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19745F11">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1.87</w:t>
      </w:r>
      <w:r>
        <w:rPr>
          <w:rFonts w:hint="eastAsia" w:ascii="仿宋_GB2312" w:eastAsia="仿宋_GB2312"/>
          <w:color w:val="auto"/>
          <w:sz w:val="32"/>
          <w:szCs w:val="32"/>
          <w:highlight w:val="none"/>
        </w:rPr>
        <w:t>万元，</w:t>
      </w:r>
      <w:r>
        <w:rPr>
          <w:rStyle w:val="13"/>
          <w:rFonts w:hint="eastAsia" w:ascii="仿宋" w:hAnsi="仿宋" w:eastAsia="仿宋"/>
          <w:b w:val="0"/>
          <w:bCs/>
          <w:color w:val="auto"/>
          <w:sz w:val="32"/>
          <w:szCs w:val="32"/>
          <w:highlight w:val="none"/>
        </w:rPr>
        <w:t>完成预算</w:t>
      </w:r>
      <w:r>
        <w:rPr>
          <w:rStyle w:val="13"/>
          <w:rFonts w:hint="eastAsia" w:ascii="仿宋" w:hAnsi="仿宋" w:eastAsia="仿宋"/>
          <w:b w:val="0"/>
          <w:bCs/>
          <w:color w:val="auto"/>
          <w:sz w:val="32"/>
          <w:szCs w:val="32"/>
          <w:highlight w:val="none"/>
          <w:lang w:val="en-US" w:eastAsia="zh-CN"/>
        </w:rPr>
        <w:t>32.52</w:t>
      </w:r>
      <w:r>
        <w:rPr>
          <w:rStyle w:val="13"/>
          <w:rFonts w:ascii="仿宋" w:hAnsi="仿宋" w:eastAsia="仿宋"/>
          <w:b w:val="0"/>
          <w:bCs/>
          <w:color w:val="auto"/>
          <w:sz w:val="32"/>
          <w:szCs w:val="32"/>
          <w:highlight w:val="none"/>
        </w:rPr>
        <w:t>%</w:t>
      </w:r>
      <w:r>
        <w:rPr>
          <w:rStyle w:val="13"/>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hint="eastAsia" w:ascii="仿宋_GB2312" w:eastAsia="仿宋_GB2312"/>
          <w:color w:val="auto"/>
          <w:sz w:val="32"/>
          <w:szCs w:val="32"/>
          <w:highlight w:val="none"/>
          <w:lang w:eastAsia="zh-CN"/>
        </w:rPr>
        <w:t>2022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0.05</w:t>
      </w:r>
      <w:r>
        <w:rPr>
          <w:rFonts w:hint="eastAsia" w:ascii="仿宋_GB2312" w:eastAsia="仿宋_GB2312"/>
          <w:color w:val="auto"/>
          <w:sz w:val="32"/>
          <w:szCs w:val="32"/>
          <w:highlight w:val="none"/>
        </w:rPr>
        <w:t>元，下降</w:t>
      </w:r>
      <w:r>
        <w:rPr>
          <w:rFonts w:hint="eastAsia" w:ascii="仿宋_GB2312" w:eastAsia="仿宋_GB2312"/>
          <w:color w:val="auto"/>
          <w:sz w:val="32"/>
          <w:szCs w:val="32"/>
          <w:highlight w:val="none"/>
          <w:lang w:val="en-US" w:eastAsia="zh-CN"/>
        </w:rPr>
        <w:t>2.60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val="en-US" w:eastAsia="zh-CN"/>
        </w:rPr>
        <w:t>厉行节约，非必要不接待</w:t>
      </w:r>
      <w:r>
        <w:rPr>
          <w:rFonts w:hint="eastAsia" w:ascii="仿宋_GB2312" w:eastAsia="仿宋_GB2312"/>
          <w:color w:val="auto"/>
          <w:sz w:val="32"/>
          <w:szCs w:val="32"/>
          <w:highlight w:val="none"/>
        </w:rPr>
        <w:t>。其中：</w:t>
      </w:r>
    </w:p>
    <w:p w14:paraId="007E860F">
      <w:pPr>
        <w:spacing w:line="600" w:lineRule="exact"/>
        <w:ind w:firstLine="640"/>
        <w:rPr>
          <w:rFonts w:ascii="仿宋_GB2312" w:eastAsia="仿宋_GB2312"/>
          <w:color w:val="auto"/>
          <w:sz w:val="32"/>
          <w:szCs w:val="32"/>
          <w:highlight w:val="yellow"/>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1.87</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文旅品牌创建指导、接待学习考察、业务活动调研检查、投资考察活动等</w:t>
      </w:r>
      <w:r>
        <w:rPr>
          <w:rFonts w:hint="eastAsia" w:ascii="仿宋_GB2312" w:eastAsia="仿宋_GB2312"/>
          <w:color w:val="auto"/>
          <w:sz w:val="32"/>
          <w:szCs w:val="32"/>
          <w:highlight w:val="none"/>
        </w:rPr>
        <w:t>开支的</w:t>
      </w:r>
      <w:r>
        <w:rPr>
          <w:rFonts w:hint="eastAsia" w:ascii="仿宋_GB2312" w:eastAsia="仿宋_GB2312"/>
          <w:color w:val="auto"/>
          <w:sz w:val="32"/>
          <w:szCs w:val="32"/>
          <w:highlight w:val="none"/>
          <w:lang w:val="en-US" w:eastAsia="zh-CN"/>
        </w:rPr>
        <w:t>会务费及</w:t>
      </w:r>
      <w:r>
        <w:rPr>
          <w:rFonts w:hint="eastAsia" w:ascii="仿宋_GB2312" w:eastAsia="仿宋_GB2312"/>
          <w:color w:val="auto"/>
          <w:sz w:val="32"/>
          <w:szCs w:val="32"/>
          <w:highlight w:val="none"/>
        </w:rPr>
        <w:t>用餐费等。国内公务接待</w:t>
      </w:r>
      <w:r>
        <w:rPr>
          <w:rFonts w:hint="eastAsia" w:ascii="仿宋_GB2312" w:eastAsia="仿宋_GB2312"/>
          <w:color w:val="auto"/>
          <w:sz w:val="32"/>
          <w:szCs w:val="32"/>
          <w:highlight w:val="none"/>
          <w:lang w:val="en-US" w:eastAsia="zh-CN"/>
        </w:rPr>
        <w:t>12</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186</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1.87</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接待省文旅厅假日市场综合督导费用0.12万元；接待省级全域旅游示范区指导专家费用0.1652万元；接待公共图书馆评估定级检查工作组费用0.1088万元；接待成都锦翠文化创意有限公司来遂考察费用0.075万元；接待省文旅厅专家组费用0.2012万元；接待重庆旅游商会来遂考察费用0.303万元；接待省文物局专家组实地检查文物保护利用费用0.208万元；调研旅游驿站和旅游公共服务建设公务接待费用0.135万元；接待省文旅厅防灾减灾和安全生产第八督察组、遂宁市旅游安全事件指挥部费用0.144万元；接待省文旅厅费用0.0954万元；接待中铁科学院考察调研费用0.15万元；接待省文旅厅专家指导天府旅游名县和全域旅游示范区创建工作费用0.16万元。</w:t>
      </w:r>
    </w:p>
    <w:p w14:paraId="0A9EA31E">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bookmarkStart w:id="69" w:name="_Toc15377218"/>
      <w:bookmarkStart w:id="70" w:name="_Toc15396610"/>
    </w:p>
    <w:p w14:paraId="19AEB679">
      <w:pPr>
        <w:spacing w:line="600" w:lineRule="exact"/>
        <w:ind w:firstLine="640"/>
        <w:outlineLvl w:val="1"/>
        <w:rPr>
          <w:rStyle w:val="20"/>
          <w:rFonts w:ascii="黑体" w:hAnsi="黑体" w:eastAsia="黑体"/>
          <w:color w:val="auto"/>
          <w:highlight w:val="none"/>
        </w:rPr>
      </w:pPr>
      <w:bookmarkStart w:id="71" w:name="_Toc14475_WPSOffice_Level2"/>
      <w:r>
        <w:rPr>
          <w:rFonts w:hint="eastAsia" w:ascii="黑体" w:eastAsia="黑体"/>
          <w:color w:val="auto"/>
          <w:sz w:val="32"/>
          <w:szCs w:val="32"/>
          <w:highlight w:val="none"/>
        </w:rPr>
        <w:t>八、</w:t>
      </w:r>
      <w:r>
        <w:rPr>
          <w:rStyle w:val="20"/>
          <w:rFonts w:hint="eastAsia" w:ascii="黑体" w:hAnsi="黑体" w:eastAsia="黑体"/>
          <w:b w:val="0"/>
          <w:color w:val="auto"/>
          <w:highlight w:val="none"/>
        </w:rPr>
        <w:t>政府性基金预算支出决算情况说明</w:t>
      </w:r>
      <w:bookmarkEnd w:id="69"/>
      <w:bookmarkEnd w:id="70"/>
      <w:bookmarkEnd w:id="71"/>
    </w:p>
    <w:p w14:paraId="72E2536C">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F3A610A">
      <w:pPr>
        <w:numPr>
          <w:ilvl w:val="0"/>
          <w:numId w:val="6"/>
        </w:numPr>
        <w:spacing w:line="600" w:lineRule="exact"/>
        <w:ind w:firstLine="640"/>
        <w:outlineLvl w:val="1"/>
        <w:rPr>
          <w:rStyle w:val="20"/>
          <w:rFonts w:ascii="黑体" w:hAnsi="黑体" w:eastAsia="黑体"/>
          <w:b w:val="0"/>
          <w:color w:val="auto"/>
          <w:highlight w:val="none"/>
        </w:rPr>
      </w:pPr>
      <w:bookmarkStart w:id="72" w:name="_Toc24306_WPSOffice_Level2"/>
      <w:bookmarkStart w:id="73" w:name="_Toc15377219"/>
      <w:bookmarkStart w:id="74" w:name="_Toc15396611"/>
      <w:r>
        <w:rPr>
          <w:rStyle w:val="20"/>
          <w:rFonts w:hint="eastAsia" w:ascii="黑体" w:hAnsi="黑体" w:eastAsia="黑体"/>
          <w:b w:val="0"/>
          <w:color w:val="auto"/>
          <w:highlight w:val="none"/>
        </w:rPr>
        <w:t>国有资本经营预算支出决算情况说明</w:t>
      </w:r>
      <w:bookmarkEnd w:id="72"/>
      <w:bookmarkEnd w:id="73"/>
      <w:bookmarkEnd w:id="74"/>
    </w:p>
    <w:p w14:paraId="27CCC28C">
      <w:pPr>
        <w:spacing w:line="600" w:lineRule="exact"/>
        <w:ind w:firstLine="640"/>
        <w:rPr>
          <w:rFonts w:ascii="方正小标宋简体" w:hAnsi="方正小标宋简体" w:eastAsia="方正小标宋简体" w:cs="方正小标宋简体"/>
          <w:color w:val="auto"/>
          <w:sz w:val="44"/>
          <w:szCs w:val="44"/>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67442894">
      <w:pPr>
        <w:numPr>
          <w:ilvl w:val="0"/>
          <w:numId w:val="6"/>
        </w:numPr>
        <w:spacing w:line="600" w:lineRule="exact"/>
        <w:ind w:firstLine="640"/>
        <w:outlineLvl w:val="1"/>
        <w:rPr>
          <w:rStyle w:val="20"/>
          <w:rFonts w:hint="eastAsia" w:ascii="黑体" w:hAnsi="黑体" w:eastAsia="黑体"/>
          <w:b w:val="0"/>
          <w:color w:val="auto"/>
          <w:highlight w:val="none"/>
        </w:rPr>
      </w:pPr>
      <w:bookmarkStart w:id="75" w:name="_Toc15377221"/>
      <w:bookmarkStart w:id="76" w:name="_Toc15396612"/>
      <w:bookmarkStart w:id="77" w:name="_Toc29707_WPSOffice_Level2"/>
      <w:r>
        <w:rPr>
          <w:rStyle w:val="20"/>
          <w:rFonts w:hint="eastAsia" w:ascii="黑体" w:hAnsi="黑体" w:eastAsia="黑体"/>
          <w:b w:val="0"/>
          <w:color w:val="auto"/>
          <w:highlight w:val="none"/>
        </w:rPr>
        <w:t>其他重要事项的情况说明</w:t>
      </w:r>
      <w:bookmarkEnd w:id="75"/>
      <w:bookmarkEnd w:id="76"/>
      <w:bookmarkEnd w:id="77"/>
    </w:p>
    <w:p w14:paraId="6E7FE69C">
      <w:pPr>
        <w:spacing w:line="600" w:lineRule="exact"/>
        <w:ind w:firstLine="643" w:firstLineChars="200"/>
        <w:outlineLvl w:val="2"/>
        <w:rPr>
          <w:rFonts w:ascii="仿宋" w:hAnsi="仿宋" w:eastAsia="仿宋"/>
          <w:color w:val="auto"/>
          <w:sz w:val="32"/>
          <w:szCs w:val="32"/>
          <w:highlight w:val="none"/>
        </w:rPr>
      </w:pPr>
      <w:bookmarkStart w:id="78" w:name="_Toc15377222"/>
      <w:r>
        <w:rPr>
          <w:rFonts w:hint="eastAsia" w:ascii="仿宋" w:hAnsi="仿宋" w:eastAsia="仿宋"/>
          <w:b/>
          <w:color w:val="auto"/>
          <w:sz w:val="32"/>
          <w:szCs w:val="32"/>
          <w:highlight w:val="none"/>
        </w:rPr>
        <w:t>（一）机关运行经费支出情况</w:t>
      </w:r>
      <w:bookmarkEnd w:id="78"/>
    </w:p>
    <w:p w14:paraId="1C77B2C6">
      <w:pPr>
        <w:spacing w:line="600" w:lineRule="exact"/>
        <w:ind w:firstLine="640" w:firstLineChars="200"/>
        <w:rPr>
          <w:rFonts w:hint="eastAsia" w:ascii="仿宋_GB2312" w:eastAsia="仿宋_GB2312"/>
          <w:color w:val="auto"/>
          <w:sz w:val="32"/>
          <w:szCs w:val="32"/>
          <w:highlight w:val="yellow"/>
          <w:lang w:eastAsia="zh-CN"/>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文旅局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76.84</w:t>
      </w:r>
      <w:r>
        <w:rPr>
          <w:rFonts w:hint="eastAsia" w:ascii="仿宋_GB2312" w:eastAsia="仿宋_GB2312"/>
          <w:color w:val="auto"/>
          <w:sz w:val="32"/>
          <w:szCs w:val="32"/>
          <w:highlight w:val="none"/>
        </w:rPr>
        <w:t>万元，比</w:t>
      </w:r>
      <w:r>
        <w:rPr>
          <w:rFonts w:hint="eastAsia" w:ascii="仿宋_GB2312" w:eastAsia="仿宋_GB2312"/>
          <w:color w:val="auto"/>
          <w:sz w:val="32"/>
          <w:szCs w:val="32"/>
          <w:highlight w:val="none"/>
          <w:lang w:eastAsia="zh-CN"/>
        </w:rPr>
        <w:t>2022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7.65</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9.05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人员减少以及厉行节约减少非必要开支</w:t>
      </w:r>
      <w:r>
        <w:rPr>
          <w:rFonts w:hint="eastAsia" w:ascii="仿宋_GB2312" w:eastAsia="仿宋_GB2312"/>
          <w:color w:val="auto"/>
          <w:sz w:val="32"/>
          <w:szCs w:val="32"/>
          <w:highlight w:val="none"/>
          <w:lang w:eastAsia="zh-CN"/>
        </w:rPr>
        <w:t>。</w:t>
      </w:r>
    </w:p>
    <w:p w14:paraId="631097E9">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9" w:name="_Toc15377223"/>
      <w:r>
        <w:rPr>
          <w:rFonts w:hint="eastAsia" w:ascii="仿宋" w:hAnsi="仿宋" w:eastAsia="仿宋"/>
          <w:b/>
          <w:color w:val="auto"/>
          <w:sz w:val="32"/>
          <w:szCs w:val="32"/>
          <w:highlight w:val="none"/>
        </w:rPr>
        <w:t>（二）政府采购支出情况</w:t>
      </w:r>
      <w:bookmarkEnd w:id="79"/>
    </w:p>
    <w:p w14:paraId="3CA8153D">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文旅局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339.67</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339.67</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主要用于船山区应急广播体系建设、2023年户户通运维器材采购项目。</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11861DF5">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80" w:name="_Toc15377224"/>
      <w:r>
        <w:rPr>
          <w:rFonts w:hint="eastAsia" w:ascii="仿宋" w:hAnsi="仿宋" w:eastAsia="仿宋"/>
          <w:b/>
          <w:color w:val="auto"/>
          <w:sz w:val="32"/>
          <w:szCs w:val="32"/>
          <w:highlight w:val="none"/>
        </w:rPr>
        <w:t>（三）国有资产占有使用情况</w:t>
      </w:r>
      <w:bookmarkEnd w:id="80"/>
    </w:p>
    <w:p w14:paraId="7A1ECA6A">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文旅局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0DB68CE6">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49B19E2A">
      <w:pPr>
        <w:spacing w:line="58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2023年度</w:t>
      </w:r>
      <w:r>
        <w:rPr>
          <w:rFonts w:hint="eastAsia" w:ascii="仿宋_GB2312" w:hAnsi="仿宋_GB2312" w:eastAsia="仿宋_GB2312" w:cs="仿宋_GB2312"/>
          <w:color w:val="auto"/>
          <w:sz w:val="32"/>
          <w:szCs w:val="32"/>
          <w:highlight w:val="none"/>
        </w:rPr>
        <w:t>预算编制阶段，组织对城市书房建设补助</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文化旅游市场监管</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15个项目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w:t>
      </w:r>
    </w:p>
    <w:p w14:paraId="33C30FFC">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组织</w:t>
      </w:r>
      <w:r>
        <w:rPr>
          <w:rFonts w:hint="eastAsia"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val="en-US" w:eastAsia="zh-CN"/>
        </w:rPr>
        <w:t>2023年度一般公共预算、</w:t>
      </w:r>
      <w:r>
        <w:rPr>
          <w:rFonts w:hint="eastAsia" w:ascii="仿宋_GB2312" w:hAnsi="仿宋_GB2312" w:eastAsia="仿宋_GB2312" w:cs="仿宋_GB2312"/>
          <w:color w:val="auto"/>
          <w:sz w:val="32"/>
          <w:szCs w:val="32"/>
          <w:highlight w:val="none"/>
          <w:lang w:eastAsia="zh-CN"/>
        </w:rPr>
        <w:t>政府性基金预算、国有资本经营预算、社会保险基金预算以及资本资产、债券资金等</w:t>
      </w:r>
      <w:r>
        <w:rPr>
          <w:rFonts w:hint="eastAsia" w:ascii="仿宋_GB2312" w:hAnsi="仿宋_GB2312" w:eastAsia="仿宋_GB2312" w:cs="仿宋_GB2312"/>
          <w:color w:val="auto"/>
          <w:sz w:val="32"/>
          <w:szCs w:val="32"/>
          <w:highlight w:val="none"/>
          <w:lang w:val="en-US" w:eastAsia="zh-CN"/>
        </w:rPr>
        <w:t>全面开展绩效自评，形成遂宁市船山区文化广播电视和旅游局</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广播电视户户通运行维护等</w:t>
      </w:r>
      <w:r>
        <w:rPr>
          <w:rFonts w:hint="eastAsia" w:ascii="仿宋_GB2312" w:hAnsi="仿宋_GB2312" w:eastAsia="仿宋_GB2312" w:cs="仿宋_GB2312"/>
          <w:color w:val="auto"/>
          <w:sz w:val="32"/>
          <w:szCs w:val="32"/>
          <w:highlight w:val="none"/>
          <w:lang w:eastAsia="zh-CN"/>
        </w:rPr>
        <w:t>专项预算项目</w:t>
      </w:r>
      <w:r>
        <w:rPr>
          <w:rFonts w:hint="eastAsia" w:ascii="仿宋_GB2312" w:hAnsi="仿宋_GB2312" w:eastAsia="仿宋_GB2312" w:cs="仿宋_GB2312"/>
          <w:color w:val="auto"/>
          <w:sz w:val="32"/>
          <w:szCs w:val="32"/>
          <w:highlight w:val="none"/>
          <w:lang w:val="en-US" w:eastAsia="zh-CN"/>
        </w:rPr>
        <w:t>绩效自评报告，其中：</w:t>
      </w:r>
    </w:p>
    <w:p w14:paraId="43B0E6F7">
      <w:pPr>
        <w:keepNext w:val="0"/>
        <w:keepLines w:val="0"/>
        <w:pageBreakBefore w:val="0"/>
        <w:widowControl w:val="0"/>
        <w:numPr>
          <w:ilvl w:val="0"/>
          <w:numId w:val="7"/>
        </w:numPr>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遂宁市船山区文化广播电视和旅游局</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得分为80.22分，绩效自评综述：根据相关文件要求，绩效自评遵循客观、公平、公正的原则，运用科学的方法，组织完成了遂宁市船山区文化广播电视和旅游局部门整体绩效评价工作，质量目标、数量目标、时效目标、成本目标、效益目标以及满意度等均完成较好。</w:t>
      </w:r>
    </w:p>
    <w:p w14:paraId="09752436">
      <w:pPr>
        <w:keepNext w:val="0"/>
        <w:keepLines w:val="0"/>
        <w:pageBreakBefore w:val="0"/>
        <w:widowControl w:val="0"/>
        <w:numPr>
          <w:ilvl w:val="0"/>
          <w:numId w:val="7"/>
        </w:numPr>
        <w:kinsoku/>
        <w:wordWrap/>
        <w:overflowPunct w:val="0"/>
        <w:topLinePunct w:val="0"/>
        <w:autoSpaceDE/>
        <w:autoSpaceDN/>
        <w:bidi w:val="0"/>
        <w:adjustRightInd/>
        <w:snapToGrid w:val="0"/>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广播电视户户通运行维护</w:t>
      </w:r>
      <w:r>
        <w:rPr>
          <w:rFonts w:hint="eastAsia" w:ascii="仿宋_GB2312" w:hAnsi="仿宋_GB2312" w:eastAsia="仿宋_GB2312" w:cs="仿宋_GB2312"/>
          <w:color w:val="auto"/>
          <w:sz w:val="32"/>
          <w:szCs w:val="32"/>
          <w:highlight w:val="none"/>
        </w:rPr>
        <w:t>专项预算项目绩效自评得分为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项目的组织实施，有效地保障了全区有线广播电视综合信息网运行，项目开展以来深受群众好评和领导认可，取得了良好的社会效益；</w:t>
      </w:r>
    </w:p>
    <w:p w14:paraId="0AA50030">
      <w:pPr>
        <w:keepNext w:val="0"/>
        <w:keepLines w:val="0"/>
        <w:pageBreakBefore w:val="0"/>
        <w:widowControl w:val="0"/>
        <w:numPr>
          <w:ilvl w:val="0"/>
          <w:numId w:val="0"/>
        </w:numPr>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yellow"/>
          <w:lang w:val="en-US" w:eastAsia="zh-CN"/>
        </w:rPr>
      </w:pPr>
      <w:r>
        <w:rPr>
          <w:rFonts w:hint="eastAsia" w:ascii="Times New Roman" w:hAnsi="Times New Roman" w:eastAsia="仿宋_GB2312" w:cs="Times New Roman"/>
          <w:b w:val="0"/>
          <w:bCs w:val="0"/>
          <w:kern w:val="0"/>
          <w:sz w:val="32"/>
          <w:szCs w:val="32"/>
          <w:lang w:val="en-US" w:eastAsia="zh-CN"/>
        </w:rPr>
        <w:t>3、</w:t>
      </w:r>
      <w:r>
        <w:rPr>
          <w:rFonts w:hint="default" w:ascii="Times New Roman" w:hAnsi="Times New Roman" w:eastAsia="仿宋_GB2312" w:cs="Times New Roman"/>
          <w:b w:val="0"/>
          <w:bCs w:val="0"/>
          <w:kern w:val="0"/>
          <w:sz w:val="32"/>
          <w:szCs w:val="32"/>
          <w:lang w:val="en-US" w:eastAsia="zh-CN"/>
        </w:rPr>
        <w:t>美术馆免费</w:t>
      </w:r>
      <w:r>
        <w:rPr>
          <w:rFonts w:hint="eastAsia" w:ascii="仿宋_GB2312" w:hAnsi="仿宋_GB2312" w:eastAsia="仿宋_GB2312" w:cs="仿宋_GB2312"/>
          <w:b w:val="0"/>
          <w:bCs w:val="0"/>
          <w:kern w:val="0"/>
          <w:sz w:val="32"/>
          <w:szCs w:val="32"/>
          <w:lang w:val="en-US" w:eastAsia="zh-CN"/>
        </w:rPr>
        <w:t>开放</w:t>
      </w:r>
      <w:r>
        <w:rPr>
          <w:rFonts w:hint="eastAsia" w:ascii="仿宋_GB2312" w:hAnsi="仿宋_GB2312" w:eastAsia="仿宋_GB2312" w:cs="仿宋_GB2312"/>
          <w:color w:val="auto"/>
          <w:sz w:val="32"/>
          <w:szCs w:val="32"/>
          <w:highlight w:val="none"/>
        </w:rPr>
        <w:t>专项预算项目绩效自评得分为</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b w:val="0"/>
          <w:bCs w:val="0"/>
          <w:kern w:val="0"/>
          <w:sz w:val="32"/>
          <w:szCs w:val="32"/>
          <w:lang w:val="en-US" w:eastAsia="zh-CN"/>
        </w:rPr>
        <w:t>2023年，船山区美术馆免费开放接待群众近万人次，面向全区开展各年龄阶段免费培训共24场次。组织开展各类美术活动30余场次，服务群众6万人次。“遂宁市船山区美术馆”网站及微网页，开展线上服务，提供艺术文化资源，各类端口服务群众超过2万人次。通过“遂宁市船山区美术馆”网站及微网页，提供美术资源资金支出率大于95%，受惠群众满意度大于98%。丰富了群众精神文化生活，切实保障人民群众基本文化权益，增强人民群众获得感、幸福感</w:t>
      </w:r>
      <w:r>
        <w:rPr>
          <w:rFonts w:hint="eastAsia" w:ascii="仿宋_GB2312" w:hAnsi="仿宋_GB2312" w:eastAsia="仿宋_GB2312" w:cs="仿宋_GB2312"/>
          <w:b w:val="0"/>
          <w:bCs w:val="0"/>
          <w:kern w:val="0"/>
          <w:sz w:val="32"/>
          <w:szCs w:val="32"/>
          <w:highlight w:val="none"/>
          <w:lang w:val="en-US" w:eastAsia="zh-CN"/>
        </w:rPr>
        <w:t>。</w:t>
      </w:r>
    </w:p>
    <w:p w14:paraId="5ABD9FBD">
      <w:pPr>
        <w:pStyle w:val="6"/>
        <w:keepNext w:val="0"/>
        <w:keepLines w:val="0"/>
        <w:pageBreakBefore w:val="0"/>
        <w:kinsoku/>
        <w:wordWrap/>
        <w:topLinePunct w:val="0"/>
        <w:bidi w:val="0"/>
        <w:spacing w:line="520" w:lineRule="exact"/>
        <w:ind w:left="0" w:leftChars="0"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color w:val="auto"/>
          <w:sz w:val="32"/>
          <w:szCs w:val="32"/>
          <w:highlight w:val="none"/>
          <w:lang w:val="en-US" w:eastAsia="zh-CN"/>
        </w:rPr>
        <w:t>4、应急广播建设部门预算项目</w:t>
      </w:r>
      <w:r>
        <w:rPr>
          <w:rFonts w:hint="eastAsia" w:ascii="仿宋_GB2312" w:hAnsi="仿宋_GB2312" w:eastAsia="仿宋_GB2312" w:cs="仿宋_GB2312"/>
          <w:color w:val="auto"/>
          <w:sz w:val="32"/>
          <w:szCs w:val="32"/>
          <w:highlight w:val="none"/>
        </w:rPr>
        <w:t>绩效自评得分为</w:t>
      </w:r>
      <w:r>
        <w:rPr>
          <w:rFonts w:hint="eastAsia" w:ascii="仿宋_GB2312" w:hAnsi="仿宋_GB2312" w:eastAsia="仿宋_GB2312" w:cs="仿宋_GB2312"/>
          <w:color w:val="auto"/>
          <w:sz w:val="32"/>
          <w:szCs w:val="32"/>
          <w:highlight w:val="none"/>
          <w:lang w:val="en-US" w:eastAsia="zh-CN"/>
        </w:rPr>
        <w:t>99</w:t>
      </w:r>
      <w:r>
        <w:rPr>
          <w:rFonts w:hint="eastAsia" w:ascii="仿宋_GB2312" w:hAnsi="仿宋_GB2312" w:eastAsia="仿宋_GB2312" w:cs="仿宋_GB2312"/>
          <w:color w:val="auto"/>
          <w:sz w:val="32"/>
          <w:szCs w:val="32"/>
          <w:highlight w:val="none"/>
        </w:rPr>
        <w:t>分，绩效自评综述：</w:t>
      </w:r>
      <w:r>
        <w:rPr>
          <w:rFonts w:hint="eastAsia" w:ascii="仿宋_GB2312" w:hAnsi="华文仿宋" w:eastAsia="仿宋_GB2312" w:cs="Times New Roman"/>
          <w:color w:val="000000"/>
          <w:kern w:val="2"/>
          <w:sz w:val="32"/>
          <w:szCs w:val="32"/>
          <w:lang w:val="en-US" w:eastAsia="zh-CN" w:bidi="ar-SA"/>
        </w:rPr>
        <w:t>项目的实施，</w:t>
      </w:r>
      <w:r>
        <w:rPr>
          <w:rStyle w:val="23"/>
          <w:rFonts w:hint="eastAsia" w:ascii="仿宋_GB2312" w:hAnsi="仿宋_GB2312" w:eastAsia="仿宋_GB2312" w:cs="仿宋_GB2312"/>
          <w:kern w:val="2"/>
          <w:sz w:val="32"/>
          <w:szCs w:val="32"/>
          <w:lang w:val="en-US" w:eastAsia="zh-CN" w:bidi="ar-SA"/>
        </w:rPr>
        <w:t>建设完成了区级应急广播平台，7个乡镇和81个村应急广播分平台，安装应急广播终端300台套，</w:t>
      </w:r>
      <w:r>
        <w:rPr>
          <w:rFonts w:hint="eastAsia" w:ascii="仿宋_GB2312" w:hAnsi="华文仿宋" w:eastAsia="仿宋_GB2312" w:cs="Times New Roman"/>
          <w:color w:val="000000"/>
          <w:kern w:val="2"/>
          <w:sz w:val="32"/>
          <w:szCs w:val="32"/>
          <w:lang w:val="en-US" w:eastAsia="zh-CN" w:bidi="ar-SA"/>
        </w:rPr>
        <w:t>推进了广播电视信号全覆盖，改善了广播电视服务传输网络和服务质量，提升了镇村“两项改革”后广播电视服务效能，增强人民群众获得感、幸福感、安全感，取得良好的社会效益。</w:t>
      </w:r>
    </w:p>
    <w:p w14:paraId="6FC9B6B1">
      <w:pPr>
        <w:keepNext w:val="0"/>
        <w:keepLines w:val="0"/>
        <w:pageBreakBefore w:val="0"/>
        <w:widowControl w:val="0"/>
        <w:numPr>
          <w:ilvl w:val="0"/>
          <w:numId w:val="0"/>
        </w:numPr>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auto"/>
          <w:sz w:val="32"/>
          <w:szCs w:val="32"/>
          <w:highlight w:val="none"/>
          <w:lang w:val="en-US" w:eastAsia="zh-CN"/>
        </w:rPr>
        <w:t>5、</w:t>
      </w:r>
      <w:r>
        <w:rPr>
          <w:rFonts w:hint="eastAsia" w:eastAsia="仿宋_GB2312" w:cs="Times New Roman"/>
          <w:sz w:val="32"/>
          <w:szCs w:val="32"/>
          <w:highlight w:val="none"/>
          <w:lang w:val="en-US" w:eastAsia="zh-CN"/>
        </w:rPr>
        <w:t>送文化下乡</w:t>
      </w:r>
      <w:r>
        <w:rPr>
          <w:rFonts w:hint="eastAsia" w:ascii="仿宋_GB2312" w:hAnsi="仿宋_GB2312" w:eastAsia="仿宋_GB2312" w:cs="仿宋_GB2312"/>
          <w:color w:val="auto"/>
          <w:sz w:val="32"/>
          <w:szCs w:val="32"/>
          <w:highlight w:val="none"/>
          <w:lang w:val="en-US" w:eastAsia="zh-CN"/>
        </w:rPr>
        <w:t>部门</w:t>
      </w:r>
      <w:r>
        <w:rPr>
          <w:rFonts w:hint="eastAsia" w:eastAsia="仿宋_GB2312" w:cs="Times New Roman"/>
          <w:sz w:val="32"/>
          <w:szCs w:val="32"/>
          <w:highlight w:val="none"/>
          <w:lang w:val="en-US" w:eastAsia="zh-CN"/>
        </w:rPr>
        <w:t>预算项目自评得分100分，绩效自评综述：</w:t>
      </w:r>
      <w:r>
        <w:rPr>
          <w:rFonts w:hint="eastAsia" w:ascii="仿宋_GB2312" w:hAnsi="仿宋_GB2312" w:eastAsia="仿宋_GB2312" w:cs="仿宋_GB2312"/>
          <w:color w:val="000000"/>
          <w:sz w:val="32"/>
          <w:szCs w:val="32"/>
          <w:lang w:eastAsia="zh-CN"/>
        </w:rPr>
        <w:t>通过项目的实施，产生了良好的社会效益，</w:t>
      </w:r>
      <w:r>
        <w:rPr>
          <w:rFonts w:hint="eastAsia" w:ascii="仿宋_GB2312" w:hAnsi="仿宋_GB2312" w:eastAsia="仿宋_GB2312" w:cs="仿宋_GB2312"/>
          <w:color w:val="000000" w:themeColor="text1"/>
          <w:kern w:val="0"/>
          <w:sz w:val="32"/>
          <w:szCs w:val="32"/>
          <w14:textFill>
            <w14:solidFill>
              <w14:schemeClr w14:val="tx1"/>
            </w14:solidFill>
          </w14:textFill>
        </w:rPr>
        <w:t>全区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5个街道、7个乡镇群众</w:t>
      </w:r>
      <w:r>
        <w:rPr>
          <w:rFonts w:hint="eastAsia" w:ascii="仿宋_GB2312" w:hAnsi="仿宋_GB2312" w:eastAsia="仿宋_GB2312" w:cs="仿宋_GB2312"/>
          <w:color w:val="000000"/>
          <w:sz w:val="32"/>
          <w:szCs w:val="32"/>
          <w:lang w:eastAsia="zh-CN"/>
        </w:rPr>
        <w:t>受益。通过“送文化下乡”文化惠民活动的方式，宣传党和政府各项政策及重点工作，</w:t>
      </w:r>
      <w:r>
        <w:rPr>
          <w:rFonts w:hint="eastAsia" w:ascii="仿宋_GB2312" w:hAnsi="仿宋_GB2312" w:eastAsia="仿宋_GB2312" w:cs="仿宋_GB2312"/>
          <w:color w:val="000000"/>
          <w:sz w:val="32"/>
          <w:szCs w:val="32"/>
        </w:rPr>
        <w:t>丰富</w:t>
      </w:r>
      <w:r>
        <w:rPr>
          <w:rFonts w:hint="eastAsia" w:ascii="仿宋_GB2312" w:hAnsi="仿宋_GB2312" w:eastAsia="仿宋_GB2312" w:cs="仿宋_GB2312"/>
          <w:color w:val="000000"/>
          <w:sz w:val="32"/>
          <w:szCs w:val="32"/>
          <w:lang w:eastAsia="zh-CN"/>
        </w:rPr>
        <w:t>群众</w:t>
      </w:r>
      <w:r>
        <w:rPr>
          <w:rFonts w:hint="eastAsia" w:ascii="仿宋_GB2312" w:hAnsi="仿宋_GB2312" w:eastAsia="仿宋_GB2312" w:cs="仿宋_GB2312"/>
          <w:color w:val="000000"/>
          <w:sz w:val="32"/>
          <w:szCs w:val="32"/>
        </w:rPr>
        <w:t>精神文化生活，深受群众好评和认可</w:t>
      </w:r>
      <w:r>
        <w:rPr>
          <w:rFonts w:hint="eastAsia" w:ascii="仿宋_GB2312" w:hAnsi="仿宋_GB2312" w:eastAsia="仿宋_GB2312" w:cs="仿宋_GB2312"/>
          <w:color w:val="000000"/>
          <w:sz w:val="32"/>
          <w:szCs w:val="32"/>
          <w:lang w:eastAsia="zh-CN"/>
        </w:rPr>
        <w:t>。</w:t>
      </w:r>
    </w:p>
    <w:p w14:paraId="7CF9D6ED">
      <w:pPr>
        <w:pStyle w:val="2"/>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6、文化旅游发展资金（非物质文化遗产保护）桃子龙传承保护补助资金部门预算项目自评得分100分，绩效自评综述：项目开展实施以来，进行了“船山桃子龙”两条龙道具制作（龙头、龙宝、龙尾、桃子），开展了代表性传承人调查记录及传承队伍培训，有效保护传承我区省级非物质文化遗产“船山桃子龙”，同时吸引更多群众积极参与非物质文化遗产保护，增强非物质文化遗产保护意识。</w:t>
      </w:r>
    </w:p>
    <w:p w14:paraId="76248211">
      <w:pPr>
        <w:pStyle w:val="2"/>
        <w:ind w:firstLine="640" w:firstLineChars="200"/>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绩效自评报告详见附件。</w:t>
      </w:r>
    </w:p>
    <w:p w14:paraId="6889803F"/>
    <w:p w14:paraId="1A77BE57">
      <w:pPr>
        <w:numPr>
          <w:ilvl w:val="0"/>
          <w:numId w:val="0"/>
        </w:numPr>
        <w:spacing w:line="600" w:lineRule="exact"/>
        <w:jc w:val="center"/>
        <w:outlineLvl w:val="0"/>
        <w:rPr>
          <w:rStyle w:val="19"/>
          <w:rFonts w:ascii="黑体" w:hAnsi="黑体" w:eastAsia="黑体"/>
          <w:b w:val="0"/>
          <w:color w:val="auto"/>
          <w:highlight w:val="none"/>
        </w:rPr>
      </w:pPr>
      <w:bookmarkStart w:id="81" w:name="_Toc19244_WPSOffice_Level1"/>
      <w:bookmarkStart w:id="82" w:name="_Toc20410_WPSOffice_Level1"/>
      <w:r>
        <w:rPr>
          <w:rFonts w:hint="eastAsia" w:ascii="黑体" w:hAnsi="黑体" w:eastAsia="黑体"/>
          <w:color w:val="auto"/>
          <w:sz w:val="44"/>
          <w:szCs w:val="44"/>
          <w:highlight w:val="none"/>
          <w:lang w:eastAsia="zh-CN"/>
        </w:rPr>
        <w:t>第三部分</w:t>
      </w:r>
      <w:r>
        <w:rPr>
          <w:rFonts w:hint="eastAsia" w:ascii="黑体" w:hAnsi="黑体" w:eastAsia="黑体"/>
          <w:color w:val="auto"/>
          <w:sz w:val="44"/>
          <w:szCs w:val="44"/>
          <w:highlight w:val="none"/>
          <w:lang w:val="en-US" w:eastAsia="zh-CN"/>
        </w:rPr>
        <w:t xml:space="preserve">  </w:t>
      </w:r>
      <w:r>
        <w:rPr>
          <w:rFonts w:hint="eastAsia" w:ascii="黑体" w:hAnsi="黑体" w:eastAsia="黑体"/>
          <w:color w:val="auto"/>
          <w:sz w:val="44"/>
          <w:szCs w:val="44"/>
          <w:highlight w:val="none"/>
        </w:rPr>
        <w:t>名</w:t>
      </w:r>
      <w:r>
        <w:rPr>
          <w:rStyle w:val="19"/>
          <w:rFonts w:hint="eastAsia" w:ascii="黑体" w:hAnsi="黑体" w:eastAsia="黑体"/>
          <w:b w:val="0"/>
          <w:color w:val="auto"/>
          <w:highlight w:val="none"/>
        </w:rPr>
        <w:t>词解释</w:t>
      </w:r>
      <w:bookmarkEnd w:id="81"/>
    </w:p>
    <w:p w14:paraId="0055C79F">
      <w:pPr>
        <w:spacing w:line="600" w:lineRule="exact"/>
        <w:jc w:val="left"/>
        <w:rPr>
          <w:rFonts w:ascii="宋体"/>
          <w:b/>
          <w:color w:val="auto"/>
          <w:sz w:val="44"/>
          <w:szCs w:val="44"/>
          <w:highlight w:val="none"/>
        </w:rPr>
      </w:pPr>
    </w:p>
    <w:p w14:paraId="02C521AB">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3E528E42">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其他收入：指单位取得的除上述收入以外的各项收入。主要是…（收入类型）等。</w:t>
      </w:r>
      <w:r>
        <w:rPr>
          <w:rFonts w:ascii="仿宋_GB2312" w:eastAsia="仿宋_GB2312"/>
          <w:color w:val="auto"/>
          <w:sz w:val="32"/>
          <w:szCs w:val="32"/>
          <w:highlight w:val="none"/>
        </w:rPr>
        <w:t xml:space="preserve"> </w:t>
      </w:r>
    </w:p>
    <w:p w14:paraId="01AF3145">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ascii="仿宋_GB2312" w:eastAsia="仿宋_GB2312"/>
          <w:color w:val="auto"/>
          <w:sz w:val="32"/>
          <w:szCs w:val="32"/>
          <w:highlight w:val="none"/>
        </w:rPr>
        <w:t>.</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65425871">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4A3006B7">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0808D827">
      <w:pPr>
        <w:pStyle w:val="24"/>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年末结转和结余：指单位按有关规定结转到下年或以后年度继续使用的资金。</w:t>
      </w:r>
    </w:p>
    <w:p w14:paraId="3CEAE9CB">
      <w:pPr>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一般公共服务（</w:t>
      </w:r>
      <w:r>
        <w:rPr>
          <w:rFonts w:hint="eastAsia" w:ascii="仿宋_GB2312" w:eastAsia="仿宋_GB2312"/>
          <w:color w:val="auto"/>
          <w:sz w:val="32"/>
          <w:szCs w:val="32"/>
          <w:highlight w:val="none"/>
          <w:lang w:val="en-US" w:eastAsia="zh-CN"/>
        </w:rPr>
        <w:t>201</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组织事务</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32</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一般行政管理事务</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02</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反映行政单位（包括实行公务员管理的事业单位）未单独设置顶级科目的其他项目支出</w:t>
      </w:r>
      <w:r>
        <w:rPr>
          <w:rFonts w:hint="eastAsia" w:ascii="仿宋_GB2312" w:eastAsia="仿宋_GB2312"/>
          <w:color w:val="auto"/>
          <w:sz w:val="32"/>
          <w:szCs w:val="32"/>
          <w:highlight w:val="none"/>
        </w:rPr>
        <w:t>。</w:t>
      </w:r>
    </w:p>
    <w:p w14:paraId="09FF3588">
      <w:pPr>
        <w:pStyle w:val="24"/>
        <w:spacing w:line="560" w:lineRule="exact"/>
        <w:ind w:firstLine="640" w:firstLineChars="200"/>
        <w:rPr>
          <w:rFonts w:ascii="仿宋_GB2312" w:eastAsia="仿宋_GB2312"/>
          <w:sz w:val="32"/>
          <w:szCs w:val="32"/>
        </w:rPr>
      </w:pP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sz w:val="32"/>
          <w:szCs w:val="32"/>
          <w:lang w:eastAsia="zh-CN"/>
        </w:rPr>
        <w:t>文化旅游体育与传媒支出</w:t>
      </w:r>
      <w:r>
        <w:rPr>
          <w:rFonts w:ascii="仿宋_GB2312" w:eastAsia="仿宋_GB2312"/>
          <w:sz w:val="32"/>
          <w:szCs w:val="32"/>
        </w:rPr>
        <w:t>（</w:t>
      </w:r>
      <w:r>
        <w:rPr>
          <w:rFonts w:hint="eastAsia" w:ascii="仿宋_GB2312" w:eastAsia="仿宋_GB2312"/>
          <w:sz w:val="32"/>
          <w:szCs w:val="32"/>
          <w:lang w:val="en-US" w:eastAsia="zh-CN"/>
        </w:rPr>
        <w:t>207</w:t>
      </w:r>
      <w:r>
        <w:rPr>
          <w:rFonts w:ascii="仿宋_GB2312" w:eastAsia="仿宋_GB2312"/>
          <w:sz w:val="32"/>
          <w:szCs w:val="32"/>
        </w:rPr>
        <w:t>）</w:t>
      </w:r>
      <w:r>
        <w:rPr>
          <w:rFonts w:hint="eastAsia" w:ascii="仿宋_GB2312" w:eastAsia="仿宋_GB2312"/>
          <w:sz w:val="32"/>
          <w:szCs w:val="32"/>
          <w:lang w:eastAsia="zh-CN"/>
        </w:rPr>
        <w:t>文化和旅游</w:t>
      </w:r>
      <w:r>
        <w:rPr>
          <w:rFonts w:ascii="仿宋_GB2312" w:eastAsia="仿宋_GB2312"/>
          <w:sz w:val="32"/>
          <w:szCs w:val="32"/>
        </w:rPr>
        <w:t>（</w:t>
      </w:r>
      <w:r>
        <w:rPr>
          <w:rFonts w:hint="eastAsia" w:ascii="仿宋_GB2312" w:eastAsia="仿宋_GB2312"/>
          <w:sz w:val="32"/>
          <w:szCs w:val="32"/>
          <w:lang w:val="en-US" w:eastAsia="zh-CN"/>
        </w:rPr>
        <w:t>01</w:t>
      </w:r>
      <w:r>
        <w:rPr>
          <w:rFonts w:ascii="仿宋_GB2312" w:eastAsia="仿宋_GB2312"/>
          <w:sz w:val="32"/>
          <w:szCs w:val="32"/>
        </w:rPr>
        <w:t>）</w:t>
      </w:r>
      <w:r>
        <w:rPr>
          <w:rFonts w:hint="eastAsia" w:ascii="仿宋_GB2312" w:eastAsia="仿宋_GB2312"/>
          <w:sz w:val="32"/>
          <w:szCs w:val="32"/>
          <w:lang w:eastAsia="zh-CN"/>
        </w:rPr>
        <w:t>行政运行</w:t>
      </w:r>
      <w:r>
        <w:rPr>
          <w:rFonts w:ascii="仿宋_GB2312" w:eastAsia="仿宋_GB2312"/>
          <w:sz w:val="32"/>
          <w:szCs w:val="32"/>
        </w:rPr>
        <w:t>（</w:t>
      </w:r>
      <w:r>
        <w:rPr>
          <w:rFonts w:hint="eastAsia" w:ascii="仿宋_GB2312" w:eastAsia="仿宋_GB2312"/>
          <w:sz w:val="32"/>
          <w:szCs w:val="32"/>
          <w:lang w:val="en-US" w:eastAsia="zh-CN"/>
        </w:rPr>
        <w:t>01</w:t>
      </w:r>
      <w:r>
        <w:rPr>
          <w:rFonts w:ascii="仿宋_GB2312" w:eastAsia="仿宋_GB2312"/>
          <w:sz w:val="32"/>
          <w:szCs w:val="32"/>
        </w:rPr>
        <w:t>）：指</w:t>
      </w:r>
      <w:r>
        <w:rPr>
          <w:rFonts w:hint="eastAsia" w:ascii="仿宋_GB2312" w:eastAsia="仿宋_GB2312"/>
          <w:sz w:val="32"/>
          <w:szCs w:val="32"/>
          <w:lang w:eastAsia="zh-CN"/>
        </w:rPr>
        <w:t>反映行政单位（包括实行公务员管理的事业单位）的基本</w:t>
      </w:r>
      <w:r>
        <w:rPr>
          <w:rFonts w:ascii="仿宋_GB2312" w:eastAsia="仿宋_GB2312"/>
          <w:sz w:val="32"/>
          <w:szCs w:val="32"/>
        </w:rPr>
        <w:t>支出。</w:t>
      </w:r>
    </w:p>
    <w:p w14:paraId="4512F2CA">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9.</w:t>
      </w:r>
      <w:r>
        <w:rPr>
          <w:rFonts w:hint="eastAsia" w:ascii="仿宋_GB2312" w:eastAsia="仿宋_GB2312"/>
          <w:sz w:val="32"/>
          <w:szCs w:val="32"/>
          <w:lang w:eastAsia="zh-CN"/>
        </w:rPr>
        <w:t>文化旅游体育与传媒支出</w:t>
      </w:r>
      <w:r>
        <w:rPr>
          <w:rFonts w:ascii="仿宋_GB2312" w:eastAsia="仿宋_GB2312"/>
          <w:sz w:val="32"/>
          <w:szCs w:val="32"/>
        </w:rPr>
        <w:t>（</w:t>
      </w:r>
      <w:r>
        <w:rPr>
          <w:rFonts w:hint="eastAsia" w:ascii="仿宋_GB2312" w:eastAsia="仿宋_GB2312"/>
          <w:sz w:val="32"/>
          <w:szCs w:val="32"/>
          <w:lang w:val="en-US" w:eastAsia="zh-CN"/>
        </w:rPr>
        <w:t>207</w:t>
      </w:r>
      <w:r>
        <w:rPr>
          <w:rFonts w:ascii="仿宋_GB2312" w:eastAsia="仿宋_GB2312"/>
          <w:sz w:val="32"/>
          <w:szCs w:val="32"/>
        </w:rPr>
        <w:t>）</w:t>
      </w:r>
      <w:r>
        <w:rPr>
          <w:rFonts w:hint="eastAsia" w:ascii="仿宋_GB2312" w:eastAsia="仿宋_GB2312"/>
          <w:sz w:val="32"/>
          <w:szCs w:val="32"/>
          <w:lang w:eastAsia="zh-CN"/>
        </w:rPr>
        <w:t>文化和旅游</w:t>
      </w:r>
      <w:r>
        <w:rPr>
          <w:rFonts w:ascii="仿宋_GB2312" w:eastAsia="仿宋_GB2312"/>
          <w:sz w:val="32"/>
          <w:szCs w:val="32"/>
        </w:rPr>
        <w:t>（</w:t>
      </w:r>
      <w:r>
        <w:rPr>
          <w:rFonts w:hint="eastAsia" w:ascii="仿宋_GB2312" w:eastAsia="仿宋_GB2312"/>
          <w:sz w:val="32"/>
          <w:szCs w:val="32"/>
          <w:lang w:val="en-US" w:eastAsia="zh-CN"/>
        </w:rPr>
        <w:t>01</w:t>
      </w:r>
      <w:r>
        <w:rPr>
          <w:rFonts w:ascii="仿宋_GB2312" w:eastAsia="仿宋_GB2312"/>
          <w:sz w:val="32"/>
          <w:szCs w:val="32"/>
        </w:rPr>
        <w:t>）</w:t>
      </w:r>
      <w:r>
        <w:rPr>
          <w:rFonts w:hint="eastAsia" w:ascii="仿宋_GB2312" w:eastAsia="仿宋_GB2312"/>
          <w:sz w:val="32"/>
          <w:szCs w:val="32"/>
          <w:lang w:eastAsia="zh-CN"/>
        </w:rPr>
        <w:t>图书馆</w:t>
      </w:r>
      <w:r>
        <w:rPr>
          <w:rFonts w:ascii="仿宋_GB2312" w:eastAsia="仿宋_GB2312"/>
          <w:sz w:val="32"/>
          <w:szCs w:val="32"/>
        </w:rPr>
        <w:t>（</w:t>
      </w:r>
      <w:r>
        <w:rPr>
          <w:rFonts w:hint="eastAsia" w:ascii="仿宋_GB2312" w:eastAsia="仿宋_GB2312"/>
          <w:sz w:val="32"/>
          <w:szCs w:val="32"/>
          <w:lang w:val="en-US" w:eastAsia="zh-CN"/>
        </w:rPr>
        <w:t>04</w:t>
      </w:r>
      <w:r>
        <w:rPr>
          <w:rFonts w:ascii="仿宋_GB2312" w:eastAsia="仿宋_GB2312"/>
          <w:sz w:val="32"/>
          <w:szCs w:val="32"/>
        </w:rPr>
        <w:t>）：</w:t>
      </w:r>
      <w:r>
        <w:rPr>
          <w:rFonts w:hint="eastAsia" w:ascii="仿宋_GB2312" w:eastAsia="仿宋_GB2312"/>
          <w:sz w:val="32"/>
          <w:szCs w:val="32"/>
          <w:lang w:eastAsia="zh-CN"/>
        </w:rPr>
        <w:t>反映图书馆的</w:t>
      </w:r>
      <w:r>
        <w:rPr>
          <w:rFonts w:ascii="仿宋_GB2312" w:eastAsia="仿宋_GB2312"/>
          <w:sz w:val="32"/>
          <w:szCs w:val="32"/>
        </w:rPr>
        <w:t>支出。</w:t>
      </w:r>
    </w:p>
    <w:p w14:paraId="2956202C">
      <w:pPr>
        <w:pStyle w:val="24"/>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10.</w:t>
      </w:r>
      <w:r>
        <w:rPr>
          <w:rFonts w:hint="eastAsia" w:ascii="仿宋_GB2312" w:eastAsia="仿宋_GB2312"/>
          <w:sz w:val="32"/>
          <w:szCs w:val="32"/>
          <w:lang w:eastAsia="zh-CN"/>
        </w:rPr>
        <w:t>文化旅游体育与传媒支出</w:t>
      </w:r>
      <w:r>
        <w:rPr>
          <w:rFonts w:ascii="仿宋_GB2312" w:eastAsia="仿宋_GB2312"/>
          <w:sz w:val="32"/>
          <w:szCs w:val="32"/>
        </w:rPr>
        <w:t>（</w:t>
      </w:r>
      <w:r>
        <w:rPr>
          <w:rFonts w:hint="eastAsia" w:ascii="仿宋_GB2312" w:eastAsia="仿宋_GB2312"/>
          <w:sz w:val="32"/>
          <w:szCs w:val="32"/>
          <w:lang w:val="en-US" w:eastAsia="zh-CN"/>
        </w:rPr>
        <w:t>207</w:t>
      </w:r>
      <w:r>
        <w:rPr>
          <w:rFonts w:ascii="仿宋_GB2312" w:eastAsia="仿宋_GB2312"/>
          <w:sz w:val="32"/>
          <w:szCs w:val="32"/>
        </w:rPr>
        <w:t>）</w:t>
      </w:r>
      <w:r>
        <w:rPr>
          <w:rFonts w:hint="eastAsia" w:ascii="仿宋_GB2312" w:eastAsia="仿宋_GB2312"/>
          <w:sz w:val="32"/>
          <w:szCs w:val="32"/>
          <w:lang w:eastAsia="zh-CN"/>
        </w:rPr>
        <w:t>文化和旅游</w:t>
      </w:r>
      <w:r>
        <w:rPr>
          <w:rFonts w:ascii="仿宋_GB2312" w:eastAsia="仿宋_GB2312"/>
          <w:sz w:val="32"/>
          <w:szCs w:val="32"/>
        </w:rPr>
        <w:t>（</w:t>
      </w:r>
      <w:r>
        <w:rPr>
          <w:rFonts w:hint="eastAsia" w:ascii="仿宋_GB2312" w:eastAsia="仿宋_GB2312"/>
          <w:sz w:val="32"/>
          <w:szCs w:val="32"/>
          <w:lang w:val="en-US" w:eastAsia="zh-CN"/>
        </w:rPr>
        <w:t>01</w:t>
      </w:r>
      <w:r>
        <w:rPr>
          <w:rFonts w:ascii="仿宋_GB2312" w:eastAsia="仿宋_GB2312"/>
          <w:sz w:val="32"/>
          <w:szCs w:val="32"/>
        </w:rPr>
        <w:t>）</w:t>
      </w:r>
      <w:r>
        <w:rPr>
          <w:rFonts w:hint="eastAsia" w:ascii="仿宋_GB2312" w:eastAsia="仿宋_GB2312"/>
          <w:sz w:val="32"/>
          <w:szCs w:val="32"/>
          <w:lang w:eastAsia="zh-CN"/>
        </w:rPr>
        <w:t>文化活动</w:t>
      </w:r>
      <w:r>
        <w:rPr>
          <w:rFonts w:ascii="仿宋_GB2312" w:eastAsia="仿宋_GB2312"/>
          <w:sz w:val="32"/>
          <w:szCs w:val="32"/>
        </w:rPr>
        <w:t>（</w:t>
      </w:r>
      <w:r>
        <w:rPr>
          <w:rFonts w:hint="eastAsia" w:ascii="仿宋_GB2312" w:eastAsia="仿宋_GB2312"/>
          <w:sz w:val="32"/>
          <w:szCs w:val="32"/>
          <w:lang w:val="en-US" w:eastAsia="zh-CN"/>
        </w:rPr>
        <w:t>08</w:t>
      </w:r>
      <w:r>
        <w:rPr>
          <w:rFonts w:ascii="仿宋_GB2312" w:eastAsia="仿宋_GB2312"/>
          <w:sz w:val="32"/>
          <w:szCs w:val="32"/>
        </w:rPr>
        <w:t>）：</w:t>
      </w:r>
      <w:r>
        <w:rPr>
          <w:rFonts w:hint="eastAsia" w:ascii="仿宋_GB2312" w:eastAsia="仿宋_GB2312"/>
          <w:sz w:val="32"/>
          <w:szCs w:val="32"/>
          <w:lang w:eastAsia="zh-CN"/>
        </w:rPr>
        <w:t>反映举办大型文化艺术活动的</w:t>
      </w:r>
      <w:r>
        <w:rPr>
          <w:rFonts w:ascii="仿宋_GB2312" w:eastAsia="仿宋_GB2312"/>
          <w:sz w:val="32"/>
          <w:szCs w:val="32"/>
        </w:rPr>
        <w:t>支出。</w:t>
      </w:r>
    </w:p>
    <w:p w14:paraId="2600B489">
      <w:pPr>
        <w:pStyle w:val="24"/>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11.文化旅游体育与传媒支出（207）文化和旅游（01）其他文化和旅游支出（99）：指反映除上述项目以外其他用于文化和旅游方面的支出。</w:t>
      </w:r>
    </w:p>
    <w:p w14:paraId="5320A62E">
      <w:pPr>
        <w:pStyle w:val="24"/>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12.文化旅游体育与传媒支出（207）文物（02）文物保护（04）：指反映考古发掘及文物保护方面的支出。</w:t>
      </w:r>
    </w:p>
    <w:p w14:paraId="4CDA7D49">
      <w:pPr>
        <w:pStyle w:val="24"/>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13.文化旅游体育与传媒支出（207）广播电视（08）其他广播电视支出（99）：指反映其他用于广播电视方面的支出。</w:t>
      </w:r>
    </w:p>
    <w:p w14:paraId="6CC8CA8A">
      <w:pPr>
        <w:pStyle w:val="24"/>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14.文化旅游体育与传媒支出（207）其他文化体育与传媒支出（99）其他文化旅游体育与传媒支出（99）：指反映其他用于文化旅游体育与传媒方面的支出。</w:t>
      </w:r>
    </w:p>
    <w:p w14:paraId="3FC1812C">
      <w:pPr>
        <w:pStyle w:val="24"/>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15.社会保障和就业支出（208）行政事业单位养老支出（05）行政单位离退休（01）：</w:t>
      </w:r>
      <w:r>
        <w:rPr>
          <w:rFonts w:hint="eastAsia" w:ascii="仿宋_GB2312" w:eastAsia="仿宋_GB2312"/>
          <w:sz w:val="32"/>
          <w:szCs w:val="32"/>
          <w:lang w:eastAsia="zh-CN"/>
        </w:rPr>
        <w:t>反映行政单位（包括实行公务员管理的事业单位）开支的离退休经费。</w:t>
      </w:r>
    </w:p>
    <w:p w14:paraId="23210512">
      <w:pPr>
        <w:pStyle w:val="24"/>
        <w:spacing w:line="56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16.社会保障和就业支出（208）行政事业单位养老支出（05）机关事业单位基本养老保险缴费支出（05）：</w:t>
      </w:r>
      <w:r>
        <w:rPr>
          <w:rFonts w:hint="eastAsia" w:ascii="仿宋_GB2312" w:eastAsia="仿宋_GB2312"/>
          <w:sz w:val="32"/>
          <w:szCs w:val="32"/>
          <w:lang w:eastAsia="zh-CN"/>
        </w:rPr>
        <w:t>反映机关事业单位实施养老保险制度由</w:t>
      </w:r>
      <w:r>
        <w:rPr>
          <w:rFonts w:hint="eastAsia" w:ascii="仿宋_GB2312" w:eastAsia="仿宋_GB2312"/>
          <w:sz w:val="32"/>
          <w:szCs w:val="32"/>
        </w:rPr>
        <w:t>单位缴纳的</w:t>
      </w:r>
      <w:r>
        <w:rPr>
          <w:rFonts w:hint="eastAsia" w:ascii="仿宋_GB2312" w:eastAsia="仿宋_GB2312"/>
          <w:sz w:val="32"/>
          <w:szCs w:val="32"/>
          <w:lang w:eastAsia="zh-CN"/>
        </w:rPr>
        <w:t>基本</w:t>
      </w:r>
      <w:r>
        <w:rPr>
          <w:rFonts w:hint="eastAsia" w:ascii="仿宋_GB2312" w:eastAsia="仿宋_GB2312"/>
          <w:sz w:val="32"/>
          <w:szCs w:val="32"/>
        </w:rPr>
        <w:t>养老保险费的支出</w:t>
      </w:r>
      <w:r>
        <w:rPr>
          <w:rFonts w:hint="eastAsia" w:ascii="仿宋_GB2312" w:eastAsia="仿宋_GB2312"/>
          <w:sz w:val="32"/>
          <w:szCs w:val="32"/>
          <w:lang w:eastAsia="zh-CN"/>
        </w:rPr>
        <w:t>。</w:t>
      </w:r>
    </w:p>
    <w:p w14:paraId="5701CB58">
      <w:pPr>
        <w:pStyle w:val="24"/>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17.社会保障和就业支出（208）行政事业单位养老支出（05）机关事业单位职业年金缴费支出（06）：</w:t>
      </w:r>
      <w:r>
        <w:rPr>
          <w:rFonts w:hint="eastAsia" w:ascii="仿宋_GB2312" w:eastAsia="仿宋_GB2312"/>
          <w:sz w:val="32"/>
          <w:szCs w:val="32"/>
          <w:lang w:eastAsia="zh-CN"/>
        </w:rPr>
        <w:t>反映机关事业单位实施养老保险制度由</w:t>
      </w:r>
      <w:r>
        <w:rPr>
          <w:rFonts w:hint="eastAsia" w:ascii="仿宋_GB2312" w:eastAsia="仿宋_GB2312"/>
          <w:sz w:val="32"/>
          <w:szCs w:val="32"/>
        </w:rPr>
        <w:t>单位</w:t>
      </w:r>
      <w:r>
        <w:rPr>
          <w:rFonts w:hint="eastAsia" w:ascii="仿宋_GB2312" w:eastAsia="仿宋_GB2312"/>
          <w:sz w:val="32"/>
          <w:szCs w:val="32"/>
          <w:lang w:eastAsia="zh-CN"/>
        </w:rPr>
        <w:t>实际</w:t>
      </w:r>
      <w:r>
        <w:rPr>
          <w:rFonts w:hint="eastAsia" w:ascii="仿宋_GB2312" w:eastAsia="仿宋_GB2312"/>
          <w:sz w:val="32"/>
          <w:szCs w:val="32"/>
        </w:rPr>
        <w:t>缴纳的</w:t>
      </w:r>
      <w:r>
        <w:rPr>
          <w:rFonts w:hint="eastAsia" w:ascii="仿宋_GB2312" w:eastAsia="仿宋_GB2312"/>
          <w:sz w:val="32"/>
          <w:szCs w:val="32"/>
          <w:lang w:eastAsia="zh-CN"/>
        </w:rPr>
        <w:t>职业年金</w:t>
      </w:r>
      <w:r>
        <w:rPr>
          <w:rFonts w:hint="eastAsia" w:ascii="仿宋_GB2312" w:eastAsia="仿宋_GB2312"/>
          <w:sz w:val="32"/>
          <w:szCs w:val="32"/>
        </w:rPr>
        <w:t>支出</w:t>
      </w:r>
      <w:r>
        <w:rPr>
          <w:rFonts w:hint="eastAsia" w:ascii="仿宋_GB2312" w:eastAsia="仿宋_GB2312"/>
          <w:sz w:val="32"/>
          <w:szCs w:val="32"/>
          <w:lang w:eastAsia="zh-CN"/>
        </w:rPr>
        <w:t>。</w:t>
      </w:r>
    </w:p>
    <w:p w14:paraId="48F97352">
      <w:pPr>
        <w:pStyle w:val="24"/>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18.社会保障和就业支出（208）残疾人事业（11）残疾人就业（05）：反映残疾人联合会用于残疾人就业方面的支出。</w:t>
      </w:r>
    </w:p>
    <w:p w14:paraId="7196D4C0">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19.</w:t>
      </w:r>
      <w:r>
        <w:rPr>
          <w:rFonts w:ascii="仿宋_GB2312" w:eastAsia="仿宋_GB2312"/>
          <w:sz w:val="32"/>
          <w:szCs w:val="32"/>
        </w:rPr>
        <w:t>社会保障和就业</w:t>
      </w:r>
      <w:r>
        <w:rPr>
          <w:rFonts w:hint="eastAsia" w:ascii="仿宋_GB2312" w:eastAsia="仿宋_GB2312"/>
          <w:sz w:val="32"/>
          <w:szCs w:val="32"/>
          <w:lang w:eastAsia="zh-CN"/>
        </w:rPr>
        <w:t>支出</w:t>
      </w:r>
      <w:r>
        <w:rPr>
          <w:rFonts w:ascii="仿宋_GB2312" w:eastAsia="仿宋_GB2312"/>
          <w:sz w:val="32"/>
          <w:szCs w:val="32"/>
        </w:rPr>
        <w:t>（</w:t>
      </w:r>
      <w:r>
        <w:rPr>
          <w:rFonts w:hint="eastAsia" w:ascii="仿宋_GB2312" w:eastAsia="仿宋_GB2312"/>
          <w:sz w:val="32"/>
          <w:szCs w:val="32"/>
          <w:lang w:val="en-US" w:eastAsia="zh-CN"/>
        </w:rPr>
        <w:t>208</w:t>
      </w:r>
      <w:r>
        <w:rPr>
          <w:rFonts w:ascii="仿宋_GB2312" w:eastAsia="仿宋_GB2312"/>
          <w:sz w:val="32"/>
          <w:szCs w:val="32"/>
        </w:rPr>
        <w:t>）其他社会保障和就业</w:t>
      </w:r>
      <w:r>
        <w:rPr>
          <w:rFonts w:hint="eastAsia" w:ascii="仿宋_GB2312" w:eastAsia="仿宋_GB2312"/>
          <w:sz w:val="32"/>
          <w:szCs w:val="32"/>
          <w:lang w:eastAsia="zh-CN"/>
        </w:rPr>
        <w:t>支出</w:t>
      </w:r>
      <w:r>
        <w:rPr>
          <w:rFonts w:ascii="仿宋_GB2312" w:eastAsia="仿宋_GB2312"/>
          <w:sz w:val="32"/>
          <w:szCs w:val="32"/>
        </w:rPr>
        <w:t>（</w:t>
      </w:r>
      <w:r>
        <w:rPr>
          <w:rFonts w:hint="eastAsia" w:ascii="仿宋_GB2312" w:eastAsia="仿宋_GB2312"/>
          <w:sz w:val="32"/>
          <w:szCs w:val="32"/>
          <w:lang w:val="en-US" w:eastAsia="zh-CN"/>
        </w:rPr>
        <w:t>99</w:t>
      </w:r>
      <w:r>
        <w:rPr>
          <w:rFonts w:ascii="仿宋_GB2312" w:eastAsia="仿宋_GB2312"/>
          <w:sz w:val="32"/>
          <w:szCs w:val="32"/>
        </w:rPr>
        <w:t>）其他社会保障和就业支出（</w:t>
      </w:r>
      <w:r>
        <w:rPr>
          <w:rFonts w:hint="eastAsia" w:ascii="仿宋_GB2312" w:eastAsia="仿宋_GB2312"/>
          <w:sz w:val="32"/>
          <w:szCs w:val="32"/>
          <w:lang w:val="en-US" w:eastAsia="zh-CN"/>
        </w:rPr>
        <w:t>99</w:t>
      </w:r>
      <w:r>
        <w:rPr>
          <w:rFonts w:ascii="仿宋_GB2312" w:eastAsia="仿宋_GB2312"/>
          <w:sz w:val="32"/>
          <w:szCs w:val="32"/>
        </w:rPr>
        <w:t>）：指除上述项目外，其他用于社会保障和就业方面的支出。</w:t>
      </w:r>
    </w:p>
    <w:p w14:paraId="2FF5B204">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20.</w:t>
      </w:r>
      <w:r>
        <w:rPr>
          <w:rFonts w:hint="eastAsia" w:ascii="仿宋_GB2312" w:eastAsia="仿宋_GB2312"/>
          <w:sz w:val="32"/>
          <w:szCs w:val="32"/>
          <w:lang w:eastAsia="zh-CN"/>
        </w:rPr>
        <w:t>卫生健康支出</w:t>
      </w:r>
      <w:r>
        <w:rPr>
          <w:rFonts w:ascii="仿宋_GB2312" w:eastAsia="仿宋_GB2312"/>
          <w:sz w:val="32"/>
          <w:szCs w:val="32"/>
        </w:rPr>
        <w:t>（</w:t>
      </w:r>
      <w:r>
        <w:rPr>
          <w:rFonts w:hint="eastAsia" w:ascii="仿宋_GB2312" w:eastAsia="仿宋_GB2312"/>
          <w:sz w:val="32"/>
          <w:szCs w:val="32"/>
          <w:lang w:val="en-US" w:eastAsia="zh-CN"/>
        </w:rPr>
        <w:t>210</w:t>
      </w:r>
      <w:r>
        <w:rPr>
          <w:rFonts w:ascii="仿宋_GB2312" w:eastAsia="仿宋_GB2312"/>
          <w:sz w:val="32"/>
          <w:szCs w:val="32"/>
        </w:rPr>
        <w:t>）行政事业单位医疗（</w:t>
      </w:r>
      <w:r>
        <w:rPr>
          <w:rFonts w:hint="eastAsia" w:ascii="仿宋_GB2312" w:eastAsia="仿宋_GB2312"/>
          <w:sz w:val="32"/>
          <w:szCs w:val="32"/>
          <w:lang w:val="en-US" w:eastAsia="zh-CN"/>
        </w:rPr>
        <w:t>11</w:t>
      </w:r>
      <w:r>
        <w:rPr>
          <w:rFonts w:ascii="仿宋_GB2312" w:eastAsia="仿宋_GB2312"/>
          <w:sz w:val="32"/>
          <w:szCs w:val="32"/>
        </w:rPr>
        <w:t>）行政单位医疗（</w:t>
      </w:r>
      <w:r>
        <w:rPr>
          <w:rFonts w:hint="eastAsia" w:ascii="仿宋_GB2312" w:eastAsia="仿宋_GB2312"/>
          <w:sz w:val="32"/>
          <w:szCs w:val="32"/>
          <w:lang w:val="en-US" w:eastAsia="zh-CN"/>
        </w:rPr>
        <w:t>01</w:t>
      </w:r>
      <w:r>
        <w:rPr>
          <w:rFonts w:ascii="仿宋_GB2312" w:eastAsia="仿宋_GB2312"/>
          <w:sz w:val="32"/>
          <w:szCs w:val="32"/>
        </w:rPr>
        <w:t>）：</w:t>
      </w:r>
      <w:r>
        <w:rPr>
          <w:rFonts w:hint="eastAsia" w:ascii="仿宋_GB2312" w:eastAsia="仿宋_GB2312"/>
          <w:sz w:val="32"/>
          <w:szCs w:val="32"/>
          <w:lang w:eastAsia="zh-CN"/>
        </w:rPr>
        <w:t>反映财政部门安排的行政单位（包括实行公务员管理的事业单位，下同）基本医疗保险缴费经费，未参加医疗保险的行政单位的公费医疗经费，按国家规定享受离休人员、红军老战士待遇人员的医疗经费</w:t>
      </w:r>
      <w:r>
        <w:rPr>
          <w:rFonts w:ascii="仿宋_GB2312" w:eastAsia="仿宋_GB2312"/>
          <w:sz w:val="32"/>
          <w:szCs w:val="32"/>
        </w:rPr>
        <w:t>。</w:t>
      </w:r>
    </w:p>
    <w:p w14:paraId="46DAC0BA">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21.</w:t>
      </w:r>
      <w:r>
        <w:rPr>
          <w:rFonts w:hint="eastAsia" w:ascii="仿宋_GB2312" w:eastAsia="仿宋_GB2312"/>
          <w:sz w:val="32"/>
          <w:szCs w:val="32"/>
          <w:lang w:eastAsia="zh-CN"/>
        </w:rPr>
        <w:t>卫生健康支出</w:t>
      </w:r>
      <w:r>
        <w:rPr>
          <w:rFonts w:ascii="仿宋_GB2312" w:eastAsia="仿宋_GB2312"/>
          <w:sz w:val="32"/>
          <w:szCs w:val="32"/>
        </w:rPr>
        <w:t>（</w:t>
      </w:r>
      <w:r>
        <w:rPr>
          <w:rFonts w:hint="eastAsia" w:ascii="仿宋_GB2312" w:eastAsia="仿宋_GB2312"/>
          <w:sz w:val="32"/>
          <w:szCs w:val="32"/>
          <w:lang w:val="en-US" w:eastAsia="zh-CN"/>
        </w:rPr>
        <w:t>210</w:t>
      </w:r>
      <w:r>
        <w:rPr>
          <w:rFonts w:ascii="仿宋_GB2312" w:eastAsia="仿宋_GB2312"/>
          <w:sz w:val="32"/>
          <w:szCs w:val="32"/>
        </w:rPr>
        <w:t>）行政事业单位医疗（</w:t>
      </w:r>
      <w:r>
        <w:rPr>
          <w:rFonts w:hint="eastAsia" w:ascii="仿宋_GB2312" w:eastAsia="仿宋_GB2312"/>
          <w:sz w:val="32"/>
          <w:szCs w:val="32"/>
          <w:lang w:val="en-US" w:eastAsia="zh-CN"/>
        </w:rPr>
        <w:t>11</w:t>
      </w:r>
      <w:r>
        <w:rPr>
          <w:rFonts w:ascii="仿宋_GB2312" w:eastAsia="仿宋_GB2312"/>
          <w:sz w:val="32"/>
          <w:szCs w:val="32"/>
        </w:rPr>
        <w:t>）事业单位医疗（</w:t>
      </w:r>
      <w:r>
        <w:rPr>
          <w:rFonts w:hint="eastAsia" w:ascii="仿宋_GB2312" w:eastAsia="仿宋_GB2312"/>
          <w:sz w:val="32"/>
          <w:szCs w:val="32"/>
          <w:lang w:val="en-US" w:eastAsia="zh-CN"/>
        </w:rPr>
        <w:t>02</w:t>
      </w:r>
      <w:r>
        <w:rPr>
          <w:rFonts w:ascii="仿宋_GB2312" w:eastAsia="仿宋_GB2312"/>
          <w:sz w:val="32"/>
          <w:szCs w:val="32"/>
        </w:rPr>
        <w:t>）：</w:t>
      </w:r>
      <w:r>
        <w:rPr>
          <w:rFonts w:hint="eastAsia" w:ascii="仿宋_GB2312" w:eastAsia="仿宋_GB2312"/>
          <w:sz w:val="32"/>
          <w:szCs w:val="32"/>
          <w:lang w:eastAsia="zh-CN"/>
        </w:rPr>
        <w:t>反映财政部门安排的事业单位基本医疗保险缴费经费，未参加医疗保险的事业单位的公费医疗经费，按国家规定享受离休人员待遇的医疗经费</w:t>
      </w:r>
      <w:r>
        <w:rPr>
          <w:rFonts w:ascii="仿宋_GB2312" w:eastAsia="仿宋_GB2312"/>
          <w:sz w:val="32"/>
          <w:szCs w:val="32"/>
        </w:rPr>
        <w:t>。</w:t>
      </w:r>
    </w:p>
    <w:p w14:paraId="499DD858">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22.</w:t>
      </w:r>
      <w:r>
        <w:rPr>
          <w:rFonts w:hint="eastAsia" w:ascii="仿宋_GB2312" w:eastAsia="仿宋_GB2312"/>
          <w:sz w:val="32"/>
          <w:szCs w:val="32"/>
          <w:lang w:eastAsia="zh-CN"/>
        </w:rPr>
        <w:t>卫生健康支出</w:t>
      </w:r>
      <w:r>
        <w:rPr>
          <w:rFonts w:ascii="仿宋_GB2312" w:eastAsia="仿宋_GB2312"/>
          <w:sz w:val="32"/>
          <w:szCs w:val="32"/>
        </w:rPr>
        <w:t>（</w:t>
      </w:r>
      <w:r>
        <w:rPr>
          <w:rFonts w:hint="eastAsia" w:ascii="仿宋_GB2312" w:eastAsia="仿宋_GB2312"/>
          <w:sz w:val="32"/>
          <w:szCs w:val="32"/>
          <w:lang w:val="en-US" w:eastAsia="zh-CN"/>
        </w:rPr>
        <w:t>210</w:t>
      </w:r>
      <w:r>
        <w:rPr>
          <w:rFonts w:ascii="仿宋_GB2312" w:eastAsia="仿宋_GB2312"/>
          <w:sz w:val="32"/>
          <w:szCs w:val="32"/>
        </w:rPr>
        <w:t>）行政事业单位医疗（</w:t>
      </w:r>
      <w:r>
        <w:rPr>
          <w:rFonts w:hint="eastAsia" w:ascii="仿宋_GB2312" w:eastAsia="仿宋_GB2312"/>
          <w:sz w:val="32"/>
          <w:szCs w:val="32"/>
          <w:lang w:val="en-US" w:eastAsia="zh-CN"/>
        </w:rPr>
        <w:t>11</w:t>
      </w:r>
      <w:r>
        <w:rPr>
          <w:rFonts w:ascii="仿宋_GB2312" w:eastAsia="仿宋_GB2312"/>
          <w:sz w:val="32"/>
          <w:szCs w:val="32"/>
        </w:rPr>
        <w:t>）公务员医疗补助（</w:t>
      </w:r>
      <w:r>
        <w:rPr>
          <w:rFonts w:hint="eastAsia" w:ascii="仿宋_GB2312" w:eastAsia="仿宋_GB2312"/>
          <w:sz w:val="32"/>
          <w:szCs w:val="32"/>
          <w:lang w:val="en-US" w:eastAsia="zh-CN"/>
        </w:rPr>
        <w:t>03</w:t>
      </w:r>
      <w:r>
        <w:rPr>
          <w:rFonts w:ascii="仿宋_GB2312" w:eastAsia="仿宋_GB2312"/>
          <w:sz w:val="32"/>
          <w:szCs w:val="32"/>
        </w:rPr>
        <w:t>）：</w:t>
      </w:r>
      <w:r>
        <w:rPr>
          <w:rFonts w:hint="eastAsia" w:ascii="仿宋_GB2312" w:eastAsia="仿宋_GB2312"/>
          <w:sz w:val="32"/>
          <w:szCs w:val="32"/>
          <w:lang w:eastAsia="zh-CN"/>
        </w:rPr>
        <w:t>反映财政部门安排的公务员医疗补助经费</w:t>
      </w:r>
      <w:r>
        <w:rPr>
          <w:rFonts w:ascii="仿宋_GB2312" w:eastAsia="仿宋_GB2312"/>
          <w:sz w:val="32"/>
          <w:szCs w:val="32"/>
        </w:rPr>
        <w:t>。</w:t>
      </w:r>
    </w:p>
    <w:p w14:paraId="491CD294">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23.农林水支出（213）巩固拓展脱贫攻坚成果衔接乡村振兴（05）其他巩固拓展脱贫攻坚成果衔接乡村振兴支出（99）：反映除上述项目以外其他用于巩固拓展脱贫攻坚成果同乡村振兴有效衔接方面的支出。</w:t>
      </w:r>
    </w:p>
    <w:p w14:paraId="2C47347B">
      <w:pPr>
        <w:pStyle w:val="2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24.</w:t>
      </w:r>
      <w:r>
        <w:rPr>
          <w:rFonts w:hint="eastAsia" w:ascii="仿宋_GB2312" w:eastAsia="仿宋_GB2312"/>
          <w:sz w:val="32"/>
          <w:szCs w:val="32"/>
          <w:lang w:eastAsia="zh-CN"/>
        </w:rPr>
        <w:t>住房保障支出（</w:t>
      </w:r>
      <w:r>
        <w:rPr>
          <w:rFonts w:hint="eastAsia" w:ascii="仿宋_GB2312" w:eastAsia="仿宋_GB2312"/>
          <w:sz w:val="32"/>
          <w:szCs w:val="32"/>
          <w:lang w:val="en-US" w:eastAsia="zh-CN"/>
        </w:rPr>
        <w:t>221</w:t>
      </w:r>
      <w:r>
        <w:rPr>
          <w:rFonts w:hint="eastAsia" w:ascii="仿宋_GB2312" w:eastAsia="仿宋_GB2312"/>
          <w:sz w:val="32"/>
          <w:szCs w:val="32"/>
          <w:lang w:eastAsia="zh-CN"/>
        </w:rPr>
        <w:t>）住房改革支出（</w:t>
      </w:r>
      <w:r>
        <w:rPr>
          <w:rFonts w:hint="eastAsia" w:ascii="仿宋_GB2312" w:eastAsia="仿宋_GB2312"/>
          <w:sz w:val="32"/>
          <w:szCs w:val="32"/>
          <w:lang w:val="en-US" w:eastAsia="zh-CN"/>
        </w:rPr>
        <w:t>02</w:t>
      </w:r>
      <w:r>
        <w:rPr>
          <w:rFonts w:hint="eastAsia" w:ascii="仿宋_GB2312" w:eastAsia="仿宋_GB2312"/>
          <w:sz w:val="32"/>
          <w:szCs w:val="32"/>
          <w:lang w:eastAsia="zh-CN"/>
        </w:rPr>
        <w:t>）住房公积金（</w:t>
      </w:r>
      <w:r>
        <w:rPr>
          <w:rFonts w:hint="eastAsia" w:ascii="仿宋_GB2312" w:eastAsia="仿宋_GB2312"/>
          <w:sz w:val="32"/>
          <w:szCs w:val="32"/>
          <w:lang w:val="en-US" w:eastAsia="zh-CN"/>
        </w:rPr>
        <w:t>01</w:t>
      </w:r>
      <w:r>
        <w:rPr>
          <w:rFonts w:hint="eastAsia" w:ascii="仿宋_GB2312" w:eastAsia="仿宋_GB2312"/>
          <w:sz w:val="32"/>
          <w:szCs w:val="32"/>
          <w:lang w:eastAsia="zh-CN"/>
        </w:rPr>
        <w:t>）：反映行政事业单位按人力资源和社会保障部、财政部规定的基本工资和津贴补贴及规定比例为职工缴纳的住房公积金。</w:t>
      </w:r>
    </w:p>
    <w:p w14:paraId="255F1078">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5</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1D54FF50">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6</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2EAE71B7">
      <w:pPr>
        <w:pStyle w:val="24"/>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7E8A267">
      <w:pPr>
        <w:pStyle w:val="24"/>
        <w:spacing w:line="560" w:lineRule="exact"/>
        <w:ind w:firstLine="640" w:firstLineChars="200"/>
        <w:jc w:val="center"/>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28</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w:t>
      </w:r>
    </w:p>
    <w:p w14:paraId="0AA9E6A0">
      <w:pPr>
        <w:pStyle w:val="24"/>
        <w:spacing w:line="560" w:lineRule="exact"/>
        <w:jc w:val="both"/>
        <w:rPr>
          <w:rFonts w:hint="eastAsia" w:ascii="黑体" w:hAnsi="黑体" w:eastAsia="黑体"/>
          <w:color w:val="auto"/>
          <w:sz w:val="44"/>
          <w:szCs w:val="44"/>
          <w:highlight w:val="none"/>
        </w:rPr>
        <w:sectPr>
          <w:footerReference r:id="rId4" w:type="default"/>
          <w:pgSz w:w="11906" w:h="16838"/>
          <w:pgMar w:top="1440" w:right="1800" w:bottom="1440" w:left="1800" w:header="720" w:footer="720" w:gutter="0"/>
          <w:pgNumType w:start="1"/>
          <w:cols w:space="720" w:num="1"/>
          <w:docGrid w:type="lines" w:linePitch="312" w:charSpace="0"/>
        </w:sectPr>
      </w:pPr>
      <w:r>
        <w:rPr>
          <w:rFonts w:hint="eastAsia" w:ascii="仿宋_GB2312" w:eastAsia="仿宋_GB2312"/>
          <w:color w:val="auto"/>
          <w:sz w:val="32"/>
          <w:szCs w:val="32"/>
          <w:highlight w:val="none"/>
        </w:rPr>
        <w:t>以及其他费用。</w:t>
      </w:r>
    </w:p>
    <w:p w14:paraId="63C8E9C5">
      <w:pPr>
        <w:spacing w:line="600" w:lineRule="exact"/>
        <w:jc w:val="center"/>
        <w:outlineLvl w:val="0"/>
        <w:rPr>
          <w:rStyle w:val="19"/>
          <w:rFonts w:hint="eastAsia" w:ascii="黑体" w:hAnsi="黑体" w:eastAsia="黑体"/>
          <w:b w:val="0"/>
          <w:color w:val="auto"/>
          <w:highlight w:val="none"/>
          <w:lang w:eastAsia="zh-CN"/>
        </w:rPr>
      </w:pPr>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四部分 附件</w:t>
      </w:r>
      <w:bookmarkEnd w:id="82"/>
    </w:p>
    <w:p w14:paraId="18DA7511">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425440AC"/>
    <w:p w14:paraId="13D31BB8">
      <w:pPr>
        <w:pBdr>
          <w:top w:val="none" w:color="auto" w:sz="0" w:space="0"/>
          <w:left w:val="none" w:color="auto" w:sz="0" w:space="0"/>
          <w:bottom w:val="none" w:color="auto" w:sz="0" w:space="0"/>
          <w:right w:val="none" w:color="auto" w:sz="0" w:space="0"/>
        </w:pBdr>
        <w:suppressAutoHyphens w:val="0"/>
        <w:overflowPunct/>
        <w:autoSpaceDE/>
        <w:autoSpaceDN/>
        <w:snapToGrid w:val="0"/>
        <w:spacing w:before="0" w:line="700" w:lineRule="exact"/>
        <w:jc w:val="center"/>
        <w:outlineLvl w:val="9"/>
        <w:rPr>
          <w:rFonts w:hint="eastAsia" w:ascii="方正小标宋简体" w:hAnsi="方正小标宋简体" w:eastAsia="方正小标宋简体" w:cs="方正小标宋简体"/>
          <w:color w:val="000000"/>
          <w:kern w:val="2"/>
          <w:sz w:val="44"/>
          <w:szCs w:val="44"/>
          <w:u w:val="none" w:color="auto"/>
          <w:shd w:val="clear" w:color="auto" w:fill="auto"/>
          <w:lang w:val="en-US" w:eastAsia="zh-CN"/>
        </w:rPr>
      </w:pPr>
      <w:r>
        <w:rPr>
          <w:rFonts w:hint="eastAsia" w:ascii="方正小标宋简体" w:hAnsi="方正小标宋简体" w:eastAsia="方正小标宋简体" w:cs="方正小标宋简体"/>
          <w:color w:val="000000"/>
          <w:kern w:val="2"/>
          <w:sz w:val="44"/>
          <w:szCs w:val="44"/>
          <w:u w:val="none" w:color="auto"/>
          <w:shd w:val="clear" w:color="auto" w:fill="auto"/>
          <w:lang w:val="en-US" w:eastAsia="zh-CN"/>
        </w:rPr>
        <w:t>船山区文化广播电视和旅游局</w:t>
      </w:r>
    </w:p>
    <w:p w14:paraId="6B8B2226">
      <w:pPr>
        <w:pBdr>
          <w:top w:val="none" w:color="auto" w:sz="0" w:space="0"/>
          <w:left w:val="none" w:color="auto" w:sz="0" w:space="0"/>
          <w:bottom w:val="none" w:color="auto" w:sz="0" w:space="0"/>
          <w:right w:val="none" w:color="auto" w:sz="0" w:space="0"/>
        </w:pBdr>
        <w:suppressAutoHyphens w:val="0"/>
        <w:overflowPunct/>
        <w:autoSpaceDE/>
        <w:autoSpaceDN/>
        <w:snapToGrid w:val="0"/>
        <w:spacing w:before="0" w:line="700" w:lineRule="exact"/>
        <w:jc w:val="center"/>
        <w:outlineLvl w:val="9"/>
        <w:rPr>
          <w:rFonts w:hint="default" w:ascii="方正小标宋简体" w:hAnsi="方正小标宋简体" w:eastAsia="方正小标宋简体" w:cs="方正小标宋简体"/>
          <w:color w:val="000000"/>
          <w:kern w:val="2"/>
          <w:sz w:val="44"/>
          <w:szCs w:val="44"/>
          <w:u w:val="none" w:color="auto"/>
          <w:shd w:val="clear" w:color="auto" w:fill="auto"/>
        </w:rPr>
      </w:pPr>
      <w:r>
        <w:rPr>
          <w:rFonts w:hint="default" w:ascii="方正小标宋简体" w:hAnsi="方正小标宋简体" w:eastAsia="方正小标宋简体" w:cs="方正小标宋简体"/>
          <w:color w:val="000000"/>
          <w:kern w:val="2"/>
          <w:sz w:val="44"/>
          <w:szCs w:val="44"/>
          <w:u w:val="none" w:color="auto"/>
          <w:shd w:val="clear" w:color="auto" w:fill="auto"/>
        </w:rPr>
        <w:t>整体支出绩效报告</w:t>
      </w:r>
    </w:p>
    <w:p w14:paraId="6CEBB52A">
      <w:pPr>
        <w:overflowPunct w:val="0"/>
        <w:snapToGrid w:val="0"/>
        <w:spacing w:line="600" w:lineRule="atLeast"/>
        <w:ind w:firstLine="0"/>
        <w:jc w:val="center"/>
        <w:rPr>
          <w:rFonts w:hint="default" w:ascii="Times New Roman" w:hAnsi="Times New Roman" w:eastAsia="仿宋_GB2312" w:cs="Times New Roman"/>
          <w:color w:val="000000"/>
          <w:sz w:val="32"/>
          <w:szCs w:val="32"/>
          <w:shd w:val="clear" w:color="auto" w:fill="FFFFFF"/>
        </w:rPr>
      </w:pPr>
    </w:p>
    <w:p w14:paraId="497371B0">
      <w:pPr>
        <w:widowControl w:val="0"/>
        <w:overflowPunct w:val="0"/>
        <w:autoSpaceDE/>
        <w:autoSpaceDN/>
        <w:snapToGrid w:val="0"/>
        <w:spacing w:line="600" w:lineRule="atLeast"/>
        <w:ind w:firstLine="646" w:firstLineChars="0"/>
        <w:contextualSpacing/>
        <w:jc w:val="both"/>
        <w:rPr>
          <w:rFonts w:hint="default" w:ascii="Times New Roman" w:hAnsi="Times New Roman" w:eastAsia="黑体" w:cs="Times New Roman"/>
          <w:color w:val="000000"/>
          <w:sz w:val="32"/>
          <w:szCs w:val="32"/>
          <w:shd w:val="clear" w:color="auto" w:fill="auto"/>
          <w:lang w:val="zh-CN"/>
        </w:rPr>
      </w:pPr>
      <w:r>
        <w:rPr>
          <w:rFonts w:hint="default" w:ascii="Times New Roman" w:hAnsi="Times New Roman" w:eastAsia="黑体" w:cs="Times New Roman"/>
          <w:color w:val="000000"/>
          <w:sz w:val="32"/>
          <w:szCs w:val="32"/>
          <w:shd w:val="clear" w:color="auto" w:fill="auto"/>
        </w:rPr>
        <w:t>一、</w:t>
      </w:r>
      <w:r>
        <w:rPr>
          <w:rFonts w:hint="default" w:ascii="Times New Roman" w:hAnsi="Times New Roman" w:eastAsia="黑体" w:cs="Times New Roman"/>
          <w:color w:val="000000"/>
          <w:sz w:val="32"/>
          <w:szCs w:val="32"/>
          <w:shd w:val="clear" w:color="auto" w:fill="auto"/>
          <w:lang w:val="zh-CN"/>
        </w:rPr>
        <w:t>部门（单位）概况</w:t>
      </w:r>
    </w:p>
    <w:p w14:paraId="7618A466">
      <w:pPr>
        <w:widowControl w:val="0"/>
        <w:overflowPunct w:val="0"/>
        <w:autoSpaceDE/>
        <w:autoSpaceDN/>
        <w:snapToGrid w:val="0"/>
        <w:spacing w:line="600" w:lineRule="atLeast"/>
        <w:ind w:firstLine="643" w:firstLineChars="200"/>
        <w:contextualSpacing/>
        <w:jc w:val="both"/>
        <w:rPr>
          <w:rFonts w:hint="eastAsia" w:ascii="楷体_GB2312" w:hAnsi="楷体_GB2312" w:eastAsia="楷体_GB2312" w:cs="楷体_GB2312"/>
          <w:b/>
          <w:bCs/>
          <w:color w:val="000000"/>
          <w:sz w:val="32"/>
          <w:szCs w:val="32"/>
          <w:shd w:val="clear" w:color="auto" w:fill="FFFFFF"/>
          <w:lang w:val="zh-CN"/>
        </w:rPr>
      </w:pPr>
      <w:r>
        <w:rPr>
          <w:rFonts w:hint="eastAsia" w:ascii="楷体_GB2312" w:hAnsi="楷体_GB2312" w:eastAsia="楷体_GB2312" w:cs="楷体_GB2312"/>
          <w:b/>
          <w:bCs/>
          <w:color w:val="000000"/>
          <w:sz w:val="32"/>
          <w:szCs w:val="32"/>
          <w:shd w:val="clear" w:color="auto" w:fill="FFFFFF"/>
          <w:lang w:val="zh-CN"/>
        </w:rPr>
        <w:t>（一）机构组成。</w:t>
      </w:r>
    </w:p>
    <w:p w14:paraId="6E3EA7A8">
      <w:pPr>
        <w:widowControl/>
        <w:overflowPunct/>
        <w:autoSpaceDE/>
        <w:autoSpaceDN/>
        <w:snapToGrid w:val="0"/>
        <w:spacing w:line="560" w:lineRule="exact"/>
        <w:ind w:firstLine="640" w:firstLineChars="200"/>
        <w:contextualSpacing/>
        <w:jc w:val="left"/>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我局属于</w:t>
      </w:r>
      <w:r>
        <w:rPr>
          <w:rFonts w:hint="eastAsia" w:ascii="仿宋_GB2312" w:hAnsi="仿宋_GB2312" w:eastAsia="仿宋_GB2312" w:cs="仿宋_GB2312"/>
          <w:color w:val="000000"/>
          <w:kern w:val="0"/>
          <w:sz w:val="32"/>
          <w:szCs w:val="32"/>
          <w:shd w:val="clear" w:color="auto" w:fill="FFFFFF"/>
          <w:lang w:val="zh-CN" w:eastAsia="zh-CN"/>
        </w:rPr>
        <w:t>正科级行政</w:t>
      </w:r>
      <w:r>
        <w:rPr>
          <w:rFonts w:hint="eastAsia" w:ascii="仿宋_GB2312" w:hAnsi="仿宋_GB2312" w:eastAsia="仿宋_GB2312" w:cs="仿宋_GB2312"/>
          <w:color w:val="000000"/>
          <w:kern w:val="0"/>
          <w:sz w:val="32"/>
          <w:szCs w:val="32"/>
          <w:shd w:val="clear" w:color="auto" w:fill="FFFFFF"/>
          <w:lang w:val="zh-CN"/>
        </w:rPr>
        <w:t>单位，一级预算单位。局机关内设办公室、公共</w:t>
      </w:r>
      <w:r>
        <w:rPr>
          <w:rFonts w:hint="eastAsia" w:ascii="仿宋_GB2312" w:hAnsi="仿宋_GB2312" w:eastAsia="仿宋_GB2312" w:cs="仿宋_GB2312"/>
          <w:color w:val="000000"/>
          <w:kern w:val="0"/>
          <w:sz w:val="32"/>
          <w:szCs w:val="32"/>
          <w:shd w:val="clear" w:color="auto" w:fill="FFFFFF"/>
          <w:lang w:val="zh-CN" w:eastAsia="zh-CN"/>
        </w:rPr>
        <w:t>服务</w:t>
      </w:r>
      <w:r>
        <w:rPr>
          <w:rFonts w:hint="eastAsia" w:ascii="仿宋_GB2312" w:hAnsi="仿宋_GB2312" w:eastAsia="仿宋_GB2312" w:cs="仿宋_GB2312"/>
          <w:color w:val="000000"/>
          <w:kern w:val="0"/>
          <w:sz w:val="32"/>
          <w:szCs w:val="32"/>
          <w:shd w:val="clear" w:color="auto" w:fill="FFFFFF"/>
          <w:lang w:val="zh-CN"/>
        </w:rPr>
        <w:t>股、</w:t>
      </w:r>
      <w:r>
        <w:rPr>
          <w:rFonts w:hint="eastAsia" w:ascii="仿宋_GB2312" w:hAnsi="仿宋_GB2312" w:eastAsia="仿宋_GB2312" w:cs="仿宋_GB2312"/>
          <w:color w:val="000000"/>
          <w:kern w:val="0"/>
          <w:sz w:val="32"/>
          <w:szCs w:val="32"/>
          <w:shd w:val="clear" w:color="auto" w:fill="FFFFFF"/>
          <w:lang w:val="zh-CN" w:eastAsia="zh-CN"/>
        </w:rPr>
        <w:t>产业发展</w:t>
      </w:r>
      <w:r>
        <w:rPr>
          <w:rFonts w:hint="eastAsia" w:ascii="仿宋_GB2312" w:hAnsi="仿宋_GB2312" w:eastAsia="仿宋_GB2312" w:cs="仿宋_GB2312"/>
          <w:color w:val="000000"/>
          <w:kern w:val="0"/>
          <w:sz w:val="32"/>
          <w:szCs w:val="32"/>
          <w:shd w:val="clear" w:color="auto" w:fill="FFFFFF"/>
          <w:lang w:val="zh-CN"/>
        </w:rPr>
        <w:t>股、</w:t>
      </w:r>
      <w:r>
        <w:rPr>
          <w:rFonts w:hint="eastAsia" w:ascii="仿宋_GB2312" w:hAnsi="仿宋_GB2312" w:eastAsia="仿宋_GB2312" w:cs="仿宋_GB2312"/>
          <w:color w:val="000000"/>
          <w:kern w:val="0"/>
          <w:sz w:val="32"/>
          <w:szCs w:val="32"/>
          <w:shd w:val="clear" w:color="auto" w:fill="FFFFFF"/>
          <w:lang w:val="zh-CN" w:eastAsia="zh-CN"/>
        </w:rPr>
        <w:t>综合管理股4</w:t>
      </w:r>
      <w:r>
        <w:rPr>
          <w:rFonts w:hint="eastAsia" w:ascii="仿宋_GB2312" w:hAnsi="仿宋_GB2312" w:eastAsia="仿宋_GB2312" w:cs="仿宋_GB2312"/>
          <w:color w:val="000000"/>
          <w:kern w:val="0"/>
          <w:sz w:val="32"/>
          <w:szCs w:val="32"/>
          <w:shd w:val="clear" w:color="auto" w:fill="FFFFFF"/>
          <w:lang w:val="zh-CN"/>
        </w:rPr>
        <w:t>个股室。另有文化馆、图书馆、</w:t>
      </w:r>
      <w:r>
        <w:rPr>
          <w:rFonts w:hint="eastAsia" w:ascii="仿宋_GB2312" w:hAnsi="仿宋_GB2312" w:eastAsia="仿宋_GB2312" w:cs="仿宋_GB2312"/>
          <w:color w:val="000000"/>
          <w:kern w:val="0"/>
          <w:sz w:val="32"/>
          <w:szCs w:val="32"/>
          <w:shd w:val="clear" w:color="auto" w:fill="FFFFFF"/>
          <w:lang w:val="zh-CN" w:eastAsia="zh-CN"/>
        </w:rPr>
        <w:t>美术馆、</w:t>
      </w:r>
      <w:r>
        <w:rPr>
          <w:rFonts w:hint="eastAsia" w:ascii="仿宋_GB2312" w:hAnsi="仿宋_GB2312" w:eastAsia="仿宋_GB2312" w:cs="仿宋_GB2312"/>
          <w:color w:val="000000"/>
          <w:kern w:val="0"/>
          <w:sz w:val="32"/>
          <w:szCs w:val="32"/>
          <w:shd w:val="clear" w:color="auto" w:fill="FFFFFF"/>
          <w:lang w:val="zh-CN"/>
        </w:rPr>
        <w:t>文物管理所</w:t>
      </w:r>
      <w:r>
        <w:rPr>
          <w:rFonts w:hint="eastAsia" w:ascii="仿宋_GB2312" w:hAnsi="仿宋_GB2312" w:eastAsia="仿宋_GB2312" w:cs="仿宋_GB2312"/>
          <w:color w:val="000000"/>
          <w:kern w:val="0"/>
          <w:sz w:val="32"/>
          <w:szCs w:val="32"/>
          <w:shd w:val="clear" w:color="auto" w:fill="FFFFFF"/>
          <w:lang w:val="zh-CN" w:eastAsia="zh-CN"/>
        </w:rPr>
        <w:t>、文化旅游发展服务中心5</w:t>
      </w:r>
      <w:r>
        <w:rPr>
          <w:rFonts w:hint="eastAsia" w:ascii="仿宋_GB2312" w:hAnsi="仿宋_GB2312" w:eastAsia="仿宋_GB2312" w:cs="仿宋_GB2312"/>
          <w:color w:val="000000"/>
          <w:kern w:val="0"/>
          <w:sz w:val="32"/>
          <w:szCs w:val="32"/>
          <w:shd w:val="clear" w:color="auto" w:fill="FFFFFF"/>
          <w:lang w:val="zh-CN"/>
        </w:rPr>
        <w:t>个下属事业单位</w:t>
      </w:r>
      <w:r>
        <w:rPr>
          <w:rFonts w:hint="eastAsia" w:ascii="仿宋_GB2312" w:hAnsi="仿宋_GB2312" w:eastAsia="仿宋_GB2312" w:cs="仿宋_GB2312"/>
          <w:color w:val="000000"/>
          <w:kern w:val="0"/>
          <w:sz w:val="32"/>
          <w:szCs w:val="32"/>
          <w:shd w:val="clear" w:color="auto" w:fill="FFFFFF"/>
          <w:lang w:val="zh-CN" w:eastAsia="zh-CN"/>
        </w:rPr>
        <w:t>。</w:t>
      </w:r>
    </w:p>
    <w:p w14:paraId="66EF81CE">
      <w:pPr>
        <w:widowControl w:val="0"/>
        <w:overflowPunct w:val="0"/>
        <w:autoSpaceDE/>
        <w:autoSpaceDN/>
        <w:snapToGrid w:val="0"/>
        <w:spacing w:line="600" w:lineRule="atLeast"/>
        <w:ind w:firstLine="643" w:firstLineChars="200"/>
        <w:contextualSpacing/>
        <w:jc w:val="both"/>
        <w:rPr>
          <w:rFonts w:hint="default" w:ascii="楷体_GB2312" w:hAnsi="楷体_GB2312" w:eastAsia="楷体_GB2312" w:cs="楷体_GB2312"/>
          <w:b/>
          <w:bCs/>
          <w:color w:val="000000"/>
          <w:sz w:val="32"/>
          <w:szCs w:val="32"/>
          <w:shd w:val="clear" w:color="auto" w:fill="FFFFFF"/>
          <w:lang w:val="zh-CN"/>
        </w:rPr>
      </w:pPr>
      <w:r>
        <w:rPr>
          <w:rFonts w:hint="eastAsia" w:ascii="楷体_GB2312" w:hAnsi="楷体_GB2312" w:eastAsia="楷体_GB2312" w:cs="楷体_GB2312"/>
          <w:b/>
          <w:bCs/>
          <w:color w:val="000000"/>
          <w:sz w:val="32"/>
          <w:szCs w:val="32"/>
          <w:shd w:val="clear" w:color="auto" w:fill="FFFFFF"/>
          <w:lang w:val="zh-CN"/>
        </w:rPr>
        <w:t>（</w:t>
      </w:r>
      <w:r>
        <w:rPr>
          <w:rFonts w:hint="eastAsia" w:ascii="楷体_GB2312" w:hAnsi="楷体_GB2312" w:eastAsia="楷体_GB2312" w:cs="楷体_GB2312"/>
          <w:b/>
          <w:bCs/>
          <w:color w:val="000000"/>
          <w:sz w:val="32"/>
          <w:szCs w:val="32"/>
          <w:shd w:val="clear" w:color="auto" w:fill="FFFFFF"/>
          <w:lang w:val="en-US" w:eastAsia="zh-CN"/>
        </w:rPr>
        <w:t>二</w:t>
      </w:r>
      <w:r>
        <w:rPr>
          <w:rFonts w:hint="eastAsia" w:ascii="楷体_GB2312" w:hAnsi="楷体_GB2312" w:eastAsia="楷体_GB2312" w:cs="楷体_GB2312"/>
          <w:b/>
          <w:bCs/>
          <w:color w:val="000000"/>
          <w:sz w:val="32"/>
          <w:szCs w:val="32"/>
          <w:shd w:val="clear" w:color="auto" w:fill="FFFFFF"/>
          <w:lang w:val="zh-CN"/>
        </w:rPr>
        <w:t>）</w:t>
      </w:r>
      <w:r>
        <w:rPr>
          <w:rFonts w:hint="default" w:ascii="楷体_GB2312" w:hAnsi="楷体_GB2312" w:eastAsia="楷体_GB2312" w:cs="楷体_GB2312"/>
          <w:b/>
          <w:bCs/>
          <w:color w:val="000000"/>
          <w:sz w:val="32"/>
          <w:szCs w:val="32"/>
          <w:shd w:val="clear" w:color="auto" w:fill="FFFFFF"/>
          <w:lang w:val="zh-CN"/>
        </w:rPr>
        <w:t>机构职能。</w:t>
      </w:r>
    </w:p>
    <w:p w14:paraId="03C3F9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贯彻执行党和国家文化、旅游、</w:t>
      </w:r>
      <w:r>
        <w:rPr>
          <w:rFonts w:hint="eastAsia" w:ascii="仿宋_GB2312" w:hAnsi="仿宋_GB2312" w:eastAsia="仿宋_GB2312" w:cs="仿宋_GB2312"/>
          <w:color w:val="auto"/>
          <w:sz w:val="32"/>
          <w:szCs w:val="32"/>
          <w:lang w:val="en-US" w:eastAsia="zh-CN"/>
        </w:rPr>
        <w:t>文物</w:t>
      </w:r>
      <w:r>
        <w:rPr>
          <w:rFonts w:hint="eastAsia" w:ascii="仿宋_GB2312" w:hAnsi="仿宋_GB2312" w:eastAsia="仿宋_GB2312" w:cs="仿宋_GB2312"/>
          <w:color w:val="auto"/>
          <w:sz w:val="32"/>
          <w:szCs w:val="32"/>
          <w:lang w:eastAsia="zh-CN"/>
        </w:rPr>
        <w:t>及广播电视事业发展的路线、方针、政策和法律法规；贯彻执行省、市、区关于文化、文物、广播电视和旅游事业工作部署。</w:t>
      </w:r>
    </w:p>
    <w:p w14:paraId="3DF75F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研究制定全区文化、旅游、</w:t>
      </w:r>
      <w:r>
        <w:rPr>
          <w:rFonts w:hint="eastAsia" w:ascii="仿宋_GB2312" w:hAnsi="仿宋_GB2312" w:eastAsia="仿宋_GB2312" w:cs="仿宋_GB2312"/>
          <w:color w:val="auto"/>
          <w:sz w:val="32"/>
          <w:szCs w:val="32"/>
          <w:lang w:val="en-US" w:eastAsia="zh-CN"/>
        </w:rPr>
        <w:t>文物</w:t>
      </w:r>
      <w:r>
        <w:rPr>
          <w:rFonts w:hint="eastAsia" w:ascii="仿宋_GB2312" w:hAnsi="仿宋_GB2312" w:eastAsia="仿宋_GB2312" w:cs="仿宋_GB2312"/>
          <w:color w:val="auto"/>
          <w:sz w:val="32"/>
          <w:szCs w:val="32"/>
          <w:lang w:eastAsia="zh-CN"/>
        </w:rPr>
        <w:t>及广播电视发展规划并组织实施，负责本部门依法行政工作。推进文化、文物、广播电视和旅游体制机制改革，推进文化和旅游融合发展。</w:t>
      </w:r>
    </w:p>
    <w:p w14:paraId="399A53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3、指导</w:t>
      </w:r>
      <w:r>
        <w:rPr>
          <w:rFonts w:hint="eastAsia" w:ascii="仿宋_GB2312" w:hAnsi="仿宋_GB2312" w:eastAsia="仿宋_GB2312" w:cs="仿宋_GB2312"/>
          <w:color w:val="auto"/>
          <w:sz w:val="32"/>
          <w:szCs w:val="32"/>
          <w:lang w:eastAsia="zh-CN"/>
        </w:rPr>
        <w:t>全区重大文化、文物、广播电视和旅游活动，指导全区重点文化、文物、广播电视和旅游设施建设，推动文化旅游品牌建设，制定文化旅游市场开发战略并组织实施，推进全域旅游。</w:t>
      </w:r>
    </w:p>
    <w:p w14:paraId="097FB9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指导管理文艺事业，推动艺术创作生产，扶持体现社会主义核心价值观，具有导向性、代表性、示范性的文艺作品，推动各门类艺术、各艺术品种发展，推动中华优秀传统文化和巴蜀文化传承发展。</w:t>
      </w:r>
    </w:p>
    <w:p w14:paraId="54BE5B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负责公共文化事业发展，推进全区公共文化服务体系建设和旅游公共服务建设，深入实施文化惠民工程，统筹推进基本公共服务标准化、均等化。</w:t>
      </w:r>
    </w:p>
    <w:p w14:paraId="69365D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推进文化广播电视和旅游科技创新发展，推进文化广播电视和旅游行业信息化、标准化建设。</w:t>
      </w:r>
    </w:p>
    <w:p w14:paraId="404B6C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负责非物质文化遗产保护，推动非物质文化遗产的保护、传承、普及、弘扬和振兴。</w:t>
      </w:r>
    </w:p>
    <w:p w14:paraId="1A9B3D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eastAsia="zh-CN"/>
        </w:rPr>
        <w:t>组织实施文化和旅游资源普查、挖掘、保护与利用工作，促进文化和旅游产业融合发展。</w:t>
      </w:r>
    </w:p>
    <w:p w14:paraId="20EF7E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eastAsia="zh-CN"/>
        </w:rPr>
        <w:t>指导文化旅游、广播电视市场发展，对文化旅游、广播电视市场经营进行行业监管，推进文化旅游、广播电视行业信用体系建设，依法规范文化旅游、</w:t>
      </w:r>
      <w:r>
        <w:rPr>
          <w:rFonts w:hint="eastAsia" w:ascii="仿宋_GB2312" w:hAnsi="仿宋_GB2312" w:eastAsia="仿宋_GB2312" w:cs="仿宋_GB2312"/>
          <w:color w:val="auto"/>
          <w:sz w:val="32"/>
          <w:szCs w:val="32"/>
          <w:lang w:val="en-US" w:eastAsia="zh-CN"/>
        </w:rPr>
        <w:t>广播电视</w:t>
      </w:r>
      <w:r>
        <w:rPr>
          <w:rFonts w:hint="eastAsia" w:ascii="仿宋_GB2312" w:hAnsi="仿宋_GB2312" w:eastAsia="仿宋_GB2312" w:cs="仿宋_GB2312"/>
          <w:color w:val="auto"/>
          <w:sz w:val="32"/>
          <w:szCs w:val="32"/>
          <w:lang w:eastAsia="zh-CN"/>
        </w:rPr>
        <w:t>市场。</w:t>
      </w:r>
    </w:p>
    <w:p w14:paraId="2A9A67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10、监督管理</w:t>
      </w:r>
      <w:r>
        <w:rPr>
          <w:rFonts w:hint="eastAsia" w:ascii="仿宋_GB2312" w:hAnsi="仿宋_GB2312" w:eastAsia="仿宋_GB2312" w:cs="仿宋_GB2312"/>
          <w:sz w:val="32"/>
          <w:szCs w:val="32"/>
          <w:lang w:eastAsia="zh-CN"/>
        </w:rPr>
        <w:t>文化、文物、广播电视、旅游等市场，维护市场秩序。</w:t>
      </w:r>
    </w:p>
    <w:p w14:paraId="66ED69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lang w:eastAsia="zh-CN"/>
        </w:rPr>
        <w:t>负责</w:t>
      </w:r>
      <w:r>
        <w:rPr>
          <w:rFonts w:hint="eastAsia" w:ascii="仿宋_GB2312" w:hAnsi="仿宋_GB2312" w:eastAsia="仿宋_GB2312" w:cs="仿宋_GB2312"/>
          <w:color w:val="auto"/>
          <w:sz w:val="32"/>
          <w:szCs w:val="32"/>
          <w:lang w:val="en-US" w:eastAsia="zh-CN"/>
        </w:rPr>
        <w:t>管理指导</w:t>
      </w:r>
      <w:r>
        <w:rPr>
          <w:rFonts w:hint="eastAsia" w:ascii="仿宋_GB2312" w:hAnsi="仿宋_GB2312" w:eastAsia="仿宋_GB2312" w:cs="仿宋_GB2312"/>
          <w:color w:val="auto"/>
          <w:sz w:val="32"/>
          <w:szCs w:val="32"/>
          <w:lang w:eastAsia="zh-CN"/>
        </w:rPr>
        <w:t>文化和旅游对外及对港澳台交流合作与宣传推广工作，指导规范重大文化和旅游对外及对港澳台交流活动，组织全区重大文化旅游整体形象推广。</w:t>
      </w:r>
    </w:p>
    <w:p w14:paraId="2F0BDB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lang w:eastAsia="zh-CN"/>
        </w:rPr>
        <w:t>监督管理广播电视节目、网络视听节目</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lang w:eastAsia="zh-CN"/>
        </w:rPr>
        <w:t>内容及质量。</w:t>
      </w:r>
      <w:r>
        <w:rPr>
          <w:rFonts w:hint="eastAsia" w:ascii="仿宋_GB2312" w:hAnsi="仿宋_GB2312" w:eastAsia="仿宋_GB2312" w:cs="仿宋_GB2312"/>
          <w:color w:val="auto"/>
          <w:sz w:val="32"/>
          <w:szCs w:val="32"/>
          <w:lang w:val="en-US" w:eastAsia="zh-CN"/>
        </w:rPr>
        <w:t>指导、监督广播电视广告播放。指导</w:t>
      </w:r>
      <w:r>
        <w:rPr>
          <w:rFonts w:hint="eastAsia" w:ascii="仿宋_GB2312" w:hAnsi="仿宋_GB2312" w:eastAsia="仿宋_GB2312" w:cs="仿宋_GB2312"/>
          <w:color w:val="auto"/>
          <w:sz w:val="32"/>
          <w:szCs w:val="32"/>
          <w:lang w:eastAsia="zh-CN"/>
        </w:rPr>
        <w:t>监督实施行业技术标准。负责广播电视节目传输覆盖、监测和安全播出的监督管理。负责对各类广播电视机构进行业务指导和行业监管，会同有关部门对网络视听节目服务机构进行管理。负责推进广播电视与新媒体新技术新业态融合发展。</w:t>
      </w:r>
    </w:p>
    <w:p w14:paraId="304131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lang w:eastAsia="zh-CN"/>
        </w:rPr>
        <w:t>管理和指导全区文物保护利用与考古工作。协调和监督全区文物安全工作，履行文物行政监督职责。协同相关部门负责世界文化与自然遗产、历史文化名城（镇、村</w:t>
      </w:r>
      <w:r>
        <w:rPr>
          <w:rFonts w:hint="eastAsia" w:ascii="仿宋_GB2312" w:hAnsi="仿宋_GB2312" w:eastAsia="仿宋_GB2312" w:cs="仿宋_GB2312"/>
          <w:b w:val="0"/>
          <w:bCs/>
          <w:color w:val="auto"/>
          <w:sz w:val="32"/>
          <w:szCs w:val="32"/>
          <w:lang w:val="en-US" w:eastAsia="zh-CN"/>
        </w:rPr>
        <w:t>）申报和监督管理工作。负责推动完善全区文物公共服务体系建设。指导和监督社会文物管理工作。</w:t>
      </w:r>
    </w:p>
    <w:p w14:paraId="1514958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lang w:eastAsia="zh-CN"/>
        </w:rPr>
        <w:t>负责职责范围内的意识形态责任制、安全生产和职业健康</w:t>
      </w:r>
      <w:r>
        <w:rPr>
          <w:rFonts w:hint="eastAsia" w:ascii="仿宋_GB2312" w:hAnsi="仿宋_GB2312" w:eastAsia="仿宋_GB2312" w:cs="仿宋_GB2312"/>
          <w:b w:val="0"/>
          <w:bCs/>
          <w:color w:val="auto"/>
          <w:sz w:val="32"/>
          <w:szCs w:val="32"/>
          <w:lang w:val="en-US" w:eastAsia="zh-CN"/>
        </w:rPr>
        <w:t>、生态环境保护、行政服务便民化等工作。</w:t>
      </w:r>
    </w:p>
    <w:p w14:paraId="57DF7E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15、承担区政府公布的相关权利事项。</w:t>
      </w:r>
    </w:p>
    <w:p w14:paraId="7735D6D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16、完成区委、区政府交办的其他任务。</w:t>
      </w:r>
    </w:p>
    <w:p w14:paraId="57112680">
      <w:pPr>
        <w:widowControl/>
        <w:overflowPunct/>
        <w:autoSpaceDE/>
        <w:autoSpaceDN/>
        <w:snapToGrid w:val="0"/>
        <w:spacing w:line="560" w:lineRule="exact"/>
        <w:ind w:firstLine="640" w:firstLineChars="200"/>
        <w:contextualSpacing/>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b w:val="0"/>
          <w:bCs/>
          <w:color w:val="auto"/>
          <w:sz w:val="32"/>
          <w:szCs w:val="32"/>
          <w:lang w:val="en-US" w:eastAsia="zh-CN"/>
        </w:rPr>
        <w:t>17、职能转变。以人民美好生活为引</w:t>
      </w:r>
      <w:r>
        <w:rPr>
          <w:rFonts w:hint="eastAsia" w:ascii="仿宋_GB2312" w:hAnsi="仿宋_GB2312" w:eastAsia="仿宋_GB2312" w:cs="仿宋_GB2312"/>
          <w:color w:val="auto"/>
          <w:sz w:val="32"/>
          <w:szCs w:val="32"/>
          <w:lang w:eastAsia="zh-CN"/>
        </w:rPr>
        <w:t>导，统筹推进文化事业、文化产业和旅游业融合发展。深化“放管服”改革，进一步简政放权，强化事中事后监管，推进行政服务便民化。提升文旅产业在全区产业发展格局中的支撑作用，增强船山文化软实力，加快建设文化旅游强区。</w:t>
      </w:r>
    </w:p>
    <w:p w14:paraId="1419A707">
      <w:pPr>
        <w:widowControl w:val="0"/>
        <w:overflowPunct w:val="0"/>
        <w:autoSpaceDE/>
        <w:autoSpaceDN/>
        <w:snapToGrid w:val="0"/>
        <w:spacing w:line="600" w:lineRule="atLeast"/>
        <w:ind w:firstLine="643" w:firstLineChars="200"/>
        <w:contextualSpacing/>
        <w:jc w:val="both"/>
        <w:rPr>
          <w:rFonts w:hint="eastAsia" w:ascii="楷体_GB2312" w:hAnsi="楷体_GB2312" w:eastAsia="楷体_GB2312" w:cs="楷体_GB2312"/>
          <w:b/>
          <w:bCs/>
          <w:color w:val="000000"/>
          <w:sz w:val="32"/>
          <w:szCs w:val="32"/>
          <w:shd w:val="clear" w:color="auto" w:fill="FFFFFF"/>
          <w:lang w:val="zh-CN"/>
        </w:rPr>
      </w:pPr>
      <w:r>
        <w:rPr>
          <w:rFonts w:hint="eastAsia" w:ascii="楷体_GB2312" w:hAnsi="楷体_GB2312" w:eastAsia="楷体_GB2312" w:cs="楷体_GB2312"/>
          <w:b/>
          <w:bCs/>
          <w:color w:val="000000"/>
          <w:sz w:val="32"/>
          <w:szCs w:val="32"/>
          <w:shd w:val="clear" w:color="auto" w:fill="FFFFFF"/>
          <w:lang w:val="zh-CN"/>
        </w:rPr>
        <w:t>（三）人员概况。</w:t>
      </w:r>
    </w:p>
    <w:p w14:paraId="5FACC914">
      <w:pPr>
        <w:widowControl/>
        <w:overflowPunct/>
        <w:autoSpaceDE/>
        <w:autoSpaceDN/>
        <w:snapToGrid w:val="0"/>
        <w:spacing w:line="560" w:lineRule="exact"/>
        <w:ind w:firstLine="640" w:firstLineChars="200"/>
        <w:contextualSpacing/>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color w:val="auto"/>
          <w:sz w:val="32"/>
          <w:szCs w:val="32"/>
          <w:lang w:eastAsia="zh-CN"/>
        </w:rPr>
        <w:t>截至2023年12月底，我局总编制人数2</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人，在职实有人数3</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人，其中行政人员</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人，事业人员2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人，机关工勤人员3人。</w:t>
      </w:r>
    </w:p>
    <w:p w14:paraId="362323C2">
      <w:pPr>
        <w:widowControl w:val="0"/>
        <w:overflowPunct w:val="0"/>
        <w:autoSpaceDE/>
        <w:autoSpaceDN/>
        <w:snapToGrid w:val="0"/>
        <w:spacing w:line="600" w:lineRule="atLeast"/>
        <w:ind w:firstLine="646" w:firstLineChars="0"/>
        <w:contextualSpacing/>
        <w:jc w:val="both"/>
        <w:rPr>
          <w:rFonts w:hint="eastAsia" w:ascii="黑体" w:hAnsi="黑体" w:eastAsia="黑体" w:cs="黑体"/>
          <w:color w:val="000000"/>
          <w:sz w:val="32"/>
          <w:szCs w:val="32"/>
          <w:shd w:val="clear" w:color="auto" w:fill="auto"/>
        </w:rPr>
      </w:pPr>
      <w:r>
        <w:rPr>
          <w:rFonts w:hint="eastAsia" w:ascii="黑体" w:hAnsi="黑体" w:eastAsia="黑体" w:cs="黑体"/>
          <w:color w:val="000000"/>
          <w:sz w:val="32"/>
          <w:szCs w:val="32"/>
          <w:shd w:val="clear" w:color="auto" w:fill="auto"/>
        </w:rPr>
        <w:t>二、部门财政资金收支情况</w:t>
      </w:r>
    </w:p>
    <w:p w14:paraId="338CCB3F">
      <w:pPr>
        <w:widowControl w:val="0"/>
        <w:overflowPunct w:val="0"/>
        <w:autoSpaceDE/>
        <w:autoSpaceDN/>
        <w:snapToGrid w:val="0"/>
        <w:spacing w:line="600" w:lineRule="atLeast"/>
        <w:ind w:firstLine="643" w:firstLineChars="200"/>
        <w:contextualSpacing/>
        <w:jc w:val="both"/>
        <w:rPr>
          <w:rFonts w:hint="default" w:ascii="楷体_GB2312" w:hAnsi="楷体_GB2312" w:eastAsia="楷体_GB2312" w:cs="楷体_GB2312"/>
          <w:b/>
          <w:bCs/>
          <w:color w:val="000000"/>
          <w:sz w:val="32"/>
          <w:szCs w:val="32"/>
          <w:shd w:val="clear" w:color="auto" w:fill="FFFFFF"/>
          <w:lang w:val="zh-CN"/>
        </w:rPr>
      </w:pPr>
      <w:r>
        <w:rPr>
          <w:rFonts w:hint="default" w:ascii="楷体_GB2312" w:hAnsi="楷体_GB2312" w:eastAsia="楷体_GB2312" w:cs="楷体_GB2312"/>
          <w:b/>
          <w:bCs/>
          <w:color w:val="000000"/>
          <w:sz w:val="32"/>
          <w:szCs w:val="32"/>
          <w:shd w:val="clear" w:color="auto" w:fill="FFFFFF"/>
          <w:lang w:val="zh-CN"/>
        </w:rPr>
        <w:t>（一）部门财政资金收入情况。</w:t>
      </w:r>
    </w:p>
    <w:p w14:paraId="01BA949B">
      <w:pPr>
        <w:widowControl/>
        <w:overflowPunct/>
        <w:autoSpaceDE/>
        <w:autoSpaceDN/>
        <w:snapToGrid/>
        <w:spacing w:line="560" w:lineRule="exact"/>
        <w:ind w:firstLine="640" w:firstLineChars="200"/>
        <w:contextualSpacing/>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年初预算收入</w:t>
      </w:r>
      <w:r>
        <w:rPr>
          <w:rFonts w:hint="eastAsia" w:ascii="仿宋_GB2312" w:hAnsi="仿宋_GB2312" w:cs="仿宋_GB2312"/>
          <w:sz w:val="32"/>
          <w:szCs w:val="32"/>
          <w:lang w:val="en-US" w:eastAsia="zh-CN"/>
        </w:rPr>
        <w:t>15,346,404.4</w:t>
      </w:r>
      <w:r>
        <w:rPr>
          <w:rFonts w:hint="eastAsia" w:ascii="仿宋_GB2312" w:hAnsi="仿宋_GB2312" w:eastAsia="仿宋_GB2312" w:cs="仿宋_GB2312"/>
          <w:sz w:val="32"/>
          <w:szCs w:val="32"/>
        </w:rPr>
        <w:t>元，其中：基本支出7,248,770.88元（包括：行政运行1,592,433.45元，其他文化</w:t>
      </w:r>
      <w:r>
        <w:rPr>
          <w:rFonts w:hint="eastAsia" w:ascii="仿宋_GB2312" w:hAnsi="仿宋_GB2312" w:eastAsia="仿宋_GB2312" w:cs="仿宋_GB2312"/>
          <w:sz w:val="32"/>
          <w:szCs w:val="32"/>
          <w:lang w:eastAsia="zh-CN"/>
        </w:rPr>
        <w:t>和旅游</w:t>
      </w:r>
      <w:r>
        <w:rPr>
          <w:rFonts w:hint="eastAsia" w:ascii="仿宋_GB2312" w:hAnsi="仿宋_GB2312" w:eastAsia="仿宋_GB2312" w:cs="仿宋_GB2312"/>
          <w:sz w:val="32"/>
          <w:szCs w:val="32"/>
        </w:rPr>
        <w:t>支出3,289,424.07元，社会保障和就业支出1,620,384.32元，</w:t>
      </w:r>
      <w:r>
        <w:rPr>
          <w:rFonts w:hint="eastAsia" w:ascii="仿宋_GB2312" w:hAnsi="仿宋_GB2312" w:eastAsia="仿宋_GB2312" w:cs="仿宋_GB2312"/>
          <w:sz w:val="32"/>
          <w:szCs w:val="32"/>
          <w:lang w:eastAsia="zh-CN"/>
        </w:rPr>
        <w:t>行政事业单位</w:t>
      </w:r>
      <w:r>
        <w:rPr>
          <w:rFonts w:hint="eastAsia" w:ascii="仿宋_GB2312" w:hAnsi="仿宋_GB2312" w:eastAsia="仿宋_GB2312" w:cs="仿宋_GB2312"/>
          <w:sz w:val="32"/>
          <w:szCs w:val="32"/>
        </w:rPr>
        <w:t>医疗266,171.20元，住房公积金480,357.84元）；项目支出8,097,633.52</w:t>
      </w:r>
      <w:r>
        <w:rPr>
          <w:rFonts w:hint="eastAsia" w:ascii="仿宋_GB2312" w:hAnsi="仿宋_GB2312" w:eastAsia="仿宋_GB2312" w:cs="仿宋_GB2312"/>
          <w:sz w:val="32"/>
          <w:szCs w:val="32"/>
          <w:lang w:eastAsia="zh-CN"/>
        </w:rPr>
        <w:t>元</w:t>
      </w:r>
      <w:r>
        <w:rPr>
          <w:rFonts w:hint="eastAsia" w:ascii="仿宋_GB2312" w:hAnsi="仿宋_GB2312" w:eastAsia="仿宋_GB2312" w:cs="仿宋_GB2312"/>
          <w:sz w:val="32"/>
          <w:szCs w:val="32"/>
          <w:highlight w:val="none"/>
        </w:rPr>
        <w:t>（包括：</w:t>
      </w:r>
      <w:r>
        <w:rPr>
          <w:rFonts w:hint="eastAsia" w:ascii="仿宋_GB2312" w:hAnsi="仿宋_GB2312" w:eastAsia="仿宋_GB2312" w:cs="仿宋_GB2312"/>
          <w:sz w:val="32"/>
          <w:szCs w:val="32"/>
          <w:highlight w:val="none"/>
          <w:lang w:eastAsia="zh-CN"/>
        </w:rPr>
        <w:t>一般行政管理事务</w:t>
      </w:r>
      <w:r>
        <w:rPr>
          <w:rFonts w:hint="eastAsia" w:ascii="仿宋_GB2312" w:hAnsi="仿宋_GB2312" w:eastAsia="仿宋_GB2312" w:cs="仿宋_GB2312"/>
          <w:sz w:val="32"/>
          <w:szCs w:val="32"/>
          <w:highlight w:val="none"/>
        </w:rPr>
        <w:t>17,494元，图书馆150,000</w:t>
      </w:r>
      <w:r>
        <w:rPr>
          <w:rFonts w:hint="eastAsia" w:ascii="仿宋_GB2312" w:hAnsi="仿宋_GB2312" w:eastAsia="仿宋_GB2312" w:cs="仿宋_GB2312"/>
          <w:sz w:val="32"/>
          <w:szCs w:val="32"/>
          <w:highlight w:val="none"/>
          <w:lang w:val="en-US" w:eastAsia="zh-CN"/>
        </w:rPr>
        <w:t>元，文化活动30,000元，</w:t>
      </w:r>
      <w:r>
        <w:rPr>
          <w:rFonts w:hint="eastAsia" w:ascii="仿宋_GB2312" w:hAnsi="仿宋_GB2312" w:eastAsia="仿宋_GB2312" w:cs="仿宋_GB2312"/>
          <w:sz w:val="32"/>
          <w:szCs w:val="32"/>
          <w:highlight w:val="none"/>
        </w:rPr>
        <w:t>其他文化</w:t>
      </w:r>
      <w:r>
        <w:rPr>
          <w:rFonts w:hint="eastAsia" w:ascii="仿宋_GB2312" w:hAnsi="仿宋_GB2312" w:eastAsia="仿宋_GB2312" w:cs="仿宋_GB2312"/>
          <w:sz w:val="32"/>
          <w:szCs w:val="32"/>
          <w:highlight w:val="none"/>
          <w:lang w:eastAsia="zh-CN"/>
        </w:rPr>
        <w:t>和旅游</w:t>
      </w:r>
      <w:r>
        <w:rPr>
          <w:rFonts w:hint="eastAsia" w:ascii="仿宋_GB2312" w:hAnsi="仿宋_GB2312" w:eastAsia="仿宋_GB2312" w:cs="仿宋_GB2312"/>
          <w:sz w:val="32"/>
          <w:szCs w:val="32"/>
          <w:highlight w:val="none"/>
        </w:rPr>
        <w:t>支出2,810,407.1元</w:t>
      </w:r>
      <w:r>
        <w:rPr>
          <w:rFonts w:hint="eastAsia" w:ascii="仿宋_GB2312" w:hAnsi="仿宋_GB2312" w:eastAsia="仿宋_GB2312" w:cs="仿宋_GB2312"/>
          <w:sz w:val="32"/>
          <w:szCs w:val="32"/>
          <w:highlight w:val="none"/>
          <w:lang w:val="en-US" w:eastAsia="zh-CN"/>
        </w:rPr>
        <w:t>，文物保护614,512.42元，</w:t>
      </w:r>
      <w:r>
        <w:rPr>
          <w:rFonts w:hint="eastAsia" w:ascii="仿宋_GB2312" w:hAnsi="仿宋_GB2312" w:eastAsia="仿宋_GB2312" w:cs="仿宋_GB2312"/>
          <w:sz w:val="32"/>
          <w:szCs w:val="32"/>
          <w:highlight w:val="none"/>
          <w:lang w:eastAsia="zh-CN"/>
        </w:rPr>
        <w:t>其他广播电视支出3,401,300</w:t>
      </w:r>
      <w:r>
        <w:rPr>
          <w:rFonts w:hint="eastAsia" w:ascii="仿宋_GB2312" w:hAnsi="仿宋_GB2312" w:eastAsia="仿宋_GB2312" w:cs="仿宋_GB2312"/>
          <w:sz w:val="32"/>
          <w:szCs w:val="32"/>
          <w:highlight w:val="none"/>
        </w:rPr>
        <w:t>元，其他</w:t>
      </w:r>
      <w:r>
        <w:rPr>
          <w:rFonts w:hint="eastAsia" w:ascii="仿宋_GB2312" w:hAnsi="仿宋_GB2312" w:eastAsia="仿宋_GB2312" w:cs="仿宋_GB2312"/>
          <w:sz w:val="32"/>
          <w:szCs w:val="32"/>
          <w:highlight w:val="none"/>
          <w:lang w:eastAsia="zh-CN"/>
        </w:rPr>
        <w:t>文化</w:t>
      </w:r>
      <w:r>
        <w:rPr>
          <w:rFonts w:hint="eastAsia" w:ascii="仿宋_GB2312" w:hAnsi="仿宋_GB2312" w:eastAsia="仿宋_GB2312" w:cs="仿宋_GB2312"/>
          <w:sz w:val="32"/>
          <w:szCs w:val="32"/>
          <w:highlight w:val="none"/>
          <w:lang w:val="en-US" w:eastAsia="zh-CN"/>
        </w:rPr>
        <w:t>旅游</w:t>
      </w:r>
      <w:r>
        <w:rPr>
          <w:rFonts w:hint="eastAsia" w:ascii="仿宋_GB2312" w:hAnsi="仿宋_GB2312" w:eastAsia="仿宋_GB2312" w:cs="仿宋_GB2312"/>
          <w:sz w:val="32"/>
          <w:szCs w:val="32"/>
          <w:highlight w:val="none"/>
          <w:lang w:eastAsia="zh-CN"/>
        </w:rPr>
        <w:t>体育与传媒支出427,040</w:t>
      </w:r>
      <w:r>
        <w:rPr>
          <w:rFonts w:hint="eastAsia" w:ascii="仿宋_GB2312" w:hAnsi="仿宋_GB2312" w:eastAsia="仿宋_GB2312" w:cs="仿宋_GB2312"/>
          <w:sz w:val="32"/>
          <w:szCs w:val="32"/>
          <w:highlight w:val="none"/>
        </w:rPr>
        <w:t>元</w:t>
      </w:r>
      <w:r>
        <w:rPr>
          <w:rFonts w:hint="eastAsia" w:ascii="仿宋_GB2312" w:hAnsi="仿宋_GB2312" w:eastAsia="仿宋_GB2312" w:cs="仿宋_GB2312"/>
          <w:sz w:val="32"/>
          <w:szCs w:val="32"/>
          <w:highlight w:val="none"/>
          <w:lang w:eastAsia="zh-CN"/>
        </w:rPr>
        <w:t>，巩固拓展脱贫攻坚成果衔接乡村振兴</w:t>
      </w:r>
      <w:r>
        <w:rPr>
          <w:rFonts w:hint="eastAsia" w:ascii="仿宋_GB2312" w:hAnsi="仿宋_GB2312" w:eastAsia="仿宋_GB2312" w:cs="仿宋_GB2312"/>
          <w:sz w:val="32"/>
          <w:szCs w:val="32"/>
          <w:highlight w:val="none"/>
          <w:lang w:val="en-US" w:eastAsia="zh-CN"/>
        </w:rPr>
        <w:t>支出646,880元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w:t>
      </w:r>
    </w:p>
    <w:p w14:paraId="0BA8D3CC">
      <w:pPr>
        <w:widowControl w:val="0"/>
        <w:overflowPunct w:val="0"/>
        <w:autoSpaceDE/>
        <w:autoSpaceDN/>
        <w:snapToGrid w:val="0"/>
        <w:spacing w:line="600" w:lineRule="atLeast"/>
        <w:ind w:firstLine="643" w:firstLineChars="200"/>
        <w:contextualSpacing/>
        <w:jc w:val="both"/>
        <w:rPr>
          <w:rFonts w:hint="default" w:ascii="楷体_GB2312" w:hAnsi="楷体_GB2312" w:eastAsia="楷体_GB2312" w:cs="楷体_GB2312"/>
          <w:b/>
          <w:bCs/>
          <w:color w:val="000000"/>
          <w:sz w:val="32"/>
          <w:szCs w:val="32"/>
          <w:shd w:val="clear" w:color="auto" w:fill="FFFFFF"/>
          <w:lang w:val="zh-CN"/>
        </w:rPr>
      </w:pPr>
      <w:r>
        <w:rPr>
          <w:rFonts w:hint="eastAsia" w:ascii="楷体_GB2312" w:hAnsi="楷体_GB2312" w:eastAsia="楷体_GB2312" w:cs="楷体_GB2312"/>
          <w:b/>
          <w:bCs/>
          <w:color w:val="000000"/>
          <w:sz w:val="32"/>
          <w:szCs w:val="32"/>
          <w:shd w:val="clear" w:color="auto" w:fill="FFFFFF"/>
          <w:lang w:val="zh-CN"/>
        </w:rPr>
        <w:t>（</w:t>
      </w:r>
      <w:r>
        <w:rPr>
          <w:rFonts w:hint="eastAsia" w:ascii="楷体_GB2312" w:hAnsi="楷体_GB2312" w:eastAsia="楷体_GB2312" w:cs="楷体_GB2312"/>
          <w:b/>
          <w:bCs/>
          <w:color w:val="000000"/>
          <w:sz w:val="32"/>
          <w:szCs w:val="32"/>
          <w:shd w:val="clear" w:color="auto" w:fill="FFFFFF"/>
          <w:lang w:val="en-US" w:eastAsia="zh-CN"/>
        </w:rPr>
        <w:t>二</w:t>
      </w:r>
      <w:r>
        <w:rPr>
          <w:rFonts w:hint="eastAsia" w:ascii="楷体_GB2312" w:hAnsi="楷体_GB2312" w:eastAsia="楷体_GB2312" w:cs="楷体_GB2312"/>
          <w:b/>
          <w:bCs/>
          <w:color w:val="000000"/>
          <w:sz w:val="32"/>
          <w:szCs w:val="32"/>
          <w:shd w:val="clear" w:color="auto" w:fill="FFFFFF"/>
          <w:lang w:val="zh-CN"/>
        </w:rPr>
        <w:t>）</w:t>
      </w:r>
      <w:r>
        <w:rPr>
          <w:rFonts w:hint="default" w:ascii="楷体_GB2312" w:hAnsi="楷体_GB2312" w:eastAsia="楷体_GB2312" w:cs="楷体_GB2312"/>
          <w:b/>
          <w:bCs/>
          <w:color w:val="000000"/>
          <w:sz w:val="32"/>
          <w:szCs w:val="32"/>
          <w:shd w:val="clear" w:color="auto" w:fill="FFFFFF"/>
          <w:lang w:val="zh-CN"/>
        </w:rPr>
        <w:t>部门财政资金支出情况。</w:t>
      </w:r>
    </w:p>
    <w:p w14:paraId="7F8BF1D7">
      <w:pPr>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年，区</w:t>
      </w:r>
      <w:r>
        <w:rPr>
          <w:rFonts w:hint="eastAsia" w:ascii="仿宋_GB2312" w:hAnsi="仿宋_GB2312" w:eastAsia="仿宋_GB2312" w:cs="仿宋_GB2312"/>
          <w:sz w:val="32"/>
          <w:szCs w:val="32"/>
          <w:lang w:eastAsia="zh-CN"/>
        </w:rPr>
        <w:t>文化广电旅游</w:t>
      </w:r>
      <w:r>
        <w:rPr>
          <w:rFonts w:hint="eastAsia" w:ascii="仿宋_GB2312" w:hAnsi="仿宋_GB2312" w:eastAsia="仿宋_GB2312" w:cs="仿宋_GB2312"/>
          <w:sz w:val="32"/>
          <w:szCs w:val="32"/>
        </w:rPr>
        <w:t>局预算支出15,536,404.4元。</w:t>
      </w:r>
    </w:p>
    <w:p w14:paraId="4F3D542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color w:val="000000"/>
          <w:kern w:val="0"/>
          <w:sz w:val="32"/>
          <w:szCs w:val="32"/>
          <w:shd w:val="clear" w:color="auto" w:fill="FFFFFF"/>
          <w:lang w:val="en-US" w:eastAsia="zh-CN"/>
        </w:rPr>
        <w:t>2023</w:t>
      </w:r>
      <w:r>
        <w:rPr>
          <w:rFonts w:hint="eastAsia" w:ascii="仿宋_GB2312" w:hAnsi="仿宋_GB2312" w:eastAsia="仿宋_GB2312" w:cs="仿宋_GB2312"/>
          <w:color w:val="000000"/>
          <w:kern w:val="0"/>
          <w:sz w:val="32"/>
          <w:szCs w:val="32"/>
          <w:shd w:val="clear" w:color="auto" w:fill="FFFFFF"/>
          <w:lang w:val="zh-CN"/>
        </w:rPr>
        <w:t>年</w:t>
      </w:r>
      <w:r>
        <w:rPr>
          <w:rFonts w:hint="eastAsia" w:ascii="仿宋_GB2312" w:hAnsi="仿宋_GB2312" w:eastAsia="仿宋_GB2312" w:cs="仿宋_GB2312"/>
          <w:sz w:val="32"/>
          <w:szCs w:val="32"/>
        </w:rPr>
        <w:t>基本支出7,438,770.88元（包括：行政运行</w:t>
      </w:r>
      <w:r>
        <w:rPr>
          <w:rFonts w:hint="eastAsia" w:ascii="仿宋_GB2312" w:hAnsi="仿宋_GB2312" w:eastAsia="仿宋_GB2312" w:cs="仿宋_GB2312"/>
          <w:sz w:val="32"/>
          <w:szCs w:val="32"/>
          <w:highlight w:val="none"/>
        </w:rPr>
        <w:t>1,592,433.45</w:t>
      </w:r>
      <w:r>
        <w:rPr>
          <w:rFonts w:hint="eastAsia" w:ascii="仿宋_GB2312" w:hAnsi="仿宋_GB2312" w:eastAsia="仿宋_GB2312" w:cs="仿宋_GB2312"/>
          <w:sz w:val="32"/>
          <w:szCs w:val="32"/>
        </w:rPr>
        <w:t>元，其他文化</w:t>
      </w:r>
      <w:r>
        <w:rPr>
          <w:rFonts w:hint="eastAsia" w:ascii="仿宋_GB2312" w:hAnsi="仿宋_GB2312" w:eastAsia="仿宋_GB2312" w:cs="仿宋_GB2312"/>
          <w:sz w:val="32"/>
          <w:szCs w:val="32"/>
          <w:lang w:eastAsia="zh-CN"/>
        </w:rPr>
        <w:t>和旅游</w:t>
      </w:r>
      <w:r>
        <w:rPr>
          <w:rFonts w:hint="eastAsia" w:ascii="仿宋_GB2312" w:hAnsi="仿宋_GB2312" w:eastAsia="仿宋_GB2312" w:cs="仿宋_GB2312"/>
          <w:sz w:val="32"/>
          <w:szCs w:val="32"/>
        </w:rPr>
        <w:t>支出3,479,424.07元，</w:t>
      </w:r>
      <w:r>
        <w:rPr>
          <w:rFonts w:hint="eastAsia" w:ascii="仿宋_GB2312" w:hAnsi="仿宋_GB2312" w:eastAsia="仿宋_GB2312" w:cs="仿宋_GB2312"/>
          <w:sz w:val="32"/>
          <w:szCs w:val="32"/>
          <w:lang w:eastAsia="zh-CN"/>
        </w:rPr>
        <w:t>社会保障和就业支出1,620,384.32元，卫生健康支出266,171.2</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lang w:eastAsia="zh-CN"/>
        </w:rPr>
        <w:t>住房公积金480,357.84元</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eastAsia="zh-CN"/>
        </w:rPr>
        <w:t>其中：人员经费</w:t>
      </w:r>
      <w:r>
        <w:rPr>
          <w:rFonts w:hint="eastAsia" w:ascii="仿宋_GB2312" w:hAnsi="仿宋_GB2312" w:eastAsia="仿宋_GB2312" w:cs="仿宋_GB2312"/>
          <w:sz w:val="32"/>
          <w:szCs w:val="32"/>
          <w:lang w:val="en-US" w:eastAsia="zh-CN"/>
        </w:rPr>
        <w:t>6,480,345.52元，主要用于保障</w:t>
      </w:r>
      <w:r>
        <w:rPr>
          <w:rFonts w:hint="eastAsia" w:ascii="仿宋_GB2312" w:hAnsi="仿宋_GB2312" w:eastAsia="仿宋_GB2312" w:cs="仿宋_GB2312"/>
          <w:sz w:val="32"/>
          <w:szCs w:val="32"/>
          <w:lang w:eastAsia="zh-CN"/>
        </w:rPr>
        <w:t>船山区文化广电旅游局局机关、下属事业单位人员基本工资、津贴补贴、五险一金等；</w:t>
      </w:r>
      <w:r>
        <w:rPr>
          <w:rFonts w:hint="eastAsia" w:ascii="仿宋_GB2312" w:hAnsi="仿宋_GB2312" w:eastAsia="仿宋_GB2312" w:cs="仿宋_GB2312"/>
          <w:sz w:val="32"/>
          <w:szCs w:val="32"/>
        </w:rPr>
        <w:t>公用</w:t>
      </w:r>
      <w:r>
        <w:rPr>
          <w:rFonts w:hint="eastAsia" w:ascii="仿宋_GB2312" w:hAnsi="仿宋_GB2312" w:eastAsia="仿宋_GB2312" w:cs="仿宋_GB2312"/>
          <w:sz w:val="32"/>
          <w:szCs w:val="32"/>
          <w:lang w:val="en-US" w:eastAsia="zh-CN"/>
        </w:rPr>
        <w:t>经费958,425.36</w:t>
      </w:r>
      <w:r>
        <w:rPr>
          <w:rFonts w:hint="eastAsia" w:ascii="仿宋_GB2312" w:hAnsi="仿宋_GB2312" w:eastAsia="仿宋_GB2312" w:cs="仿宋_GB2312"/>
          <w:sz w:val="32"/>
          <w:szCs w:val="32"/>
        </w:rPr>
        <w:t>，主要用于办公费、印刷费、水电费、</w:t>
      </w:r>
      <w:r>
        <w:rPr>
          <w:rFonts w:hint="eastAsia" w:ascii="仿宋_GB2312" w:hAnsi="仿宋_GB2312" w:eastAsia="仿宋_GB2312" w:cs="仿宋_GB2312"/>
          <w:sz w:val="32"/>
          <w:szCs w:val="32"/>
          <w:lang w:val="en-US" w:eastAsia="zh-CN"/>
        </w:rPr>
        <w:t>邮电费</w:t>
      </w:r>
      <w:r>
        <w:rPr>
          <w:rFonts w:hint="eastAsia" w:ascii="仿宋_GB2312" w:hAnsi="仿宋_GB2312" w:eastAsia="仿宋_GB2312" w:cs="仿宋_GB2312"/>
          <w:sz w:val="32"/>
          <w:szCs w:val="32"/>
        </w:rPr>
        <w:t>等机构正常运转的日常支出以及公务接待等</w:t>
      </w:r>
      <w:r>
        <w:rPr>
          <w:rFonts w:hint="eastAsia" w:ascii="仿宋_GB2312" w:hAnsi="仿宋_GB2312" w:eastAsia="仿宋_GB2312" w:cs="仿宋_GB2312"/>
          <w:sz w:val="32"/>
          <w:szCs w:val="32"/>
          <w:lang w:eastAsia="zh-CN"/>
        </w:rPr>
        <w:t>。</w:t>
      </w:r>
    </w:p>
    <w:p w14:paraId="45A0B0F8">
      <w:pPr>
        <w:widowControl/>
        <w:overflowPunct/>
        <w:autoSpaceDE/>
        <w:autoSpaceDN/>
        <w:snapToGrid w:val="0"/>
        <w:spacing w:line="560" w:lineRule="exact"/>
        <w:ind w:firstLine="720" w:firstLineChars="0"/>
        <w:contextualSpacing/>
        <w:jc w:val="left"/>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000000"/>
          <w:kern w:val="0"/>
          <w:sz w:val="32"/>
          <w:szCs w:val="32"/>
          <w:shd w:val="clear" w:color="auto" w:fill="FFFFFF"/>
          <w:lang w:val="en-US" w:eastAsia="zh-CN"/>
        </w:rPr>
        <w:t>2023</w:t>
      </w:r>
      <w:r>
        <w:rPr>
          <w:rFonts w:hint="eastAsia" w:ascii="仿宋_GB2312" w:hAnsi="仿宋_GB2312" w:eastAsia="仿宋_GB2312" w:cs="仿宋_GB2312"/>
          <w:color w:val="000000"/>
          <w:kern w:val="0"/>
          <w:sz w:val="32"/>
          <w:szCs w:val="32"/>
          <w:shd w:val="clear" w:color="auto" w:fill="FFFFFF"/>
          <w:lang w:val="zh-CN"/>
        </w:rPr>
        <w:t>年预算项目支出</w:t>
      </w:r>
      <w:r>
        <w:rPr>
          <w:rFonts w:hint="eastAsia" w:ascii="仿宋_GB2312" w:hAnsi="仿宋_GB2312" w:eastAsia="仿宋_GB2312" w:cs="仿宋_GB2312"/>
          <w:color w:val="000000"/>
          <w:kern w:val="0"/>
          <w:sz w:val="32"/>
          <w:szCs w:val="32"/>
          <w:shd w:val="clear" w:color="auto" w:fill="FFFFFF"/>
          <w:lang w:val="en-US" w:eastAsia="zh-CN"/>
        </w:rPr>
        <w:t>8,097,633.52</w:t>
      </w:r>
      <w:r>
        <w:rPr>
          <w:rFonts w:hint="eastAsia" w:ascii="仿宋_GB2312" w:hAnsi="仿宋_GB2312" w:eastAsia="仿宋_GB2312" w:cs="仿宋_GB2312"/>
          <w:color w:val="000000"/>
          <w:kern w:val="0"/>
          <w:sz w:val="32"/>
          <w:szCs w:val="32"/>
          <w:shd w:val="clear" w:color="auto" w:fill="FFFFFF"/>
          <w:lang w:val="zh-CN"/>
        </w:rPr>
        <w:t>元。其中：（</w:t>
      </w:r>
      <w:r>
        <w:rPr>
          <w:rFonts w:hint="eastAsia" w:ascii="仿宋_GB2312" w:hAnsi="仿宋_GB2312" w:eastAsia="仿宋_GB2312" w:cs="仿宋_GB2312"/>
          <w:color w:val="000000"/>
          <w:kern w:val="0"/>
          <w:sz w:val="32"/>
          <w:szCs w:val="32"/>
          <w:shd w:val="clear" w:color="auto" w:fill="FFFFFF"/>
          <w:lang w:val="en-US" w:eastAsia="zh-CN"/>
        </w:rPr>
        <w:t>1</w:t>
      </w:r>
      <w:r>
        <w:rPr>
          <w:rFonts w:hint="eastAsia" w:ascii="仿宋_GB2312" w:hAnsi="仿宋_GB2312" w:eastAsia="仿宋_GB2312" w:cs="仿宋_GB2312"/>
          <w:color w:val="000000"/>
          <w:kern w:val="0"/>
          <w:sz w:val="32"/>
          <w:szCs w:val="32"/>
          <w:shd w:val="clear" w:color="auto" w:fill="FFFFFF"/>
          <w:lang w:val="zh-CN"/>
        </w:rPr>
        <w:t>）一般</w:t>
      </w:r>
      <w:r>
        <w:rPr>
          <w:rFonts w:hint="eastAsia" w:ascii="仿宋_GB2312" w:hAnsi="仿宋_GB2312" w:eastAsia="仿宋_GB2312" w:cs="仿宋_GB2312"/>
          <w:color w:val="000000"/>
          <w:kern w:val="0"/>
          <w:sz w:val="32"/>
          <w:szCs w:val="32"/>
          <w:highlight w:val="none"/>
          <w:shd w:val="clear" w:color="auto" w:fill="FFFFFF"/>
          <w:lang w:val="zh-CN"/>
        </w:rPr>
        <w:t>行政管理事务17,494元，主要用于遂理一家亲活动补助</w:t>
      </w:r>
      <w:r>
        <w:rPr>
          <w:rFonts w:hint="eastAsia" w:ascii="仿宋_GB2312" w:hAnsi="仿宋_GB2312" w:eastAsia="仿宋_GB2312" w:cs="仿宋_GB2312"/>
          <w:color w:val="000000"/>
          <w:kern w:val="0"/>
          <w:sz w:val="32"/>
          <w:szCs w:val="32"/>
          <w:highlight w:val="none"/>
          <w:shd w:val="clear" w:color="auto" w:fill="FFFFFF"/>
          <w:lang w:val="en-US" w:eastAsia="zh-CN"/>
        </w:rPr>
        <w:t>；（2）图书馆150,000元，主要用于城市书房建设；（3）文化活动30,000元，主要用于乡村文化振兴和旅游发展补助；（4）其他文化和旅游支出2,810,407.1元，主要用于美术馆免费开放、船山区乡镇级片区旅游发展专项规划、青少年综合实践基地（营地）建设、2021年旅游发展资金、创建天府旅游名县工作、2023年春节慰问、图书馆免费开放、公共文化服务活动及管理、文化旅游宣传营销、文化馆免费开放、文化旅游市场监管、文化馆展厅改造（5）文物保护614,512.42</w:t>
      </w:r>
      <w:r>
        <w:rPr>
          <w:rFonts w:hint="eastAsia" w:ascii="仿宋_GB2312" w:hAnsi="仿宋_GB2312" w:eastAsia="仿宋_GB2312" w:cs="仿宋_GB2312"/>
          <w:color w:val="000000"/>
          <w:kern w:val="0"/>
          <w:sz w:val="32"/>
          <w:szCs w:val="32"/>
          <w:highlight w:val="none"/>
          <w:shd w:val="clear" w:color="auto" w:fill="FFFFFF"/>
          <w:lang w:val="zh-CN"/>
        </w:rPr>
        <w:t>元，主要用于物</w:t>
      </w:r>
      <w:r>
        <w:rPr>
          <w:rFonts w:hint="eastAsia" w:ascii="仿宋_GB2312" w:hAnsi="仿宋_GB2312" w:eastAsia="仿宋_GB2312" w:cs="仿宋_GB2312"/>
          <w:color w:val="000000"/>
          <w:kern w:val="0"/>
          <w:sz w:val="32"/>
          <w:szCs w:val="32"/>
          <w:highlight w:val="none"/>
          <w:shd w:val="clear" w:color="auto" w:fill="FFFFFF"/>
          <w:lang w:val="en-US" w:eastAsia="zh-CN"/>
        </w:rPr>
        <w:t>质</w:t>
      </w:r>
      <w:r>
        <w:rPr>
          <w:rFonts w:hint="eastAsia" w:ascii="仿宋_GB2312" w:hAnsi="仿宋_GB2312" w:eastAsia="仿宋_GB2312" w:cs="仿宋_GB2312"/>
          <w:color w:val="000000"/>
          <w:kern w:val="0"/>
          <w:sz w:val="32"/>
          <w:szCs w:val="32"/>
          <w:highlight w:val="none"/>
          <w:shd w:val="clear" w:color="auto" w:fill="FFFFFF"/>
          <w:lang w:val="zh-CN"/>
        </w:rPr>
        <w:t>文化遗产保护、非物质文化遗产保护、花园节孝坊质保金</w:t>
      </w:r>
      <w:r>
        <w:rPr>
          <w:rFonts w:hint="eastAsia" w:ascii="仿宋_GB2312" w:hAnsi="仿宋_GB2312" w:eastAsia="仿宋_GB2312" w:cs="仿宋_GB2312"/>
          <w:color w:val="000000"/>
          <w:kern w:val="0"/>
          <w:sz w:val="32"/>
          <w:szCs w:val="32"/>
          <w:highlight w:val="none"/>
          <w:shd w:val="clear" w:color="auto" w:fill="FFFFFF"/>
          <w:lang w:val="en-US" w:eastAsia="zh-CN"/>
        </w:rPr>
        <w:t>支出</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lang w:val="en-US" w:eastAsia="zh-CN"/>
        </w:rPr>
        <w:t>6</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lang w:val="en-US" w:eastAsia="zh-CN"/>
        </w:rPr>
        <w:t>其他广播电视支出3,401,300元，主要用于广播电视户户通运行维护、应急广播建设；（7）其他文化旅游体育与传媒支出427,040元，主要用于地方公共文化服务体系建设（一般项目、绩效奖励）（8）其他巩固拓展脱贫攻坚成果衔接乡村振兴支出646,880元，主要用于送文化下乡、户户通运维资金。</w:t>
      </w:r>
    </w:p>
    <w:p w14:paraId="04175FFA">
      <w:pPr>
        <w:widowControl w:val="0"/>
        <w:overflowPunct w:val="0"/>
        <w:autoSpaceDE/>
        <w:autoSpaceDN/>
        <w:snapToGrid w:val="0"/>
        <w:spacing w:line="600" w:lineRule="atLeast"/>
        <w:ind w:firstLine="640" w:firstLineChars="200"/>
        <w:contextualSpacing/>
        <w:jc w:val="both"/>
        <w:rPr>
          <w:rFonts w:hint="default" w:ascii="Times New Roman" w:hAnsi="Times New Roman" w:eastAsia="仿宋_GB2312" w:cs="Times New Roman"/>
          <w:color w:val="000000"/>
          <w:sz w:val="32"/>
          <w:szCs w:val="48"/>
          <w:shd w:val="clear" w:color="auto" w:fill="FFFFFF"/>
        </w:rPr>
      </w:pPr>
      <w:r>
        <w:rPr>
          <w:rFonts w:hint="default" w:ascii="Times New Roman" w:hAnsi="Times New Roman" w:eastAsia="黑体" w:cs="Times New Roman"/>
          <w:color w:val="000000"/>
          <w:sz w:val="32"/>
          <w:szCs w:val="48"/>
          <w:shd w:val="clear" w:color="auto" w:fill="auto"/>
        </w:rPr>
        <w:t>三、</w:t>
      </w:r>
      <w:r>
        <w:rPr>
          <w:rFonts w:hint="eastAsia" w:ascii="黑体" w:hAnsi="黑体" w:eastAsia="黑体" w:cs="黑体"/>
          <w:color w:val="000000"/>
          <w:sz w:val="32"/>
          <w:szCs w:val="48"/>
          <w:shd w:val="clear" w:color="auto" w:fill="FFFFFF"/>
        </w:rPr>
        <w:t>部门整体预算绩效管理情况</w:t>
      </w:r>
    </w:p>
    <w:p w14:paraId="3BD5A735">
      <w:pPr>
        <w:widowControl w:val="0"/>
        <w:overflowPunct w:val="0"/>
        <w:autoSpaceDE/>
        <w:autoSpaceDN/>
        <w:adjustRightInd w:val="0"/>
        <w:snapToGrid w:val="0"/>
        <w:spacing w:line="600" w:lineRule="atLeast"/>
        <w:ind w:firstLine="607" w:firstLineChars="189"/>
        <w:contextualSpacing/>
        <w:jc w:val="both"/>
        <w:rPr>
          <w:rFonts w:hint="default" w:ascii="Times New Roman" w:hAnsi="Times New Roman" w:eastAsia="楷体_GB2312" w:cs="Times New Roman"/>
          <w:b/>
          <w:bCs/>
          <w:color w:val="000000"/>
          <w:sz w:val="32"/>
          <w:szCs w:val="48"/>
          <w:shd w:val="clear" w:color="auto" w:fill="auto"/>
          <w:lang w:val="zh-CN"/>
        </w:rPr>
      </w:pPr>
      <w:r>
        <w:rPr>
          <w:rFonts w:hint="default" w:ascii="Times New Roman" w:hAnsi="Times New Roman" w:eastAsia="楷体_GB2312" w:cs="Times New Roman"/>
          <w:b/>
          <w:bCs/>
          <w:color w:val="000000"/>
          <w:sz w:val="32"/>
          <w:szCs w:val="48"/>
          <w:shd w:val="clear" w:color="auto" w:fill="auto"/>
          <w:lang w:val="zh-CN"/>
        </w:rPr>
        <w:t>（一）部门预算管理。</w:t>
      </w:r>
    </w:p>
    <w:p w14:paraId="5171902E">
      <w:pPr>
        <w:keepNext w:val="0"/>
        <w:keepLines w:val="0"/>
        <w:pageBreakBefore w:val="0"/>
        <w:numPr>
          <w:ilvl w:val="0"/>
          <w:numId w:val="0"/>
        </w:numPr>
        <w:kinsoku/>
        <w:wordWrap/>
        <w:overflowPunct/>
        <w:topLinePunct w:val="0"/>
        <w:autoSpaceDE/>
        <w:autoSpaceDN/>
        <w:bidi w:val="0"/>
        <w:spacing w:line="560" w:lineRule="exact"/>
        <w:ind w:left="789" w:leftChars="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lang w:val="en-US" w:eastAsia="zh-CN"/>
        </w:rPr>
        <w:t>1、预算编制。</w:t>
      </w:r>
      <w:r>
        <w:rPr>
          <w:rFonts w:hint="eastAsia" w:ascii="仿宋_GB2312" w:hAnsi="仿宋_GB2312" w:eastAsia="仿宋_GB2312" w:cs="仿宋_GB2312"/>
          <w:sz w:val="32"/>
          <w:szCs w:val="32"/>
          <w:lang w:val="en-US" w:eastAsia="zh-CN"/>
        </w:rPr>
        <w:t>总分30分，</w:t>
      </w:r>
      <w:r>
        <w:rPr>
          <w:rFonts w:hint="eastAsia" w:ascii="仿宋_GB2312" w:hAnsi="仿宋_GB2312" w:eastAsia="仿宋_GB2312" w:cs="仿宋_GB2312"/>
          <w:sz w:val="32"/>
          <w:szCs w:val="32"/>
          <w:highlight w:val="none"/>
          <w:lang w:val="en-US" w:eastAsia="zh-CN"/>
        </w:rPr>
        <w:t>自评得分28.68分。</w:t>
      </w:r>
    </w:p>
    <w:p w14:paraId="539DC2F3">
      <w:pPr>
        <w:keepNext w:val="0"/>
        <w:keepLines w:val="0"/>
        <w:pageBreakBefore w:val="0"/>
        <w:numPr>
          <w:ilvl w:val="0"/>
          <w:numId w:val="8"/>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标制定：我局按照综合预算的原则，所有收入和支出均纳入部门预算管理，绩效目标编制符合国家法律法规、国民经济和社会发展总体规划、符合“三定”方案确定的职能职责，确保编制要素完整、细化量化。我局设定的绩效指标清晰、细化、可衡量，与部门年度的任务数相对应，并与本年度部门预算资金相匹配。根据</w:t>
      </w:r>
      <w:r>
        <w:rPr>
          <w:rFonts w:hint="eastAsia" w:ascii="仿宋_GB2312" w:hAnsi="仿宋_GB2312" w:eastAsia="仿宋_GB2312" w:cs="仿宋_GB2312"/>
          <w:sz w:val="32"/>
          <w:szCs w:val="32"/>
          <w:highlight w:val="none"/>
          <w:lang w:val="en-US" w:eastAsia="zh-CN"/>
        </w:rPr>
        <w:t>评价计分</w:t>
      </w:r>
      <w:r>
        <w:rPr>
          <w:rFonts w:hint="eastAsia" w:ascii="仿宋_GB2312" w:hAnsi="仿宋_GB2312" w:eastAsia="仿宋_GB2312" w:cs="仿宋_GB2312"/>
          <w:sz w:val="32"/>
          <w:szCs w:val="32"/>
          <w:lang w:val="en-US" w:eastAsia="zh-CN"/>
        </w:rPr>
        <w:t>标准该项得10分。</w:t>
      </w:r>
    </w:p>
    <w:p w14:paraId="7D2E4A80">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（2）目标实现：年初预算项目支出共10项。本年完成项目15项，目标实现100%。部门绩效目标实际完成达到了预期指标值。根据</w:t>
      </w:r>
      <w:r>
        <w:rPr>
          <w:rFonts w:hint="eastAsia" w:ascii="仿宋_GB2312" w:hAnsi="仿宋_GB2312" w:eastAsia="仿宋_GB2312" w:cs="仿宋_GB2312"/>
          <w:sz w:val="32"/>
          <w:szCs w:val="32"/>
          <w:highlight w:val="none"/>
          <w:lang w:val="en-US" w:eastAsia="zh-CN"/>
        </w:rPr>
        <w:t>评价计分</w:t>
      </w:r>
      <w:r>
        <w:rPr>
          <w:rFonts w:hint="eastAsia" w:ascii="仿宋_GB2312" w:hAnsi="仿宋_GB2312" w:eastAsia="仿宋_GB2312" w:cs="仿宋_GB2312"/>
          <w:sz w:val="32"/>
          <w:szCs w:val="32"/>
          <w:lang w:val="en-US" w:eastAsia="zh-CN"/>
        </w:rPr>
        <w:t>标准该项得10分。</w:t>
      </w:r>
    </w:p>
    <w:p w14:paraId="7648460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（3）编制准确： 通过一年来的运行情况来看，目标任务完成良好，全年预算调剂金额为170,804元，预算编制较准确，无任何违规记录。根据评价计分标准该项得8.68分。</w:t>
      </w:r>
    </w:p>
    <w:p w14:paraId="4D6E93A5">
      <w:pPr>
        <w:pStyle w:val="7"/>
        <w:keepNext w:val="0"/>
        <w:keepLines w:val="0"/>
        <w:pageBreakBefore w:val="0"/>
        <w:numPr>
          <w:ilvl w:val="0"/>
          <w:numId w:val="0"/>
        </w:numPr>
        <w:kinsoku/>
        <w:wordWrap/>
        <w:overflowPunct/>
        <w:topLinePunct w:val="0"/>
        <w:autoSpaceDE/>
        <w:autoSpaceDN/>
        <w:bidi w:val="0"/>
        <w:spacing w:line="560" w:lineRule="exact"/>
        <w:ind w:left="789" w:leftChars="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b/>
          <w:bCs/>
          <w:sz w:val="32"/>
          <w:szCs w:val="32"/>
          <w:lang w:val="en-US" w:eastAsia="zh-CN"/>
        </w:rPr>
        <w:t>2、预算执行。</w:t>
      </w:r>
      <w:r>
        <w:rPr>
          <w:rFonts w:hint="eastAsia" w:ascii="仿宋_GB2312" w:hAnsi="仿宋_GB2312" w:eastAsia="仿宋_GB2312" w:cs="仿宋_GB2312"/>
          <w:sz w:val="32"/>
          <w:szCs w:val="32"/>
          <w:lang w:val="en-US" w:eastAsia="zh-CN"/>
        </w:rPr>
        <w:t>总分30分</w:t>
      </w:r>
      <w:r>
        <w:rPr>
          <w:rFonts w:hint="eastAsia" w:ascii="仿宋_GB2312" w:hAnsi="仿宋_GB2312" w:eastAsia="仿宋_GB2312" w:cs="仿宋_GB2312"/>
          <w:sz w:val="32"/>
          <w:szCs w:val="32"/>
          <w:highlight w:val="none"/>
          <w:lang w:val="en-US" w:eastAsia="zh-CN"/>
        </w:rPr>
        <w:t>，自评得分21.54分。</w:t>
      </w:r>
    </w:p>
    <w:p w14:paraId="6ED44138">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支出控制：严格执行了节能减耗及“三公”经费预算，在日常公用经费及非定额公用支出方面合理控制，未出现超预算情况。日常公用经费以及项目支出中办公费、印刷费等8个科目预决算偏差程度为5.43%。根</w:t>
      </w:r>
      <w:bookmarkStart w:id="96" w:name="_GoBack"/>
      <w:bookmarkEnd w:id="96"/>
      <w:r>
        <w:rPr>
          <w:rFonts w:hint="eastAsia" w:ascii="仿宋_GB2312" w:hAnsi="仿宋_GB2312" w:eastAsia="仿宋_GB2312" w:cs="仿宋_GB2312"/>
          <w:sz w:val="32"/>
          <w:szCs w:val="32"/>
          <w:highlight w:val="none"/>
          <w:lang w:val="en-US" w:eastAsia="zh-CN"/>
        </w:rPr>
        <w:t>据评价计分标准该项得10分。</w:t>
      </w:r>
    </w:p>
    <w:p w14:paraId="73526E24">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（2）动态调整：我局年初结转结余91,240.5，归集上缴91,240.5，绩效监控调整取消额与预算结余注销额均不为0，根据评价计分标准该项得5分。</w:t>
      </w:r>
    </w:p>
    <w:p w14:paraId="5F066CBD">
      <w:pPr>
        <w:keepNext w:val="0"/>
        <w:keepLines w:val="0"/>
        <w:pageBreakBefore w:val="0"/>
        <w:kinsoku/>
        <w:wordWrap/>
        <w:overflowPunct/>
        <w:topLinePunct w:val="0"/>
        <w:autoSpaceDE/>
        <w:autoSpaceDN/>
        <w:bidi w:val="0"/>
        <w:spacing w:line="560" w:lineRule="exact"/>
        <w:ind w:firstLine="640" w:firstLineChars="200"/>
        <w:textAlignment w:val="auto"/>
        <w:rPr>
          <w:rFonts w:hint="default"/>
          <w:lang w:val="en-US" w:eastAsia="zh-CN"/>
        </w:rPr>
      </w:pPr>
      <w:r>
        <w:rPr>
          <w:rFonts w:hint="eastAsia" w:ascii="仿宋_GB2312" w:hAnsi="仿宋_GB2312" w:eastAsia="仿宋_GB2312" w:cs="仿宋_GB2312"/>
          <w:sz w:val="32"/>
          <w:szCs w:val="32"/>
          <w:highlight w:val="none"/>
          <w:lang w:val="en-US" w:eastAsia="zh-CN"/>
        </w:rPr>
        <w:t>（3）执行进度：我局部门预算实际支出进度6月、9月、11月分别为28.29%、40.83%、54.89%，均未达到目标进度。根据评价计分标准6、9、11月分别得分2.12、2.42、2分，该项得分共计6.54分。</w:t>
      </w:r>
    </w:p>
    <w:p w14:paraId="6BDB279B">
      <w:pPr>
        <w:pStyle w:val="7"/>
        <w:keepNext w:val="0"/>
        <w:keepLines w:val="0"/>
        <w:pageBreakBefore w:val="0"/>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b/>
          <w:bCs/>
          <w:sz w:val="32"/>
          <w:szCs w:val="32"/>
          <w:highlight w:val="none"/>
          <w:lang w:val="en-US" w:eastAsia="zh-CN"/>
        </w:rPr>
        <w:t>3、完成结果。</w:t>
      </w:r>
      <w:r>
        <w:rPr>
          <w:rFonts w:hint="eastAsia" w:ascii="仿宋_GB2312" w:hAnsi="仿宋_GB2312" w:eastAsia="仿宋_GB2312" w:cs="仿宋_GB2312"/>
          <w:sz w:val="32"/>
          <w:szCs w:val="32"/>
          <w:highlight w:val="none"/>
          <w:lang w:val="en-US" w:eastAsia="zh-CN"/>
        </w:rPr>
        <w:t>总分20分，自评得分20分。</w:t>
      </w:r>
    </w:p>
    <w:p w14:paraId="78DD533E">
      <w:pPr>
        <w:keepNext w:val="0"/>
        <w:keepLines w:val="0"/>
        <w:pageBreakBefore w:val="0"/>
        <w:kinsoku/>
        <w:wordWrap/>
        <w:overflowPunct/>
        <w:topLinePunct w:val="0"/>
        <w:autoSpaceDE/>
        <w:autoSpaceDN/>
        <w:bidi w:val="0"/>
        <w:spacing w:line="560" w:lineRule="exact"/>
        <w:ind w:firstLine="631"/>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（1）预算完成：我局部门预算项目实际执行进度为100%，根据评价标准该项得10分。</w:t>
      </w:r>
    </w:p>
    <w:p w14:paraId="01F5853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（2）违规记录：经审计监督、财政检查结果反映，我局部门预算管理方面无违纪违规问题。根据评价标准该项得10分。</w:t>
      </w:r>
    </w:p>
    <w:p w14:paraId="17494991">
      <w:pPr>
        <w:pStyle w:val="15"/>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4、整体绩效</w:t>
      </w:r>
    </w:p>
    <w:p w14:paraId="7A61BAA8">
      <w:pPr>
        <w:pStyle w:val="15"/>
        <w:spacing w:line="560" w:lineRule="exact"/>
        <w:ind w:firstLine="640" w:firstLineChars="200"/>
        <w:rPr>
          <w:rFonts w:hint="eastAsia"/>
          <w:sz w:val="32"/>
          <w:szCs w:val="32"/>
        </w:rPr>
      </w:pPr>
      <w:r>
        <w:rPr>
          <w:rFonts w:hint="eastAsia" w:ascii="仿宋_GB2312" w:hAnsi="Times New Roman" w:eastAsia="仿宋_GB2312" w:cs="仿宋_GB2312"/>
          <w:szCs w:val="32"/>
          <w:lang w:bidi="ar"/>
        </w:rPr>
        <w:t>（</w:t>
      </w:r>
      <w:r>
        <w:rPr>
          <w:rFonts w:hint="eastAsia" w:ascii="仿宋_GB2312" w:hAnsi="Times New Roman" w:eastAsia="仿宋_GB2312" w:cs="仿宋_GB2312"/>
          <w:szCs w:val="32"/>
          <w:lang w:val="en-US" w:eastAsia="zh-CN" w:bidi="ar"/>
        </w:rPr>
        <w:t>1</w:t>
      </w:r>
      <w:r>
        <w:rPr>
          <w:rFonts w:hint="eastAsia" w:ascii="仿宋_GB2312" w:hAnsi="Times New Roman" w:eastAsia="仿宋_GB2312" w:cs="仿宋_GB2312"/>
          <w:szCs w:val="32"/>
          <w:lang w:bidi="ar"/>
        </w:rPr>
        <w:t>）强化党建引领，筑牢党风廉政建设</w:t>
      </w:r>
      <w:r>
        <w:rPr>
          <w:rFonts w:hint="eastAsia" w:hAnsi="Times New Roman" w:cs="仿宋_GB2312"/>
          <w:szCs w:val="32"/>
          <w:lang w:eastAsia="zh-CN" w:bidi="ar"/>
        </w:rPr>
        <w:t>。</w:t>
      </w:r>
      <w:r>
        <w:rPr>
          <w:rFonts w:ascii="仿宋_GB2312" w:hAnsi="Times New Roman" w:eastAsia="仿宋_GB2312" w:cs="仿宋_GB2312"/>
          <w:b/>
          <w:bCs/>
          <w:sz w:val="32"/>
          <w:szCs w:val="32"/>
          <w:lang w:bidi="ar"/>
        </w:rPr>
        <w:t>一是理论学习不断加强。</w:t>
      </w:r>
      <w:r>
        <w:rPr>
          <w:rFonts w:hint="eastAsia" w:ascii="仿宋_GB2312" w:hAnsi="Times New Roman" w:eastAsia="仿宋_GB2312" w:cs="仿宋_GB2312"/>
          <w:sz w:val="32"/>
          <w:szCs w:val="32"/>
          <w:lang w:bidi="ar"/>
        </w:rPr>
        <w:t>严格</w:t>
      </w:r>
      <w:r>
        <w:rPr>
          <w:rFonts w:ascii="仿宋_GB2312" w:hAnsi="Times New Roman" w:eastAsia="仿宋_GB2312" w:cs="仿宋_GB2312"/>
          <w:sz w:val="32"/>
          <w:szCs w:val="32"/>
          <w:lang w:bidi="ar"/>
        </w:rPr>
        <w:t>按照主题教育安排，制定了机关支部学习计划，完善了党组理论学习中心组学习计划，扎实开展</w:t>
      </w:r>
      <w:r>
        <w:rPr>
          <w:rFonts w:hint="eastAsia" w:ascii="仿宋_GB2312" w:hAnsi="Times New Roman" w:eastAsia="仿宋_GB2312" w:cs="仿宋_GB2312"/>
          <w:sz w:val="32"/>
          <w:szCs w:val="32"/>
          <w:lang w:bidi="ar"/>
        </w:rPr>
        <w:t>“三会一课”，</w:t>
      </w:r>
      <w:r>
        <w:rPr>
          <w:rFonts w:hint="eastAsia" w:hAnsi="Times New Roman" w:cs="仿宋_GB2312"/>
          <w:sz w:val="32"/>
          <w:szCs w:val="32"/>
          <w:lang w:eastAsia="zh-CN" w:bidi="ar"/>
        </w:rPr>
        <w:t>截至目前</w:t>
      </w:r>
      <w:r>
        <w:rPr>
          <w:rFonts w:ascii="仿宋_GB2312" w:hAnsi="Times New Roman" w:eastAsia="仿宋_GB2312" w:cs="仿宋_GB2312"/>
          <w:sz w:val="32"/>
          <w:szCs w:val="32"/>
          <w:lang w:bidi="ar"/>
        </w:rPr>
        <w:t>已召开支委会10次，主题党日10次，党员大会5次，上党课5次。</w:t>
      </w:r>
      <w:r>
        <w:rPr>
          <w:rFonts w:hint="eastAsia" w:ascii="仿宋_GB2312" w:hAnsi="Times New Roman" w:eastAsia="仿宋_GB2312" w:cs="仿宋_GB2312"/>
          <w:sz w:val="32"/>
          <w:szCs w:val="32"/>
          <w:lang w:bidi="ar"/>
        </w:rPr>
        <w:t>二</w:t>
      </w:r>
      <w:r>
        <w:rPr>
          <w:rFonts w:ascii="仿宋_GB2312" w:hAnsi="Times New Roman" w:eastAsia="仿宋_GB2312" w:cs="仿宋_GB2312"/>
          <w:b/>
          <w:bCs/>
          <w:sz w:val="32"/>
          <w:szCs w:val="32"/>
          <w:lang w:bidi="ar"/>
        </w:rPr>
        <w:t>是党风廉政建设措施有力。</w:t>
      </w:r>
      <w:r>
        <w:rPr>
          <w:rFonts w:ascii="仿宋_GB2312" w:hAnsi="Times New Roman" w:eastAsia="仿宋_GB2312" w:cs="仿宋_GB2312"/>
          <w:sz w:val="32"/>
          <w:szCs w:val="32"/>
          <w:lang w:bidi="ar"/>
        </w:rPr>
        <w:t>班子成员严格履行“一岗双责”制度，开展警示教育3次，108人次。组织全体干部职工填写《个人</w:t>
      </w:r>
      <w:r>
        <w:rPr>
          <w:rFonts w:ascii="仿宋_GB2312" w:hAnsi="Times New Roman" w:eastAsia="仿宋_GB2312" w:cs="仿宋_GB2312"/>
          <w:sz w:val="32"/>
          <w:szCs w:val="32"/>
          <w:shd w:val="clear" w:color="auto" w:fill="FFFFFF"/>
          <w:lang w:bidi="ar"/>
        </w:rPr>
        <w:t>廉政风险防控登记表</w:t>
      </w:r>
      <w:r>
        <w:rPr>
          <w:rFonts w:ascii="仿宋_GB2312" w:hAnsi="Times New Roman" w:eastAsia="仿宋_GB2312" w:cs="仿宋_GB2312"/>
          <w:sz w:val="32"/>
          <w:szCs w:val="32"/>
          <w:lang w:bidi="ar"/>
        </w:rPr>
        <w:t>》，全面排查出岗位职责、业务流程、制度机制、重点项目四类风险点14个，并建立健全了防控措施。</w:t>
      </w:r>
    </w:p>
    <w:p w14:paraId="4A5BEAF4">
      <w:pPr>
        <w:numPr>
          <w:ilvl w:val="0"/>
          <w:numId w:val="8"/>
        </w:numPr>
        <w:spacing w:line="560" w:lineRule="exact"/>
        <w:ind w:firstLine="640" w:firstLineChars="200"/>
        <w:rPr>
          <w:rFonts w:ascii="仿宋_GB2312" w:eastAsia="仿宋_GB2312" w:cs="仿宋_GB2312"/>
          <w:bCs/>
          <w:sz w:val="32"/>
          <w:szCs w:val="32"/>
        </w:rPr>
      </w:pPr>
      <w:r>
        <w:rPr>
          <w:rFonts w:ascii="仿宋_GB2312" w:hAnsi="Times New Roman" w:eastAsia="仿宋_GB2312" w:cs="仿宋_GB2312"/>
          <w:bCs w:val="0"/>
          <w:sz w:val="32"/>
          <w:szCs w:val="32"/>
          <w:lang w:bidi="ar"/>
        </w:rPr>
        <w:t>扎实开展文化和旅游行业监管工作</w:t>
      </w:r>
      <w:r>
        <w:rPr>
          <w:rFonts w:hint="eastAsia" w:ascii="仿宋_GB2312" w:hAnsi="Times New Roman" w:eastAsia="仿宋_GB2312" w:cs="仿宋_GB2312"/>
          <w:bCs w:val="0"/>
          <w:sz w:val="32"/>
          <w:szCs w:val="32"/>
          <w:lang w:eastAsia="zh-CN" w:bidi="ar"/>
        </w:rPr>
        <w:t>。</w:t>
      </w:r>
      <w:r>
        <w:rPr>
          <w:rFonts w:hint="eastAsia" w:ascii="仿宋_GB2312" w:eastAsia="仿宋_GB2312" w:cs="仿宋_GB2312"/>
          <w:b/>
          <w:bCs/>
          <w:sz w:val="32"/>
          <w:szCs w:val="32"/>
        </w:rPr>
        <w:t>一是落实主体责任。</w:t>
      </w:r>
      <w:r>
        <w:rPr>
          <w:rFonts w:hint="eastAsia" w:ascii="仿宋_GB2312" w:eastAsia="仿宋_GB2312" w:cs="仿宋_GB2312"/>
          <w:bCs/>
          <w:sz w:val="32"/>
          <w:szCs w:val="32"/>
        </w:rPr>
        <w:t>印发《船山文化旅游行业重大事故隐患专项排查2023行动实施方案》安全生产、行业监管类文件8个，强化安全责任落实。</w:t>
      </w:r>
      <w:r>
        <w:rPr>
          <w:rFonts w:hint="eastAsia" w:ascii="仿宋_GB2312" w:eastAsia="仿宋_GB2312" w:cs="仿宋_GB2312"/>
          <w:b/>
          <w:bCs/>
          <w:sz w:val="32"/>
          <w:szCs w:val="32"/>
        </w:rPr>
        <w:t>二是加强排查整治。</w:t>
      </w:r>
      <w:r>
        <w:rPr>
          <w:rFonts w:hint="eastAsia" w:ascii="仿宋_GB2312" w:eastAsia="仿宋_GB2312" w:cs="仿宋_GB2312"/>
          <w:bCs/>
          <w:sz w:val="32"/>
          <w:szCs w:val="32"/>
        </w:rPr>
        <w:t>出动工作人员630余人次，检查文旅企业800余家次，发现并整改安全隐患21处，下发限期整改通知书2份，责令整改32家次，警告12家次、罚款75000元。</w:t>
      </w:r>
      <w:r>
        <w:rPr>
          <w:rFonts w:hint="eastAsia" w:ascii="仿宋_GB2312" w:eastAsia="仿宋_GB2312" w:cs="仿宋_GB2312"/>
          <w:b/>
          <w:bCs/>
          <w:sz w:val="32"/>
          <w:szCs w:val="32"/>
        </w:rPr>
        <w:t>三是优化营商环境。</w:t>
      </w:r>
      <w:r>
        <w:rPr>
          <w:rFonts w:hint="eastAsia" w:ascii="仿宋_GB2312" w:eastAsia="仿宋_GB2312" w:cs="仿宋_GB2312"/>
          <w:bCs/>
          <w:sz w:val="32"/>
          <w:szCs w:val="32"/>
        </w:rPr>
        <w:t>深入推进“互联网+监管”“一网通办”常态化工作，妥善处理投诉。受理12345投诉120件，网络舆情1件，书记区长信箱1件，办结率100％，好评率</w:t>
      </w:r>
      <w:r>
        <w:rPr>
          <w:rFonts w:ascii="仿宋_GB2312" w:eastAsia="仿宋_GB2312" w:cs="仿宋_GB2312"/>
          <w:bCs/>
          <w:sz w:val="32"/>
          <w:szCs w:val="32"/>
        </w:rPr>
        <w:t>100</w:t>
      </w:r>
      <w:r>
        <w:rPr>
          <w:rFonts w:hint="eastAsia" w:ascii="仿宋_GB2312" w:eastAsia="仿宋_GB2312" w:cs="仿宋_GB2312"/>
          <w:bCs/>
          <w:sz w:val="32"/>
          <w:szCs w:val="32"/>
        </w:rPr>
        <w:t>%。</w:t>
      </w:r>
    </w:p>
    <w:p w14:paraId="7F34DC04">
      <w:pPr>
        <w:spacing w:line="560" w:lineRule="exact"/>
        <w:ind w:firstLine="640" w:firstLineChars="200"/>
        <w:rPr>
          <w:rFonts w:ascii="仿宋_GB2312" w:hAnsi="黑体" w:eastAsia="仿宋_GB2312"/>
          <w:sz w:val="32"/>
          <w:szCs w:val="32"/>
        </w:rPr>
      </w:pPr>
      <w:r>
        <w:rPr>
          <w:rFonts w:hint="eastAsia" w:ascii="仿宋_GB2312" w:hAnsi="Times" w:eastAsia="仿宋_GB2312" w:cs="仿宋_GB2312"/>
          <w:bCs/>
          <w:sz w:val="32"/>
          <w:szCs w:val="32"/>
        </w:rPr>
        <w:t>（</w:t>
      </w:r>
      <w:r>
        <w:rPr>
          <w:rFonts w:hint="eastAsia" w:ascii="仿宋_GB2312" w:hAnsi="Times" w:eastAsia="仿宋_GB2312" w:cs="仿宋_GB2312"/>
          <w:bCs/>
          <w:sz w:val="32"/>
          <w:szCs w:val="32"/>
          <w:lang w:val="en-US" w:eastAsia="zh-CN"/>
        </w:rPr>
        <w:t>3</w:t>
      </w:r>
      <w:r>
        <w:rPr>
          <w:rFonts w:hint="eastAsia" w:ascii="仿宋_GB2312" w:hAnsi="Times" w:eastAsia="仿宋_GB2312" w:cs="仿宋_GB2312"/>
          <w:bCs/>
          <w:sz w:val="32"/>
          <w:szCs w:val="32"/>
        </w:rPr>
        <w:t>）持续推进公共文化服务体系建设。</w:t>
      </w:r>
      <w:r>
        <w:rPr>
          <w:rFonts w:ascii="仿宋_GB2312" w:hAnsi="Calibri" w:eastAsia="仿宋_GB2312" w:cs="仿宋_GB2312"/>
          <w:b/>
          <w:sz w:val="32"/>
          <w:szCs w:val="32"/>
          <w:lang w:bidi="ar"/>
        </w:rPr>
        <w:t>一是全区应急广播系统全面建成。</w:t>
      </w:r>
      <w:r>
        <w:rPr>
          <w:rFonts w:ascii="仿宋_GB2312" w:hAnsi="Calibri" w:eastAsia="仿宋_GB2312" w:cs="仿宋_GB2312"/>
          <w:sz w:val="32"/>
          <w:szCs w:val="32"/>
          <w:lang w:bidi="ar"/>
        </w:rPr>
        <w:t>建设7个乡镇前端、81个村（农村社区）级平台，全区1250台套应急广播终端全面实现数字化升级改造</w:t>
      </w:r>
      <w:r>
        <w:rPr>
          <w:rFonts w:hint="eastAsia" w:ascii="仿宋_GB2312" w:hAnsi="Calibri" w:eastAsia="仿宋_GB2312" w:cs="仿宋_GB2312"/>
          <w:sz w:val="32"/>
          <w:szCs w:val="32"/>
          <w:lang w:bidi="ar"/>
        </w:rPr>
        <w:t>，全力做好安全播出管理。</w:t>
      </w:r>
      <w:r>
        <w:rPr>
          <w:rFonts w:ascii="仿宋_GB2312" w:hAnsi="Calibri" w:eastAsia="仿宋_GB2312" w:cs="仿宋_GB2312"/>
          <w:b/>
          <w:sz w:val="32"/>
          <w:szCs w:val="32"/>
          <w:lang w:bidi="ar"/>
        </w:rPr>
        <w:t>二是文化阵地日臻完善。</w:t>
      </w:r>
      <w:r>
        <w:rPr>
          <w:rFonts w:ascii="仿宋_GB2312" w:hAnsi="Calibri" w:eastAsia="仿宋_GB2312" w:cs="仿宋_GB2312"/>
          <w:sz w:val="32"/>
          <w:szCs w:val="32"/>
          <w:lang w:bidi="ar"/>
        </w:rPr>
        <w:t>在育才路犀牛社区建成全区首个24H城市书房</w:t>
      </w:r>
      <w:r>
        <w:rPr>
          <w:rFonts w:hint="eastAsia" w:ascii="仿宋_GB2312" w:hAnsi="Calibri" w:eastAsia="仿宋_GB2312" w:cs="仿宋_GB2312"/>
          <w:sz w:val="32"/>
          <w:szCs w:val="32"/>
          <w:lang w:bidi="ar"/>
        </w:rPr>
        <w:t>。扎实开展文旅公共服务高质量发展“四个一批”推荐活动，</w:t>
      </w:r>
      <w:r>
        <w:rPr>
          <w:rFonts w:ascii="仿宋_GB2312" w:hAnsi="Calibri" w:eastAsia="仿宋_GB2312" w:cs="仿宋_GB2312"/>
          <w:sz w:val="32"/>
          <w:szCs w:val="32"/>
          <w:lang w:bidi="ar"/>
        </w:rPr>
        <w:t>遴选优秀项目10个。5个乡镇综合文化站作为首批评估定级申报</w:t>
      </w:r>
      <w:r>
        <w:rPr>
          <w:rFonts w:hint="eastAsia" w:ascii="仿宋_GB2312" w:hAnsi="Calibri" w:eastAsia="仿宋_GB2312" w:cs="仿宋_GB2312"/>
          <w:sz w:val="32"/>
          <w:szCs w:val="32"/>
          <w:lang w:bidi="ar"/>
        </w:rPr>
        <w:t>工作</w:t>
      </w:r>
      <w:r>
        <w:rPr>
          <w:rFonts w:ascii="仿宋_GB2312" w:hAnsi="Calibri" w:eastAsia="仿宋_GB2312" w:cs="仿宋_GB2312"/>
          <w:sz w:val="32"/>
          <w:szCs w:val="32"/>
          <w:lang w:bidi="ar"/>
        </w:rPr>
        <w:t>已准备就绪。</w:t>
      </w:r>
      <w:r>
        <w:rPr>
          <w:rFonts w:ascii="仿宋_GB2312" w:hAnsi="Calibri" w:eastAsia="仿宋_GB2312" w:cs="仿宋_GB2312"/>
          <w:b/>
          <w:sz w:val="32"/>
          <w:szCs w:val="32"/>
          <w:lang w:bidi="ar"/>
        </w:rPr>
        <w:t>三是稳步推进民生实事。</w:t>
      </w:r>
      <w:r>
        <w:rPr>
          <w:rFonts w:ascii="仿宋_GB2312" w:hAnsi="Calibri" w:eastAsia="仿宋_GB2312" w:cs="仿宋_GB2312"/>
          <w:sz w:val="32"/>
          <w:szCs w:val="32"/>
          <w:lang w:bidi="ar"/>
        </w:rPr>
        <w:t>争取各级项目资金217.912万元，目前全区广播电视户户通工程正常运行，广播通响率95%以上。</w:t>
      </w:r>
    </w:p>
    <w:p w14:paraId="252769DE">
      <w:pPr>
        <w:spacing w:line="560" w:lineRule="exact"/>
        <w:ind w:firstLine="640" w:firstLineChars="200"/>
        <w:rPr>
          <w:rFonts w:ascii="仿宋_GB2312" w:hAnsi="黑体" w:eastAsia="仿宋_GB2312"/>
          <w:sz w:val="32"/>
          <w:szCs w:val="32"/>
        </w:rPr>
      </w:pPr>
      <w:r>
        <w:rPr>
          <w:rFonts w:hint="eastAsia" w:ascii="仿宋_GB2312" w:hAnsi="Calibri" w:eastAsia="仿宋_GB2312" w:cs="仿宋_GB2312"/>
          <w:sz w:val="32"/>
          <w:szCs w:val="32"/>
          <w:lang w:bidi="ar"/>
        </w:rPr>
        <w:t>（</w:t>
      </w:r>
      <w:r>
        <w:rPr>
          <w:rFonts w:hint="eastAsia" w:ascii="仿宋_GB2312" w:hAnsi="Calibri" w:eastAsia="仿宋_GB2312" w:cs="仿宋_GB2312"/>
          <w:sz w:val="32"/>
          <w:szCs w:val="32"/>
          <w:lang w:val="en-US" w:eastAsia="zh-CN" w:bidi="ar"/>
        </w:rPr>
        <w:t>4</w:t>
      </w:r>
      <w:r>
        <w:rPr>
          <w:rFonts w:hint="eastAsia" w:ascii="仿宋_GB2312" w:hAnsi="Calibri" w:eastAsia="仿宋_GB2312" w:cs="仿宋_GB2312"/>
          <w:sz w:val="32"/>
          <w:szCs w:val="32"/>
          <w:lang w:bidi="ar"/>
        </w:rPr>
        <w:t>）文旅产业项目推进有力。</w:t>
      </w:r>
      <w:r>
        <w:rPr>
          <w:rFonts w:hint="eastAsia" w:ascii="仿宋_GB2312" w:hAnsi="Times New Roman" w:eastAsia="仿宋_GB2312" w:cs="仿宋_GB2312"/>
          <w:b/>
          <w:bCs/>
          <w:sz w:val="32"/>
          <w:szCs w:val="32"/>
          <w:lang w:bidi="ar"/>
        </w:rPr>
        <w:t>一是坚持“一盘棋”推进，</w:t>
      </w:r>
      <w:r>
        <w:rPr>
          <w:rFonts w:hint="eastAsia" w:ascii="仿宋_GB2312" w:hAnsi="宋体" w:eastAsia="仿宋_GB2312" w:cs="黑体"/>
          <w:b/>
          <w:sz w:val="32"/>
          <w:szCs w:val="32"/>
          <w:lang w:bidi="ar"/>
        </w:rPr>
        <w:t>狠抓在建项目。</w:t>
      </w:r>
      <w:r>
        <w:rPr>
          <w:rFonts w:ascii="仿宋_GB2312" w:hAnsi="Times New Roman" w:eastAsia="仿宋_GB2312" w:cs="仿宋_GB2312"/>
          <w:sz w:val="32"/>
          <w:szCs w:val="32"/>
          <w:lang w:bidi="ar"/>
        </w:rPr>
        <w:t>采取“周报送、月督导”督办落实的工作方式，加速推进圣平岛花花世界、课耕山居等文旅项目建设。</w:t>
      </w:r>
      <w:r>
        <w:rPr>
          <w:rFonts w:hint="eastAsia" w:ascii="仿宋_GB2312" w:hAnsi="Times New Roman" w:eastAsia="仿宋_GB2312" w:cs="仿宋_GB2312"/>
          <w:sz w:val="32"/>
          <w:szCs w:val="32"/>
          <w:lang w:bidi="ar"/>
        </w:rPr>
        <w:t>目前电影文化中心项目已建设完工，近期将对外营业。</w:t>
      </w:r>
      <w:r>
        <w:rPr>
          <w:rFonts w:ascii="仿宋_GB2312" w:hAnsi="Times New Roman" w:eastAsia="仿宋_GB2312" w:cs="仿宋_GB2312"/>
          <w:sz w:val="32"/>
          <w:szCs w:val="32"/>
          <w:lang w:bidi="ar"/>
        </w:rPr>
        <w:t>圣平岛花花世界项目（一期）、课耕山居项目（一期）年内有望完成建设并投入</w:t>
      </w:r>
      <w:r>
        <w:rPr>
          <w:rFonts w:hint="eastAsia" w:ascii="仿宋_GB2312" w:hAnsi="Times New Roman" w:eastAsia="仿宋_GB2312" w:cs="仿宋_GB2312"/>
          <w:sz w:val="32"/>
          <w:szCs w:val="32"/>
          <w:lang w:eastAsia="zh-CN" w:bidi="ar"/>
        </w:rPr>
        <w:t>运营</w:t>
      </w:r>
      <w:r>
        <w:rPr>
          <w:rFonts w:ascii="仿宋_GB2312" w:hAnsi="Times New Roman" w:eastAsia="仿宋_GB2312" w:cs="仿宋_GB2312"/>
          <w:sz w:val="32"/>
          <w:szCs w:val="32"/>
          <w:lang w:bidi="ar"/>
        </w:rPr>
        <w:t>。</w:t>
      </w:r>
      <w:r>
        <w:rPr>
          <w:rFonts w:hint="eastAsia" w:ascii="仿宋_GB2312" w:hAnsi="Times New Roman" w:eastAsia="仿宋_GB2312" w:cs="仿宋_GB2312"/>
          <w:b/>
          <w:sz w:val="32"/>
          <w:szCs w:val="32"/>
          <w:lang w:bidi="ar"/>
        </w:rPr>
        <w:t>二是</w:t>
      </w:r>
      <w:r>
        <w:rPr>
          <w:rFonts w:ascii="仿宋_GB2312" w:hAnsi="Times New Roman" w:eastAsia="仿宋_GB2312" w:cs="仿宋_GB2312"/>
          <w:b/>
          <w:bCs/>
          <w:sz w:val="32"/>
          <w:szCs w:val="32"/>
          <w:lang w:bidi="ar"/>
        </w:rPr>
        <w:t>坚持“一张图”布局，做实招引项目。</w:t>
      </w:r>
      <w:r>
        <w:rPr>
          <w:rFonts w:ascii="仿宋_GB2312" w:hAnsi="Times New Roman" w:eastAsia="仿宋_GB2312" w:cs="仿宋_GB2312"/>
          <w:sz w:val="32"/>
          <w:szCs w:val="32"/>
          <w:lang w:bidi="ar"/>
        </w:rPr>
        <w:t xml:space="preserve"> “巴蜀有鲲·</w:t>
      </w:r>
      <w:r>
        <w:rPr>
          <w:rFonts w:ascii="Times New Roman" w:hAnsi="Times New Roman" w:eastAsia="仿宋_GB2312"/>
          <w:sz w:val="32"/>
          <w:szCs w:val="32"/>
          <w:lang w:bidi="ar"/>
        </w:rPr>
        <w:t>e</w:t>
      </w:r>
      <w:r>
        <w:rPr>
          <w:rFonts w:ascii="仿宋_GB2312" w:hAnsi="Times New Roman" w:eastAsia="仿宋_GB2312" w:cs="仿宋_GB2312"/>
          <w:sz w:val="32"/>
          <w:szCs w:val="32"/>
          <w:lang w:bidi="ar"/>
        </w:rPr>
        <w:t>莲岛”项目正在对接上级自规部门完善项目前期手续</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打造都市解压乐活休闲胜地。与四川众尚文化达成合作共识，计划投资</w:t>
      </w:r>
      <w:r>
        <w:rPr>
          <w:rFonts w:ascii="Times New Roman" w:hAnsi="Times New Roman" w:eastAsia="仿宋_GB2312"/>
          <w:sz w:val="32"/>
          <w:szCs w:val="32"/>
          <w:lang w:bidi="ar"/>
        </w:rPr>
        <w:t>1</w:t>
      </w:r>
      <w:r>
        <w:rPr>
          <w:rFonts w:ascii="仿宋_GB2312" w:hAnsi="Times New Roman" w:eastAsia="仿宋_GB2312" w:cs="仿宋_GB2312"/>
          <w:sz w:val="32"/>
          <w:szCs w:val="32"/>
          <w:lang w:bidi="ar"/>
        </w:rPr>
        <w:t>亿元在圣莲岛签约落地“喜园·三生三世”文旅综合项目。</w:t>
      </w:r>
      <w:r>
        <w:rPr>
          <w:rFonts w:hint="eastAsia" w:ascii="仿宋_GB2312" w:hAnsi="Times New Roman" w:eastAsia="仿宋_GB2312" w:cs="仿宋_GB2312"/>
          <w:sz w:val="32"/>
          <w:szCs w:val="32"/>
          <w:lang w:bidi="ar"/>
        </w:rPr>
        <w:t>三是</w:t>
      </w:r>
      <w:r>
        <w:rPr>
          <w:rFonts w:ascii="仿宋_GB2312" w:hAnsi="Times New Roman" w:eastAsia="仿宋_GB2312" w:cs="仿宋_GB2312"/>
          <w:b/>
          <w:bCs/>
          <w:sz w:val="32"/>
          <w:szCs w:val="32"/>
          <w:lang w:bidi="ar"/>
        </w:rPr>
        <w:t>坚持“一张表”谋划，做优储备项目。</w:t>
      </w:r>
      <w:r>
        <w:rPr>
          <w:rFonts w:ascii="仿宋_GB2312" w:hAnsi="Times New Roman" w:eastAsia="仿宋_GB2312" w:cs="仿宋_GB2312"/>
          <w:sz w:val="32"/>
          <w:szCs w:val="32"/>
          <w:lang w:bidi="ar"/>
        </w:rPr>
        <w:t>策划包装龙凤古镇景区旅游基础设施建设、东山森林康养及森林休闲旅游基础设施建设等基础设施建设</w:t>
      </w:r>
      <w:r>
        <w:rPr>
          <w:rFonts w:hint="eastAsia" w:ascii="仿宋_GB2312" w:hAnsi="Times New Roman" w:eastAsia="仿宋_GB2312" w:cs="仿宋_GB2312"/>
          <w:sz w:val="32"/>
          <w:szCs w:val="32"/>
          <w:lang w:bidi="ar"/>
        </w:rPr>
        <w:t>项目</w:t>
      </w:r>
      <w:r>
        <w:rPr>
          <w:rFonts w:ascii="Times New Roman" w:hAnsi="Times New Roman" w:eastAsia="仿宋_GB2312"/>
          <w:sz w:val="32"/>
          <w:szCs w:val="32"/>
          <w:lang w:bidi="ar"/>
        </w:rPr>
        <w:t>7</w:t>
      </w:r>
      <w:r>
        <w:rPr>
          <w:rFonts w:ascii="仿宋_GB2312" w:hAnsi="Times New Roman" w:eastAsia="仿宋_GB2312" w:cs="仿宋_GB2312"/>
          <w:sz w:val="32"/>
          <w:szCs w:val="32"/>
          <w:lang w:bidi="ar"/>
        </w:rPr>
        <w:t>个，总投资</w:t>
      </w:r>
      <w:r>
        <w:rPr>
          <w:rFonts w:ascii="Times New Roman" w:hAnsi="Times New Roman" w:eastAsia="仿宋_GB2312"/>
          <w:sz w:val="32"/>
          <w:szCs w:val="32"/>
          <w:lang w:bidi="ar"/>
        </w:rPr>
        <w:t>14.33</w:t>
      </w:r>
      <w:r>
        <w:rPr>
          <w:rFonts w:ascii="仿宋_GB2312" w:hAnsi="Times New Roman" w:eastAsia="仿宋_GB2312" w:cs="仿宋_GB2312"/>
          <w:sz w:val="32"/>
          <w:szCs w:val="32"/>
          <w:lang w:bidi="ar"/>
        </w:rPr>
        <w:t>亿元。谋划科举文化博物馆、圣平岛田园综合体原乡文化体验区等产业项目</w:t>
      </w:r>
      <w:r>
        <w:rPr>
          <w:rFonts w:ascii="Times New Roman" w:hAnsi="Times New Roman" w:eastAsia="仿宋_GB2312"/>
          <w:sz w:val="32"/>
          <w:szCs w:val="32"/>
          <w:lang w:bidi="ar"/>
        </w:rPr>
        <w:t>23</w:t>
      </w:r>
      <w:r>
        <w:rPr>
          <w:rFonts w:ascii="仿宋_GB2312" w:hAnsi="Times New Roman" w:eastAsia="仿宋_GB2312" w:cs="仿宋_GB2312"/>
          <w:sz w:val="32"/>
          <w:szCs w:val="32"/>
          <w:lang w:bidi="ar"/>
        </w:rPr>
        <w:t>个，总投资</w:t>
      </w:r>
      <w:r>
        <w:rPr>
          <w:rFonts w:ascii="Times New Roman" w:hAnsi="Times New Roman" w:eastAsia="仿宋_GB2312"/>
          <w:sz w:val="32"/>
          <w:szCs w:val="32"/>
          <w:lang w:bidi="ar"/>
        </w:rPr>
        <w:t>133.47</w:t>
      </w:r>
      <w:r>
        <w:rPr>
          <w:rFonts w:ascii="仿宋_GB2312" w:hAnsi="Times New Roman" w:eastAsia="仿宋_GB2312" w:cs="仿宋_GB2312"/>
          <w:sz w:val="32"/>
          <w:szCs w:val="32"/>
          <w:lang w:bidi="ar"/>
        </w:rPr>
        <w:t>亿元。</w:t>
      </w:r>
    </w:p>
    <w:p w14:paraId="064D4BDD">
      <w:pPr>
        <w:spacing w:line="560" w:lineRule="exact"/>
        <w:ind w:firstLine="640" w:firstLineChars="200"/>
        <w:rPr>
          <w:rFonts w:ascii="仿宋_GB2312" w:hAnsi="Arial" w:eastAsia="仿宋_GB2312" w:cs="仿宋_GB2312"/>
          <w:sz w:val="32"/>
          <w:szCs w:val="32"/>
        </w:rPr>
      </w:pPr>
      <w:r>
        <w:rPr>
          <w:rFonts w:hint="eastAsia" w:ascii="仿宋_GB2312" w:hAnsi="Times New Roman" w:eastAsia="仿宋_GB2312" w:cs="仿宋_GB2312"/>
          <w:sz w:val="32"/>
          <w:szCs w:val="32"/>
          <w:lang w:bidi="ar"/>
        </w:rPr>
        <w:t>（</w:t>
      </w:r>
      <w:r>
        <w:rPr>
          <w:rFonts w:hint="eastAsia" w:ascii="仿宋_GB2312" w:hAnsi="Times New Roman" w:eastAsia="仿宋_GB2312" w:cs="仿宋_GB2312"/>
          <w:sz w:val="32"/>
          <w:szCs w:val="32"/>
          <w:lang w:val="en-US" w:eastAsia="zh-CN" w:bidi="ar"/>
        </w:rPr>
        <w:t>5</w:t>
      </w:r>
      <w:r>
        <w:rPr>
          <w:rFonts w:hint="eastAsia" w:ascii="仿宋_GB2312" w:hAnsi="Times New Roman" w:eastAsia="仿宋_GB2312" w:cs="仿宋_GB2312"/>
          <w:sz w:val="32"/>
          <w:szCs w:val="32"/>
          <w:lang w:bidi="ar"/>
        </w:rPr>
        <w:t>）全力推进宣传营销工作。</w:t>
      </w:r>
      <w:r>
        <w:rPr>
          <w:rFonts w:ascii="仿宋_GB2312" w:hAnsi="Arial" w:eastAsia="仿宋_GB2312" w:cs="仿宋_GB2312"/>
          <w:b/>
          <w:bCs/>
          <w:sz w:val="32"/>
          <w:szCs w:val="32"/>
        </w:rPr>
        <w:t>一是高质量举办节会活动。</w:t>
      </w:r>
      <w:r>
        <w:rPr>
          <w:rFonts w:ascii="仿宋_GB2312" w:hAnsi="Arial" w:eastAsia="仿宋_GB2312" w:cs="仿宋_GB2312"/>
          <w:sz w:val="32"/>
          <w:szCs w:val="32"/>
        </w:rPr>
        <w:t>成功举办全国动力冲浪板联赛、第九届观音湖荷花节、“我们的节日·大家的中秋”中秋国庆系列活动等文旅节会赛事活动，拉动船山消费，带动文旅经济</w:t>
      </w:r>
      <w:r>
        <w:rPr>
          <w:rFonts w:hint="eastAsia" w:ascii="仿宋_GB2312" w:hAnsi="Arial" w:eastAsia="仿宋_GB2312" w:cs="仿宋_GB2312"/>
          <w:sz w:val="32"/>
          <w:szCs w:val="32"/>
        </w:rPr>
        <w:t>提升</w:t>
      </w:r>
      <w:r>
        <w:rPr>
          <w:rFonts w:ascii="仿宋_GB2312" w:hAnsi="Arial" w:eastAsia="仿宋_GB2312" w:cs="仿宋_GB2312"/>
          <w:sz w:val="32"/>
          <w:szCs w:val="32"/>
        </w:rPr>
        <w:t>。</w:t>
      </w:r>
      <w:r>
        <w:rPr>
          <w:rFonts w:ascii="仿宋_GB2312" w:hAnsi="Arial" w:eastAsia="仿宋_GB2312" w:cs="仿宋_GB2312"/>
          <w:b/>
          <w:bCs/>
          <w:sz w:val="32"/>
          <w:szCs w:val="32"/>
        </w:rPr>
        <w:t>二是创新宣传推广形式。</w:t>
      </w:r>
      <w:r>
        <w:rPr>
          <w:rFonts w:hint="eastAsia" w:ascii="仿宋_GB2312" w:hAnsi="Arial" w:eastAsia="仿宋_GB2312" w:cs="仿宋_GB2312"/>
          <w:sz w:val="32"/>
          <w:szCs w:val="32"/>
        </w:rPr>
        <w:t>组织开展</w:t>
      </w:r>
      <w:r>
        <w:rPr>
          <w:rFonts w:ascii="仿宋_GB2312" w:hAnsi="Arial" w:eastAsia="仿宋_GB2312" w:cs="仿宋_GB2312"/>
          <w:sz w:val="32"/>
          <w:szCs w:val="32"/>
        </w:rPr>
        <w:t>面向全国的船山文旅宣传口号征集活动，共征集宣传口号4000余条，进一步提升船山在全国范围的知名度；</w:t>
      </w:r>
      <w:r>
        <w:rPr>
          <w:rFonts w:hint="eastAsia" w:ascii="仿宋_GB2312" w:hAnsi="Arial" w:eastAsia="仿宋_GB2312" w:cs="仿宋_GB2312"/>
          <w:sz w:val="32"/>
          <w:szCs w:val="32"/>
        </w:rPr>
        <w:t>利用船山文旅抖音、微信、微博等平台实时发布文旅资讯、视频</w:t>
      </w:r>
      <w:r>
        <w:rPr>
          <w:rFonts w:ascii="仿宋_GB2312" w:hAnsi="Arial" w:eastAsia="仿宋_GB2312" w:cs="仿宋_GB2312"/>
          <w:sz w:val="32"/>
          <w:szCs w:val="32"/>
        </w:rPr>
        <w:t>，</w:t>
      </w:r>
      <w:r>
        <w:rPr>
          <w:rFonts w:hint="eastAsia" w:ascii="仿宋_GB2312" w:hAnsi="Arial" w:eastAsia="仿宋_GB2312" w:cs="仿宋_GB2312"/>
          <w:sz w:val="32"/>
          <w:szCs w:val="32"/>
        </w:rPr>
        <w:t>作品多次</w:t>
      </w:r>
      <w:r>
        <w:rPr>
          <w:rFonts w:ascii="仿宋_GB2312" w:hAnsi="Arial" w:eastAsia="仿宋_GB2312" w:cs="仿宋_GB2312"/>
          <w:sz w:val="32"/>
          <w:szCs w:val="32"/>
        </w:rPr>
        <w:t>被四川文旅厅、学习强国采纳。</w:t>
      </w:r>
      <w:r>
        <w:rPr>
          <w:rFonts w:hint="eastAsia" w:ascii="仿宋_GB2312" w:hAnsi="Arial" w:eastAsia="仿宋_GB2312" w:cs="仿宋_GB2312"/>
          <w:b/>
          <w:sz w:val="32"/>
          <w:szCs w:val="32"/>
        </w:rPr>
        <w:t>三</w:t>
      </w:r>
      <w:r>
        <w:rPr>
          <w:rFonts w:ascii="仿宋_GB2312" w:hAnsi="Arial" w:eastAsia="仿宋_GB2312" w:cs="仿宋_GB2312"/>
          <w:b/>
          <w:bCs/>
          <w:sz w:val="32"/>
          <w:szCs w:val="32"/>
        </w:rPr>
        <w:t>是增加与主流媒体合作力度。</w:t>
      </w:r>
      <w:r>
        <w:rPr>
          <w:rFonts w:ascii="仿宋_GB2312" w:hAnsi="Arial" w:eastAsia="仿宋_GB2312" w:cs="仿宋_GB2312"/>
          <w:sz w:val="32"/>
          <w:szCs w:val="32"/>
        </w:rPr>
        <w:t>与川观新闻合作邀请成渝两地知名主播</w:t>
      </w:r>
      <w:r>
        <w:rPr>
          <w:rFonts w:hint="eastAsia" w:ascii="仿宋_GB2312" w:hAnsi="Arial" w:eastAsia="仿宋_GB2312" w:cs="仿宋_GB2312"/>
          <w:sz w:val="32"/>
          <w:szCs w:val="32"/>
        </w:rPr>
        <w:t>在抖音</w:t>
      </w:r>
      <w:r>
        <w:rPr>
          <w:rFonts w:ascii="仿宋_GB2312" w:hAnsi="Arial" w:eastAsia="仿宋_GB2312" w:cs="仿宋_GB2312"/>
          <w:sz w:val="32"/>
          <w:szCs w:val="32"/>
        </w:rPr>
        <w:t>带领网友走进船山，</w:t>
      </w:r>
      <w:r>
        <w:rPr>
          <w:rFonts w:hint="eastAsia" w:ascii="仿宋_GB2312" w:hAnsi="Arial" w:eastAsia="仿宋_GB2312" w:cs="仿宋_GB2312"/>
          <w:sz w:val="32"/>
          <w:szCs w:val="32"/>
        </w:rPr>
        <w:t>观看</w:t>
      </w:r>
      <w:r>
        <w:rPr>
          <w:rFonts w:ascii="仿宋_GB2312" w:hAnsi="Arial" w:eastAsia="仿宋_GB2312" w:cs="仿宋_GB2312"/>
          <w:sz w:val="32"/>
          <w:szCs w:val="32"/>
        </w:rPr>
        <w:t>直播在线达2万人次。与四川广播电视台合作在永和家园建设四川广播电视台影视拍摄基地，拍摄《情满永和》电视剧，借助省级平台宣传推广船山。</w:t>
      </w:r>
    </w:p>
    <w:p w14:paraId="48653BA8">
      <w:pPr>
        <w:spacing w:line="560" w:lineRule="exact"/>
        <w:ind w:firstLine="640" w:firstLineChars="200"/>
        <w:rPr>
          <w:rFonts w:hint="eastAsia" w:ascii="仿宋_GB2312" w:hAnsi="Times New Roman" w:eastAsia="仿宋_GB2312" w:cs="仿宋_GB2312"/>
          <w:sz w:val="32"/>
          <w:szCs w:val="32"/>
          <w:lang w:bidi="ar"/>
        </w:rPr>
      </w:pPr>
      <w:r>
        <w:rPr>
          <w:rFonts w:hint="eastAsia" w:ascii="仿宋_GB2312" w:hAnsi="Arial" w:eastAsia="仿宋_GB2312" w:cs="仿宋_GB2312"/>
          <w:sz w:val="32"/>
          <w:szCs w:val="32"/>
        </w:rPr>
        <w:t>（</w:t>
      </w:r>
      <w:r>
        <w:rPr>
          <w:rFonts w:hint="eastAsia" w:ascii="仿宋_GB2312" w:hAnsi="Arial" w:eastAsia="仿宋_GB2312" w:cs="仿宋_GB2312"/>
          <w:sz w:val="32"/>
          <w:szCs w:val="32"/>
          <w:lang w:val="en-US" w:eastAsia="zh-CN"/>
        </w:rPr>
        <w:t>6</w:t>
      </w:r>
      <w:r>
        <w:rPr>
          <w:rFonts w:hint="eastAsia" w:ascii="仿宋_GB2312" w:hAnsi="Arial" w:eastAsia="仿宋_GB2312" w:cs="仿宋_GB2312"/>
          <w:sz w:val="32"/>
          <w:szCs w:val="32"/>
        </w:rPr>
        <w:t>）天府旅游名县命名县创建工作有序推进。</w:t>
      </w:r>
      <w:r>
        <w:rPr>
          <w:rFonts w:hint="eastAsia" w:ascii="仿宋_GB2312" w:hAnsi="Arial" w:eastAsia="仿宋_GB2312" w:cs="仿宋_GB2312"/>
          <w:b/>
          <w:bCs/>
          <w:sz w:val="32"/>
          <w:szCs w:val="32"/>
          <w:lang w:bidi="ar"/>
        </w:rPr>
        <w:t>一是明确工作任务。</w:t>
      </w:r>
      <w:r>
        <w:rPr>
          <w:rFonts w:hint="eastAsia" w:ascii="仿宋_GB2312" w:hAnsi="Times New Roman" w:eastAsia="仿宋_GB2312" w:cs="仿宋_GB2312"/>
          <w:sz w:val="32"/>
          <w:szCs w:val="32"/>
          <w:lang w:bidi="ar"/>
        </w:rPr>
        <w:t>明确</w:t>
      </w:r>
      <w:r>
        <w:rPr>
          <w:rFonts w:hint="eastAsia" w:ascii="仿宋_GB2312" w:hAnsi="Times New Roman" w:eastAsia="仿宋_GB2312" w:cs="仿宋_GB2312"/>
          <w:sz w:val="32"/>
          <w:szCs w:val="32"/>
          <w:lang w:val="en-US" w:eastAsia="zh-CN" w:bidi="ar"/>
        </w:rPr>
        <w:t>2条</w:t>
      </w:r>
      <w:r>
        <w:rPr>
          <w:rFonts w:hint="eastAsia" w:ascii="仿宋_GB2312" w:hAnsi="Times New Roman" w:eastAsia="仿宋_GB2312" w:cs="仿宋_GB2312"/>
          <w:sz w:val="32"/>
          <w:szCs w:val="32"/>
          <w:lang w:eastAsia="zh-CN" w:bidi="ar"/>
        </w:rPr>
        <w:t>迎检线路、</w:t>
      </w:r>
      <w:r>
        <w:rPr>
          <w:rFonts w:hint="eastAsia" w:ascii="仿宋_GB2312" w:hAnsi="Times New Roman" w:eastAsia="仿宋_GB2312" w:cs="仿宋_GB2312"/>
          <w:sz w:val="32"/>
          <w:szCs w:val="32"/>
          <w:lang w:val="en-US" w:eastAsia="zh-CN" w:bidi="ar"/>
        </w:rPr>
        <w:t>28个迎检点位，逐一制定</w:t>
      </w:r>
      <w:r>
        <w:rPr>
          <w:rFonts w:ascii="仿宋_GB2312" w:hAnsi="Times New Roman" w:eastAsia="仿宋_GB2312" w:cs="仿宋_GB2312"/>
          <w:sz w:val="32"/>
          <w:szCs w:val="32"/>
          <w:lang w:bidi="ar"/>
        </w:rPr>
        <w:t>17大项59小项</w:t>
      </w:r>
      <w:r>
        <w:rPr>
          <w:rFonts w:hint="eastAsia" w:ascii="仿宋_GB2312" w:hAnsi="Times New Roman" w:eastAsia="仿宋_GB2312" w:cs="仿宋_GB2312"/>
          <w:sz w:val="32"/>
          <w:szCs w:val="32"/>
          <w:lang w:bidi="ar"/>
        </w:rPr>
        <w:t>整改提升</w:t>
      </w:r>
      <w:r>
        <w:rPr>
          <w:rFonts w:ascii="仿宋_GB2312" w:hAnsi="Times New Roman" w:eastAsia="仿宋_GB2312" w:cs="仿宋_GB2312"/>
          <w:sz w:val="32"/>
          <w:szCs w:val="32"/>
          <w:lang w:bidi="ar"/>
        </w:rPr>
        <w:t>工作任务，全力补齐短板。</w:t>
      </w:r>
      <w:r>
        <w:rPr>
          <w:rFonts w:ascii="仿宋_GB2312" w:hAnsi="Arial" w:eastAsia="仿宋_GB2312" w:cs="仿宋_GB2312"/>
          <w:b/>
          <w:bCs/>
          <w:sz w:val="32"/>
          <w:szCs w:val="32"/>
          <w:lang w:bidi="ar"/>
        </w:rPr>
        <w:t>二是积极准备迎检。</w:t>
      </w:r>
      <w:r>
        <w:rPr>
          <w:rFonts w:ascii="仿宋_GB2312" w:hAnsi="Times New Roman" w:eastAsia="仿宋_GB2312" w:cs="仿宋_GB2312"/>
          <w:sz w:val="32"/>
          <w:szCs w:val="32"/>
          <w:lang w:bidi="ar"/>
        </w:rPr>
        <w:t>拟定迎检线路，加强创建迎检氛围营造，已完成命名县暗访</w:t>
      </w:r>
      <w:r>
        <w:rPr>
          <w:rFonts w:hint="eastAsia" w:ascii="仿宋_GB2312" w:hAnsi="Times New Roman" w:eastAsia="仿宋_GB2312" w:cs="仿宋_GB2312"/>
          <w:sz w:val="32"/>
          <w:szCs w:val="32"/>
          <w:lang w:eastAsia="zh-CN" w:bidi="ar"/>
        </w:rPr>
        <w:t>、资料审核、现场检查、集中打分等所有环节</w:t>
      </w:r>
      <w:r>
        <w:rPr>
          <w:rFonts w:ascii="仿宋_GB2312" w:hAnsi="Times New Roman" w:eastAsia="仿宋_GB2312" w:cs="仿宋_GB2312"/>
          <w:sz w:val="32"/>
          <w:szCs w:val="32"/>
          <w:lang w:bidi="ar"/>
        </w:rPr>
        <w:t>。</w:t>
      </w:r>
      <w:r>
        <w:rPr>
          <w:rFonts w:ascii="仿宋_GB2312" w:hAnsi="Arial" w:eastAsia="仿宋_GB2312" w:cs="仿宋_GB2312"/>
          <w:b/>
          <w:bCs/>
          <w:sz w:val="32"/>
          <w:szCs w:val="32"/>
          <w:lang w:bidi="ar"/>
        </w:rPr>
        <w:t>三是加强对接汇报。</w:t>
      </w:r>
      <w:r>
        <w:rPr>
          <w:rFonts w:ascii="仿宋_GB2312" w:hAnsi="Times New Roman" w:eastAsia="仿宋_GB2312" w:cs="仿宋_GB2312"/>
          <w:sz w:val="32"/>
          <w:szCs w:val="32"/>
          <w:lang w:bidi="ar"/>
        </w:rPr>
        <w:t>积极主动向省、市对口部门对接汇报20余次，</w:t>
      </w:r>
      <w:r>
        <w:rPr>
          <w:rFonts w:hint="eastAsia" w:ascii="仿宋_GB2312" w:hAnsi="Times New Roman" w:eastAsia="仿宋_GB2312" w:cs="仿宋_GB2312"/>
          <w:sz w:val="32"/>
          <w:szCs w:val="32"/>
          <w:lang w:eastAsia="zh-CN" w:bidi="ar"/>
        </w:rPr>
        <w:t>在成都举办船山专场</w:t>
      </w:r>
      <w:r>
        <w:rPr>
          <w:rFonts w:ascii="仿宋_GB2312" w:hAnsi="Times New Roman" w:eastAsia="仿宋_GB2312" w:cs="仿宋_GB2312"/>
          <w:sz w:val="32"/>
          <w:szCs w:val="32"/>
          <w:lang w:bidi="ar"/>
        </w:rPr>
        <w:t>推介</w:t>
      </w:r>
      <w:r>
        <w:rPr>
          <w:rFonts w:hint="eastAsia" w:ascii="仿宋_GB2312" w:hAnsi="Times New Roman" w:eastAsia="仿宋_GB2312" w:cs="仿宋_GB2312"/>
          <w:sz w:val="32"/>
          <w:szCs w:val="32"/>
          <w:lang w:eastAsia="zh-CN" w:bidi="ar"/>
        </w:rPr>
        <w:t>会，组织</w:t>
      </w:r>
      <w:r>
        <w:rPr>
          <w:rFonts w:hint="eastAsia" w:ascii="仿宋_GB2312" w:hAnsi="Times New Roman" w:eastAsia="仿宋_GB2312" w:cs="仿宋_GB2312"/>
          <w:sz w:val="32"/>
          <w:szCs w:val="32"/>
          <w:lang w:val="en-US" w:eastAsia="zh-CN" w:bidi="ar"/>
        </w:rPr>
        <w:t>28家涉旅媒体到船山采风，</w:t>
      </w:r>
      <w:r>
        <w:rPr>
          <w:rFonts w:ascii="仿宋_GB2312" w:hAnsi="Times New Roman" w:eastAsia="仿宋_GB2312" w:cs="仿宋_GB2312"/>
          <w:sz w:val="32"/>
          <w:szCs w:val="32"/>
          <w:lang w:bidi="ar"/>
        </w:rPr>
        <w:t>邀请省专家莅船调研指导4次</w:t>
      </w:r>
      <w:r>
        <w:rPr>
          <w:rFonts w:hint="eastAsia" w:ascii="仿宋_GB2312" w:hAnsi="Times New Roman" w:eastAsia="仿宋_GB2312" w:cs="仿宋_GB2312"/>
          <w:sz w:val="32"/>
          <w:szCs w:val="32"/>
          <w:lang w:eastAsia="zh-CN" w:bidi="ar"/>
        </w:rPr>
        <w:t>，</w:t>
      </w:r>
      <w:r>
        <w:rPr>
          <w:rFonts w:hint="eastAsia" w:ascii="仿宋_GB2312" w:hAnsi="Times New Roman" w:eastAsia="仿宋_GB2312" w:cs="仿宋_GB2312"/>
          <w:sz w:val="32"/>
          <w:szCs w:val="32"/>
          <w:lang w:val="en-US" w:eastAsia="zh-CN" w:bidi="ar"/>
        </w:rPr>
        <w:t>宣传</w:t>
      </w:r>
      <w:r>
        <w:rPr>
          <w:rFonts w:ascii="仿宋_GB2312" w:hAnsi="Times New Roman" w:eastAsia="仿宋_GB2312" w:cs="仿宋_GB2312"/>
          <w:sz w:val="32"/>
          <w:szCs w:val="32"/>
          <w:lang w:bidi="ar"/>
        </w:rPr>
        <w:t>船山创建工作。</w:t>
      </w:r>
    </w:p>
    <w:p w14:paraId="5A9A4CFB">
      <w:pPr>
        <w:spacing w:line="560" w:lineRule="exact"/>
        <w:ind w:firstLine="640" w:firstLineChars="200"/>
        <w:rPr>
          <w:rFonts w:hint="eastAsia" w:ascii="楷体_GB2312" w:hAnsi="黑体" w:eastAsia="楷体_GB2312"/>
          <w:sz w:val="32"/>
          <w:szCs w:val="32"/>
        </w:rPr>
      </w:pPr>
      <w:r>
        <w:rPr>
          <w:rFonts w:hint="eastAsia" w:ascii="仿宋_GB2312" w:hAnsi="Times New Roman" w:eastAsia="仿宋_GB2312" w:cs="仿宋_GB2312"/>
          <w:sz w:val="32"/>
          <w:szCs w:val="32"/>
          <w:lang w:bidi="ar"/>
        </w:rPr>
        <w:t>（</w:t>
      </w:r>
      <w:r>
        <w:rPr>
          <w:rFonts w:hint="eastAsia" w:ascii="仿宋_GB2312" w:hAnsi="Times New Roman" w:eastAsia="仿宋_GB2312" w:cs="仿宋_GB2312"/>
          <w:sz w:val="32"/>
          <w:szCs w:val="32"/>
          <w:lang w:val="en-US" w:eastAsia="zh-CN" w:bidi="ar"/>
        </w:rPr>
        <w:t>7</w:t>
      </w:r>
      <w:r>
        <w:rPr>
          <w:rFonts w:hint="eastAsia" w:ascii="仿宋_GB2312" w:hAnsi="Times New Roman" w:eastAsia="仿宋_GB2312" w:cs="仿宋_GB2312"/>
          <w:sz w:val="32"/>
          <w:szCs w:val="32"/>
          <w:lang w:bidi="ar"/>
        </w:rPr>
        <w:t>）不断加强文物安全管理。</w:t>
      </w:r>
      <w:r>
        <w:rPr>
          <w:rFonts w:ascii="仿宋_GB2312" w:hAnsi="Times New Roman" w:eastAsia="仿宋_GB2312" w:cs="仿宋_GB2312"/>
          <w:b/>
          <w:sz w:val="32"/>
          <w:szCs w:val="32"/>
          <w:lang w:bidi="ar"/>
        </w:rPr>
        <w:t>一是</w:t>
      </w:r>
      <w:r>
        <w:rPr>
          <w:rFonts w:ascii="仿宋_GB2312" w:hAnsi="Times New Roman" w:eastAsia="仿宋_GB2312" w:cs="仿宋_GB2312"/>
          <w:sz w:val="32"/>
          <w:szCs w:val="32"/>
          <w:lang w:bidi="ar"/>
        </w:rPr>
        <w:t>围绕元旦、春节、汛期等时间节点开展文物安全检查巡查23批次，检查文物96处，隐患排查31处，整改28处</w:t>
      </w:r>
      <w:r>
        <w:rPr>
          <w:rFonts w:hint="eastAsia" w:ascii="仿宋_GB2312" w:hAnsi="Times New Roman" w:eastAsia="仿宋_GB2312" w:cs="仿宋_GB2312"/>
          <w:sz w:val="32"/>
          <w:szCs w:val="32"/>
          <w:lang w:bidi="ar"/>
        </w:rPr>
        <w:t>。</w:t>
      </w:r>
      <w:r>
        <w:rPr>
          <w:rFonts w:ascii="仿宋_GB2312" w:hAnsi="Times New Roman" w:eastAsia="仿宋_GB2312" w:cs="仿宋_GB2312"/>
          <w:b/>
          <w:sz w:val="32"/>
          <w:szCs w:val="32"/>
          <w:lang w:bidi="ar"/>
        </w:rPr>
        <w:t>二是</w:t>
      </w:r>
      <w:r>
        <w:rPr>
          <w:rFonts w:ascii="仿宋_GB2312" w:hAnsi="Times New Roman" w:eastAsia="仿宋_GB2312" w:cs="仿宋_GB2312"/>
          <w:sz w:val="32"/>
          <w:szCs w:val="32"/>
          <w:lang w:bidi="ar"/>
        </w:rPr>
        <w:t>聘请文物看护人开展文物</w:t>
      </w:r>
      <w:r>
        <w:rPr>
          <w:rFonts w:hint="eastAsia" w:ascii="仿宋_GB2312" w:hAnsi="Times New Roman" w:eastAsia="仿宋_GB2312" w:cs="仿宋_GB2312"/>
          <w:sz w:val="32"/>
          <w:szCs w:val="32"/>
          <w:lang w:bidi="ar"/>
        </w:rPr>
        <w:t>日常</w:t>
      </w:r>
      <w:r>
        <w:rPr>
          <w:rFonts w:ascii="仿宋_GB2312" w:hAnsi="Times New Roman" w:eastAsia="仿宋_GB2312" w:cs="仿宋_GB2312"/>
          <w:sz w:val="32"/>
          <w:szCs w:val="32"/>
          <w:lang w:bidi="ar"/>
        </w:rPr>
        <w:t>安全看护，</w:t>
      </w:r>
      <w:r>
        <w:rPr>
          <w:rFonts w:hint="eastAsia" w:ascii="仿宋_GB2312" w:hAnsi="Times New Roman" w:eastAsia="仿宋_GB2312" w:cs="仿宋_GB2312"/>
          <w:sz w:val="32"/>
          <w:szCs w:val="32"/>
          <w:lang w:bidi="ar"/>
        </w:rPr>
        <w:t>实现日常常规检查</w:t>
      </w:r>
      <w:r>
        <w:rPr>
          <w:rFonts w:ascii="仿宋_GB2312" w:hAnsi="Times New Roman" w:eastAsia="仿宋_GB2312" w:cs="仿宋_GB2312"/>
          <w:sz w:val="32"/>
          <w:szCs w:val="32"/>
          <w:lang w:bidi="ar"/>
        </w:rPr>
        <w:t>全覆盖检查文物185处</w:t>
      </w:r>
      <w:r>
        <w:rPr>
          <w:rFonts w:hint="eastAsia" w:ascii="仿宋_GB2312" w:hAnsi="Times New Roman" w:eastAsia="仿宋_GB2312" w:cs="仿宋_GB2312"/>
          <w:sz w:val="32"/>
          <w:szCs w:val="32"/>
          <w:lang w:bidi="ar"/>
        </w:rPr>
        <w:t>。</w:t>
      </w:r>
      <w:r>
        <w:rPr>
          <w:rFonts w:ascii="仿宋_GB2312" w:hAnsi="Times New Roman" w:eastAsia="仿宋_GB2312" w:cs="仿宋_GB2312"/>
          <w:b/>
          <w:sz w:val="32"/>
          <w:szCs w:val="32"/>
          <w:lang w:bidi="ar"/>
        </w:rPr>
        <w:t>三是</w:t>
      </w:r>
      <w:r>
        <w:rPr>
          <w:rFonts w:ascii="仿宋_GB2312" w:hAnsi="Times New Roman" w:eastAsia="仿宋_GB2312" w:cs="仿宋_GB2312"/>
          <w:sz w:val="32"/>
          <w:szCs w:val="32"/>
          <w:lang w:bidi="ar"/>
        </w:rPr>
        <w:t>联合消防</w:t>
      </w:r>
      <w:r>
        <w:rPr>
          <w:rFonts w:hint="eastAsia" w:ascii="仿宋_GB2312" w:hAnsi="Times New Roman" w:eastAsia="仿宋_GB2312" w:cs="仿宋_GB2312"/>
          <w:sz w:val="32"/>
          <w:szCs w:val="32"/>
          <w:lang w:bidi="ar"/>
        </w:rPr>
        <w:t>、执法大会</w:t>
      </w:r>
      <w:r>
        <w:rPr>
          <w:rFonts w:ascii="仿宋_GB2312" w:hAnsi="Times New Roman" w:eastAsia="仿宋_GB2312" w:cs="仿宋_GB2312"/>
          <w:sz w:val="32"/>
          <w:szCs w:val="32"/>
          <w:lang w:bidi="ar"/>
        </w:rPr>
        <w:t>开展</w:t>
      </w:r>
      <w:r>
        <w:rPr>
          <w:rFonts w:hint="eastAsia" w:ascii="仿宋_GB2312" w:hAnsi="Times New Roman" w:eastAsia="仿宋_GB2312" w:cs="仿宋_GB2312"/>
          <w:sz w:val="32"/>
          <w:szCs w:val="32"/>
          <w:lang w:bidi="ar"/>
        </w:rPr>
        <w:t>联合</w:t>
      </w:r>
      <w:r>
        <w:rPr>
          <w:rFonts w:ascii="仿宋_GB2312" w:hAnsi="Times New Roman" w:eastAsia="仿宋_GB2312" w:cs="仿宋_GB2312"/>
          <w:sz w:val="32"/>
          <w:szCs w:val="32"/>
          <w:lang w:bidi="ar"/>
        </w:rPr>
        <w:t>安全检查</w:t>
      </w:r>
      <w:r>
        <w:rPr>
          <w:rFonts w:hint="eastAsia" w:ascii="仿宋_GB2312" w:hAnsi="Times New Roman" w:eastAsia="仿宋_GB2312" w:cs="仿宋_GB2312"/>
          <w:sz w:val="32"/>
          <w:szCs w:val="32"/>
          <w:lang w:bidi="ar"/>
        </w:rPr>
        <w:t>2</w:t>
      </w:r>
      <w:r>
        <w:rPr>
          <w:rFonts w:ascii="仿宋_GB2312" w:hAnsi="Times New Roman" w:eastAsia="仿宋_GB2312" w:cs="仿宋_GB2312"/>
          <w:sz w:val="32"/>
          <w:szCs w:val="32"/>
          <w:lang w:bidi="ar"/>
        </w:rPr>
        <w:t>批次，消防安全演练1场，消防知识讲座1场</w:t>
      </w:r>
      <w:r>
        <w:rPr>
          <w:rFonts w:hint="eastAsia" w:ascii="仿宋_GB2312" w:hAnsi="Times New Roman" w:eastAsia="仿宋_GB2312" w:cs="仿宋_GB2312"/>
          <w:sz w:val="32"/>
          <w:szCs w:val="32"/>
          <w:lang w:bidi="ar"/>
        </w:rPr>
        <w:t>。</w:t>
      </w:r>
      <w:r>
        <w:rPr>
          <w:rFonts w:ascii="仿宋_GB2312" w:hAnsi="Times New Roman" w:eastAsia="仿宋_GB2312" w:cs="仿宋_GB2312"/>
          <w:b/>
          <w:sz w:val="32"/>
          <w:szCs w:val="32"/>
          <w:lang w:bidi="ar"/>
        </w:rPr>
        <w:t>四是</w:t>
      </w:r>
      <w:r>
        <w:rPr>
          <w:rFonts w:ascii="仿宋_GB2312" w:hAnsi="Times New Roman" w:eastAsia="仿宋_GB2312" w:cs="仿宋_GB2312"/>
          <w:sz w:val="32"/>
          <w:szCs w:val="32"/>
          <w:lang w:bidi="ar"/>
        </w:rPr>
        <w:t>撰写《加强石窟寺保护利用工作的实施方案》，完成7处石窟寺记录档案梳理整理及现场勘查。</w:t>
      </w:r>
      <w:r>
        <w:rPr>
          <w:rFonts w:ascii="仿宋_GB2312" w:hAnsi="Times New Roman" w:eastAsia="仿宋_GB2312" w:cs="仿宋_GB2312"/>
          <w:b/>
          <w:sz w:val="32"/>
          <w:szCs w:val="32"/>
          <w:lang w:bidi="ar"/>
        </w:rPr>
        <w:t>五是</w:t>
      </w:r>
      <w:r>
        <w:rPr>
          <w:rFonts w:hint="eastAsia" w:ascii="仿宋_GB2312" w:hAnsi="Times New Roman" w:eastAsia="仿宋_GB2312" w:cs="仿宋_GB2312"/>
          <w:sz w:val="32"/>
          <w:szCs w:val="32"/>
          <w:lang w:bidi="ar"/>
        </w:rPr>
        <w:t>积极开展资金争取工作。成功争取</w:t>
      </w:r>
      <w:r>
        <w:rPr>
          <w:rFonts w:ascii="仿宋_GB2312" w:hAnsi="Times New Roman" w:eastAsia="仿宋_GB2312" w:cs="仿宋_GB2312"/>
          <w:sz w:val="32"/>
          <w:szCs w:val="32"/>
          <w:lang w:bidi="ar"/>
        </w:rPr>
        <w:t>2023年度市级文物保护专项资金25</w:t>
      </w:r>
      <w:r>
        <w:rPr>
          <w:rFonts w:hint="eastAsia" w:ascii="仿宋_GB2312" w:hAnsi="Times New Roman" w:eastAsia="仿宋_GB2312" w:cs="仿宋_GB2312"/>
          <w:sz w:val="32"/>
          <w:szCs w:val="32"/>
          <w:lang w:eastAsia="zh-CN" w:bidi="ar"/>
        </w:rPr>
        <w:t>万元</w:t>
      </w:r>
      <w:r>
        <w:rPr>
          <w:rFonts w:hint="eastAsia" w:ascii="仿宋_GB2312" w:hAnsi="Times New Roman" w:eastAsia="仿宋_GB2312" w:cs="仿宋_GB2312"/>
          <w:sz w:val="32"/>
          <w:szCs w:val="32"/>
          <w:lang w:bidi="ar"/>
        </w:rPr>
        <w:t>。</w:t>
      </w:r>
    </w:p>
    <w:p w14:paraId="5936B91D">
      <w:pPr>
        <w:spacing w:line="560" w:lineRule="exact"/>
        <w:ind w:firstLine="640" w:firstLineChars="200"/>
        <w:rPr>
          <w:rFonts w:hint="eastAsia" w:ascii="仿宋_GB2312" w:hAnsi="仿宋_GB2312" w:eastAsia="仿宋_GB2312" w:cs="仿宋_GB2312"/>
          <w:b/>
          <w:bCs/>
          <w:sz w:val="32"/>
          <w:szCs w:val="32"/>
          <w:highlight w:val="none"/>
          <w:lang w:val="en-US" w:eastAsia="zh-CN"/>
        </w:rPr>
      </w:pPr>
      <w:r>
        <w:rPr>
          <w:rFonts w:hint="eastAsia" w:ascii="仿宋_GB2312" w:hAnsi="Times New Roman" w:eastAsia="仿宋_GB2312" w:cs="仿宋_GB2312"/>
          <w:sz w:val="32"/>
          <w:szCs w:val="32"/>
          <w:lang w:bidi="ar"/>
        </w:rPr>
        <w:t>（</w:t>
      </w:r>
      <w:r>
        <w:rPr>
          <w:rFonts w:hint="eastAsia" w:ascii="仿宋_GB2312" w:hAnsi="Times New Roman" w:eastAsia="仿宋_GB2312" w:cs="仿宋_GB2312"/>
          <w:sz w:val="32"/>
          <w:szCs w:val="32"/>
          <w:lang w:val="en-US" w:eastAsia="zh-CN" w:bidi="ar"/>
        </w:rPr>
        <w:t>8</w:t>
      </w:r>
      <w:r>
        <w:rPr>
          <w:rFonts w:hint="eastAsia" w:ascii="仿宋_GB2312" w:hAnsi="Times New Roman" w:eastAsia="仿宋_GB2312" w:cs="仿宋_GB2312"/>
          <w:sz w:val="32"/>
          <w:szCs w:val="32"/>
          <w:lang w:bidi="ar"/>
        </w:rPr>
        <w:t>）扎实做好各类文化工作。</w:t>
      </w:r>
      <w:r>
        <w:rPr>
          <w:rFonts w:ascii="仿宋_GB2312" w:hAnsi="黑体" w:eastAsia="仿宋_GB2312"/>
          <w:b/>
          <w:bCs/>
          <w:sz w:val="32"/>
          <w:szCs w:val="32"/>
        </w:rPr>
        <w:t>一是群文活动多元发展</w:t>
      </w:r>
      <w:r>
        <w:rPr>
          <w:rFonts w:ascii="仿宋_GB2312" w:hAnsi="黑体" w:eastAsia="仿宋_GB2312"/>
          <w:sz w:val="32"/>
          <w:szCs w:val="32"/>
        </w:rPr>
        <w:t>。</w:t>
      </w:r>
      <w:r>
        <w:rPr>
          <w:rFonts w:hint="eastAsia" w:ascii="仿宋_GB2312" w:hAnsi="黑体" w:eastAsia="仿宋_GB2312"/>
          <w:sz w:val="32"/>
          <w:szCs w:val="32"/>
        </w:rPr>
        <w:t>三馆一站坚持免费、延时、错时开放，并</w:t>
      </w:r>
      <w:r>
        <w:rPr>
          <w:rFonts w:ascii="仿宋_GB2312" w:hAnsi="黑体" w:eastAsia="仿宋_GB2312"/>
          <w:sz w:val="32"/>
          <w:szCs w:val="32"/>
        </w:rPr>
        <w:t>结合元旦、春节、端午、中秋、国庆等传统节日，开展群众文化惠民活动，</w:t>
      </w:r>
      <w:r>
        <w:rPr>
          <w:rFonts w:hint="eastAsia" w:ascii="仿宋_GB2312" w:hAnsi="黑体" w:eastAsia="仿宋_GB2312"/>
          <w:sz w:val="32"/>
          <w:szCs w:val="32"/>
        </w:rPr>
        <w:t>全年</w:t>
      </w:r>
      <w:r>
        <w:rPr>
          <w:rFonts w:ascii="仿宋_GB2312" w:hAnsi="黑体" w:eastAsia="仿宋_GB2312"/>
          <w:sz w:val="32"/>
          <w:szCs w:val="32"/>
        </w:rPr>
        <w:t>组织开展各类文化活动</w:t>
      </w:r>
      <w:r>
        <w:rPr>
          <w:rFonts w:hint="eastAsia" w:ascii="仿宋_GB2312" w:hAnsi="黑体" w:eastAsia="仿宋_GB2312"/>
          <w:sz w:val="32"/>
          <w:szCs w:val="32"/>
        </w:rPr>
        <w:t>200余</w:t>
      </w:r>
      <w:r>
        <w:rPr>
          <w:rFonts w:ascii="仿宋_GB2312" w:hAnsi="黑体" w:eastAsia="仿宋_GB2312"/>
          <w:sz w:val="32"/>
          <w:szCs w:val="32"/>
        </w:rPr>
        <w:t>场次，服务群众约30000人次。</w:t>
      </w:r>
      <w:r>
        <w:rPr>
          <w:rFonts w:hint="eastAsia" w:ascii="仿宋_GB2312" w:hAnsi="黑体" w:eastAsia="仿宋_GB2312"/>
          <w:sz w:val="32"/>
          <w:szCs w:val="32"/>
        </w:rPr>
        <w:t>邀请潼南美术馆联合</w:t>
      </w:r>
      <w:r>
        <w:rPr>
          <w:rFonts w:ascii="仿宋_GB2312" w:hAnsi="黑体" w:eastAsia="仿宋_GB2312"/>
          <w:sz w:val="32"/>
          <w:szCs w:val="32"/>
        </w:rPr>
        <w:t>开展</w:t>
      </w:r>
      <w:r>
        <w:rPr>
          <w:rFonts w:hint="eastAsia" w:ascii="仿宋_GB2312" w:hAnsi="黑体" w:eastAsia="仿宋_GB2312"/>
          <w:sz w:val="32"/>
          <w:szCs w:val="32"/>
        </w:rPr>
        <w:t>第三届“墨彩船山”美术作品展，展出遂潼两地优秀书画作品180件。</w:t>
      </w:r>
      <w:r>
        <w:rPr>
          <w:rFonts w:ascii="仿宋_GB2312" w:hAnsi="黑体" w:eastAsia="仿宋_GB2312"/>
          <w:b/>
          <w:bCs/>
          <w:sz w:val="32"/>
          <w:szCs w:val="32"/>
        </w:rPr>
        <w:t>二是公益培训</w:t>
      </w:r>
      <w:r>
        <w:rPr>
          <w:rFonts w:hint="eastAsia" w:ascii="仿宋_GB2312" w:hAnsi="黑体" w:eastAsia="仿宋_GB2312"/>
          <w:b/>
          <w:bCs/>
          <w:sz w:val="32"/>
          <w:szCs w:val="32"/>
        </w:rPr>
        <w:t>丰富多彩</w:t>
      </w:r>
      <w:r>
        <w:rPr>
          <w:rFonts w:ascii="仿宋_GB2312" w:hAnsi="黑体" w:eastAsia="仿宋_GB2312"/>
          <w:sz w:val="32"/>
          <w:szCs w:val="32"/>
        </w:rPr>
        <w:t>。</w:t>
      </w:r>
      <w:r>
        <w:rPr>
          <w:rFonts w:hint="eastAsia" w:ascii="仿宋_GB2312" w:hAnsi="黑体" w:eastAsia="仿宋_GB2312"/>
          <w:sz w:val="32"/>
          <w:szCs w:val="32"/>
        </w:rPr>
        <w:t>“文图美”三馆</w:t>
      </w:r>
      <w:r>
        <w:rPr>
          <w:rFonts w:ascii="仿宋_GB2312" w:hAnsi="黑体" w:eastAsia="仿宋_GB2312"/>
          <w:sz w:val="32"/>
          <w:szCs w:val="32"/>
        </w:rPr>
        <w:t>联合举办青少年书法、青少年架子鼓、青少年吉他、少儿小主持、青少年传统工艺美术培训班，</w:t>
      </w:r>
      <w:r>
        <w:rPr>
          <w:rFonts w:hint="eastAsia" w:ascii="仿宋_GB2312" w:hAnsi="黑体" w:eastAsia="仿宋_GB2312"/>
          <w:sz w:val="32"/>
          <w:szCs w:val="32"/>
        </w:rPr>
        <w:t>共计</w:t>
      </w:r>
      <w:r>
        <w:rPr>
          <w:rFonts w:ascii="仿宋_GB2312" w:hAnsi="黑体" w:eastAsia="仿宋_GB2312"/>
          <w:sz w:val="32"/>
          <w:szCs w:val="32"/>
        </w:rPr>
        <w:t>培训青少年170余名。指导区硬笔书法家协会常态化开展书法培训交流活动20场次，有效提升了协会凝聚力。</w:t>
      </w:r>
      <w:r>
        <w:rPr>
          <w:rFonts w:hint="eastAsia" w:ascii="仿宋_GB2312" w:hAnsi="黑体" w:eastAsia="仿宋_GB2312"/>
          <w:sz w:val="32"/>
          <w:szCs w:val="32"/>
        </w:rPr>
        <w:t>三</w:t>
      </w:r>
      <w:r>
        <w:rPr>
          <w:rFonts w:ascii="仿宋_GB2312" w:hAnsi="黑体" w:eastAsia="仿宋_GB2312"/>
          <w:b/>
          <w:bCs/>
          <w:sz w:val="32"/>
          <w:szCs w:val="32"/>
        </w:rPr>
        <w:t>是非遗传承保护创新发展</w:t>
      </w:r>
      <w:r>
        <w:rPr>
          <w:rFonts w:ascii="仿宋_GB2312" w:hAnsi="黑体" w:eastAsia="仿宋_GB2312"/>
          <w:sz w:val="32"/>
          <w:szCs w:val="32"/>
        </w:rPr>
        <w:t>。组织涪江赏石艺术、遂州楠木雕刻工艺、胡老七豆腐干等项目传承人成功申报列入遂宁市第九批市级非遗代表性传承人名录</w:t>
      </w:r>
      <w:r>
        <w:rPr>
          <w:rFonts w:hint="eastAsia" w:ascii="仿宋_GB2312" w:hAnsi="黑体" w:eastAsia="仿宋_GB2312"/>
          <w:sz w:val="32"/>
          <w:szCs w:val="32"/>
        </w:rPr>
        <w:t>。</w:t>
      </w:r>
      <w:r>
        <w:rPr>
          <w:rFonts w:ascii="仿宋_GB2312" w:hAnsi="黑体" w:eastAsia="仿宋_GB2312"/>
          <w:sz w:val="32"/>
          <w:szCs w:val="32"/>
        </w:rPr>
        <w:t>观音绣艺术工坊、观音素麻花艺术工坊成功申报遂宁市第一批市级非遗工坊</w:t>
      </w:r>
      <w:r>
        <w:rPr>
          <w:rFonts w:hint="eastAsia" w:ascii="仿宋_GB2312" w:hAnsi="黑体" w:eastAsia="仿宋_GB2312"/>
          <w:sz w:val="32"/>
          <w:szCs w:val="32"/>
        </w:rPr>
        <w:t>。</w:t>
      </w:r>
      <w:r>
        <w:rPr>
          <w:rFonts w:ascii="仿宋_GB2312" w:hAnsi="黑体" w:eastAsia="仿宋_GB2312"/>
          <w:sz w:val="32"/>
          <w:szCs w:val="32"/>
        </w:rPr>
        <w:t>组织船山桃子龙、观音绣等6个省级非遗传承人完成省级评估。</w:t>
      </w:r>
      <w:r>
        <w:rPr>
          <w:rFonts w:hint="eastAsia" w:ascii="仿宋_GB2312" w:hAnsi="黑体" w:eastAsia="仿宋_GB2312"/>
          <w:b/>
          <w:bCs/>
          <w:sz w:val="32"/>
          <w:szCs w:val="32"/>
        </w:rPr>
        <w:t>四</w:t>
      </w:r>
      <w:r>
        <w:rPr>
          <w:rFonts w:ascii="仿宋_GB2312" w:hAnsi="黑体" w:eastAsia="仿宋_GB2312"/>
          <w:b/>
          <w:bCs/>
          <w:sz w:val="32"/>
          <w:szCs w:val="32"/>
        </w:rPr>
        <w:t>是文艺创作</w:t>
      </w:r>
      <w:r>
        <w:rPr>
          <w:rFonts w:hint="eastAsia" w:ascii="仿宋_GB2312" w:hAnsi="黑体" w:eastAsia="仿宋_GB2312"/>
          <w:b/>
          <w:bCs/>
          <w:sz w:val="32"/>
          <w:szCs w:val="32"/>
        </w:rPr>
        <w:t>精彩纷呈</w:t>
      </w:r>
      <w:r>
        <w:rPr>
          <w:rFonts w:ascii="仿宋_GB2312" w:hAnsi="黑体" w:eastAsia="仿宋_GB2312"/>
          <w:sz w:val="32"/>
          <w:szCs w:val="32"/>
        </w:rPr>
        <w:t>。创作出《船说</w:t>
      </w:r>
      <w:r>
        <w:rPr>
          <w:rFonts w:hint="eastAsia" w:ascii="仿宋_GB2312" w:hAnsi="黑体" w:eastAsia="仿宋_GB2312"/>
          <w:sz w:val="32"/>
          <w:szCs w:val="32"/>
          <w:lang w:eastAsia="zh-CN"/>
        </w:rPr>
        <w:t>》《</w:t>
      </w:r>
      <w:r>
        <w:rPr>
          <w:rFonts w:ascii="仿宋_GB2312" w:hAnsi="黑体" w:eastAsia="仿宋_GB2312"/>
          <w:sz w:val="32"/>
          <w:szCs w:val="32"/>
        </w:rPr>
        <w:t>等你在船山</w:t>
      </w:r>
      <w:r>
        <w:rPr>
          <w:rFonts w:hint="eastAsia" w:ascii="仿宋_GB2312" w:hAnsi="黑体" w:eastAsia="仿宋_GB2312"/>
          <w:sz w:val="32"/>
          <w:szCs w:val="32"/>
          <w:lang w:eastAsia="zh-CN"/>
        </w:rPr>
        <w:t>》《</w:t>
      </w:r>
      <w:r>
        <w:rPr>
          <w:rFonts w:ascii="仿宋_GB2312" w:hAnsi="黑体" w:eastAsia="仿宋_GB2312"/>
          <w:sz w:val="32"/>
          <w:szCs w:val="32"/>
        </w:rPr>
        <w:t>琥珀糖霜</w:t>
      </w:r>
      <w:r>
        <w:rPr>
          <w:rFonts w:hint="eastAsia" w:ascii="仿宋_GB2312" w:hAnsi="黑体" w:eastAsia="仿宋_GB2312"/>
          <w:sz w:val="32"/>
          <w:szCs w:val="32"/>
          <w:lang w:eastAsia="zh-CN"/>
        </w:rPr>
        <w:t>》《</w:t>
      </w:r>
      <w:r>
        <w:rPr>
          <w:rFonts w:ascii="仿宋_GB2312" w:hAnsi="黑体" w:eastAsia="仿宋_GB2312"/>
          <w:sz w:val="32"/>
          <w:szCs w:val="32"/>
        </w:rPr>
        <w:t>船山烟火</w:t>
      </w:r>
      <w:r>
        <w:rPr>
          <w:rFonts w:hint="eastAsia" w:ascii="仿宋_GB2312" w:hAnsi="黑体" w:eastAsia="仿宋_GB2312"/>
          <w:sz w:val="32"/>
          <w:szCs w:val="32"/>
          <w:lang w:eastAsia="zh-CN"/>
        </w:rPr>
        <w:t>》《</w:t>
      </w:r>
      <w:r>
        <w:rPr>
          <w:rFonts w:ascii="仿宋_GB2312" w:hAnsi="黑体" w:eastAsia="仿宋_GB2312"/>
          <w:sz w:val="32"/>
          <w:szCs w:val="32"/>
        </w:rPr>
        <w:t>船山桃子龙》等一批富有本土特色、展现船山独特魅力、深厚文化底蕴的文艺作品。</w:t>
      </w:r>
      <w:r>
        <w:rPr>
          <w:rFonts w:hint="eastAsia" w:ascii="仿宋_GB2312" w:hAnsi="黑体" w:eastAsia="仿宋_GB2312"/>
          <w:sz w:val="32"/>
          <w:szCs w:val="32"/>
        </w:rPr>
        <w:t>指导协会创作各类美术、书法、摄影优秀作品</w:t>
      </w:r>
      <w:r>
        <w:rPr>
          <w:rFonts w:ascii="仿宋_GB2312" w:hAnsi="黑体" w:eastAsia="仿宋_GB2312"/>
          <w:sz w:val="32"/>
          <w:szCs w:val="32"/>
        </w:rPr>
        <w:t>300件以上。</w:t>
      </w:r>
      <w:r>
        <w:rPr>
          <w:rFonts w:hint="eastAsia" w:ascii="仿宋_GB2312" w:hAnsi="黑体" w:eastAsia="仿宋_GB2312"/>
          <w:b/>
          <w:bCs/>
          <w:sz w:val="32"/>
          <w:szCs w:val="32"/>
        </w:rPr>
        <w:t>五是文化交流突破地域</w:t>
      </w:r>
      <w:r>
        <w:rPr>
          <w:rFonts w:hint="eastAsia" w:ascii="仿宋_GB2312" w:hAnsi="黑体" w:eastAsia="仿宋_GB2312"/>
          <w:sz w:val="32"/>
          <w:szCs w:val="32"/>
        </w:rPr>
        <w:t>。组织“川渝一家亲，共绘潼船情”潼船两地美术家写生交流活动及两区线上成果展，建立起两地高效畅通的美术交流合作渠道。</w:t>
      </w:r>
    </w:p>
    <w:p w14:paraId="586A0223">
      <w:pPr>
        <w:widowControl w:val="0"/>
        <w:overflowPunct w:val="0"/>
        <w:autoSpaceDE/>
        <w:autoSpaceDN/>
        <w:adjustRightInd w:val="0"/>
        <w:snapToGrid w:val="0"/>
        <w:spacing w:line="600" w:lineRule="atLeast"/>
        <w:ind w:firstLine="607" w:firstLineChars="189"/>
        <w:contextualSpacing/>
        <w:jc w:val="both"/>
        <w:rPr>
          <w:rFonts w:hint="default" w:ascii="Times New Roman" w:hAnsi="Times New Roman" w:eastAsia="楷体_GB2312" w:cs="Times New Roman"/>
          <w:b/>
          <w:bCs/>
          <w:color w:val="000000"/>
          <w:sz w:val="32"/>
          <w:szCs w:val="48"/>
          <w:shd w:val="clear" w:color="auto" w:fill="auto"/>
          <w:lang w:val="zh-CN"/>
        </w:rPr>
      </w:pPr>
      <w:r>
        <w:rPr>
          <w:rFonts w:hint="default" w:ascii="Times New Roman" w:hAnsi="Times New Roman" w:eastAsia="楷体_GB2312" w:cs="Times New Roman"/>
          <w:b/>
          <w:bCs/>
          <w:color w:val="000000"/>
          <w:sz w:val="32"/>
          <w:szCs w:val="48"/>
          <w:shd w:val="clear" w:color="auto" w:fill="auto"/>
          <w:lang w:val="zh-CN"/>
        </w:rPr>
        <w:t>（二）结果应用情况。</w:t>
      </w:r>
    </w:p>
    <w:p w14:paraId="56CC8316">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1、信息公开。</w:t>
      </w:r>
      <w:r>
        <w:rPr>
          <w:rFonts w:hint="eastAsia" w:ascii="仿宋_GB2312" w:hAnsi="仿宋_GB2312" w:eastAsia="仿宋_GB2312" w:cs="仿宋_GB2312"/>
          <w:sz w:val="32"/>
          <w:szCs w:val="32"/>
          <w:lang w:val="en-US" w:eastAsia="zh-CN"/>
        </w:rPr>
        <w:t>总分6分，自评得分6分。</w:t>
      </w:r>
    </w:p>
    <w:p w14:paraId="404433E7">
      <w:pPr>
        <w:keepNext w:val="0"/>
        <w:keepLines w:val="0"/>
        <w:pageBreakBefore w:val="0"/>
        <w:widowControl/>
        <w:numPr>
          <w:ilvl w:val="0"/>
          <w:numId w:val="9"/>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目标公开：我局按要求，将部门绩效目标随同预算一同向社会进行了公开</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根据评价标准该项得3分。</w:t>
      </w:r>
    </w:p>
    <w:p w14:paraId="41922F8D">
      <w:pPr>
        <w:keepNext w:val="0"/>
        <w:keepLines w:val="0"/>
        <w:pageBreakBefore w:val="0"/>
        <w:widowControl/>
        <w:numPr>
          <w:ilvl w:val="0"/>
          <w:numId w:val="9"/>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自评公开：我局按要求，将相关绩效自评情况随同决算一同向社会进行了公开</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根据评价标准该项得3分。</w:t>
      </w:r>
    </w:p>
    <w:p w14:paraId="3893E0F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2、整改反馈。</w:t>
      </w:r>
      <w:r>
        <w:rPr>
          <w:rFonts w:hint="eastAsia" w:ascii="仿宋_GB2312" w:hAnsi="仿宋_GB2312" w:eastAsia="仿宋_GB2312" w:cs="仿宋_GB2312"/>
          <w:sz w:val="32"/>
          <w:szCs w:val="32"/>
          <w:lang w:val="en-US" w:eastAsia="zh-CN"/>
        </w:rPr>
        <w:t>总分4分，自评得分4分。</w:t>
      </w:r>
    </w:p>
    <w:p w14:paraId="5DA8C333">
      <w:pPr>
        <w:pStyle w:val="7"/>
        <w:keepNext w:val="0"/>
        <w:keepLines w:val="0"/>
        <w:pageBreakBefore w:val="0"/>
        <w:numPr>
          <w:ilvl w:val="0"/>
          <w:numId w:val="10"/>
        </w:numPr>
        <w:kinsoku/>
        <w:wordWrap/>
        <w:overflowPunct/>
        <w:topLinePunct w:val="0"/>
        <w:autoSpaceDE/>
        <w:autoSpaceDN/>
        <w:bidi w:val="0"/>
        <w:spacing w:line="560" w:lineRule="exact"/>
        <w:ind w:left="631"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结果整改：我局对绩效管理过程中（包括绩效目</w:t>
      </w:r>
    </w:p>
    <w:p w14:paraId="61B9A6CD">
      <w:pPr>
        <w:pStyle w:val="7"/>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标核查、绩效监控核查和重点绩效评价）提出的问题进行整改，将绩效管理结果应用于完善政策、改进管理、预算挂钩。根据评价标准该项得2分。</w:t>
      </w:r>
    </w:p>
    <w:p w14:paraId="04FEDA0C">
      <w:pPr>
        <w:keepNext w:val="0"/>
        <w:keepLines w:val="0"/>
        <w:pageBreakBefore w:val="0"/>
        <w:numPr>
          <w:ilvl w:val="0"/>
          <w:numId w:val="10"/>
        </w:numPr>
        <w:kinsoku/>
        <w:wordWrap/>
        <w:overflowPunct/>
        <w:topLinePunct w:val="0"/>
        <w:autoSpaceDE/>
        <w:autoSpaceDN/>
        <w:bidi w:val="0"/>
        <w:spacing w:line="560" w:lineRule="exact"/>
        <w:ind w:left="631"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应用反馈：我局按要求在规定时间内向财政部门</w:t>
      </w:r>
    </w:p>
    <w:p w14:paraId="1871FB8F">
      <w:pPr>
        <w:keepNext w:val="0"/>
        <w:keepLines w:val="0"/>
        <w:pageBreakBefore w:val="0"/>
        <w:numPr>
          <w:ilvl w:val="0"/>
          <w:numId w:val="0"/>
        </w:numPr>
        <w:kinsoku/>
        <w:wordWrap/>
        <w:overflowPunct/>
        <w:topLinePunct w:val="0"/>
        <w:autoSpaceDE/>
        <w:autoSpaceDN/>
        <w:bidi w:val="0"/>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反馈了结果报告。根据评价标准该项得2分。</w:t>
      </w:r>
    </w:p>
    <w:p w14:paraId="40782C6B">
      <w:pPr>
        <w:widowControl w:val="0"/>
        <w:overflowPunct w:val="0"/>
        <w:autoSpaceDE/>
        <w:autoSpaceDN/>
        <w:snapToGrid w:val="0"/>
        <w:spacing w:line="600" w:lineRule="atLeast"/>
        <w:ind w:firstLine="646" w:firstLineChars="0"/>
        <w:contextualSpacing/>
        <w:jc w:val="both"/>
        <w:rPr>
          <w:rFonts w:hint="default" w:ascii="Times New Roman" w:hAnsi="Times New Roman" w:eastAsia="黑体" w:cs="Times New Roman"/>
          <w:color w:val="000000"/>
          <w:sz w:val="32"/>
          <w:szCs w:val="48"/>
          <w:shd w:val="clear" w:color="auto" w:fill="auto"/>
        </w:rPr>
      </w:pPr>
      <w:r>
        <w:rPr>
          <w:rFonts w:hint="default" w:ascii="Times New Roman" w:hAnsi="Times New Roman" w:eastAsia="黑体" w:cs="Times New Roman"/>
          <w:color w:val="000000"/>
          <w:sz w:val="32"/>
          <w:szCs w:val="48"/>
          <w:shd w:val="clear" w:color="auto" w:fill="auto"/>
        </w:rPr>
        <w:t>四、评价结论及建议</w:t>
      </w:r>
    </w:p>
    <w:p w14:paraId="0154CB53">
      <w:pPr>
        <w:widowControl w:val="0"/>
        <w:overflowPunct w:val="0"/>
        <w:autoSpaceDE/>
        <w:autoSpaceDN/>
        <w:adjustRightInd w:val="0"/>
        <w:snapToGrid w:val="0"/>
        <w:spacing w:line="600" w:lineRule="atLeast"/>
        <w:ind w:firstLine="607" w:firstLineChars="189"/>
        <w:contextualSpacing/>
        <w:jc w:val="both"/>
        <w:rPr>
          <w:rFonts w:hint="eastAsia" w:ascii="Times New Roman" w:hAnsi="Times New Roman" w:eastAsia="楷体_GB2312" w:cs="Times New Roman"/>
          <w:b/>
          <w:bCs/>
          <w:color w:val="000000"/>
          <w:sz w:val="32"/>
          <w:szCs w:val="48"/>
          <w:shd w:val="clear" w:color="auto" w:fill="auto"/>
          <w:lang w:val="zh-CN"/>
        </w:rPr>
      </w:pPr>
      <w:r>
        <w:rPr>
          <w:rFonts w:hint="eastAsia" w:ascii="Times New Roman" w:hAnsi="Times New Roman" w:eastAsia="楷体_GB2312" w:cs="Times New Roman"/>
          <w:b/>
          <w:bCs/>
          <w:color w:val="000000"/>
          <w:sz w:val="32"/>
          <w:szCs w:val="48"/>
          <w:shd w:val="clear" w:color="auto" w:fill="auto"/>
          <w:lang w:val="zh-CN"/>
        </w:rPr>
        <w:t>（一）评价结论。</w:t>
      </w:r>
    </w:p>
    <w:p w14:paraId="6954B0CF">
      <w:pPr>
        <w:pStyle w:val="7"/>
        <w:widowControl/>
        <w:overflowPunct/>
        <w:autoSpaceDE/>
        <w:autoSpaceDN/>
        <w:snapToGrid w:val="0"/>
        <w:spacing w:line="560" w:lineRule="exact"/>
        <w:ind w:firstLine="640" w:firstLineChars="200"/>
        <w:contextualSpacing/>
        <w:rPr>
          <w:rFonts w:hint="default" w:ascii="Times New Roman" w:hAnsi="Times New Roman" w:eastAsia="仿宋_GB2312" w:cs="Times New Roman"/>
          <w:color w:val="000000"/>
          <w:szCs w:val="32"/>
          <w:shd w:val="clear" w:color="auto" w:fill="FFFFFF"/>
          <w:lang w:val="zh-CN"/>
        </w:rPr>
      </w:pPr>
      <w:r>
        <w:rPr>
          <w:rFonts w:hint="eastAsia" w:ascii="仿宋_GB2312" w:hAnsi="仿宋_GB2312" w:eastAsia="仿宋_GB2312" w:cs="仿宋_GB2312"/>
          <w:sz w:val="32"/>
          <w:szCs w:val="32"/>
          <w:highlight w:val="none"/>
          <w:lang w:val="en-US" w:eastAsia="zh-CN"/>
        </w:rPr>
        <w:t>按照预算绩效管理要求，我局对2023年整体支出开展绩效自评，自评得分80.22分。</w:t>
      </w:r>
    </w:p>
    <w:p w14:paraId="5BD60041">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000000"/>
          <w:kern w:val="0"/>
          <w:sz w:val="32"/>
          <w:szCs w:val="32"/>
          <w:highlight w:val="none"/>
          <w:shd w:val="clear" w:color="auto" w:fill="FFFFFF"/>
          <w:lang w:val="en-US" w:eastAsia="zh-CN"/>
        </w:rPr>
      </w:pPr>
      <w:r>
        <w:rPr>
          <w:rFonts w:hint="eastAsia" w:ascii="楷体_GB2312" w:hAnsi="楷体_GB2312" w:eastAsia="楷体_GB2312" w:cs="楷体_GB2312"/>
          <w:b/>
          <w:bCs/>
          <w:color w:val="000000"/>
          <w:kern w:val="0"/>
          <w:sz w:val="32"/>
          <w:szCs w:val="32"/>
          <w:highlight w:val="none"/>
          <w:shd w:val="clear" w:color="auto" w:fill="FFFFFF"/>
          <w:lang w:val="zh-CN" w:eastAsia="zh-CN"/>
        </w:rPr>
        <w:t>（</w:t>
      </w:r>
      <w:r>
        <w:rPr>
          <w:rFonts w:hint="eastAsia" w:ascii="楷体_GB2312" w:hAnsi="楷体_GB2312" w:eastAsia="楷体_GB2312" w:cs="楷体_GB2312"/>
          <w:b/>
          <w:bCs/>
          <w:color w:val="000000"/>
          <w:kern w:val="0"/>
          <w:sz w:val="32"/>
          <w:szCs w:val="32"/>
          <w:highlight w:val="none"/>
          <w:shd w:val="clear" w:color="auto" w:fill="FFFFFF"/>
          <w:lang w:val="en-US" w:eastAsia="zh-CN"/>
        </w:rPr>
        <w:t>二</w:t>
      </w:r>
      <w:r>
        <w:rPr>
          <w:rFonts w:hint="eastAsia" w:ascii="楷体_GB2312" w:hAnsi="楷体_GB2312" w:eastAsia="楷体_GB2312" w:cs="楷体_GB2312"/>
          <w:b/>
          <w:bCs/>
          <w:color w:val="000000"/>
          <w:kern w:val="0"/>
          <w:sz w:val="32"/>
          <w:szCs w:val="32"/>
          <w:highlight w:val="none"/>
          <w:shd w:val="clear" w:color="auto" w:fill="FFFFFF"/>
          <w:lang w:val="zh-CN" w:eastAsia="zh-CN"/>
        </w:rPr>
        <w:t>）存在问题</w:t>
      </w:r>
    </w:p>
    <w:p w14:paraId="3B7A0380">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我局各项工作落实有力、成效显著，综合绩效考核取得了一定的成绩，但仍存在着一些困难和问题，主要表现在预算执行进度缓慢，并且在部门预算执行过程中，资金安排和使用上仍有不可预见性，一些无法预计和列入年初预算的项目支出，需要在年度中间进行预算追加和调整。</w:t>
      </w:r>
    </w:p>
    <w:p w14:paraId="621A3295">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000000"/>
          <w:kern w:val="0"/>
          <w:sz w:val="32"/>
          <w:szCs w:val="32"/>
          <w:shd w:val="clear" w:color="auto" w:fill="FFFFFF"/>
          <w:lang w:val="zh-CN" w:eastAsia="zh-CN"/>
        </w:rPr>
      </w:pPr>
      <w:r>
        <w:rPr>
          <w:rFonts w:hint="eastAsia" w:ascii="楷体_GB2312" w:hAnsi="楷体_GB2312" w:eastAsia="楷体_GB2312" w:cs="楷体_GB2312"/>
          <w:b/>
          <w:bCs/>
          <w:color w:val="000000"/>
          <w:kern w:val="0"/>
          <w:sz w:val="32"/>
          <w:szCs w:val="32"/>
          <w:shd w:val="clear" w:color="auto" w:fill="FFFFFF"/>
          <w:lang w:val="zh-CN" w:eastAsia="zh-CN"/>
        </w:rPr>
        <w:t>（</w:t>
      </w:r>
      <w:r>
        <w:rPr>
          <w:rFonts w:hint="eastAsia" w:ascii="楷体_GB2312" w:hAnsi="楷体_GB2312" w:eastAsia="楷体_GB2312" w:cs="楷体_GB2312"/>
          <w:b/>
          <w:bCs/>
          <w:color w:val="000000"/>
          <w:kern w:val="0"/>
          <w:sz w:val="32"/>
          <w:szCs w:val="32"/>
          <w:shd w:val="clear" w:color="auto" w:fill="FFFFFF"/>
          <w:lang w:val="en-US" w:eastAsia="zh-CN"/>
        </w:rPr>
        <w:t>三</w:t>
      </w:r>
      <w:r>
        <w:rPr>
          <w:rFonts w:hint="eastAsia" w:ascii="楷体_GB2312" w:hAnsi="楷体_GB2312" w:eastAsia="楷体_GB2312" w:cs="楷体_GB2312"/>
          <w:b/>
          <w:bCs/>
          <w:color w:val="000000"/>
          <w:kern w:val="0"/>
          <w:sz w:val="32"/>
          <w:szCs w:val="32"/>
          <w:shd w:val="clear" w:color="auto" w:fill="FFFFFF"/>
          <w:lang w:val="zh-CN" w:eastAsia="zh-CN"/>
        </w:rPr>
        <w:t>）改进建议</w:t>
      </w:r>
    </w:p>
    <w:p w14:paraId="3A11334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存在的问题，我们将进一步科学设定绩效目标，加强预算执行管理。同时严格预算执行，规范部门预算收支核算，一是制定和完善各项支出标准，严格按项目和进度执行预算，增强预算的约束力和严肃性，二是认真研究重点项目的执行，特别是涉及政府采购的项目，提早规划，提前实施，确保项目顺利实施，提高财政资金的使用效益。</w:t>
      </w:r>
    </w:p>
    <w:p w14:paraId="646AC1CB">
      <w:pPr>
        <w:pStyle w:val="7"/>
        <w:keepNext w:val="0"/>
        <w:keepLines w:val="0"/>
        <w:pageBreakBefore w:val="0"/>
        <w:kinsoku/>
        <w:wordWrap/>
        <w:overflowPunct/>
        <w:topLinePunct w:val="0"/>
        <w:autoSpaceDE/>
        <w:autoSpaceDN/>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sz w:val="32"/>
          <w:szCs w:val="32"/>
          <w:lang w:val="en-US" w:eastAsia="zh-CN"/>
        </w:rPr>
        <w:t xml:space="preserve">    </w:t>
      </w:r>
    </w:p>
    <w:p w14:paraId="55F9137F">
      <w:pPr>
        <w:pStyle w:val="7"/>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kern w:val="2"/>
          <w:sz w:val="32"/>
          <w:szCs w:val="32"/>
          <w:lang w:val="zh-CN" w:eastAsia="zh-CN" w:bidi="ar-SA"/>
        </w:rPr>
      </w:pPr>
      <w:r>
        <w:rPr>
          <w:rFonts w:hint="eastAsia" w:ascii="仿宋_GB2312" w:hAnsi="仿宋_GB2312" w:eastAsia="仿宋_GB2312" w:cs="仿宋_GB2312"/>
          <w:color w:val="auto"/>
          <w:kern w:val="2"/>
          <w:sz w:val="32"/>
          <w:szCs w:val="32"/>
          <w:lang w:val="zh-CN" w:eastAsia="zh-CN" w:bidi="ar-SA"/>
        </w:rPr>
        <w:t>附表：部门整体支出绩效评价指标体系</w:t>
      </w:r>
    </w:p>
    <w:p w14:paraId="453E35A4">
      <w:pPr>
        <w:pStyle w:val="7"/>
        <w:keepNext w:val="0"/>
        <w:keepLines w:val="0"/>
        <w:pageBreakBefore w:val="0"/>
        <w:kinsoku/>
        <w:wordWrap/>
        <w:overflowPunct/>
        <w:topLinePunct w:val="0"/>
        <w:autoSpaceDE/>
        <w:autoSpaceDN/>
        <w:bidi w:val="0"/>
        <w:spacing w:line="560" w:lineRule="exact"/>
        <w:ind w:firstLine="1600" w:firstLineChars="5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部门预算项目支出绩效自评表（2023年度）</w:t>
      </w:r>
    </w:p>
    <w:p w14:paraId="4A43557D">
      <w:pPr>
        <w:kinsoku w:val="0"/>
        <w:overflowPunct w:val="0"/>
        <w:snapToGrid w:val="0"/>
        <w:spacing w:before="0" w:line="560" w:lineRule="atLeast"/>
        <w:jc w:val="both"/>
        <w:rPr>
          <w:rFonts w:hint="default" w:ascii="Times New Roman" w:hAnsi="Times New Roman" w:eastAsia="仿宋_GB2312" w:cs="Times New Roman"/>
          <w:szCs w:val="32"/>
        </w:rPr>
      </w:pPr>
    </w:p>
    <w:p w14:paraId="5A454DF4">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70559418">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766BC614">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23EA2FD3">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792015BA">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57759135">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00630F66">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11F6FEC0">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44FC912E">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45D83691">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659B215C">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3E2F88CE">
      <w:pPr>
        <w:pStyle w:val="15"/>
        <w:rPr>
          <w:rFonts w:hint="default" w:ascii="Times New Roman" w:hAnsi="Times New Roman" w:eastAsia="仿宋_GB2312" w:cs="Times New Roman"/>
          <w:szCs w:val="32"/>
        </w:rPr>
      </w:pPr>
    </w:p>
    <w:p w14:paraId="4B4906E0">
      <w:pPr>
        <w:rPr>
          <w:rFonts w:hint="default" w:ascii="Times New Roman" w:hAnsi="Times New Roman" w:eastAsia="仿宋_GB2312" w:cs="Times New Roman"/>
          <w:szCs w:val="32"/>
        </w:rPr>
      </w:pPr>
    </w:p>
    <w:p w14:paraId="436ED574">
      <w:pPr>
        <w:pStyle w:val="15"/>
        <w:rPr>
          <w:rFonts w:hint="default"/>
        </w:rPr>
      </w:pPr>
    </w:p>
    <w:p w14:paraId="429E9667">
      <w:pPr>
        <w:overflowPunct w:val="0"/>
        <w:autoSpaceDE/>
        <w:autoSpaceDN/>
        <w:adjustRightInd w:val="0"/>
        <w:snapToGrid w:val="0"/>
        <w:spacing w:line="560" w:lineRule="atLeast"/>
        <w:jc w:val="both"/>
        <w:rPr>
          <w:rFonts w:hint="default" w:ascii="Times New Roman" w:hAnsi="Times New Roman" w:eastAsia="仿宋_GB2312" w:cs="Times New Roman"/>
          <w:szCs w:val="32"/>
        </w:rPr>
      </w:pPr>
    </w:p>
    <w:p w14:paraId="592EF32B">
      <w:pPr>
        <w:overflowPunct w:val="0"/>
        <w:autoSpaceDE/>
        <w:autoSpaceDN/>
        <w:adjustRightInd w:val="0"/>
        <w:snapToGrid w:val="0"/>
        <w:spacing w:line="560" w:lineRule="atLeast"/>
        <w:jc w:val="both"/>
        <w:rPr>
          <w:rFonts w:hint="eastAsia" w:ascii="Times New Roman" w:hAnsi="Times New Roman" w:eastAsia="仿宋_GB2312" w:cs="Times New Roman"/>
          <w:sz w:val="32"/>
          <w:szCs w:val="48"/>
          <w:lang w:val="en-US" w:eastAsia="zh-CN"/>
        </w:rPr>
        <w:sectPr>
          <w:footerReference r:id="rId5" w:type="default"/>
          <w:pgSz w:w="11906" w:h="16838"/>
          <w:pgMar w:top="1440" w:right="1803" w:bottom="1440" w:left="1803" w:header="851" w:footer="992" w:gutter="0"/>
          <w:pgNumType w:fmt="decimal"/>
          <w:cols w:space="0" w:num="1"/>
          <w:rtlGutter w:val="0"/>
          <w:docGrid w:type="lines" w:linePitch="319" w:charSpace="0"/>
        </w:sectPr>
      </w:pPr>
    </w:p>
    <w:p w14:paraId="13B13742">
      <w:pPr>
        <w:overflowPunct w:val="0"/>
        <w:autoSpaceDE/>
        <w:autoSpaceDN/>
        <w:adjustRightInd w:val="0"/>
        <w:snapToGrid w:val="0"/>
        <w:spacing w:line="560" w:lineRule="atLeast"/>
        <w:jc w:val="both"/>
        <w:rPr>
          <w:rFonts w:hint="eastAsia" w:ascii="Times New Roman" w:hAnsi="Times New Roman" w:eastAsia="仿宋_GB2312" w:cs="Times New Roman"/>
          <w:sz w:val="32"/>
          <w:szCs w:val="48"/>
          <w:lang w:val="en-US" w:eastAsia="zh-CN"/>
        </w:rPr>
      </w:pPr>
      <w:r>
        <w:rPr>
          <w:rFonts w:hint="eastAsia" w:ascii="Times New Roman" w:hAnsi="Times New Roman" w:eastAsia="仿宋_GB2312" w:cs="Times New Roman"/>
          <w:sz w:val="32"/>
          <w:szCs w:val="48"/>
          <w:lang w:val="en-US" w:eastAsia="zh-CN"/>
        </w:rPr>
        <w:t>附表</w:t>
      </w:r>
    </w:p>
    <w:p w14:paraId="49C5D043">
      <w:pPr>
        <w:widowControl/>
        <w:jc w:val="center"/>
        <w:textAlignment w:val="center"/>
        <w:rPr>
          <w:rFonts w:hint="default" w:ascii="Times New Roman" w:hAnsi="Times New Roman" w:eastAsia="方正小标宋简体" w:cs="Times New Roman"/>
          <w:b w:val="0"/>
          <w:bCs w:val="0"/>
          <w:color w:val="000000"/>
          <w:sz w:val="44"/>
          <w:szCs w:val="44"/>
          <w:lang w:bidi="ar"/>
        </w:rPr>
      </w:pPr>
      <w:r>
        <w:rPr>
          <w:rFonts w:hint="default" w:ascii="Times New Roman" w:hAnsi="Times New Roman" w:eastAsia="方正小标宋简体" w:cs="Times New Roman"/>
          <w:b w:val="0"/>
          <w:bCs w:val="0"/>
          <w:color w:val="000000"/>
          <w:sz w:val="44"/>
          <w:szCs w:val="44"/>
          <w:lang w:bidi="ar"/>
        </w:rPr>
        <w:t>部门整体支出绩效评价指标体系</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793"/>
        <w:gridCol w:w="720"/>
        <w:gridCol w:w="751"/>
        <w:gridCol w:w="1364"/>
        <w:gridCol w:w="3337"/>
        <w:gridCol w:w="3178"/>
        <w:gridCol w:w="2115"/>
        <w:gridCol w:w="751"/>
      </w:tblGrid>
      <w:tr w14:paraId="3688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942" w:type="pct"/>
            <w:gridSpan w:val="3"/>
            <w:shd w:val="clear" w:color="auto" w:fill="auto"/>
            <w:noWrap w:val="0"/>
            <w:vAlign w:val="center"/>
          </w:tcPr>
          <w:p w14:paraId="762DF2CF">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lang w:bidi="ar"/>
              </w:rPr>
              <w:t>绩效指标</w:t>
            </w:r>
          </w:p>
        </w:tc>
        <w:tc>
          <w:tcPr>
            <w:tcW w:w="265" w:type="pct"/>
            <w:vMerge w:val="restart"/>
            <w:shd w:val="clear" w:color="auto" w:fill="FFFFFF"/>
            <w:noWrap w:val="0"/>
            <w:vAlign w:val="center"/>
          </w:tcPr>
          <w:p w14:paraId="6310E9A9">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lang w:bidi="ar"/>
              </w:rPr>
              <w:t>指标分值</w:t>
            </w:r>
          </w:p>
        </w:tc>
        <w:tc>
          <w:tcPr>
            <w:tcW w:w="481" w:type="pct"/>
            <w:vMerge w:val="restart"/>
            <w:shd w:val="clear" w:color="auto" w:fill="FFFFFF"/>
            <w:noWrap w:val="0"/>
            <w:vAlign w:val="center"/>
          </w:tcPr>
          <w:p w14:paraId="4F947B2D">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lang w:bidi="ar"/>
              </w:rPr>
              <w:t>指标解释</w:t>
            </w:r>
          </w:p>
        </w:tc>
        <w:tc>
          <w:tcPr>
            <w:tcW w:w="1177" w:type="pct"/>
            <w:vMerge w:val="restart"/>
            <w:shd w:val="clear" w:color="auto" w:fill="FFFFFF"/>
            <w:noWrap w:val="0"/>
            <w:vAlign w:val="center"/>
          </w:tcPr>
          <w:p w14:paraId="1E0133EE">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计分标准</w:t>
            </w:r>
          </w:p>
        </w:tc>
        <w:tc>
          <w:tcPr>
            <w:tcW w:w="1121" w:type="pct"/>
            <w:vMerge w:val="restart"/>
            <w:shd w:val="clear" w:color="auto" w:fill="FFFFFF"/>
            <w:noWrap w:val="0"/>
            <w:vAlign w:val="center"/>
          </w:tcPr>
          <w:p w14:paraId="26BBD215">
            <w:pPr>
              <w:widowControl w:val="0"/>
              <w:snapToGrid w:val="0"/>
              <w:spacing w:line="240" w:lineRule="atLeast"/>
              <w:jc w:val="center"/>
              <w:textAlignment w:val="center"/>
              <w:rPr>
                <w:rFonts w:hint="default" w:ascii="Times New Roman" w:hAnsi="Times New Roman" w:eastAsia="黑体" w:cs="Times New Roman"/>
                <w:color w:val="auto"/>
                <w:sz w:val="21"/>
                <w:szCs w:val="21"/>
                <w:lang w:bidi="ar"/>
              </w:rPr>
            </w:pPr>
            <w:r>
              <w:rPr>
                <w:rFonts w:hint="default" w:ascii="Times New Roman" w:hAnsi="Times New Roman" w:eastAsia="黑体" w:cs="Times New Roman"/>
                <w:color w:val="auto"/>
                <w:sz w:val="21"/>
                <w:szCs w:val="21"/>
                <w:lang w:bidi="ar"/>
              </w:rPr>
              <w:t>依据资料</w:t>
            </w:r>
          </w:p>
        </w:tc>
        <w:tc>
          <w:tcPr>
            <w:tcW w:w="746" w:type="pct"/>
            <w:vMerge w:val="restart"/>
            <w:shd w:val="clear" w:color="auto" w:fill="FFFFFF"/>
            <w:noWrap w:val="0"/>
            <w:vAlign w:val="center"/>
          </w:tcPr>
          <w:p w14:paraId="17B6380F">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评价过程（只写扣分项的原因）</w:t>
            </w:r>
          </w:p>
        </w:tc>
        <w:tc>
          <w:tcPr>
            <w:tcW w:w="265" w:type="pct"/>
            <w:vMerge w:val="restart"/>
            <w:shd w:val="clear" w:color="auto" w:fill="FFFFFF"/>
            <w:noWrap w:val="0"/>
            <w:vAlign w:val="center"/>
          </w:tcPr>
          <w:p w14:paraId="1D849C60">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自评得分</w:t>
            </w:r>
          </w:p>
        </w:tc>
      </w:tr>
      <w:tr w14:paraId="554E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408" w:type="pct"/>
            <w:shd w:val="clear" w:color="auto" w:fill="auto"/>
            <w:noWrap w:val="0"/>
            <w:vAlign w:val="center"/>
          </w:tcPr>
          <w:p w14:paraId="0BB66358">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一级指标</w:t>
            </w:r>
          </w:p>
        </w:tc>
        <w:tc>
          <w:tcPr>
            <w:tcW w:w="279" w:type="pct"/>
            <w:shd w:val="clear" w:color="auto" w:fill="auto"/>
            <w:noWrap w:val="0"/>
            <w:vAlign w:val="center"/>
          </w:tcPr>
          <w:p w14:paraId="70DB9B41">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二级指标</w:t>
            </w:r>
          </w:p>
        </w:tc>
        <w:tc>
          <w:tcPr>
            <w:tcW w:w="253" w:type="pct"/>
            <w:shd w:val="clear" w:color="auto" w:fill="auto"/>
            <w:noWrap w:val="0"/>
            <w:vAlign w:val="center"/>
          </w:tcPr>
          <w:p w14:paraId="42797EE6">
            <w:pPr>
              <w:widowControl w:val="0"/>
              <w:snapToGrid w:val="0"/>
              <w:spacing w:line="240" w:lineRule="atLeast"/>
              <w:jc w:val="center"/>
              <w:textAlignment w:val="center"/>
              <w:rPr>
                <w:rFonts w:hint="default" w:ascii="Times New Roman" w:hAnsi="Times New Roman" w:eastAsia="黑体" w:cs="Times New Roman"/>
                <w:b w:val="0"/>
                <w:bCs w:val="0"/>
                <w:color w:val="auto"/>
                <w:sz w:val="21"/>
                <w:szCs w:val="21"/>
                <w:lang w:bidi="ar"/>
              </w:rPr>
            </w:pPr>
            <w:r>
              <w:rPr>
                <w:rFonts w:hint="default" w:ascii="Times New Roman" w:hAnsi="Times New Roman" w:eastAsia="黑体" w:cs="Times New Roman"/>
                <w:b w:val="0"/>
                <w:bCs w:val="0"/>
                <w:color w:val="auto"/>
                <w:sz w:val="21"/>
                <w:szCs w:val="21"/>
                <w:lang w:bidi="ar"/>
              </w:rPr>
              <w:t>三级指标</w:t>
            </w:r>
          </w:p>
        </w:tc>
        <w:tc>
          <w:tcPr>
            <w:tcW w:w="265" w:type="pct"/>
            <w:vMerge w:val="continue"/>
            <w:shd w:val="clear" w:color="auto" w:fill="FFFFFF"/>
            <w:noWrap w:val="0"/>
            <w:vAlign w:val="center"/>
          </w:tcPr>
          <w:p w14:paraId="7189EA5E">
            <w:pPr>
              <w:snapToGrid w:val="0"/>
              <w:spacing w:line="240" w:lineRule="atLeast"/>
              <w:jc w:val="center"/>
              <w:rPr>
                <w:rFonts w:hint="default" w:ascii="Times New Roman" w:hAnsi="Times New Roman" w:cs="Times New Roman"/>
                <w:b w:val="0"/>
                <w:bCs w:val="0"/>
                <w:color w:val="auto"/>
                <w:sz w:val="21"/>
                <w:szCs w:val="21"/>
              </w:rPr>
            </w:pPr>
          </w:p>
        </w:tc>
        <w:tc>
          <w:tcPr>
            <w:tcW w:w="481" w:type="pct"/>
            <w:vMerge w:val="continue"/>
            <w:shd w:val="clear" w:color="auto" w:fill="FFFFFF"/>
            <w:noWrap w:val="0"/>
            <w:vAlign w:val="center"/>
          </w:tcPr>
          <w:p w14:paraId="7AC5F435">
            <w:pPr>
              <w:snapToGrid w:val="0"/>
              <w:spacing w:line="240" w:lineRule="atLeast"/>
              <w:jc w:val="center"/>
              <w:rPr>
                <w:rFonts w:hint="default" w:ascii="Times New Roman" w:hAnsi="Times New Roman" w:cs="Times New Roman"/>
                <w:b w:val="0"/>
                <w:bCs w:val="0"/>
                <w:color w:val="auto"/>
                <w:sz w:val="21"/>
                <w:szCs w:val="21"/>
              </w:rPr>
            </w:pPr>
          </w:p>
        </w:tc>
        <w:tc>
          <w:tcPr>
            <w:tcW w:w="1177" w:type="pct"/>
            <w:vMerge w:val="continue"/>
            <w:shd w:val="clear" w:color="auto" w:fill="FFFFFF"/>
            <w:noWrap w:val="0"/>
            <w:vAlign w:val="center"/>
          </w:tcPr>
          <w:p w14:paraId="681B108A">
            <w:pPr>
              <w:snapToGrid w:val="0"/>
              <w:spacing w:line="240" w:lineRule="atLeast"/>
              <w:jc w:val="center"/>
              <w:rPr>
                <w:rFonts w:hint="default" w:ascii="Times New Roman" w:hAnsi="Times New Roman" w:cs="Times New Roman"/>
                <w:b w:val="0"/>
                <w:bCs w:val="0"/>
                <w:color w:val="auto"/>
                <w:sz w:val="21"/>
                <w:szCs w:val="21"/>
              </w:rPr>
            </w:pPr>
          </w:p>
        </w:tc>
        <w:tc>
          <w:tcPr>
            <w:tcW w:w="1121" w:type="pct"/>
            <w:vMerge w:val="continue"/>
            <w:shd w:val="clear" w:color="auto" w:fill="FFFFFF"/>
            <w:noWrap w:val="0"/>
            <w:vAlign w:val="center"/>
          </w:tcPr>
          <w:p w14:paraId="21A1EF6A">
            <w:pPr>
              <w:snapToGrid w:val="0"/>
              <w:spacing w:line="240" w:lineRule="atLeast"/>
              <w:jc w:val="center"/>
              <w:rPr>
                <w:rFonts w:hint="default" w:ascii="Times New Roman" w:hAnsi="Times New Roman" w:cs="Times New Roman"/>
                <w:color w:val="auto"/>
                <w:sz w:val="21"/>
                <w:szCs w:val="21"/>
              </w:rPr>
            </w:pPr>
          </w:p>
        </w:tc>
        <w:tc>
          <w:tcPr>
            <w:tcW w:w="746" w:type="pct"/>
            <w:vMerge w:val="continue"/>
            <w:shd w:val="clear" w:color="auto" w:fill="FFFFFF"/>
            <w:noWrap w:val="0"/>
            <w:vAlign w:val="center"/>
          </w:tcPr>
          <w:p w14:paraId="031BD72A">
            <w:pPr>
              <w:snapToGrid w:val="0"/>
              <w:spacing w:line="240" w:lineRule="atLeast"/>
              <w:jc w:val="center"/>
              <w:rPr>
                <w:rFonts w:hint="default" w:ascii="Times New Roman" w:hAnsi="Times New Roman" w:cs="Times New Roman"/>
                <w:b w:val="0"/>
                <w:bCs w:val="0"/>
                <w:color w:val="auto"/>
                <w:sz w:val="21"/>
                <w:szCs w:val="21"/>
              </w:rPr>
            </w:pPr>
          </w:p>
        </w:tc>
        <w:tc>
          <w:tcPr>
            <w:tcW w:w="265" w:type="pct"/>
            <w:vMerge w:val="continue"/>
            <w:shd w:val="clear" w:color="auto" w:fill="FFFFFF"/>
            <w:noWrap w:val="0"/>
            <w:vAlign w:val="center"/>
          </w:tcPr>
          <w:p w14:paraId="3F39FD8E">
            <w:pPr>
              <w:snapToGrid w:val="0"/>
              <w:spacing w:line="240" w:lineRule="atLeast"/>
              <w:jc w:val="center"/>
              <w:rPr>
                <w:rFonts w:hint="default" w:ascii="Times New Roman" w:hAnsi="Times New Roman" w:cs="Times New Roman"/>
                <w:b w:val="0"/>
                <w:bCs w:val="0"/>
                <w:color w:val="auto"/>
                <w:sz w:val="21"/>
                <w:szCs w:val="21"/>
              </w:rPr>
            </w:pPr>
          </w:p>
        </w:tc>
      </w:tr>
      <w:tr w14:paraId="085A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408" w:type="pct"/>
            <w:vMerge w:val="restart"/>
            <w:shd w:val="clear" w:color="auto" w:fill="auto"/>
            <w:noWrap w:val="0"/>
            <w:vAlign w:val="center"/>
          </w:tcPr>
          <w:p w14:paraId="4E1BF78F">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部门预算管理</w:t>
            </w:r>
          </w:p>
          <w:p w14:paraId="65C6934E">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（80分）</w:t>
            </w:r>
          </w:p>
        </w:tc>
        <w:tc>
          <w:tcPr>
            <w:tcW w:w="279" w:type="pct"/>
            <w:vMerge w:val="restart"/>
            <w:shd w:val="clear" w:color="auto" w:fill="auto"/>
            <w:noWrap w:val="0"/>
            <w:vAlign w:val="center"/>
          </w:tcPr>
          <w:p w14:paraId="5B04D47A">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预算编制（30分）</w:t>
            </w:r>
          </w:p>
        </w:tc>
        <w:tc>
          <w:tcPr>
            <w:tcW w:w="253" w:type="pct"/>
            <w:shd w:val="clear" w:color="auto" w:fill="auto"/>
            <w:noWrap w:val="0"/>
            <w:vAlign w:val="center"/>
          </w:tcPr>
          <w:p w14:paraId="1EA49E19">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目标制定</w:t>
            </w:r>
          </w:p>
        </w:tc>
        <w:tc>
          <w:tcPr>
            <w:tcW w:w="265" w:type="pct"/>
            <w:shd w:val="clear" w:color="auto" w:fill="auto"/>
            <w:noWrap w:val="0"/>
            <w:vAlign w:val="center"/>
          </w:tcPr>
          <w:p w14:paraId="0C3BAF96">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0968F892">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评价部门绩效目标是否要素完整、细化量化。</w:t>
            </w:r>
          </w:p>
        </w:tc>
        <w:tc>
          <w:tcPr>
            <w:tcW w:w="1177" w:type="pct"/>
            <w:shd w:val="clear" w:color="auto" w:fill="auto"/>
            <w:noWrap w:val="0"/>
            <w:vAlign w:val="center"/>
          </w:tcPr>
          <w:p w14:paraId="44C624D1">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 xml:space="preserve">1.绩效目标编制要素完整的，得5分，否则酌情扣分。                                                       2.绩效指标细化量化的，得5分，否则酌情扣分。                                                                    </w:t>
            </w:r>
          </w:p>
        </w:tc>
        <w:tc>
          <w:tcPr>
            <w:tcW w:w="1121" w:type="pct"/>
            <w:shd w:val="clear" w:color="auto" w:fill="FFFFFF"/>
            <w:noWrap w:val="0"/>
            <w:vAlign w:val="center"/>
          </w:tcPr>
          <w:p w14:paraId="76C7C86B">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要素指目标的完成指标及效益指标、满意度指标是否填写完整，根据年初制定目标财政局的要求。指标细化量化指该定量表达的是否表达。</w:t>
            </w:r>
          </w:p>
        </w:tc>
        <w:tc>
          <w:tcPr>
            <w:tcW w:w="746" w:type="pct"/>
            <w:noWrap w:val="0"/>
            <w:vAlign w:val="center"/>
          </w:tcPr>
          <w:p w14:paraId="33ED5648">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79E76AC0">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6FA7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408" w:type="pct"/>
            <w:vMerge w:val="continue"/>
            <w:shd w:val="clear" w:color="auto" w:fill="auto"/>
            <w:noWrap w:val="0"/>
            <w:vAlign w:val="center"/>
          </w:tcPr>
          <w:p w14:paraId="08363B0D">
            <w:pPr>
              <w:snapToGrid w:val="0"/>
              <w:spacing w:line="240" w:lineRule="atLeast"/>
              <w:jc w:val="center"/>
              <w:rPr>
                <w:rFonts w:hint="default" w:ascii="Times New Roman" w:hAnsi="Times New Roman" w:cs="Times New Roman"/>
                <w:color w:val="auto"/>
                <w:sz w:val="21"/>
                <w:szCs w:val="21"/>
              </w:rPr>
            </w:pPr>
          </w:p>
        </w:tc>
        <w:tc>
          <w:tcPr>
            <w:tcW w:w="279" w:type="pct"/>
            <w:vMerge w:val="continue"/>
            <w:shd w:val="clear" w:color="auto" w:fill="auto"/>
            <w:noWrap w:val="0"/>
            <w:vAlign w:val="center"/>
          </w:tcPr>
          <w:p w14:paraId="10EF1540">
            <w:pPr>
              <w:snapToGrid w:val="0"/>
              <w:spacing w:line="240" w:lineRule="atLeast"/>
              <w:jc w:val="center"/>
              <w:rPr>
                <w:rFonts w:hint="default" w:ascii="Times New Roman" w:hAnsi="Times New Roman" w:cs="Times New Roman"/>
                <w:color w:val="auto"/>
                <w:sz w:val="21"/>
                <w:szCs w:val="21"/>
              </w:rPr>
            </w:pPr>
          </w:p>
        </w:tc>
        <w:tc>
          <w:tcPr>
            <w:tcW w:w="253" w:type="pct"/>
            <w:shd w:val="clear" w:color="auto" w:fill="auto"/>
            <w:noWrap w:val="0"/>
            <w:vAlign w:val="center"/>
          </w:tcPr>
          <w:p w14:paraId="7BA20D0C">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目标完成</w:t>
            </w:r>
          </w:p>
        </w:tc>
        <w:tc>
          <w:tcPr>
            <w:tcW w:w="265" w:type="pct"/>
            <w:shd w:val="clear" w:color="auto" w:fill="auto"/>
            <w:noWrap w:val="0"/>
            <w:vAlign w:val="center"/>
          </w:tcPr>
          <w:p w14:paraId="736E7E7A">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786C5D3F">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评价部门绩效目标实际实现程度与预期目标的偏离度。</w:t>
            </w:r>
          </w:p>
        </w:tc>
        <w:tc>
          <w:tcPr>
            <w:tcW w:w="1177" w:type="pct"/>
            <w:shd w:val="clear" w:color="auto" w:fill="auto"/>
            <w:noWrap w:val="0"/>
            <w:vAlign w:val="center"/>
          </w:tcPr>
          <w:p w14:paraId="784A3157">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以项目完成数量指标为核心，评价项目实际完成情况是否达到预期绩效目标，指标得分=达到预期绩效目标的部门项目个数/纳入绩效目标管理的部门预算项目个数*10</w:t>
            </w:r>
          </w:p>
        </w:tc>
        <w:tc>
          <w:tcPr>
            <w:tcW w:w="1121" w:type="pct"/>
            <w:shd w:val="clear" w:color="auto" w:fill="FFFFFF"/>
            <w:noWrap w:val="0"/>
            <w:vAlign w:val="center"/>
          </w:tcPr>
          <w:p w14:paraId="44D5B928">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项目绩效目标申报表（数量指标）</w:t>
            </w:r>
          </w:p>
        </w:tc>
        <w:tc>
          <w:tcPr>
            <w:tcW w:w="746" w:type="pct"/>
            <w:noWrap w:val="0"/>
            <w:vAlign w:val="center"/>
          </w:tcPr>
          <w:p w14:paraId="375D8E73">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58B515C5">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2BBA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408" w:type="pct"/>
            <w:vMerge w:val="continue"/>
            <w:shd w:val="clear" w:color="auto" w:fill="auto"/>
            <w:noWrap w:val="0"/>
            <w:vAlign w:val="center"/>
          </w:tcPr>
          <w:p w14:paraId="660F5166">
            <w:pPr>
              <w:snapToGrid w:val="0"/>
              <w:spacing w:line="240" w:lineRule="atLeast"/>
              <w:jc w:val="center"/>
              <w:rPr>
                <w:rFonts w:hint="default" w:ascii="Times New Roman" w:hAnsi="Times New Roman" w:cs="Times New Roman"/>
                <w:color w:val="auto"/>
                <w:sz w:val="21"/>
                <w:szCs w:val="21"/>
              </w:rPr>
            </w:pPr>
          </w:p>
        </w:tc>
        <w:tc>
          <w:tcPr>
            <w:tcW w:w="279" w:type="pct"/>
            <w:vMerge w:val="continue"/>
            <w:shd w:val="clear" w:color="auto" w:fill="auto"/>
            <w:noWrap w:val="0"/>
            <w:vAlign w:val="center"/>
          </w:tcPr>
          <w:p w14:paraId="625B8AAC">
            <w:pPr>
              <w:snapToGrid w:val="0"/>
              <w:spacing w:line="240" w:lineRule="atLeast"/>
              <w:jc w:val="center"/>
              <w:rPr>
                <w:rFonts w:hint="default" w:ascii="Times New Roman" w:hAnsi="Times New Roman" w:cs="Times New Roman"/>
                <w:color w:val="auto"/>
                <w:sz w:val="21"/>
                <w:szCs w:val="21"/>
              </w:rPr>
            </w:pPr>
          </w:p>
        </w:tc>
        <w:tc>
          <w:tcPr>
            <w:tcW w:w="253" w:type="pct"/>
            <w:shd w:val="clear" w:color="auto" w:fill="auto"/>
            <w:noWrap w:val="0"/>
            <w:vAlign w:val="center"/>
          </w:tcPr>
          <w:p w14:paraId="1EB69BE3">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编制准确</w:t>
            </w:r>
          </w:p>
        </w:tc>
        <w:tc>
          <w:tcPr>
            <w:tcW w:w="265" w:type="pct"/>
            <w:shd w:val="clear" w:color="auto" w:fill="auto"/>
            <w:noWrap w:val="0"/>
            <w:vAlign w:val="center"/>
          </w:tcPr>
          <w:p w14:paraId="72C65E25">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1BFD6C5B">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评价部门年初预算编制是否科学准确。</w:t>
            </w:r>
          </w:p>
        </w:tc>
        <w:tc>
          <w:tcPr>
            <w:tcW w:w="1177" w:type="pct"/>
            <w:shd w:val="clear" w:color="auto" w:fill="auto"/>
            <w:noWrap w:val="0"/>
            <w:vAlign w:val="center"/>
          </w:tcPr>
          <w:p w14:paraId="1C09F99E">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指标得分=（1-（10×部门全年预算调剂金额/年初部门预算数））*10。其中：若部门全年预算调剂金额/年初部门预算数&gt;0.1，此项得0分。</w:t>
            </w:r>
          </w:p>
        </w:tc>
        <w:tc>
          <w:tcPr>
            <w:tcW w:w="1121" w:type="pct"/>
            <w:shd w:val="clear" w:color="auto" w:fill="FFFFFF"/>
            <w:noWrap w:val="0"/>
            <w:vAlign w:val="center"/>
          </w:tcPr>
          <w:p w14:paraId="27A375A2">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预算调剂金额：大平台中预算下达指标明细对账单—业务类型中“专项调剂”和“非专项调剂”绝对值合计数</w:t>
            </w:r>
          </w:p>
          <w:p w14:paraId="7C7D30B2">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08CE41FC">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年初部门预算数：年初部门预算批复表，表1部门预算收支总表“本年支出合计”</w:t>
            </w:r>
          </w:p>
        </w:tc>
        <w:tc>
          <w:tcPr>
            <w:tcW w:w="746" w:type="pct"/>
            <w:noWrap w:val="0"/>
            <w:vAlign w:val="center"/>
          </w:tcPr>
          <w:p w14:paraId="742A21CE">
            <w:pPr>
              <w:snapToGrid w:val="0"/>
              <w:spacing w:line="240" w:lineRule="atLeas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本单位全年预算调剂金额为170804，年初部门预算数为12977150.54，根据指标得分计算公式该项得8.68分。</w:t>
            </w:r>
          </w:p>
        </w:tc>
        <w:tc>
          <w:tcPr>
            <w:tcW w:w="265" w:type="pct"/>
            <w:noWrap w:val="0"/>
            <w:vAlign w:val="center"/>
          </w:tcPr>
          <w:p w14:paraId="194907D7">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8.68</w:t>
            </w:r>
          </w:p>
        </w:tc>
      </w:tr>
      <w:tr w14:paraId="6E43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408" w:type="pct"/>
            <w:vMerge w:val="restart"/>
            <w:shd w:val="clear" w:color="auto" w:fill="auto"/>
            <w:noWrap w:val="0"/>
            <w:vAlign w:val="center"/>
          </w:tcPr>
          <w:p w14:paraId="4C0F9B84">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部门预算管理</w:t>
            </w:r>
          </w:p>
          <w:p w14:paraId="4E19F216">
            <w:pPr>
              <w:snapToGrid w:val="0"/>
              <w:spacing w:line="240" w:lineRule="atLeast"/>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（80分</w:t>
            </w:r>
            <w:r>
              <w:rPr>
                <w:rFonts w:hint="eastAsia" w:ascii="Times New Roman" w:hAnsi="Times New Roman" w:cs="Times New Roman"/>
                <w:color w:val="auto"/>
                <w:sz w:val="21"/>
                <w:szCs w:val="21"/>
                <w:lang w:eastAsia="zh-CN" w:bidi="ar"/>
              </w:rPr>
              <w:t>）</w:t>
            </w:r>
          </w:p>
        </w:tc>
        <w:tc>
          <w:tcPr>
            <w:tcW w:w="279" w:type="pct"/>
            <w:vMerge w:val="restart"/>
            <w:shd w:val="clear" w:color="auto" w:fill="auto"/>
            <w:noWrap w:val="0"/>
            <w:vAlign w:val="center"/>
          </w:tcPr>
          <w:p w14:paraId="33D57412">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预算执行（30分）</w:t>
            </w:r>
          </w:p>
        </w:tc>
        <w:tc>
          <w:tcPr>
            <w:tcW w:w="253" w:type="pct"/>
            <w:shd w:val="clear" w:color="auto" w:fill="auto"/>
            <w:noWrap w:val="0"/>
            <w:vAlign w:val="center"/>
          </w:tcPr>
          <w:p w14:paraId="001985FD">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支出控制</w:t>
            </w:r>
          </w:p>
        </w:tc>
        <w:tc>
          <w:tcPr>
            <w:tcW w:w="265" w:type="pct"/>
            <w:shd w:val="clear" w:color="auto" w:fill="auto"/>
            <w:noWrap w:val="0"/>
            <w:vAlign w:val="center"/>
          </w:tcPr>
          <w:p w14:paraId="22B0E605">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1887DC47">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部门公用经费及非定额公用支出控制情况。</w:t>
            </w:r>
          </w:p>
        </w:tc>
        <w:tc>
          <w:tcPr>
            <w:tcW w:w="1177" w:type="pct"/>
            <w:shd w:val="clear" w:color="auto" w:fill="auto"/>
            <w:noWrap w:val="0"/>
            <w:vAlign w:val="center"/>
          </w:tcPr>
          <w:p w14:paraId="0BFCDE63">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 xml:space="preserve">计算部门日常公用经费、项目支出中“办公费、印刷费、水费、电费、物业管理费、差旅费、培训费、会议费”8个科目年初预算数与决算数偏差程度。                                              预决算偏差程度在10%以内的，得10分。偏差度在10%-20%之间的，得5分，偏差度超过20%的，不得分。                                           </w:t>
            </w:r>
          </w:p>
        </w:tc>
        <w:tc>
          <w:tcPr>
            <w:tcW w:w="1121" w:type="pct"/>
            <w:shd w:val="clear" w:color="auto" w:fill="FFFFFF"/>
            <w:noWrap w:val="0"/>
            <w:vAlign w:val="center"/>
          </w:tcPr>
          <w:p w14:paraId="3E6C9F8D">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决算数：财政批复的决算套表-从决算科目里删选</w:t>
            </w:r>
          </w:p>
          <w:p w14:paraId="68042E80">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45498A8A">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预算数：财政批复预算公开表</w:t>
            </w:r>
          </w:p>
          <w:p w14:paraId="32C9D3E4">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20749951">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偏差程度=（决算数-预算数）的绝对值/决算数*100%</w:t>
            </w:r>
          </w:p>
        </w:tc>
        <w:tc>
          <w:tcPr>
            <w:tcW w:w="746" w:type="pct"/>
            <w:noWrap w:val="0"/>
            <w:vAlign w:val="center"/>
          </w:tcPr>
          <w:p w14:paraId="6B4C574C">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34009883">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4069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408" w:type="pct"/>
            <w:vMerge w:val="continue"/>
            <w:shd w:val="clear" w:color="auto" w:fill="auto"/>
            <w:noWrap w:val="0"/>
            <w:vAlign w:val="center"/>
          </w:tcPr>
          <w:p w14:paraId="4EF9DBE7">
            <w:pPr>
              <w:snapToGrid w:val="0"/>
              <w:spacing w:line="240" w:lineRule="atLeast"/>
              <w:jc w:val="center"/>
              <w:rPr>
                <w:rFonts w:hint="default" w:ascii="Times New Roman" w:hAnsi="Times New Roman" w:cs="Times New Roman"/>
                <w:color w:val="auto"/>
                <w:sz w:val="21"/>
                <w:szCs w:val="21"/>
              </w:rPr>
            </w:pPr>
          </w:p>
        </w:tc>
        <w:tc>
          <w:tcPr>
            <w:tcW w:w="279" w:type="pct"/>
            <w:vMerge w:val="continue"/>
            <w:shd w:val="clear" w:color="auto" w:fill="auto"/>
            <w:noWrap w:val="0"/>
            <w:vAlign w:val="center"/>
          </w:tcPr>
          <w:p w14:paraId="16F14335">
            <w:pPr>
              <w:snapToGrid w:val="0"/>
              <w:spacing w:line="240" w:lineRule="atLeast"/>
              <w:jc w:val="center"/>
              <w:rPr>
                <w:rFonts w:hint="default" w:ascii="Times New Roman" w:hAnsi="Times New Roman" w:cs="Times New Roman"/>
                <w:color w:val="auto"/>
                <w:sz w:val="21"/>
                <w:szCs w:val="21"/>
              </w:rPr>
            </w:pPr>
          </w:p>
        </w:tc>
        <w:tc>
          <w:tcPr>
            <w:tcW w:w="253" w:type="pct"/>
            <w:shd w:val="clear" w:color="auto" w:fill="auto"/>
            <w:noWrap w:val="0"/>
            <w:vAlign w:val="center"/>
          </w:tcPr>
          <w:p w14:paraId="0E6C7D27">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动态调整</w:t>
            </w:r>
          </w:p>
        </w:tc>
        <w:tc>
          <w:tcPr>
            <w:tcW w:w="265" w:type="pct"/>
            <w:shd w:val="clear" w:color="auto" w:fill="auto"/>
            <w:noWrap w:val="0"/>
            <w:vAlign w:val="center"/>
          </w:tcPr>
          <w:p w14:paraId="37557A38">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71DAF97A">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评价部门开展绩效运行监控后，将绩效监控结果应用到预算调整的情况。</w:t>
            </w:r>
          </w:p>
        </w:tc>
        <w:tc>
          <w:tcPr>
            <w:tcW w:w="1177" w:type="pct"/>
            <w:shd w:val="clear" w:color="auto" w:fill="auto"/>
            <w:noWrap w:val="0"/>
            <w:vAlign w:val="center"/>
          </w:tcPr>
          <w:p w14:paraId="51501725">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1.当部门绩效监控调整取消额和结余注销额均不为零时，指标得分=部门项目支出绩效监控调整取消额÷</w:t>
            </w:r>
            <w:r>
              <w:rPr>
                <w:rFonts w:hint="eastAsia"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 xml:space="preserve">部门绩效监控调整取消额+预算结余注销额）*10                                                  2.当部门绩效监控调整取消额为零，结余注销额不为零时，指标得分=（1-10*结余注销额/年度预算总额）*10，结余注销额超过部门年度预算总额10%的，指标不得分。                  </w:t>
            </w:r>
          </w:p>
          <w:p w14:paraId="10866280">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3ACADFBF">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 xml:space="preserve">3.当部门绩效监控调整取消额与结余注销额均为零时，得满分。   </w:t>
            </w:r>
          </w:p>
        </w:tc>
        <w:tc>
          <w:tcPr>
            <w:tcW w:w="1121" w:type="pct"/>
            <w:shd w:val="clear" w:color="auto" w:fill="FFFFFF"/>
            <w:noWrap w:val="0"/>
            <w:vAlign w:val="center"/>
          </w:tcPr>
          <w:p w14:paraId="3603BFD8">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预决算套表（Z01调整预算数、CS01）</w:t>
            </w:r>
          </w:p>
          <w:p w14:paraId="75535F50">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5E8EDE84">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年度预算总额：Z01总计调整预算数</w:t>
            </w:r>
          </w:p>
          <w:p w14:paraId="2B441404">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6BEFDEF2">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绩效监控调整取消额：调整前年初结转和结余-调整后年初结转和结余=0，则没有取消额</w:t>
            </w:r>
          </w:p>
          <w:p w14:paraId="30F6D72C">
            <w:pPr>
              <w:widowControl w:val="0"/>
              <w:snapToGrid w:val="0"/>
              <w:spacing w:line="240" w:lineRule="atLeast"/>
              <w:textAlignment w:val="center"/>
              <w:rPr>
                <w:rFonts w:hint="eastAsia" w:ascii="Times New Roman" w:hAnsi="Times New Roman" w:eastAsia="宋体" w:cs="Times New Roman"/>
                <w:color w:val="auto"/>
                <w:sz w:val="21"/>
                <w:szCs w:val="21"/>
                <w:lang w:eastAsia="zh-CN" w:bidi="ar"/>
              </w:rPr>
            </w:pPr>
          </w:p>
          <w:p w14:paraId="06945C08">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预算结余注销额：归集上缴和缴回资金栏为0，表示当年没有注销，如果有数就是注销额</w:t>
            </w:r>
          </w:p>
        </w:tc>
        <w:tc>
          <w:tcPr>
            <w:tcW w:w="746" w:type="pct"/>
            <w:noWrap w:val="0"/>
            <w:vAlign w:val="center"/>
          </w:tcPr>
          <w:p w14:paraId="5C58C630">
            <w:pPr>
              <w:snapToGrid w:val="0"/>
              <w:spacing w:line="240" w:lineRule="atLeas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本单位绩效监控调整取消额为91240.5，预算结余注销额为91240.5，根据计分标准该项得5分。</w:t>
            </w:r>
          </w:p>
        </w:tc>
        <w:tc>
          <w:tcPr>
            <w:tcW w:w="265" w:type="pct"/>
            <w:noWrap w:val="0"/>
            <w:vAlign w:val="center"/>
          </w:tcPr>
          <w:p w14:paraId="2D542E31">
            <w:pPr>
              <w:snapToGrid w:val="0"/>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14:paraId="4AE4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08" w:type="pct"/>
            <w:vMerge w:val="continue"/>
            <w:shd w:val="clear" w:color="auto" w:fill="auto"/>
            <w:noWrap w:val="0"/>
            <w:vAlign w:val="center"/>
          </w:tcPr>
          <w:p w14:paraId="6349F477">
            <w:pPr>
              <w:snapToGrid w:val="0"/>
              <w:spacing w:line="240" w:lineRule="atLeast"/>
              <w:jc w:val="center"/>
              <w:rPr>
                <w:rFonts w:hint="default" w:ascii="Times New Roman" w:hAnsi="Times New Roman" w:cs="Times New Roman"/>
                <w:color w:val="auto"/>
                <w:sz w:val="21"/>
                <w:szCs w:val="21"/>
              </w:rPr>
            </w:pPr>
          </w:p>
        </w:tc>
        <w:tc>
          <w:tcPr>
            <w:tcW w:w="279" w:type="pct"/>
            <w:vMerge w:val="continue"/>
            <w:shd w:val="clear" w:color="auto" w:fill="auto"/>
            <w:noWrap w:val="0"/>
            <w:vAlign w:val="center"/>
          </w:tcPr>
          <w:p w14:paraId="49F82460">
            <w:pPr>
              <w:snapToGrid w:val="0"/>
              <w:spacing w:line="240" w:lineRule="atLeast"/>
              <w:jc w:val="center"/>
              <w:rPr>
                <w:rFonts w:hint="default" w:ascii="Times New Roman" w:hAnsi="Times New Roman" w:cs="Times New Roman"/>
                <w:color w:val="auto"/>
                <w:sz w:val="21"/>
                <w:szCs w:val="21"/>
              </w:rPr>
            </w:pPr>
          </w:p>
        </w:tc>
        <w:tc>
          <w:tcPr>
            <w:tcW w:w="253" w:type="pct"/>
            <w:shd w:val="clear" w:color="auto" w:fill="auto"/>
            <w:noWrap w:val="0"/>
            <w:vAlign w:val="center"/>
          </w:tcPr>
          <w:p w14:paraId="5E002A9D">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执行进度</w:t>
            </w:r>
          </w:p>
        </w:tc>
        <w:tc>
          <w:tcPr>
            <w:tcW w:w="265" w:type="pct"/>
            <w:shd w:val="clear" w:color="auto" w:fill="auto"/>
            <w:noWrap w:val="0"/>
            <w:vAlign w:val="center"/>
          </w:tcPr>
          <w:p w14:paraId="311A48AE">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416E7D3A">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评价部门在6、9、11月的预算执行情况。</w:t>
            </w:r>
          </w:p>
        </w:tc>
        <w:tc>
          <w:tcPr>
            <w:tcW w:w="1177" w:type="pct"/>
            <w:shd w:val="clear" w:color="auto" w:fill="auto"/>
            <w:noWrap w:val="0"/>
            <w:vAlign w:val="center"/>
          </w:tcPr>
          <w:p w14:paraId="6AC7C4B3">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 xml:space="preserve">部门预算执行进度在6、9、11月应达到序时进度的80%、90%、90%，即实际支出进度分别达到40%、67.5%、82.5%。                                                     6、9、11月部门预算执行进度达到量化指标的分别得3、4、3分，未达到目标进度的按其实际进度占目标进度的比重计算得分。                                           </w:t>
            </w:r>
          </w:p>
        </w:tc>
        <w:tc>
          <w:tcPr>
            <w:tcW w:w="1121" w:type="pct"/>
            <w:shd w:val="clear" w:color="auto" w:fill="FFFFFF"/>
            <w:noWrap w:val="0"/>
            <w:vAlign w:val="center"/>
          </w:tcPr>
          <w:p w14:paraId="7A158693">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财政部门统一从国库总会计那取数字发送到各单位</w:t>
            </w:r>
          </w:p>
        </w:tc>
        <w:tc>
          <w:tcPr>
            <w:tcW w:w="746" w:type="pct"/>
            <w:noWrap w:val="0"/>
            <w:vAlign w:val="center"/>
          </w:tcPr>
          <w:p w14:paraId="45F20435">
            <w:pPr>
              <w:snapToGrid w:val="0"/>
              <w:spacing w:line="240" w:lineRule="atLeas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本单位部门预算执行进度在6、9、11月分别为28.29%、40.83%、54.89%，均未达到目标进度，按计分标准计算得6.54分</w:t>
            </w:r>
          </w:p>
        </w:tc>
        <w:tc>
          <w:tcPr>
            <w:tcW w:w="265" w:type="pct"/>
            <w:noWrap w:val="0"/>
            <w:vAlign w:val="center"/>
          </w:tcPr>
          <w:p w14:paraId="0D20ABAB">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6.54</w:t>
            </w:r>
          </w:p>
        </w:tc>
      </w:tr>
      <w:tr w14:paraId="4232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408" w:type="pct"/>
            <w:vMerge w:val="restart"/>
            <w:shd w:val="clear" w:color="auto" w:fill="auto"/>
            <w:noWrap w:val="0"/>
            <w:vAlign w:val="center"/>
          </w:tcPr>
          <w:p w14:paraId="0A3B2D82">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部门预算管理</w:t>
            </w:r>
          </w:p>
          <w:p w14:paraId="7C1D4E6F">
            <w:pPr>
              <w:snapToGrid w:val="0"/>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（80</w:t>
            </w:r>
            <w:r>
              <w:rPr>
                <w:rFonts w:hint="eastAsia"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分</w:t>
            </w:r>
          </w:p>
        </w:tc>
        <w:tc>
          <w:tcPr>
            <w:tcW w:w="279" w:type="pct"/>
            <w:vMerge w:val="restart"/>
            <w:shd w:val="clear" w:color="auto" w:fill="auto"/>
            <w:noWrap w:val="0"/>
            <w:vAlign w:val="center"/>
          </w:tcPr>
          <w:p w14:paraId="5F79612A">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完成结果（20分）</w:t>
            </w:r>
          </w:p>
        </w:tc>
        <w:tc>
          <w:tcPr>
            <w:tcW w:w="253" w:type="pct"/>
            <w:shd w:val="clear" w:color="auto" w:fill="auto"/>
            <w:noWrap w:val="0"/>
            <w:vAlign w:val="center"/>
          </w:tcPr>
          <w:p w14:paraId="442C7A03">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预算完成</w:t>
            </w:r>
          </w:p>
        </w:tc>
        <w:tc>
          <w:tcPr>
            <w:tcW w:w="265" w:type="pct"/>
            <w:shd w:val="clear" w:color="auto" w:fill="auto"/>
            <w:noWrap w:val="0"/>
            <w:vAlign w:val="center"/>
          </w:tcPr>
          <w:p w14:paraId="6CB24BF9">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293D002F">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评价部门预算项目年终预算执行情况。</w:t>
            </w:r>
          </w:p>
        </w:tc>
        <w:tc>
          <w:tcPr>
            <w:tcW w:w="1177" w:type="pct"/>
            <w:shd w:val="clear" w:color="auto" w:fill="auto"/>
            <w:noWrap w:val="0"/>
            <w:vAlign w:val="center"/>
          </w:tcPr>
          <w:p w14:paraId="450E4263">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部门预算项目12月预算执行进度达到100%的，得10分，未达100%的，按照实际进度量化计算得分。(含所有下属单位</w:t>
            </w:r>
            <w:r>
              <w:rPr>
                <w:rFonts w:hint="eastAsia" w:ascii="Times New Roman" w:hAnsi="Times New Roman" w:cs="Times New Roman"/>
                <w:color w:val="auto"/>
                <w:sz w:val="21"/>
                <w:szCs w:val="21"/>
                <w:lang w:eastAsia="zh-CN" w:bidi="ar"/>
              </w:rPr>
              <w:t>）</w:t>
            </w:r>
          </w:p>
        </w:tc>
        <w:tc>
          <w:tcPr>
            <w:tcW w:w="1121" w:type="pct"/>
            <w:shd w:val="clear" w:color="auto" w:fill="FFFFFF"/>
            <w:noWrap w:val="0"/>
            <w:vAlign w:val="center"/>
          </w:tcPr>
          <w:p w14:paraId="47ECB825">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预决算套表（Z01调整预算数、决算数）；实际进度量化计算得分=80%*10=8</w:t>
            </w:r>
          </w:p>
        </w:tc>
        <w:tc>
          <w:tcPr>
            <w:tcW w:w="746" w:type="pct"/>
            <w:noWrap w:val="0"/>
            <w:vAlign w:val="center"/>
          </w:tcPr>
          <w:p w14:paraId="61CA0D25">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36C8E1A0">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3238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408" w:type="pct"/>
            <w:vMerge w:val="continue"/>
            <w:shd w:val="clear" w:color="auto" w:fill="auto"/>
            <w:noWrap w:val="0"/>
            <w:vAlign w:val="center"/>
          </w:tcPr>
          <w:p w14:paraId="7F563FEB">
            <w:pPr>
              <w:snapToGrid w:val="0"/>
              <w:spacing w:line="240" w:lineRule="atLeast"/>
              <w:jc w:val="center"/>
              <w:rPr>
                <w:rFonts w:hint="default" w:ascii="Times New Roman" w:hAnsi="Times New Roman" w:cs="Times New Roman"/>
                <w:color w:val="auto"/>
                <w:sz w:val="21"/>
                <w:szCs w:val="21"/>
              </w:rPr>
            </w:pPr>
          </w:p>
        </w:tc>
        <w:tc>
          <w:tcPr>
            <w:tcW w:w="279" w:type="pct"/>
            <w:vMerge w:val="continue"/>
            <w:shd w:val="clear" w:color="auto" w:fill="auto"/>
            <w:noWrap w:val="0"/>
            <w:vAlign w:val="center"/>
          </w:tcPr>
          <w:p w14:paraId="05BD8832">
            <w:pPr>
              <w:snapToGrid w:val="0"/>
              <w:spacing w:line="240" w:lineRule="atLeast"/>
              <w:jc w:val="center"/>
              <w:rPr>
                <w:rFonts w:hint="default" w:ascii="Times New Roman" w:hAnsi="Times New Roman" w:cs="Times New Roman"/>
                <w:color w:val="auto"/>
                <w:sz w:val="21"/>
                <w:szCs w:val="21"/>
              </w:rPr>
            </w:pPr>
          </w:p>
        </w:tc>
        <w:tc>
          <w:tcPr>
            <w:tcW w:w="253" w:type="pct"/>
            <w:shd w:val="clear" w:color="auto" w:fill="auto"/>
            <w:noWrap w:val="0"/>
            <w:vAlign w:val="center"/>
          </w:tcPr>
          <w:p w14:paraId="789531D3">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违规记录</w:t>
            </w:r>
          </w:p>
        </w:tc>
        <w:tc>
          <w:tcPr>
            <w:tcW w:w="265" w:type="pct"/>
            <w:shd w:val="clear" w:color="auto" w:fill="auto"/>
            <w:noWrap w:val="0"/>
            <w:vAlign w:val="center"/>
          </w:tcPr>
          <w:p w14:paraId="7EBC5CF9">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shd w:val="clear" w:color="auto" w:fill="auto"/>
            <w:noWrap w:val="0"/>
            <w:vAlign w:val="center"/>
          </w:tcPr>
          <w:p w14:paraId="17F57DD0">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根据审计监督、财政检查结果反映部门上一年度部门预算管理是否合规。</w:t>
            </w:r>
          </w:p>
        </w:tc>
        <w:tc>
          <w:tcPr>
            <w:tcW w:w="1177" w:type="pct"/>
            <w:shd w:val="clear" w:color="auto" w:fill="auto"/>
            <w:noWrap w:val="0"/>
            <w:vAlign w:val="center"/>
          </w:tcPr>
          <w:p w14:paraId="4D6D0101">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依据上一年度审计监督、财政检查结果，出现部门预算管理方面违纪违规问题的，每个问题扣0.5分，直至扣完。</w:t>
            </w:r>
          </w:p>
        </w:tc>
        <w:tc>
          <w:tcPr>
            <w:tcW w:w="1121" w:type="pct"/>
            <w:shd w:val="clear" w:color="auto" w:fill="FFFFFF"/>
            <w:noWrap w:val="0"/>
            <w:vAlign w:val="center"/>
          </w:tcPr>
          <w:p w14:paraId="6C775F09">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上一年度的审计监督、财政检查报告</w:t>
            </w:r>
          </w:p>
        </w:tc>
        <w:tc>
          <w:tcPr>
            <w:tcW w:w="746" w:type="pct"/>
            <w:noWrap w:val="0"/>
            <w:vAlign w:val="center"/>
          </w:tcPr>
          <w:p w14:paraId="4188C8D8">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0A84084F">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14:paraId="71EE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08" w:type="pct"/>
            <w:vMerge w:val="restart"/>
            <w:noWrap w:val="0"/>
            <w:vAlign w:val="center"/>
          </w:tcPr>
          <w:p w14:paraId="7FD26E5D">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绩效结果应用</w:t>
            </w:r>
          </w:p>
          <w:p w14:paraId="15FBDE34">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（10分）</w:t>
            </w:r>
          </w:p>
        </w:tc>
        <w:tc>
          <w:tcPr>
            <w:tcW w:w="279" w:type="pct"/>
            <w:vMerge w:val="restart"/>
            <w:noWrap w:val="0"/>
            <w:vAlign w:val="center"/>
          </w:tcPr>
          <w:p w14:paraId="472A15D8">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信息公开</w:t>
            </w:r>
          </w:p>
          <w:p w14:paraId="7C305921">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（6分）</w:t>
            </w:r>
          </w:p>
        </w:tc>
        <w:tc>
          <w:tcPr>
            <w:tcW w:w="253" w:type="pct"/>
            <w:noWrap w:val="0"/>
            <w:vAlign w:val="center"/>
          </w:tcPr>
          <w:p w14:paraId="495FDEDC">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目标公开</w:t>
            </w:r>
          </w:p>
        </w:tc>
        <w:tc>
          <w:tcPr>
            <w:tcW w:w="265" w:type="pct"/>
            <w:noWrap w:val="0"/>
            <w:vAlign w:val="center"/>
          </w:tcPr>
          <w:p w14:paraId="4950B265">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w:t>
            </w:r>
          </w:p>
        </w:tc>
        <w:tc>
          <w:tcPr>
            <w:tcW w:w="481" w:type="pct"/>
            <w:noWrap w:val="0"/>
            <w:vAlign w:val="center"/>
          </w:tcPr>
          <w:p w14:paraId="0C592950">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评价部门绩效目标是否按要求向社会公开。</w:t>
            </w:r>
          </w:p>
        </w:tc>
        <w:tc>
          <w:tcPr>
            <w:tcW w:w="1177" w:type="pct"/>
            <w:noWrap w:val="0"/>
            <w:vAlign w:val="center"/>
          </w:tcPr>
          <w:p w14:paraId="1B471E14">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按要求随同预算公开的，得3分。</w:t>
            </w:r>
          </w:p>
        </w:tc>
        <w:tc>
          <w:tcPr>
            <w:tcW w:w="1121" w:type="pct"/>
            <w:noWrap w:val="0"/>
            <w:vAlign w:val="center"/>
          </w:tcPr>
          <w:p w14:paraId="357C1112">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人民政府信息公开网—预决算公开栏</w:t>
            </w:r>
          </w:p>
        </w:tc>
        <w:tc>
          <w:tcPr>
            <w:tcW w:w="746" w:type="pct"/>
            <w:noWrap w:val="0"/>
            <w:vAlign w:val="center"/>
          </w:tcPr>
          <w:p w14:paraId="2934D256">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04F8548B">
            <w:pPr>
              <w:snapToGrid w:val="0"/>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14:paraId="613A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408" w:type="pct"/>
            <w:vMerge w:val="continue"/>
            <w:noWrap w:val="0"/>
            <w:vAlign w:val="center"/>
          </w:tcPr>
          <w:p w14:paraId="01DFD8D7">
            <w:pPr>
              <w:snapToGrid w:val="0"/>
              <w:spacing w:line="240" w:lineRule="atLeast"/>
              <w:jc w:val="center"/>
              <w:rPr>
                <w:rFonts w:hint="default" w:ascii="Times New Roman" w:hAnsi="Times New Roman" w:cs="Times New Roman"/>
                <w:color w:val="auto"/>
                <w:sz w:val="21"/>
                <w:szCs w:val="21"/>
              </w:rPr>
            </w:pPr>
          </w:p>
        </w:tc>
        <w:tc>
          <w:tcPr>
            <w:tcW w:w="279" w:type="pct"/>
            <w:vMerge w:val="continue"/>
            <w:noWrap w:val="0"/>
            <w:vAlign w:val="center"/>
          </w:tcPr>
          <w:p w14:paraId="2341EE6F">
            <w:pPr>
              <w:snapToGrid w:val="0"/>
              <w:spacing w:line="240" w:lineRule="atLeast"/>
              <w:jc w:val="center"/>
              <w:rPr>
                <w:rFonts w:hint="default" w:ascii="Times New Roman" w:hAnsi="Times New Roman" w:cs="Times New Roman"/>
                <w:color w:val="auto"/>
                <w:sz w:val="21"/>
                <w:szCs w:val="21"/>
              </w:rPr>
            </w:pPr>
          </w:p>
        </w:tc>
        <w:tc>
          <w:tcPr>
            <w:tcW w:w="253" w:type="pct"/>
            <w:noWrap w:val="0"/>
            <w:vAlign w:val="center"/>
          </w:tcPr>
          <w:p w14:paraId="325C6DC9">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自评公开</w:t>
            </w:r>
          </w:p>
        </w:tc>
        <w:tc>
          <w:tcPr>
            <w:tcW w:w="265" w:type="pct"/>
            <w:noWrap w:val="0"/>
            <w:vAlign w:val="center"/>
          </w:tcPr>
          <w:p w14:paraId="6660F601">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3</w:t>
            </w:r>
          </w:p>
        </w:tc>
        <w:tc>
          <w:tcPr>
            <w:tcW w:w="481" w:type="pct"/>
            <w:noWrap w:val="0"/>
            <w:vAlign w:val="center"/>
          </w:tcPr>
          <w:p w14:paraId="7EA3AF72">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评价部门是否按要求将部门整体绩效自评情况和自行组织的评价情况向社会公开。</w:t>
            </w:r>
          </w:p>
        </w:tc>
        <w:tc>
          <w:tcPr>
            <w:tcW w:w="1177" w:type="pct"/>
            <w:noWrap w:val="0"/>
            <w:vAlign w:val="center"/>
          </w:tcPr>
          <w:p w14:paraId="5411D542">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按要求随同决算公开的，得3分。</w:t>
            </w:r>
          </w:p>
        </w:tc>
        <w:tc>
          <w:tcPr>
            <w:tcW w:w="1121" w:type="pct"/>
            <w:noWrap w:val="0"/>
            <w:vAlign w:val="center"/>
          </w:tcPr>
          <w:p w14:paraId="2E4DFA29">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人民政府信息公开网—预决算公开栏</w:t>
            </w:r>
          </w:p>
        </w:tc>
        <w:tc>
          <w:tcPr>
            <w:tcW w:w="746" w:type="pct"/>
            <w:noWrap w:val="0"/>
            <w:vAlign w:val="center"/>
          </w:tcPr>
          <w:p w14:paraId="438D643B">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3FFDE22A">
            <w:pPr>
              <w:snapToGrid w:val="0"/>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14:paraId="18AA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408" w:type="pct"/>
            <w:vMerge w:val="restart"/>
            <w:noWrap w:val="0"/>
            <w:vAlign w:val="center"/>
          </w:tcPr>
          <w:p w14:paraId="465EC6D2">
            <w:pPr>
              <w:snapToGrid w:val="0"/>
              <w:spacing w:line="240" w:lineRule="atLeast"/>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绩效结果应用</w:t>
            </w:r>
          </w:p>
          <w:p w14:paraId="0AFD39E0">
            <w:pPr>
              <w:snapToGrid w:val="0"/>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（10分）</w:t>
            </w:r>
          </w:p>
        </w:tc>
        <w:tc>
          <w:tcPr>
            <w:tcW w:w="279" w:type="pct"/>
            <w:vMerge w:val="restart"/>
            <w:noWrap w:val="0"/>
            <w:vAlign w:val="center"/>
          </w:tcPr>
          <w:p w14:paraId="50A11EBC">
            <w:pPr>
              <w:widowControl w:val="0"/>
              <w:snapToGrid w:val="0"/>
              <w:spacing w:line="240" w:lineRule="atLeast"/>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整改反馈</w:t>
            </w:r>
          </w:p>
          <w:p w14:paraId="3B35198F">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（4分）</w:t>
            </w:r>
          </w:p>
        </w:tc>
        <w:tc>
          <w:tcPr>
            <w:tcW w:w="253" w:type="pct"/>
            <w:noWrap w:val="0"/>
            <w:vAlign w:val="center"/>
          </w:tcPr>
          <w:p w14:paraId="68400C49">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结果整改</w:t>
            </w:r>
          </w:p>
        </w:tc>
        <w:tc>
          <w:tcPr>
            <w:tcW w:w="265" w:type="pct"/>
            <w:noWrap w:val="0"/>
            <w:vAlign w:val="center"/>
          </w:tcPr>
          <w:p w14:paraId="2B8F2C74">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p>
        </w:tc>
        <w:tc>
          <w:tcPr>
            <w:tcW w:w="481" w:type="pct"/>
            <w:noWrap w:val="0"/>
            <w:vAlign w:val="center"/>
          </w:tcPr>
          <w:p w14:paraId="7E0B86B4">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评价部门根据绩效管理结果整改问题、完善政策、改进管理的情况。</w:t>
            </w:r>
          </w:p>
        </w:tc>
        <w:tc>
          <w:tcPr>
            <w:tcW w:w="1177" w:type="pct"/>
            <w:noWrap w:val="0"/>
            <w:vAlign w:val="center"/>
          </w:tcPr>
          <w:p w14:paraId="67DBF4C4">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针对绩效管理过程中（包括绩效目标核查、绩效监控核查和重点绩效评价）提出的问题，发现一处未整改的，扣1分，直至扣完。</w:t>
            </w:r>
          </w:p>
        </w:tc>
        <w:tc>
          <w:tcPr>
            <w:tcW w:w="1121" w:type="pct"/>
            <w:noWrap w:val="0"/>
            <w:vAlign w:val="center"/>
          </w:tcPr>
          <w:p w14:paraId="001DA471">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结果整改说明、整改报告，现场检查</w:t>
            </w:r>
          </w:p>
        </w:tc>
        <w:tc>
          <w:tcPr>
            <w:tcW w:w="746" w:type="pct"/>
            <w:noWrap w:val="0"/>
            <w:vAlign w:val="center"/>
          </w:tcPr>
          <w:p w14:paraId="04418C5D">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23015869">
            <w:pPr>
              <w:snapToGrid w:val="0"/>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14:paraId="1B73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08" w:type="pct"/>
            <w:vMerge w:val="continue"/>
            <w:noWrap w:val="0"/>
            <w:vAlign w:val="center"/>
          </w:tcPr>
          <w:p w14:paraId="314C9484">
            <w:pPr>
              <w:snapToGrid w:val="0"/>
              <w:spacing w:line="240" w:lineRule="atLeast"/>
              <w:jc w:val="center"/>
              <w:rPr>
                <w:rFonts w:hint="default" w:ascii="Times New Roman" w:hAnsi="Times New Roman" w:cs="Times New Roman"/>
                <w:color w:val="auto"/>
                <w:sz w:val="21"/>
                <w:szCs w:val="21"/>
              </w:rPr>
            </w:pPr>
          </w:p>
        </w:tc>
        <w:tc>
          <w:tcPr>
            <w:tcW w:w="279" w:type="pct"/>
            <w:vMerge w:val="continue"/>
            <w:noWrap w:val="0"/>
            <w:vAlign w:val="center"/>
          </w:tcPr>
          <w:p w14:paraId="5B2E30F1">
            <w:pPr>
              <w:snapToGrid w:val="0"/>
              <w:spacing w:line="240" w:lineRule="atLeast"/>
              <w:jc w:val="center"/>
              <w:rPr>
                <w:rFonts w:hint="default" w:ascii="Times New Roman" w:hAnsi="Times New Roman" w:cs="Times New Roman"/>
                <w:color w:val="auto"/>
                <w:sz w:val="21"/>
                <w:szCs w:val="21"/>
              </w:rPr>
            </w:pPr>
          </w:p>
        </w:tc>
        <w:tc>
          <w:tcPr>
            <w:tcW w:w="253" w:type="pct"/>
            <w:noWrap w:val="0"/>
            <w:vAlign w:val="center"/>
          </w:tcPr>
          <w:p w14:paraId="3A3547C2">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应用反馈</w:t>
            </w:r>
          </w:p>
        </w:tc>
        <w:tc>
          <w:tcPr>
            <w:tcW w:w="265" w:type="pct"/>
            <w:noWrap w:val="0"/>
            <w:vAlign w:val="center"/>
          </w:tcPr>
          <w:p w14:paraId="7898A818">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p>
        </w:tc>
        <w:tc>
          <w:tcPr>
            <w:tcW w:w="481" w:type="pct"/>
            <w:noWrap w:val="0"/>
            <w:vAlign w:val="center"/>
          </w:tcPr>
          <w:p w14:paraId="5CD59B5B">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评价部门按要求及时向财政部门反馈结果应用情况。</w:t>
            </w:r>
          </w:p>
        </w:tc>
        <w:tc>
          <w:tcPr>
            <w:tcW w:w="1177" w:type="pct"/>
            <w:noWrap w:val="0"/>
            <w:vAlign w:val="center"/>
          </w:tcPr>
          <w:p w14:paraId="3B92E4D6">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部门在规定时间内向财政部门反馈应用绩效结果报告的，得满分，否则不得分。</w:t>
            </w:r>
          </w:p>
        </w:tc>
        <w:tc>
          <w:tcPr>
            <w:tcW w:w="1121" w:type="pct"/>
            <w:noWrap w:val="0"/>
            <w:vAlign w:val="center"/>
          </w:tcPr>
          <w:p w14:paraId="7407BB2C">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根据财政部门要求反馈的时间限制。</w:t>
            </w:r>
          </w:p>
        </w:tc>
        <w:tc>
          <w:tcPr>
            <w:tcW w:w="746" w:type="pct"/>
            <w:noWrap w:val="0"/>
            <w:vAlign w:val="center"/>
          </w:tcPr>
          <w:p w14:paraId="7D52BD4E">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1F4B9395">
            <w:pPr>
              <w:snapToGrid w:val="0"/>
              <w:spacing w:line="240" w:lineRule="atLeas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14:paraId="7573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408" w:type="pct"/>
            <w:noWrap w:val="0"/>
            <w:vAlign w:val="center"/>
          </w:tcPr>
          <w:p w14:paraId="59F12D12">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自评质量（10分）</w:t>
            </w:r>
          </w:p>
        </w:tc>
        <w:tc>
          <w:tcPr>
            <w:tcW w:w="279" w:type="pct"/>
            <w:noWrap w:val="0"/>
            <w:vAlign w:val="center"/>
          </w:tcPr>
          <w:p w14:paraId="1FEB3B30">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自评质量（10分）</w:t>
            </w:r>
          </w:p>
        </w:tc>
        <w:tc>
          <w:tcPr>
            <w:tcW w:w="253" w:type="pct"/>
            <w:noWrap w:val="0"/>
            <w:vAlign w:val="center"/>
          </w:tcPr>
          <w:p w14:paraId="6526474E">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自评准确</w:t>
            </w:r>
          </w:p>
        </w:tc>
        <w:tc>
          <w:tcPr>
            <w:tcW w:w="265" w:type="pct"/>
            <w:noWrap w:val="0"/>
            <w:vAlign w:val="center"/>
          </w:tcPr>
          <w:p w14:paraId="2F78673C">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10</w:t>
            </w:r>
          </w:p>
        </w:tc>
        <w:tc>
          <w:tcPr>
            <w:tcW w:w="481" w:type="pct"/>
            <w:noWrap w:val="0"/>
            <w:vAlign w:val="center"/>
          </w:tcPr>
          <w:p w14:paraId="2912F5AB">
            <w:pPr>
              <w:widowControl w:val="0"/>
              <w:snapToGrid w:val="0"/>
              <w:spacing w:line="240" w:lineRule="atLeas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评价部门整体支出自评准确率。</w:t>
            </w:r>
          </w:p>
        </w:tc>
        <w:tc>
          <w:tcPr>
            <w:tcW w:w="1177" w:type="pct"/>
            <w:noWrap w:val="0"/>
            <w:vAlign w:val="center"/>
          </w:tcPr>
          <w:p w14:paraId="1163AEB6">
            <w:pPr>
              <w:widowControl w:val="0"/>
              <w:snapToGrid w:val="0"/>
              <w:spacing w:line="240" w:lineRule="atLeast"/>
              <w:textAlignment w:val="center"/>
              <w:rPr>
                <w:rFonts w:hint="default" w:ascii="Times New Roman" w:hAnsi="Times New Roman" w:cs="Times New Roman"/>
                <w:color w:val="auto"/>
                <w:sz w:val="21"/>
                <w:szCs w:val="21"/>
              </w:rPr>
            </w:pPr>
            <w:r>
              <w:rPr>
                <w:rStyle w:val="25"/>
                <w:rFonts w:hint="default" w:ascii="Times New Roman" w:hAnsi="Times New Roman" w:cs="Times New Roman"/>
                <w:color w:val="auto"/>
                <w:sz w:val="21"/>
                <w:szCs w:val="21"/>
                <w:lang w:bidi="ar"/>
              </w:rPr>
              <w:t>部门整体支出自评得分与评价组抽查得分差异在5%以内的，不扣分；在5%-10%之间的，扣4分，在10%-20%的，扣8分，在20%以上的，扣10分。</w:t>
            </w:r>
            <w:r>
              <w:rPr>
                <w:rStyle w:val="26"/>
                <w:rFonts w:hint="default" w:ascii="Times New Roman" w:hAnsi="Times New Roman" w:cs="Times New Roman"/>
                <w:color w:val="auto"/>
                <w:sz w:val="21"/>
                <w:szCs w:val="21"/>
                <w:lang w:bidi="ar"/>
              </w:rPr>
              <w:t>（部门在自评时，此项指标无需打分，部门自评满分为90分）</w:t>
            </w:r>
          </w:p>
        </w:tc>
        <w:tc>
          <w:tcPr>
            <w:tcW w:w="1121" w:type="pct"/>
            <w:noWrap w:val="0"/>
            <w:vAlign w:val="center"/>
          </w:tcPr>
          <w:p w14:paraId="7FD4D870">
            <w:pPr>
              <w:snapToGrid w:val="0"/>
              <w:spacing w:line="240" w:lineRule="atLeast"/>
              <w:rPr>
                <w:rFonts w:hint="default" w:ascii="Times New Roman" w:hAnsi="Times New Roman" w:cs="Times New Roman"/>
                <w:color w:val="auto"/>
                <w:sz w:val="21"/>
                <w:szCs w:val="21"/>
              </w:rPr>
            </w:pPr>
          </w:p>
        </w:tc>
        <w:tc>
          <w:tcPr>
            <w:tcW w:w="746" w:type="pct"/>
            <w:noWrap w:val="0"/>
            <w:vAlign w:val="center"/>
          </w:tcPr>
          <w:p w14:paraId="7B079075">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4AB1CE22">
            <w:pPr>
              <w:snapToGrid w:val="0"/>
              <w:spacing w:line="240" w:lineRule="atLeast"/>
              <w:jc w:val="center"/>
              <w:rPr>
                <w:rFonts w:hint="default" w:ascii="Times New Roman" w:hAnsi="Times New Roman" w:cs="Times New Roman"/>
                <w:color w:val="auto"/>
                <w:sz w:val="21"/>
                <w:szCs w:val="21"/>
              </w:rPr>
            </w:pPr>
          </w:p>
        </w:tc>
      </w:tr>
      <w:tr w14:paraId="3F13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688" w:type="pct"/>
            <w:gridSpan w:val="2"/>
            <w:noWrap w:val="0"/>
            <w:vAlign w:val="center"/>
          </w:tcPr>
          <w:p w14:paraId="35CCDAD1">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自评总分</w:t>
            </w:r>
          </w:p>
        </w:tc>
        <w:tc>
          <w:tcPr>
            <w:tcW w:w="253" w:type="pct"/>
            <w:noWrap w:val="0"/>
            <w:vAlign w:val="center"/>
          </w:tcPr>
          <w:p w14:paraId="25711FFB">
            <w:pPr>
              <w:snapToGrid w:val="0"/>
              <w:spacing w:line="240" w:lineRule="atLeast"/>
              <w:jc w:val="center"/>
              <w:rPr>
                <w:rFonts w:hint="default" w:ascii="Times New Roman" w:hAnsi="Times New Roman" w:cs="Times New Roman"/>
                <w:color w:val="auto"/>
                <w:sz w:val="21"/>
                <w:szCs w:val="21"/>
              </w:rPr>
            </w:pPr>
          </w:p>
        </w:tc>
        <w:tc>
          <w:tcPr>
            <w:tcW w:w="265" w:type="pct"/>
            <w:noWrap w:val="0"/>
            <w:vAlign w:val="center"/>
          </w:tcPr>
          <w:p w14:paraId="3D030C6B">
            <w:pPr>
              <w:widowControl w:val="0"/>
              <w:snapToGrid w:val="0"/>
              <w:spacing w:line="240" w:lineRule="atLeas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90</w:t>
            </w:r>
          </w:p>
        </w:tc>
        <w:tc>
          <w:tcPr>
            <w:tcW w:w="481" w:type="pct"/>
            <w:noWrap w:val="0"/>
            <w:vAlign w:val="center"/>
          </w:tcPr>
          <w:p w14:paraId="23ABE4C7">
            <w:pPr>
              <w:snapToGrid w:val="0"/>
              <w:spacing w:line="240" w:lineRule="atLeast"/>
              <w:rPr>
                <w:rFonts w:hint="default" w:ascii="Times New Roman" w:hAnsi="Times New Roman" w:cs="Times New Roman"/>
                <w:color w:val="auto"/>
                <w:sz w:val="21"/>
                <w:szCs w:val="21"/>
              </w:rPr>
            </w:pPr>
          </w:p>
        </w:tc>
        <w:tc>
          <w:tcPr>
            <w:tcW w:w="1177" w:type="pct"/>
            <w:noWrap w:val="0"/>
            <w:vAlign w:val="center"/>
          </w:tcPr>
          <w:p w14:paraId="19EF8847">
            <w:pPr>
              <w:snapToGrid w:val="0"/>
              <w:spacing w:line="240" w:lineRule="atLeast"/>
              <w:rPr>
                <w:rFonts w:hint="default" w:ascii="Times New Roman" w:hAnsi="Times New Roman" w:cs="Times New Roman"/>
                <w:color w:val="auto"/>
                <w:sz w:val="21"/>
                <w:szCs w:val="21"/>
              </w:rPr>
            </w:pPr>
          </w:p>
        </w:tc>
        <w:tc>
          <w:tcPr>
            <w:tcW w:w="1121" w:type="pct"/>
            <w:noWrap w:val="0"/>
            <w:vAlign w:val="center"/>
          </w:tcPr>
          <w:p w14:paraId="21242D00">
            <w:pPr>
              <w:snapToGrid w:val="0"/>
              <w:spacing w:line="240" w:lineRule="atLeast"/>
              <w:rPr>
                <w:rFonts w:hint="default" w:ascii="Times New Roman" w:hAnsi="Times New Roman" w:cs="Times New Roman"/>
                <w:color w:val="auto"/>
                <w:sz w:val="21"/>
                <w:szCs w:val="21"/>
              </w:rPr>
            </w:pPr>
          </w:p>
        </w:tc>
        <w:tc>
          <w:tcPr>
            <w:tcW w:w="746" w:type="pct"/>
            <w:noWrap w:val="0"/>
            <w:vAlign w:val="center"/>
          </w:tcPr>
          <w:p w14:paraId="36E0C25F">
            <w:pPr>
              <w:snapToGrid w:val="0"/>
              <w:spacing w:line="240" w:lineRule="atLeast"/>
              <w:rPr>
                <w:rFonts w:hint="default" w:ascii="Times New Roman" w:hAnsi="Times New Roman" w:cs="Times New Roman"/>
                <w:color w:val="auto"/>
                <w:sz w:val="21"/>
                <w:szCs w:val="21"/>
              </w:rPr>
            </w:pPr>
          </w:p>
        </w:tc>
        <w:tc>
          <w:tcPr>
            <w:tcW w:w="265" w:type="pct"/>
            <w:noWrap w:val="0"/>
            <w:vAlign w:val="center"/>
          </w:tcPr>
          <w:p w14:paraId="340CFFA0">
            <w:pPr>
              <w:snapToGrid w:val="0"/>
              <w:spacing w:line="240"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80.22</w:t>
            </w:r>
          </w:p>
        </w:tc>
      </w:tr>
    </w:tbl>
    <w:p w14:paraId="6B444C0C"/>
    <w:p w14:paraId="7962A4D7">
      <w:pPr>
        <w:pStyle w:val="15"/>
      </w:pPr>
    </w:p>
    <w:p w14:paraId="48FE8978"/>
    <w:p w14:paraId="026D07F1">
      <w:pPr>
        <w:pStyle w:val="15"/>
      </w:pPr>
    </w:p>
    <w:p w14:paraId="1C31DFBA"/>
    <w:p w14:paraId="16F4F28F">
      <w:pPr>
        <w:pStyle w:val="15"/>
      </w:pPr>
    </w:p>
    <w:p w14:paraId="70D087A3"/>
    <w:p w14:paraId="79F423E8">
      <w:pPr>
        <w:pStyle w:val="15"/>
      </w:pPr>
    </w:p>
    <w:tbl>
      <w:tblPr>
        <w:tblStyle w:val="11"/>
        <w:tblpPr w:leftFromText="180" w:rightFromText="180" w:vertAnchor="text" w:horzAnchor="page" w:tblpX="994" w:tblpY="683"/>
        <w:tblOverlap w:val="never"/>
        <w:tblW w:w="15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1993"/>
        <w:gridCol w:w="1734"/>
        <w:gridCol w:w="2809"/>
        <w:gridCol w:w="516"/>
        <w:gridCol w:w="1645"/>
        <w:gridCol w:w="516"/>
        <w:gridCol w:w="1104"/>
        <w:gridCol w:w="531"/>
        <w:gridCol w:w="716"/>
        <w:gridCol w:w="2756"/>
      </w:tblGrid>
      <w:tr w14:paraId="55152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381532F">
            <w:pPr>
              <w:keepNext w:val="0"/>
              <w:keepLines w:val="0"/>
              <w:widowControl/>
              <w:suppressLineNumbers w:val="0"/>
              <w:jc w:val="center"/>
              <w:textAlignment w:val="center"/>
              <w:rPr>
                <w:rFonts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2F986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64E1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EA598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51090322T000000343811-文化馆免费开放</w:t>
            </w:r>
          </w:p>
        </w:tc>
      </w:tr>
      <w:tr w14:paraId="407FF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5095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3D412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61CEE95A">
            <w:pPr>
              <w:keepNext w:val="0"/>
              <w:keepLines w:val="0"/>
              <w:widowControl/>
              <w:suppressLineNumbers w:val="0"/>
              <w:jc w:val="left"/>
              <w:textAlignment w:val="center"/>
              <w:rPr>
                <w:rFonts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23A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05A5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448D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C406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448B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9B8DB6">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3238B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E721">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B64D7">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64E77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通过文化馆免费开放，进一步找准群众文化工作与推动全区经济社会发展的结合点，找准文化馆组织服务广大人民群众的切入点，不断丰富人民群众的精神文化生活，让老百姓共享文化成果。</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892D7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2023年船山区文化馆全年免费开放近350天，接待群众近10万人次，面向全区青少年开展免费培训共计24场次，组织开展各类文化惠民活动28场次，演出覆盖全区7个乡镇和5个街道，活动服务群众2.1万余人次。通过“船山文旅”“遂宁市船山区文化馆”网站及微网页，开展线上服务，提供艺术文化资源，各类端口服务人群超过10万人次。</w:t>
            </w:r>
          </w:p>
        </w:tc>
      </w:tr>
      <w:tr w14:paraId="65CBB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2558">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E6F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2FF04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区文化馆面向全区基层群众，提供免费文化活动场地、设施设备，每周对外免费开放不低于56小时，并实行延时错时开放。根据年初工作计划，开展声乐、器乐、舞蹈、书法等免费普及性文化艺术类培训。组织开展各类形式公益性公共服务文化活动，为常驻馆内开展活动的30余支文艺队伍和区内未常驻120余支文艺队伍免费提供场地、数字设备服务，并通过“遂宁市船山区文化馆”网站及微网页，提供艺术文化资源，丰富群众精神文化生活。</w:t>
            </w:r>
          </w:p>
        </w:tc>
      </w:tr>
      <w:tr w14:paraId="50F51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C52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79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4C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CB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3222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8B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73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6F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CF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6BD6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9D2E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C6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EA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6D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B57F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9C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37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EE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18F2B">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30F0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DBBD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CB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91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EF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FDF5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71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38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28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46313">
            <w:pPr>
              <w:rPr>
                <w:rFonts w:hint="eastAsia" w:ascii="黑体" w:hAnsi="黑体" w:eastAsia="黑体" w:cs="黑体"/>
                <w:i w:val="0"/>
                <w:iCs w:val="0"/>
                <w:color w:val="000000"/>
                <w:sz w:val="20"/>
                <w:szCs w:val="20"/>
                <w:u w:val="none"/>
              </w:rPr>
            </w:pPr>
          </w:p>
        </w:tc>
      </w:tr>
      <w:tr w14:paraId="1D451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AD37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1A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3B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DC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5F60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59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63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23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BF4BD">
            <w:pPr>
              <w:rPr>
                <w:rFonts w:hint="eastAsia" w:ascii="黑体" w:hAnsi="黑体" w:eastAsia="黑体" w:cs="黑体"/>
                <w:i w:val="0"/>
                <w:iCs w:val="0"/>
                <w:color w:val="000000"/>
                <w:sz w:val="20"/>
                <w:szCs w:val="20"/>
                <w:u w:val="none"/>
              </w:rPr>
            </w:pPr>
          </w:p>
        </w:tc>
      </w:tr>
      <w:tr w14:paraId="2A834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9E4D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11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5A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44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3714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77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1B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AC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CEDDE">
            <w:pPr>
              <w:rPr>
                <w:rFonts w:hint="eastAsia" w:ascii="黑体" w:hAnsi="黑体" w:eastAsia="黑体" w:cs="黑体"/>
                <w:i w:val="0"/>
                <w:iCs w:val="0"/>
                <w:color w:val="000000"/>
                <w:sz w:val="20"/>
                <w:szCs w:val="20"/>
                <w:u w:val="none"/>
              </w:rPr>
            </w:pPr>
          </w:p>
        </w:tc>
      </w:tr>
      <w:tr w14:paraId="67F3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7298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BD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3F41">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CDFD">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8E2454">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8E3">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A5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21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3EEFE">
            <w:pPr>
              <w:rPr>
                <w:rFonts w:hint="eastAsia" w:ascii="黑体" w:hAnsi="黑体" w:eastAsia="黑体" w:cs="黑体"/>
                <w:i w:val="0"/>
                <w:iCs w:val="0"/>
                <w:color w:val="000000"/>
                <w:sz w:val="20"/>
                <w:szCs w:val="20"/>
                <w:u w:val="none"/>
              </w:rPr>
            </w:pPr>
          </w:p>
        </w:tc>
      </w:tr>
      <w:tr w14:paraId="1661A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B0E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24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E3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4F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A3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86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30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E7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52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52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AA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231E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93E3B">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C6E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D3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4B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保障区文化馆免费开放数量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2F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49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3B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BC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1个</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71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9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4291">
            <w:pPr>
              <w:jc w:val="center"/>
              <w:rPr>
                <w:rFonts w:hint="eastAsia" w:ascii="微软雅黑" w:hAnsi="微软雅黑" w:eastAsia="微软雅黑" w:cs="微软雅黑"/>
                <w:i w:val="0"/>
                <w:iCs w:val="0"/>
                <w:color w:val="000000"/>
                <w:sz w:val="18"/>
                <w:szCs w:val="18"/>
                <w:u w:val="none"/>
              </w:rPr>
            </w:pPr>
          </w:p>
        </w:tc>
      </w:tr>
      <w:tr w14:paraId="75327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0934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53B35">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89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2C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C5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37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98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1F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D6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A2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8477">
            <w:pPr>
              <w:jc w:val="center"/>
              <w:rPr>
                <w:rFonts w:hint="eastAsia" w:ascii="微软雅黑" w:hAnsi="微软雅黑" w:eastAsia="微软雅黑" w:cs="微软雅黑"/>
                <w:i w:val="0"/>
                <w:iCs w:val="0"/>
                <w:color w:val="000000"/>
                <w:sz w:val="18"/>
                <w:szCs w:val="18"/>
                <w:u w:val="none"/>
              </w:rPr>
            </w:pPr>
          </w:p>
        </w:tc>
      </w:tr>
      <w:tr w14:paraId="6AA6B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744D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0008F">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AC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BB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E3D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87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D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A2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F4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8A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245E">
            <w:pPr>
              <w:jc w:val="center"/>
              <w:rPr>
                <w:rFonts w:hint="eastAsia" w:ascii="微软雅黑" w:hAnsi="微软雅黑" w:eastAsia="微软雅黑" w:cs="微软雅黑"/>
                <w:i w:val="0"/>
                <w:iCs w:val="0"/>
                <w:color w:val="000000"/>
                <w:sz w:val="18"/>
                <w:szCs w:val="18"/>
                <w:u w:val="none"/>
              </w:rPr>
            </w:pPr>
          </w:p>
        </w:tc>
      </w:tr>
      <w:tr w14:paraId="32F4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2AAAB">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3F8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CD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F8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文化馆全年正常开放天数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3D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E9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58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天</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F1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350天</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BA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BF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8070">
            <w:pPr>
              <w:jc w:val="center"/>
              <w:rPr>
                <w:rFonts w:hint="eastAsia" w:ascii="微软雅黑" w:hAnsi="微软雅黑" w:eastAsia="微软雅黑" w:cs="微软雅黑"/>
                <w:i w:val="0"/>
                <w:iCs w:val="0"/>
                <w:color w:val="000000"/>
                <w:sz w:val="18"/>
                <w:szCs w:val="18"/>
                <w:u w:val="none"/>
              </w:rPr>
            </w:pPr>
          </w:p>
        </w:tc>
      </w:tr>
      <w:tr w14:paraId="67F6E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5645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7DC2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2C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BB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文化馆管理制度健全性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82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6E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CFD9">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62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0E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B6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6D37">
            <w:pPr>
              <w:jc w:val="center"/>
              <w:rPr>
                <w:rFonts w:hint="eastAsia" w:ascii="微软雅黑" w:hAnsi="微软雅黑" w:eastAsia="微软雅黑" w:cs="微软雅黑"/>
                <w:i w:val="0"/>
                <w:iCs w:val="0"/>
                <w:color w:val="000000"/>
                <w:sz w:val="18"/>
                <w:szCs w:val="18"/>
                <w:u w:val="none"/>
              </w:rPr>
            </w:pPr>
          </w:p>
        </w:tc>
      </w:tr>
      <w:tr w14:paraId="0745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CFE8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DC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1E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A7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市民满意度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0C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7F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B7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20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AD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42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84B6">
            <w:pPr>
              <w:jc w:val="center"/>
              <w:rPr>
                <w:rFonts w:hint="eastAsia" w:ascii="微软雅黑" w:hAnsi="微软雅黑" w:eastAsia="微软雅黑" w:cs="微软雅黑"/>
                <w:i w:val="0"/>
                <w:iCs w:val="0"/>
                <w:color w:val="000000"/>
                <w:sz w:val="18"/>
                <w:szCs w:val="18"/>
                <w:u w:val="none"/>
              </w:rPr>
            </w:pPr>
          </w:p>
        </w:tc>
      </w:tr>
      <w:tr w14:paraId="6E04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0248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71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98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5F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CA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D2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6A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FB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41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29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B43A">
            <w:pPr>
              <w:jc w:val="center"/>
              <w:rPr>
                <w:rFonts w:hint="eastAsia" w:ascii="微软雅黑" w:hAnsi="微软雅黑" w:eastAsia="微软雅黑" w:cs="微软雅黑"/>
                <w:i w:val="0"/>
                <w:iCs w:val="0"/>
                <w:color w:val="000000"/>
                <w:sz w:val="18"/>
                <w:szCs w:val="18"/>
                <w:u w:val="none"/>
              </w:rPr>
            </w:pPr>
          </w:p>
        </w:tc>
      </w:tr>
      <w:tr w14:paraId="64D0E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DE21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94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6BD7">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CCD3">
            <w:pPr>
              <w:rPr>
                <w:rFonts w:hint="eastAsia" w:ascii="宋体" w:hAnsi="宋体" w:eastAsia="宋体" w:cs="宋体"/>
                <w:i w:val="0"/>
                <w:iCs w:val="0"/>
                <w:color w:val="000000"/>
                <w:sz w:val="20"/>
                <w:szCs w:val="20"/>
                <w:u w:val="none"/>
              </w:rPr>
            </w:pPr>
          </w:p>
        </w:tc>
      </w:tr>
      <w:tr w14:paraId="64006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8F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F885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实施符合中省市区政策部署，有相关法律法规作支撑，是满足人民群众精神文化需求的民生项目，为群众活动提供了场地，设施设备及数字设备等必要保障，有效解决了群众活动场地，设施设备等问题，满足群众文化活动需求；开展暑期培训，培养青少年兴趣爱好；开展惠民活动，丰富了群众精神文化生活；开展数字化服务，让群众足不出户欣赏文化、感受文化。通过项目实施，为群众提供更优质的文化服务，更好满足群众精神文化生活需求，获得广泛认可。该项目综合评价得分100分。</w:t>
            </w:r>
          </w:p>
        </w:tc>
      </w:tr>
      <w:tr w14:paraId="29C0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5C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58A5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免费开放是文化馆重要工作之一，也是提升我区群众艺术水准的基础平台，但是由于场地不足、专业艺术人才缺乏、基层专职文化干部缺少、经费保障不够等方面的原因，导致基层公共文化服务阵地功能不完善、服务能力不足等问题，距离人民群众对公共文化服务的需求有较大差距。</w:t>
            </w:r>
          </w:p>
        </w:tc>
      </w:tr>
      <w:tr w14:paraId="72AC8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9"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30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CED4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建议考虑加大场地投入专项经费支持。增加人员编制，提高免费开放活动的保障力度，进一步丰富群众精神文化生活，提升广大群众文化素养，推动社会和谐繁荣发展。</w:t>
            </w:r>
          </w:p>
        </w:tc>
      </w:tr>
      <w:tr w14:paraId="0135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8467DA">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CC8E489">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44D20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687172B">
            <w:pPr>
              <w:rPr>
                <w:rFonts w:hint="eastAsia" w:ascii="宋体" w:hAnsi="宋体" w:eastAsia="宋体" w:cs="宋体"/>
                <w:i w:val="0"/>
                <w:iCs w:val="0"/>
                <w:color w:val="000000"/>
                <w:sz w:val="20"/>
                <w:szCs w:val="20"/>
                <w:u w:val="none"/>
              </w:rPr>
            </w:pPr>
          </w:p>
          <w:p w14:paraId="1A49001E">
            <w:pPr>
              <w:pStyle w:val="15"/>
              <w:rPr>
                <w:rFonts w:hint="eastAsia" w:ascii="宋体" w:hAnsi="宋体" w:eastAsia="宋体" w:cs="宋体"/>
                <w:i w:val="0"/>
                <w:iCs w:val="0"/>
                <w:color w:val="000000"/>
                <w:sz w:val="20"/>
                <w:szCs w:val="20"/>
                <w:u w:val="none"/>
              </w:rPr>
            </w:pPr>
          </w:p>
          <w:p w14:paraId="56315D48">
            <w:pPr>
              <w:rPr>
                <w:rFonts w:hint="eastAsia" w:ascii="宋体" w:hAnsi="宋体" w:eastAsia="宋体" w:cs="宋体"/>
                <w:i w:val="0"/>
                <w:iCs w:val="0"/>
                <w:color w:val="000000"/>
                <w:sz w:val="20"/>
                <w:szCs w:val="20"/>
                <w:u w:val="none"/>
              </w:rPr>
            </w:pPr>
          </w:p>
          <w:p w14:paraId="4789D681">
            <w:pPr>
              <w:pStyle w:val="15"/>
              <w:rPr>
                <w:rFonts w:hint="eastAsia" w:ascii="宋体" w:hAnsi="宋体" w:eastAsia="宋体" w:cs="宋体"/>
                <w:i w:val="0"/>
                <w:iCs w:val="0"/>
                <w:color w:val="000000"/>
                <w:sz w:val="20"/>
                <w:szCs w:val="20"/>
                <w:u w:val="none"/>
              </w:rPr>
            </w:pPr>
          </w:p>
          <w:p w14:paraId="4C7CF7B3">
            <w:pPr>
              <w:rPr>
                <w:rFonts w:hint="eastAsia" w:ascii="宋体" w:hAnsi="宋体" w:eastAsia="宋体" w:cs="宋体"/>
                <w:i w:val="0"/>
                <w:iCs w:val="0"/>
                <w:color w:val="000000"/>
                <w:sz w:val="20"/>
                <w:szCs w:val="20"/>
                <w:u w:val="none"/>
              </w:rPr>
            </w:pPr>
          </w:p>
          <w:p w14:paraId="228ECA0F">
            <w:pPr>
              <w:pStyle w:val="15"/>
              <w:rPr>
                <w:rFonts w:hint="eastAsia" w:ascii="宋体" w:hAnsi="宋体" w:eastAsia="宋体" w:cs="宋体"/>
                <w:i w:val="0"/>
                <w:iCs w:val="0"/>
                <w:color w:val="000000"/>
                <w:sz w:val="20"/>
                <w:szCs w:val="20"/>
                <w:u w:val="none"/>
              </w:rPr>
            </w:pPr>
          </w:p>
          <w:p w14:paraId="160A78C7">
            <w:pPr>
              <w:rPr>
                <w:rFonts w:hint="eastAsia" w:ascii="宋体" w:hAnsi="宋体" w:eastAsia="宋体" w:cs="宋体"/>
                <w:i w:val="0"/>
                <w:iCs w:val="0"/>
                <w:color w:val="000000"/>
                <w:sz w:val="20"/>
                <w:szCs w:val="20"/>
                <w:u w:val="none"/>
              </w:rPr>
            </w:pPr>
          </w:p>
          <w:p w14:paraId="0D508987">
            <w:pPr>
              <w:pStyle w:val="15"/>
              <w:rPr>
                <w:rFonts w:hint="eastAsia" w:ascii="宋体" w:hAnsi="宋体" w:eastAsia="宋体" w:cs="宋体"/>
                <w:i w:val="0"/>
                <w:iCs w:val="0"/>
                <w:color w:val="000000"/>
                <w:sz w:val="20"/>
                <w:szCs w:val="20"/>
                <w:u w:val="none"/>
              </w:rPr>
            </w:pPr>
          </w:p>
          <w:p w14:paraId="32555569">
            <w:pPr>
              <w:rPr>
                <w:rFonts w:hint="eastAsia" w:ascii="宋体" w:hAnsi="宋体" w:eastAsia="宋体" w:cs="宋体"/>
                <w:i w:val="0"/>
                <w:iCs w:val="0"/>
                <w:color w:val="000000"/>
                <w:sz w:val="20"/>
                <w:szCs w:val="20"/>
                <w:u w:val="none"/>
              </w:rPr>
            </w:pPr>
          </w:p>
          <w:p w14:paraId="30724C83">
            <w:pPr>
              <w:pStyle w:val="15"/>
              <w:rPr>
                <w:rFonts w:hint="eastAsia"/>
              </w:rPr>
            </w:pPr>
          </w:p>
        </w:tc>
        <w:tc>
          <w:tcPr>
            <w:tcW w:w="2011" w:type="dxa"/>
            <w:tcBorders>
              <w:top w:val="nil"/>
              <w:left w:val="nil"/>
              <w:bottom w:val="nil"/>
              <w:right w:val="nil"/>
            </w:tcBorders>
            <w:shd w:val="clear" w:color="auto" w:fill="auto"/>
            <w:vAlign w:val="center"/>
          </w:tcPr>
          <w:p w14:paraId="7012A19A">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3124258D">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3D1F4EAB">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8D81E42">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005DFD10">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06805E9D">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49604216">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287E3DD2">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0A46E3CE">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7D3B705F">
            <w:pPr>
              <w:rPr>
                <w:rFonts w:hint="eastAsia" w:ascii="宋体" w:hAnsi="宋体" w:eastAsia="宋体" w:cs="宋体"/>
                <w:i w:val="0"/>
                <w:iCs w:val="0"/>
                <w:color w:val="000000"/>
                <w:sz w:val="20"/>
                <w:szCs w:val="20"/>
                <w:u w:val="none"/>
              </w:rPr>
            </w:pPr>
          </w:p>
        </w:tc>
      </w:tr>
      <w:tr w14:paraId="3FC4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A444433">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4D5C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EEFE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F305D1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51090322T000000343819-图书馆免费开放</w:t>
            </w:r>
          </w:p>
        </w:tc>
      </w:tr>
      <w:tr w14:paraId="53B5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8E82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5DACF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3A42A220">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883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16EB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A9C6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CC81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0520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F7F5D5">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6886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18E84">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4D227">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F96D3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保障区图书馆免费开放。</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0EBB1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船山区图书馆实行延时错时开放，每周对外免费开放超过 63 小时，全年对外免费开放不低于300天。为全区读者提供了场地和设施设备等必要保障。严格按照活动方案，扎实有序高质量推进全民阅读活动。</w:t>
            </w:r>
          </w:p>
        </w:tc>
      </w:tr>
      <w:tr w14:paraId="4114E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4499D">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AE5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79E32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利用传统节日，开展全民阅读推广活动。2.强化馆校合作，促进“文教合作”新机制，推动优质服务进校园。3.加强思想文化宣传，弘扬中华优秀传统文化，丰富《船山文旅讲坛》宣讲内容。邀请全国著名儿童文学家、市委党校高级教师、遂宁本地文化学者开展进机关进街道进社区进校园读书讲座活动6场次，受众近2万人次。4.打造船山特色阅读空间，为读者提供更广泛的服务。  2023年完成2处阅读空间建设，两处分别上架文学、科学、军事等类书籍600册，按时定期交流更换2次。5、成立船山历史文化研究会，深度挖掘船山乡村文化 ，丰富本土文化资源。目前完成斗城历史创建者夏鲁奇传奇编辑以及宋时著名文学家、科学家、音乐家王灼著作《糖霜谱》和《碧鸡漫志》的收集整理。特色亮点工作就是打造“阅无限•向未来—悦读船山”馆校合作读书活动，</w:t>
            </w:r>
            <w:r>
              <w:rPr>
                <w:rFonts w:hint="eastAsia" w:ascii="宋体" w:hAnsi="宋体" w:cs="宋体"/>
                <w:i w:val="0"/>
                <w:iCs w:val="0"/>
                <w:color w:val="000000"/>
                <w:kern w:val="0"/>
                <w:sz w:val="20"/>
                <w:szCs w:val="20"/>
                <w:u w:val="none"/>
                <w:lang w:val="en-US" w:eastAsia="zh-CN" w:bidi="ar"/>
              </w:rPr>
              <w:t>截至目前</w:t>
            </w:r>
            <w:r>
              <w:rPr>
                <w:rFonts w:ascii="宋体" w:hAnsi="宋体" w:eastAsia="宋体" w:cs="宋体"/>
                <w:i w:val="0"/>
                <w:iCs w:val="0"/>
                <w:color w:val="000000"/>
                <w:kern w:val="0"/>
                <w:sz w:val="20"/>
                <w:szCs w:val="20"/>
                <w:u w:val="none"/>
                <w:lang w:val="en-US" w:eastAsia="zh-CN" w:bidi="ar"/>
              </w:rPr>
              <w:t>我们已经与遂宁中学、遂宁六中、油房街小学校等10余所学校签订合作协议。在协议的基础上，务实推进以青少年学生为服务对象的读书活动，因为效果突出、成效显著，2023年区图书馆被四川省文化和旅游厅表彰为优秀单位，被四川省图书馆（四川省古籍文物保护中心）、四川省图书馆学会评为全省“组织二等奖”，全省区县馆仅有6个单位获此殊荣。</w:t>
            </w:r>
          </w:p>
        </w:tc>
      </w:tr>
      <w:tr w14:paraId="73138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9D42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30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009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0F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C474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F8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75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ED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8D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19C9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BD94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002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C5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9D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BE4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86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7A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0A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BD04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7C3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C057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12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08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4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2AD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1A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C0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29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E8709">
            <w:pPr>
              <w:rPr>
                <w:rFonts w:hint="eastAsia" w:ascii="黑体" w:hAnsi="黑体" w:eastAsia="黑体" w:cs="黑体"/>
                <w:i w:val="0"/>
                <w:iCs w:val="0"/>
                <w:color w:val="000000"/>
                <w:sz w:val="20"/>
                <w:szCs w:val="20"/>
                <w:u w:val="none"/>
              </w:rPr>
            </w:pPr>
          </w:p>
        </w:tc>
      </w:tr>
      <w:tr w14:paraId="5B538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86B6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45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D3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63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858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64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A7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6E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C6A75">
            <w:pPr>
              <w:rPr>
                <w:rFonts w:hint="eastAsia" w:ascii="黑体" w:hAnsi="黑体" w:eastAsia="黑体" w:cs="黑体"/>
                <w:i w:val="0"/>
                <w:iCs w:val="0"/>
                <w:color w:val="000000"/>
                <w:sz w:val="20"/>
                <w:szCs w:val="20"/>
                <w:u w:val="none"/>
              </w:rPr>
            </w:pPr>
          </w:p>
        </w:tc>
      </w:tr>
      <w:tr w14:paraId="6049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3A2E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A1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0A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D8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806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F7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4B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80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72C48">
            <w:pPr>
              <w:rPr>
                <w:rFonts w:hint="eastAsia" w:ascii="黑体" w:hAnsi="黑体" w:eastAsia="黑体" w:cs="黑体"/>
                <w:i w:val="0"/>
                <w:iCs w:val="0"/>
                <w:color w:val="000000"/>
                <w:sz w:val="20"/>
                <w:szCs w:val="20"/>
                <w:u w:val="none"/>
              </w:rPr>
            </w:pPr>
          </w:p>
        </w:tc>
      </w:tr>
      <w:tr w14:paraId="37ADC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3752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DB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39CF">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752B">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CE9783">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D57A">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E9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9E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F8A7D">
            <w:pPr>
              <w:rPr>
                <w:rFonts w:hint="eastAsia" w:ascii="黑体" w:hAnsi="黑体" w:eastAsia="黑体" w:cs="黑体"/>
                <w:i w:val="0"/>
                <w:iCs w:val="0"/>
                <w:color w:val="000000"/>
                <w:sz w:val="20"/>
                <w:szCs w:val="20"/>
                <w:u w:val="none"/>
              </w:rPr>
            </w:pPr>
          </w:p>
        </w:tc>
      </w:tr>
      <w:tr w14:paraId="3E90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A27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3B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9D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3D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03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FD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D4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48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31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55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13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1634C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8B0E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1DA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28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70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保障区图书馆免费开放数量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F9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27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6A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8D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8D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CB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0294">
            <w:pPr>
              <w:jc w:val="center"/>
              <w:rPr>
                <w:rFonts w:hint="eastAsia" w:ascii="微软雅黑" w:hAnsi="微软雅黑" w:eastAsia="微软雅黑" w:cs="微软雅黑"/>
                <w:i w:val="0"/>
                <w:iCs w:val="0"/>
                <w:color w:val="000000"/>
                <w:sz w:val="18"/>
                <w:szCs w:val="18"/>
                <w:u w:val="none"/>
              </w:rPr>
            </w:pPr>
          </w:p>
        </w:tc>
      </w:tr>
      <w:tr w14:paraId="76038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D547D">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27D5D">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85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F9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07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71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8C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44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C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30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2CF7">
            <w:pPr>
              <w:jc w:val="center"/>
              <w:rPr>
                <w:rFonts w:hint="eastAsia" w:ascii="微软雅黑" w:hAnsi="微软雅黑" w:eastAsia="微软雅黑" w:cs="微软雅黑"/>
                <w:i w:val="0"/>
                <w:iCs w:val="0"/>
                <w:color w:val="000000"/>
                <w:sz w:val="18"/>
                <w:szCs w:val="18"/>
                <w:u w:val="none"/>
              </w:rPr>
            </w:pPr>
          </w:p>
        </w:tc>
      </w:tr>
      <w:tr w14:paraId="5B0C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356C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7ADA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16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6D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E8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72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63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A3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50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A4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BB81">
            <w:pPr>
              <w:jc w:val="center"/>
              <w:rPr>
                <w:rFonts w:hint="eastAsia" w:ascii="微软雅黑" w:hAnsi="微软雅黑" w:eastAsia="微软雅黑" w:cs="微软雅黑"/>
                <w:i w:val="0"/>
                <w:iCs w:val="0"/>
                <w:color w:val="000000"/>
                <w:sz w:val="18"/>
                <w:szCs w:val="18"/>
                <w:u w:val="none"/>
              </w:rPr>
            </w:pPr>
          </w:p>
        </w:tc>
      </w:tr>
      <w:tr w14:paraId="30C7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74653">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C189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42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7F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图书馆每周开放小时数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6D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F1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81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小时</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C5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B6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B3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6793">
            <w:pPr>
              <w:jc w:val="center"/>
              <w:rPr>
                <w:rFonts w:hint="eastAsia" w:ascii="微软雅黑" w:hAnsi="微软雅黑" w:eastAsia="微软雅黑" w:cs="微软雅黑"/>
                <w:i w:val="0"/>
                <w:iCs w:val="0"/>
                <w:color w:val="000000"/>
                <w:sz w:val="18"/>
                <w:szCs w:val="18"/>
                <w:u w:val="none"/>
              </w:rPr>
            </w:pPr>
          </w:p>
        </w:tc>
      </w:tr>
      <w:tr w14:paraId="6F198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E580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5645A">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7C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85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图书馆管理制度健全性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7D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49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8239">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B2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持续</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D7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0E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9E03">
            <w:pPr>
              <w:jc w:val="center"/>
              <w:rPr>
                <w:rFonts w:hint="eastAsia" w:ascii="微软雅黑" w:hAnsi="微软雅黑" w:eastAsia="微软雅黑" w:cs="微软雅黑"/>
                <w:i w:val="0"/>
                <w:iCs w:val="0"/>
                <w:color w:val="000000"/>
                <w:sz w:val="18"/>
                <w:szCs w:val="18"/>
                <w:u w:val="none"/>
              </w:rPr>
            </w:pPr>
          </w:p>
        </w:tc>
      </w:tr>
      <w:tr w14:paraId="4E26C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8B03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A8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7A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34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市民满意度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10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E2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ED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7C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18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8A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6D26">
            <w:pPr>
              <w:jc w:val="center"/>
              <w:rPr>
                <w:rFonts w:hint="eastAsia" w:ascii="微软雅黑" w:hAnsi="微软雅黑" w:eastAsia="微软雅黑" w:cs="微软雅黑"/>
                <w:i w:val="0"/>
                <w:iCs w:val="0"/>
                <w:color w:val="000000"/>
                <w:sz w:val="18"/>
                <w:szCs w:val="18"/>
                <w:u w:val="none"/>
              </w:rPr>
            </w:pPr>
          </w:p>
        </w:tc>
      </w:tr>
      <w:tr w14:paraId="375D5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09DF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36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A1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BA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C3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D9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F1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36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36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7A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F9DE">
            <w:pPr>
              <w:jc w:val="center"/>
              <w:rPr>
                <w:rFonts w:hint="eastAsia" w:ascii="微软雅黑" w:hAnsi="微软雅黑" w:eastAsia="微软雅黑" w:cs="微软雅黑"/>
                <w:i w:val="0"/>
                <w:iCs w:val="0"/>
                <w:color w:val="000000"/>
                <w:sz w:val="18"/>
                <w:szCs w:val="18"/>
                <w:u w:val="none"/>
              </w:rPr>
            </w:pPr>
          </w:p>
        </w:tc>
      </w:tr>
      <w:tr w14:paraId="063F7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54ACC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3B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15AB">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6295">
            <w:pPr>
              <w:rPr>
                <w:rFonts w:hint="eastAsia" w:ascii="宋体" w:hAnsi="宋体" w:eastAsia="宋体" w:cs="宋体"/>
                <w:i w:val="0"/>
                <w:iCs w:val="0"/>
                <w:color w:val="000000"/>
                <w:sz w:val="20"/>
                <w:szCs w:val="20"/>
                <w:u w:val="none"/>
              </w:rPr>
            </w:pPr>
          </w:p>
        </w:tc>
      </w:tr>
      <w:tr w14:paraId="2A5A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DE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66EE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照预算绩效管理要求，我局对船山区图书馆免费开放项目2023年整体支出开展绩效自评，自评结果为优秀.数量指标：完成“书香船山.莲香成渝”全民阅读系列活动5场；“阅无限·向未来—悦读船山”主题馆校读书活动8场。营造良好读书氛围，助推船山精神文明建设。质量指标：完成资金发放100%。时效指标：该项目计划资金共20万元，其中中央补助资金16万元、省级补助资金1.2万元、市级补助资金0.8万元，区级匹配资金2万元，无单位自筹和其他渠道资金。实际共到位各级资金20万元，资金到位率100%。成本指标：完成项目成本20万元。社会效益指标：图书馆实行延时错时开放，每周对外免费开放超过56小时，全年对外免费开放不低于300天。可持续影响指标：图书馆项目资金按规定实行</w:t>
            </w:r>
            <w:r>
              <w:rPr>
                <w:rFonts w:hint="eastAsia" w:ascii="宋体" w:hAnsi="宋体" w:cs="宋体"/>
                <w:i w:val="0"/>
                <w:iCs w:val="0"/>
                <w:color w:val="000000"/>
                <w:kern w:val="0"/>
                <w:sz w:val="21"/>
                <w:szCs w:val="21"/>
                <w:u w:val="none"/>
                <w:lang w:val="en-US" w:eastAsia="zh-CN" w:bidi="ar"/>
              </w:rPr>
              <w:t>了专账</w:t>
            </w:r>
            <w:r>
              <w:rPr>
                <w:rFonts w:hint="eastAsia" w:ascii="宋体" w:hAnsi="宋体" w:eastAsia="宋体" w:cs="宋体"/>
                <w:i w:val="0"/>
                <w:iCs w:val="0"/>
                <w:color w:val="000000"/>
                <w:kern w:val="0"/>
                <w:sz w:val="21"/>
                <w:szCs w:val="21"/>
                <w:u w:val="none"/>
                <w:lang w:val="en-US" w:eastAsia="zh-CN" w:bidi="ar"/>
              </w:rPr>
              <w:t>、专人管理，支出符合规定，资金按计划、方案及验收结果支付。项目严格财务管理制度</w:t>
            </w:r>
            <w:r>
              <w:rPr>
                <w:rFonts w:hint="eastAsia" w:ascii="宋体" w:hAnsi="宋体" w:cs="宋体"/>
                <w:i w:val="0"/>
                <w:iCs w:val="0"/>
                <w:color w:val="000000"/>
                <w:kern w:val="0"/>
                <w:sz w:val="21"/>
                <w:szCs w:val="21"/>
                <w:u w:val="none"/>
                <w:lang w:val="en-US" w:eastAsia="zh-CN" w:bidi="ar"/>
              </w:rPr>
              <w:t>，账务</w:t>
            </w:r>
            <w:r>
              <w:rPr>
                <w:rFonts w:hint="eastAsia" w:ascii="宋体" w:hAnsi="宋体" w:eastAsia="宋体" w:cs="宋体"/>
                <w:i w:val="0"/>
                <w:iCs w:val="0"/>
                <w:color w:val="000000"/>
                <w:kern w:val="0"/>
                <w:sz w:val="21"/>
                <w:szCs w:val="21"/>
                <w:u w:val="none"/>
                <w:lang w:val="en-US" w:eastAsia="zh-CN" w:bidi="ar"/>
              </w:rPr>
              <w:t>处理及时</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会计核算规范。服务对象满意指标：完成社会公众满意度大于95%，受惠群众满意度大于98%。</w:t>
            </w:r>
          </w:p>
        </w:tc>
      </w:tr>
      <w:tr w14:paraId="2564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F7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C9D3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1、公共图书馆阵地严重不足。目前，船山区图书馆现有阵地面积严重不足，功能布局不合理，服务项目不够丰富。</w:t>
            </w:r>
          </w:p>
          <w:p w14:paraId="4D0DFA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2、资金投入不够。目前，船山区图书馆仅有上级下达的免费开放资金，只能基本维护图书馆运转和中小型活动的开展，无法支持大型全民阅读活动。</w:t>
            </w:r>
          </w:p>
          <w:p w14:paraId="01EA26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3、表现在对于绩效评价的认识不够深入，把预算绩效简单等同于工作目标、工作考核和业务管理。</w:t>
            </w:r>
          </w:p>
        </w:tc>
      </w:tr>
      <w:tr w14:paraId="548D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67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265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加强对财政资金拨付和使用的管理，加强绩效评价管理制度和流程的建设，进一步深化、完善绩效管理体系，建立全过程的预算绩效管理机制，促进绩效管理工作向广度和深度延伸，确保专款专用。</w:t>
            </w:r>
          </w:p>
        </w:tc>
      </w:tr>
      <w:tr w14:paraId="39A89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398F8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项目负责人：杨金</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CAFE9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23E26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0BDB4584">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7B710ACF">
            <w:pPr>
              <w:rPr>
                <w:rFonts w:hint="eastAsia" w:ascii="宋体" w:hAnsi="宋体" w:eastAsia="宋体" w:cs="宋体"/>
                <w:i w:val="0"/>
                <w:iCs w:val="0"/>
                <w:color w:val="000000"/>
                <w:sz w:val="20"/>
                <w:szCs w:val="20"/>
                <w:u w:val="none"/>
              </w:rPr>
            </w:pPr>
          </w:p>
          <w:p w14:paraId="74024C96">
            <w:pPr>
              <w:pStyle w:val="15"/>
              <w:rPr>
                <w:rFonts w:hint="eastAsia" w:ascii="宋体" w:hAnsi="宋体" w:eastAsia="宋体" w:cs="宋体"/>
                <w:i w:val="0"/>
                <w:iCs w:val="0"/>
                <w:color w:val="000000"/>
                <w:sz w:val="20"/>
                <w:szCs w:val="20"/>
                <w:u w:val="none"/>
              </w:rPr>
            </w:pPr>
          </w:p>
          <w:p w14:paraId="173D637B">
            <w:pPr>
              <w:pStyle w:val="15"/>
              <w:rPr>
                <w:rFonts w:hint="eastAsia"/>
              </w:rPr>
            </w:pPr>
          </w:p>
        </w:tc>
        <w:tc>
          <w:tcPr>
            <w:tcW w:w="1746" w:type="dxa"/>
            <w:tcBorders>
              <w:top w:val="nil"/>
              <w:left w:val="nil"/>
              <w:bottom w:val="nil"/>
              <w:right w:val="nil"/>
            </w:tcBorders>
            <w:shd w:val="clear" w:color="auto" w:fill="auto"/>
            <w:vAlign w:val="center"/>
          </w:tcPr>
          <w:p w14:paraId="4F8C08C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38C86036">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08810C1">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487B7241">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28C61792">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2C633CC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39A48156">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654C0061">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5FA756C4">
            <w:pPr>
              <w:rPr>
                <w:rFonts w:hint="eastAsia" w:ascii="宋体" w:hAnsi="宋体" w:eastAsia="宋体" w:cs="宋体"/>
                <w:i w:val="0"/>
                <w:iCs w:val="0"/>
                <w:color w:val="000000"/>
                <w:sz w:val="20"/>
                <w:szCs w:val="20"/>
                <w:u w:val="none"/>
              </w:rPr>
            </w:pPr>
          </w:p>
        </w:tc>
      </w:tr>
      <w:tr w14:paraId="76701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788C8D8">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444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1A1E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1662E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51090322T000000343845-美术馆免费开放</w:t>
            </w:r>
          </w:p>
        </w:tc>
      </w:tr>
      <w:tr w14:paraId="6C114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CDBF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A39C7A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6163FC05">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1BEF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1C038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C4D5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9397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B4B3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D3B1D3">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2E9A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9A929">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E3719">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9C9AF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保障区美术馆免费开放，满足人民群众日益增长的精神文化需求，有效促进美术事业发展。</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3497C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全年免费开放350天以上，每周对外免费开放56小时以上，服务群众6万人次以上，群众满意度达98%以上。</w:t>
            </w:r>
          </w:p>
        </w:tc>
      </w:tr>
      <w:tr w14:paraId="45F2C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56EEE">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286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02CE3E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2023年，船山区美术馆面向全区基层群众，提供免费美术活动场地、设施设备，并结合实际实行延时错时开放，全年免费开放350天以上，每周对外免费开放56小时以上。以“墨彩船山”品牌为统揽，统筹开展“两训、两展、三进、两交流”各类系列公益性公共美术服务活动近60场次，服务群众6万人次以上，群众满意度达98%以上。</w:t>
            </w:r>
          </w:p>
        </w:tc>
      </w:tr>
      <w:tr w14:paraId="555BC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C09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02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D8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12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3180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78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68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66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C7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0AF85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3493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21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23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4F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F576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F4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1C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CD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D2F89">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8E4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FCC0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6F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70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48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615B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02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71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40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B69B1">
            <w:pPr>
              <w:rPr>
                <w:rFonts w:hint="eastAsia" w:ascii="黑体" w:hAnsi="黑体" w:eastAsia="黑体" w:cs="黑体"/>
                <w:i w:val="0"/>
                <w:iCs w:val="0"/>
                <w:color w:val="000000"/>
                <w:sz w:val="20"/>
                <w:szCs w:val="20"/>
                <w:u w:val="none"/>
              </w:rPr>
            </w:pPr>
          </w:p>
        </w:tc>
      </w:tr>
      <w:tr w14:paraId="3A50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9AD5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8C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C1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99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F78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12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7C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F3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6A5EA">
            <w:pPr>
              <w:rPr>
                <w:rFonts w:hint="eastAsia" w:ascii="黑体" w:hAnsi="黑体" w:eastAsia="黑体" w:cs="黑体"/>
                <w:i w:val="0"/>
                <w:iCs w:val="0"/>
                <w:color w:val="000000"/>
                <w:sz w:val="20"/>
                <w:szCs w:val="20"/>
                <w:u w:val="none"/>
              </w:rPr>
            </w:pPr>
          </w:p>
        </w:tc>
      </w:tr>
      <w:tr w14:paraId="4E920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0BEE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1D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11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3A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513A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27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C0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AD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C2FAA">
            <w:pPr>
              <w:rPr>
                <w:rFonts w:hint="eastAsia" w:ascii="黑体" w:hAnsi="黑体" w:eastAsia="黑体" w:cs="黑体"/>
                <w:i w:val="0"/>
                <w:iCs w:val="0"/>
                <w:color w:val="000000"/>
                <w:sz w:val="20"/>
                <w:szCs w:val="20"/>
                <w:u w:val="none"/>
              </w:rPr>
            </w:pPr>
          </w:p>
        </w:tc>
      </w:tr>
      <w:tr w14:paraId="57B34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F76C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32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0C53">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5668">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CBF7DD">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9F5C">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9A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80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192FC">
            <w:pPr>
              <w:rPr>
                <w:rFonts w:hint="eastAsia" w:ascii="黑体" w:hAnsi="黑体" w:eastAsia="黑体" w:cs="黑体"/>
                <w:i w:val="0"/>
                <w:iCs w:val="0"/>
                <w:color w:val="000000"/>
                <w:sz w:val="20"/>
                <w:szCs w:val="20"/>
                <w:u w:val="none"/>
              </w:rPr>
            </w:pPr>
          </w:p>
        </w:tc>
      </w:tr>
      <w:tr w14:paraId="25B7A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B4B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A7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36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0B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74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53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78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46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18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6D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0E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4872F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115C2">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C0F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5B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66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保障区美术馆免费开放数量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8B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24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58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BC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1个</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2E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BF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B2BF">
            <w:pPr>
              <w:jc w:val="center"/>
              <w:rPr>
                <w:rFonts w:hint="eastAsia" w:ascii="微软雅黑" w:hAnsi="微软雅黑" w:eastAsia="微软雅黑" w:cs="微软雅黑"/>
                <w:i w:val="0"/>
                <w:iCs w:val="0"/>
                <w:color w:val="000000"/>
                <w:sz w:val="18"/>
                <w:szCs w:val="18"/>
                <w:u w:val="none"/>
              </w:rPr>
            </w:pPr>
          </w:p>
        </w:tc>
      </w:tr>
      <w:tr w14:paraId="07513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15C0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5158D">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75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11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C7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A8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0F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BC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55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12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E3CD">
            <w:pPr>
              <w:jc w:val="center"/>
              <w:rPr>
                <w:rFonts w:hint="eastAsia" w:ascii="微软雅黑" w:hAnsi="微软雅黑" w:eastAsia="微软雅黑" w:cs="微软雅黑"/>
                <w:i w:val="0"/>
                <w:iCs w:val="0"/>
                <w:color w:val="000000"/>
                <w:sz w:val="18"/>
                <w:szCs w:val="18"/>
                <w:u w:val="none"/>
              </w:rPr>
            </w:pPr>
          </w:p>
        </w:tc>
      </w:tr>
      <w:tr w14:paraId="32BE9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32605">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1C18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C8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F2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DA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5D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E7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41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59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A1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3B28">
            <w:pPr>
              <w:jc w:val="center"/>
              <w:rPr>
                <w:rFonts w:hint="eastAsia" w:ascii="微软雅黑" w:hAnsi="微软雅黑" w:eastAsia="微软雅黑" w:cs="微软雅黑"/>
                <w:i w:val="0"/>
                <w:iCs w:val="0"/>
                <w:color w:val="000000"/>
                <w:sz w:val="18"/>
                <w:szCs w:val="18"/>
                <w:u w:val="none"/>
              </w:rPr>
            </w:pPr>
          </w:p>
        </w:tc>
      </w:tr>
      <w:tr w14:paraId="3620F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4172C">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3D2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CB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A2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美术馆全年正常开放天数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9E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7C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13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天</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77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350天</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B3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27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4491">
            <w:pPr>
              <w:jc w:val="center"/>
              <w:rPr>
                <w:rFonts w:hint="eastAsia" w:ascii="微软雅黑" w:hAnsi="微软雅黑" w:eastAsia="微软雅黑" w:cs="微软雅黑"/>
                <w:i w:val="0"/>
                <w:iCs w:val="0"/>
                <w:color w:val="000000"/>
                <w:sz w:val="18"/>
                <w:szCs w:val="18"/>
                <w:u w:val="none"/>
              </w:rPr>
            </w:pPr>
          </w:p>
        </w:tc>
      </w:tr>
      <w:tr w14:paraId="3946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7358D">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E584F">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13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58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美术馆管理制度健全性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FC1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56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EBA2">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0E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68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68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16AC">
            <w:pPr>
              <w:jc w:val="center"/>
              <w:rPr>
                <w:rFonts w:hint="eastAsia" w:ascii="微软雅黑" w:hAnsi="微软雅黑" w:eastAsia="微软雅黑" w:cs="微软雅黑"/>
                <w:i w:val="0"/>
                <w:iCs w:val="0"/>
                <w:color w:val="000000"/>
                <w:sz w:val="18"/>
                <w:szCs w:val="18"/>
                <w:u w:val="none"/>
              </w:rPr>
            </w:pPr>
          </w:p>
        </w:tc>
      </w:tr>
      <w:tr w14:paraId="4E187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F534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BE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88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7D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市民满意度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DB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5C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B5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46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C1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90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D2D0">
            <w:pPr>
              <w:jc w:val="center"/>
              <w:rPr>
                <w:rFonts w:hint="eastAsia" w:ascii="微软雅黑" w:hAnsi="微软雅黑" w:eastAsia="微软雅黑" w:cs="微软雅黑"/>
                <w:i w:val="0"/>
                <w:iCs w:val="0"/>
                <w:color w:val="000000"/>
                <w:sz w:val="18"/>
                <w:szCs w:val="18"/>
                <w:u w:val="none"/>
              </w:rPr>
            </w:pPr>
          </w:p>
        </w:tc>
      </w:tr>
      <w:tr w14:paraId="0FCBE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A3C3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08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87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EE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E5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38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0C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5D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2D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3E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B03F">
            <w:pPr>
              <w:jc w:val="center"/>
              <w:rPr>
                <w:rFonts w:hint="eastAsia" w:ascii="微软雅黑" w:hAnsi="微软雅黑" w:eastAsia="微软雅黑" w:cs="微软雅黑"/>
                <w:i w:val="0"/>
                <w:iCs w:val="0"/>
                <w:color w:val="000000"/>
                <w:sz w:val="18"/>
                <w:szCs w:val="18"/>
                <w:u w:val="none"/>
              </w:rPr>
            </w:pPr>
          </w:p>
        </w:tc>
      </w:tr>
      <w:tr w14:paraId="6F08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10B1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7E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57DF">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883E">
            <w:pPr>
              <w:rPr>
                <w:rFonts w:hint="eastAsia" w:ascii="宋体" w:hAnsi="宋体" w:eastAsia="宋体" w:cs="宋体"/>
                <w:i w:val="0"/>
                <w:iCs w:val="0"/>
                <w:color w:val="000000"/>
                <w:sz w:val="20"/>
                <w:szCs w:val="20"/>
                <w:u w:val="none"/>
              </w:rPr>
            </w:pPr>
          </w:p>
        </w:tc>
      </w:tr>
      <w:tr w14:paraId="12D4F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ED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BFD8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2023年，船山区美术馆全面落实免费开放制度，全年免费开放350天，项目计划资金共20万元，资金发放准确率100%，及时率100%。全年共开展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两训、两展、三进、两交流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系列活动近60场，服务群众6万人次以上，群众满意度达98%以上。按照预算绩效管理要求，我局对船山区美术馆免费开放项目2023年整体支出开展绩效自评，自评结果为100分。</w:t>
            </w:r>
          </w:p>
        </w:tc>
      </w:tr>
      <w:tr w14:paraId="7411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70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B082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是阵地建设严重不足，缺乏美术创作、交流和美术收藏相关功能室。二是人员编制严重不足，全馆仅有一名工作人员，无法提供更优质的公共服务。三是经费投入不足，上级下达和本级配套的免费开放经费仅能基本维持免费开放和中小型活动开展，对美术创作的支持和奖励力度不够。</w:t>
            </w:r>
          </w:p>
        </w:tc>
      </w:tr>
      <w:tr w14:paraId="59B16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5"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DD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F1E03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建议加大专项经费投入，建设相对独立的美术馆阵地，增加人员编制，</w:t>
            </w:r>
            <w:r>
              <w:rPr>
                <w:rFonts w:hint="eastAsia" w:ascii="宋体" w:hAnsi="宋体" w:cs="宋体"/>
                <w:i w:val="0"/>
                <w:iCs w:val="0"/>
                <w:color w:val="000000"/>
                <w:kern w:val="0"/>
                <w:sz w:val="21"/>
                <w:szCs w:val="21"/>
                <w:u w:val="none"/>
                <w:lang w:val="en-US" w:eastAsia="zh-CN" w:bidi="ar"/>
              </w:rPr>
              <w:t>加大</w:t>
            </w:r>
            <w:r>
              <w:rPr>
                <w:rFonts w:hint="eastAsia" w:ascii="宋体" w:hAnsi="宋体" w:eastAsia="宋体" w:cs="宋体"/>
                <w:i w:val="0"/>
                <w:iCs w:val="0"/>
                <w:color w:val="000000"/>
                <w:kern w:val="0"/>
                <w:sz w:val="21"/>
                <w:szCs w:val="21"/>
                <w:u w:val="none"/>
                <w:lang w:val="en-US" w:eastAsia="zh-CN" w:bidi="ar"/>
              </w:rPr>
              <w:t>免费开放活动的保障力度，进一步丰富群众精神文化生活，提升广大群众文化素养，推动社会和谐繁荣发展。</w:t>
            </w:r>
          </w:p>
        </w:tc>
      </w:tr>
      <w:tr w14:paraId="108FB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D889D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项目负责人：袁伟</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1A9B2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7900B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03D168D7">
            <w:pPr>
              <w:rPr>
                <w:rFonts w:hint="eastAsia" w:ascii="宋体" w:hAnsi="宋体" w:eastAsia="宋体" w:cs="宋体"/>
                <w:i w:val="0"/>
                <w:iCs w:val="0"/>
                <w:color w:val="000000"/>
                <w:sz w:val="20"/>
                <w:szCs w:val="20"/>
                <w:u w:val="none"/>
              </w:rPr>
            </w:pPr>
          </w:p>
          <w:p w14:paraId="0700FF55">
            <w:pPr>
              <w:pStyle w:val="15"/>
              <w:rPr>
                <w:rFonts w:hint="eastAsia"/>
              </w:rPr>
            </w:pPr>
          </w:p>
        </w:tc>
        <w:tc>
          <w:tcPr>
            <w:tcW w:w="2011" w:type="dxa"/>
            <w:tcBorders>
              <w:top w:val="nil"/>
              <w:left w:val="nil"/>
              <w:bottom w:val="nil"/>
              <w:right w:val="nil"/>
            </w:tcBorders>
            <w:shd w:val="clear" w:color="auto" w:fill="auto"/>
            <w:vAlign w:val="center"/>
          </w:tcPr>
          <w:p w14:paraId="5ABE08B4">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7EC113B5">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325F5EB5">
            <w:pPr>
              <w:rPr>
                <w:rFonts w:hint="eastAsia" w:ascii="宋体" w:hAnsi="宋体" w:eastAsia="宋体" w:cs="宋体"/>
                <w:i w:val="0"/>
                <w:iCs w:val="0"/>
                <w:color w:val="000000"/>
                <w:sz w:val="20"/>
                <w:szCs w:val="20"/>
                <w:u w:val="none"/>
              </w:rPr>
            </w:pPr>
          </w:p>
          <w:p w14:paraId="59748CB8">
            <w:pPr>
              <w:pStyle w:val="15"/>
              <w:rPr>
                <w:rFonts w:hint="eastAsia" w:ascii="宋体" w:hAnsi="宋体" w:eastAsia="宋体" w:cs="宋体"/>
                <w:i w:val="0"/>
                <w:iCs w:val="0"/>
                <w:color w:val="000000"/>
                <w:sz w:val="20"/>
                <w:szCs w:val="20"/>
                <w:u w:val="none"/>
              </w:rPr>
            </w:pPr>
          </w:p>
          <w:p w14:paraId="2FB8D02C">
            <w:pPr>
              <w:rPr>
                <w:rFonts w:hint="eastAsia" w:ascii="宋体" w:hAnsi="宋体" w:eastAsia="宋体" w:cs="宋体"/>
                <w:i w:val="0"/>
                <w:iCs w:val="0"/>
                <w:color w:val="000000"/>
                <w:sz w:val="20"/>
                <w:szCs w:val="20"/>
                <w:u w:val="none"/>
              </w:rPr>
            </w:pPr>
          </w:p>
          <w:p w14:paraId="6B9A78A4">
            <w:pPr>
              <w:pStyle w:val="15"/>
              <w:rPr>
                <w:rFonts w:hint="eastAsia" w:ascii="宋体" w:hAnsi="宋体" w:eastAsia="宋体" w:cs="宋体"/>
                <w:i w:val="0"/>
                <w:iCs w:val="0"/>
                <w:color w:val="000000"/>
                <w:sz w:val="20"/>
                <w:szCs w:val="20"/>
                <w:u w:val="none"/>
              </w:rPr>
            </w:pPr>
          </w:p>
          <w:p w14:paraId="1DCD33A6">
            <w:pPr>
              <w:rPr>
                <w:rFonts w:hint="eastAsia" w:ascii="宋体" w:hAnsi="宋体" w:eastAsia="宋体" w:cs="宋体"/>
                <w:i w:val="0"/>
                <w:iCs w:val="0"/>
                <w:color w:val="000000"/>
                <w:sz w:val="20"/>
                <w:szCs w:val="20"/>
                <w:u w:val="none"/>
              </w:rPr>
            </w:pPr>
          </w:p>
          <w:p w14:paraId="6E9E13F3">
            <w:pPr>
              <w:pStyle w:val="15"/>
              <w:rPr>
                <w:rFonts w:hint="eastAsia" w:ascii="宋体" w:hAnsi="宋体" w:eastAsia="宋体" w:cs="宋体"/>
                <w:i w:val="0"/>
                <w:iCs w:val="0"/>
                <w:color w:val="000000"/>
                <w:sz w:val="20"/>
                <w:szCs w:val="20"/>
                <w:u w:val="none"/>
              </w:rPr>
            </w:pPr>
          </w:p>
          <w:p w14:paraId="4507AC18">
            <w:pPr>
              <w:rPr>
                <w:rFonts w:hint="eastAsia" w:ascii="宋体" w:hAnsi="宋体" w:eastAsia="宋体" w:cs="宋体"/>
                <w:i w:val="0"/>
                <w:iCs w:val="0"/>
                <w:color w:val="000000"/>
                <w:sz w:val="20"/>
                <w:szCs w:val="20"/>
                <w:u w:val="none"/>
              </w:rPr>
            </w:pPr>
          </w:p>
          <w:p w14:paraId="20AA4BE6">
            <w:pPr>
              <w:pStyle w:val="15"/>
              <w:rPr>
                <w:rFonts w:hint="eastAsia" w:ascii="宋体" w:hAnsi="宋体" w:eastAsia="宋体" w:cs="宋体"/>
                <w:i w:val="0"/>
                <w:iCs w:val="0"/>
                <w:color w:val="000000"/>
                <w:sz w:val="20"/>
                <w:szCs w:val="20"/>
                <w:u w:val="none"/>
              </w:rPr>
            </w:pPr>
          </w:p>
          <w:p w14:paraId="0AA8F153">
            <w:pPr>
              <w:rPr>
                <w:rFonts w:hint="eastAsia" w:ascii="宋体" w:hAnsi="宋体" w:eastAsia="宋体" w:cs="宋体"/>
                <w:i w:val="0"/>
                <w:iCs w:val="0"/>
                <w:color w:val="000000"/>
                <w:sz w:val="20"/>
                <w:szCs w:val="20"/>
                <w:u w:val="none"/>
              </w:rPr>
            </w:pPr>
          </w:p>
          <w:p w14:paraId="4B3B45DB">
            <w:pPr>
              <w:pStyle w:val="15"/>
              <w:rPr>
                <w:rFonts w:hint="eastAsia" w:ascii="宋体" w:hAnsi="宋体" w:eastAsia="宋体" w:cs="宋体"/>
                <w:i w:val="0"/>
                <w:iCs w:val="0"/>
                <w:color w:val="000000"/>
                <w:sz w:val="20"/>
                <w:szCs w:val="20"/>
                <w:u w:val="none"/>
              </w:rPr>
            </w:pPr>
          </w:p>
          <w:p w14:paraId="62A310DD">
            <w:pPr>
              <w:rPr>
                <w:rFonts w:hint="eastAsia" w:ascii="宋体" w:hAnsi="宋体" w:eastAsia="宋体" w:cs="宋体"/>
                <w:i w:val="0"/>
                <w:iCs w:val="0"/>
                <w:color w:val="000000"/>
                <w:sz w:val="20"/>
                <w:szCs w:val="20"/>
                <w:u w:val="none"/>
              </w:rPr>
            </w:pPr>
          </w:p>
          <w:p w14:paraId="17DEE918">
            <w:pPr>
              <w:pStyle w:val="15"/>
              <w:rPr>
                <w:rFonts w:hint="eastAsia" w:ascii="宋体" w:hAnsi="宋体" w:eastAsia="宋体" w:cs="宋体"/>
                <w:i w:val="0"/>
                <w:iCs w:val="0"/>
                <w:color w:val="000000"/>
                <w:sz w:val="20"/>
                <w:szCs w:val="20"/>
                <w:u w:val="none"/>
              </w:rPr>
            </w:pPr>
          </w:p>
          <w:p w14:paraId="65C0A5C0">
            <w:pPr>
              <w:rPr>
                <w:rFonts w:hint="eastAsia" w:ascii="宋体" w:hAnsi="宋体" w:eastAsia="宋体" w:cs="宋体"/>
                <w:i w:val="0"/>
                <w:iCs w:val="0"/>
                <w:color w:val="000000"/>
                <w:sz w:val="20"/>
                <w:szCs w:val="20"/>
                <w:u w:val="none"/>
              </w:rPr>
            </w:pPr>
          </w:p>
          <w:p w14:paraId="3F53010E">
            <w:pPr>
              <w:pStyle w:val="15"/>
              <w:rPr>
                <w:rFonts w:hint="eastAsia" w:ascii="宋体" w:hAnsi="宋体" w:eastAsia="宋体" w:cs="宋体"/>
                <w:i w:val="0"/>
                <w:iCs w:val="0"/>
                <w:color w:val="000000"/>
                <w:sz w:val="20"/>
                <w:szCs w:val="20"/>
                <w:u w:val="none"/>
              </w:rPr>
            </w:pPr>
          </w:p>
          <w:p w14:paraId="02E876BD">
            <w:pPr>
              <w:rPr>
                <w:rFonts w:hint="eastAsia" w:ascii="宋体" w:hAnsi="宋体" w:eastAsia="宋体" w:cs="宋体"/>
                <w:i w:val="0"/>
                <w:iCs w:val="0"/>
                <w:color w:val="000000"/>
                <w:sz w:val="20"/>
                <w:szCs w:val="20"/>
                <w:u w:val="none"/>
              </w:rPr>
            </w:pPr>
          </w:p>
          <w:p w14:paraId="57298AFD">
            <w:pPr>
              <w:pStyle w:val="15"/>
              <w:rPr>
                <w:rFonts w:hint="eastAsia" w:ascii="宋体" w:hAnsi="宋体" w:eastAsia="宋体" w:cs="宋体"/>
                <w:i w:val="0"/>
                <w:iCs w:val="0"/>
                <w:color w:val="000000"/>
                <w:sz w:val="20"/>
                <w:szCs w:val="20"/>
                <w:u w:val="none"/>
              </w:rPr>
            </w:pPr>
          </w:p>
          <w:p w14:paraId="2CBEC281">
            <w:pPr>
              <w:rPr>
                <w:rFonts w:hint="eastAsia" w:ascii="宋体" w:hAnsi="宋体" w:eastAsia="宋体" w:cs="宋体"/>
                <w:i w:val="0"/>
                <w:iCs w:val="0"/>
                <w:color w:val="000000"/>
                <w:sz w:val="20"/>
                <w:szCs w:val="20"/>
                <w:u w:val="none"/>
              </w:rPr>
            </w:pPr>
          </w:p>
          <w:p w14:paraId="0FB6C6A7">
            <w:pPr>
              <w:pStyle w:val="15"/>
              <w:rPr>
                <w:rFonts w:hint="eastAsia" w:ascii="宋体" w:hAnsi="宋体" w:eastAsia="宋体" w:cs="宋体"/>
                <w:i w:val="0"/>
                <w:iCs w:val="0"/>
                <w:color w:val="000000"/>
                <w:sz w:val="20"/>
                <w:szCs w:val="20"/>
                <w:u w:val="none"/>
              </w:rPr>
            </w:pPr>
          </w:p>
          <w:p w14:paraId="0044FE5B">
            <w:pPr>
              <w:rPr>
                <w:rFonts w:hint="eastAsia" w:ascii="宋体" w:hAnsi="宋体" w:eastAsia="宋体" w:cs="宋体"/>
                <w:i w:val="0"/>
                <w:iCs w:val="0"/>
                <w:color w:val="000000"/>
                <w:sz w:val="20"/>
                <w:szCs w:val="20"/>
                <w:u w:val="none"/>
              </w:rPr>
            </w:pPr>
          </w:p>
          <w:p w14:paraId="2EC6CC44">
            <w:pPr>
              <w:pStyle w:val="15"/>
              <w:rPr>
                <w:rFonts w:hint="eastAsia"/>
              </w:rPr>
            </w:pPr>
          </w:p>
        </w:tc>
        <w:tc>
          <w:tcPr>
            <w:tcW w:w="517" w:type="dxa"/>
            <w:tcBorders>
              <w:top w:val="nil"/>
              <w:left w:val="nil"/>
              <w:bottom w:val="nil"/>
              <w:right w:val="nil"/>
            </w:tcBorders>
            <w:shd w:val="clear" w:color="auto" w:fill="auto"/>
            <w:vAlign w:val="center"/>
          </w:tcPr>
          <w:p w14:paraId="7CA0EF4F">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093A05FC">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FAFC342">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059F8C42">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64ED004E">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4985D5DA">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316339B0">
            <w:pPr>
              <w:rPr>
                <w:rFonts w:hint="eastAsia" w:ascii="宋体" w:hAnsi="宋体" w:eastAsia="宋体" w:cs="宋体"/>
                <w:i w:val="0"/>
                <w:iCs w:val="0"/>
                <w:color w:val="000000"/>
                <w:sz w:val="20"/>
                <w:szCs w:val="20"/>
                <w:u w:val="none"/>
              </w:rPr>
            </w:pPr>
          </w:p>
        </w:tc>
      </w:tr>
      <w:tr w14:paraId="79AFA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B6A7E8A">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D6F0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5FFC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2DA19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51090322T000000343967-文化旅游市场监管</w:t>
            </w:r>
          </w:p>
        </w:tc>
      </w:tr>
      <w:tr w14:paraId="33295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A94B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D2B43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141CE6B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538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5DBD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300D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B046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8704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43C63D">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78D1E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47D36">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1F0B3">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FD510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通过开展文化旅游市场安全管理、行政检查、法律法规宣传，提升文化旅游服务质量培训，优化文旅行业营商环境，规范文化旅游市场秩序，以及开展各类文化旅游创建工作。</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0AF7F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开展文化旅游市场安全管理、行政检查、法律法规宣传，提升文化旅游服务质量培训，优化文旅行业营商环境，规范文化旅游市场秩序，有效保障文化旅游市场有序运行。</w:t>
            </w:r>
          </w:p>
        </w:tc>
      </w:tr>
      <w:tr w14:paraId="03DC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E688A">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28C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D452B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2023年，全区文化旅游市场经营单位共有295家，其中网吧33家、歌舞游艺娱乐场所106家、剧本娱乐场所9家、文化艺术类校外培训机构45家、剧团1家、</w:t>
            </w:r>
            <w:r>
              <w:rPr>
                <w:rFonts w:hint="eastAsia" w:ascii="宋体" w:hAnsi="宋体" w:cs="宋体"/>
                <w:i w:val="0"/>
                <w:iCs w:val="0"/>
                <w:color w:val="000000"/>
                <w:kern w:val="0"/>
                <w:sz w:val="20"/>
                <w:szCs w:val="20"/>
                <w:u w:val="none"/>
                <w:lang w:val="en-US" w:eastAsia="zh-CN" w:bidi="ar"/>
              </w:rPr>
              <w:t>A级旅游景区</w:t>
            </w:r>
            <w:r>
              <w:rPr>
                <w:rFonts w:ascii="宋体" w:hAnsi="宋体" w:eastAsia="宋体" w:cs="宋体"/>
                <w:i w:val="0"/>
                <w:iCs w:val="0"/>
                <w:color w:val="000000"/>
                <w:kern w:val="0"/>
                <w:sz w:val="20"/>
                <w:szCs w:val="20"/>
                <w:u w:val="none"/>
                <w:lang w:val="en-US" w:eastAsia="zh-CN" w:bidi="ar"/>
              </w:rPr>
              <w:t>4家、星级酒店1家、星级农家乐7家、旅行社（含分社及服务网点）62家、旅游商品企业5家、县级以上文物保护单位22家。2023年，文化旅游市场监管项目预算5万元（年初预算10万，后根据单位实际情况调出5万元），主要用于开展文化旅游市场安全管理、行政检查、法律法规宣传，提升文化旅游服务质量培训，优化文旅行业营商环境，规范文化旅游市场秩序。</w:t>
            </w:r>
          </w:p>
        </w:tc>
      </w:tr>
      <w:tr w14:paraId="28D70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41F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D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1B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CD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3DAD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D4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B3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9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A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0301E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AD75D">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9E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1F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3A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2.97</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DF3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1E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AC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83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115E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A7E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CA8C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81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C9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88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2.97</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B12E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2.97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1E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B4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BF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BB29D">
            <w:pPr>
              <w:rPr>
                <w:rFonts w:hint="eastAsia" w:ascii="黑体" w:hAnsi="黑体" w:eastAsia="黑体" w:cs="黑体"/>
                <w:i w:val="0"/>
                <w:iCs w:val="0"/>
                <w:color w:val="000000"/>
                <w:sz w:val="20"/>
                <w:szCs w:val="20"/>
                <w:u w:val="none"/>
              </w:rPr>
            </w:pPr>
          </w:p>
        </w:tc>
      </w:tr>
      <w:tr w14:paraId="7B61F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FD3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FC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B5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47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7A2A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FA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19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CF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4A1DD">
            <w:pPr>
              <w:rPr>
                <w:rFonts w:hint="eastAsia" w:ascii="黑体" w:hAnsi="黑体" w:eastAsia="黑体" w:cs="黑体"/>
                <w:i w:val="0"/>
                <w:iCs w:val="0"/>
                <w:color w:val="000000"/>
                <w:sz w:val="20"/>
                <w:szCs w:val="20"/>
                <w:u w:val="none"/>
              </w:rPr>
            </w:pPr>
          </w:p>
        </w:tc>
      </w:tr>
      <w:tr w14:paraId="32E0B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D83B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2F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BE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B7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B615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C2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39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DD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8008C">
            <w:pPr>
              <w:rPr>
                <w:rFonts w:hint="eastAsia" w:ascii="黑体" w:hAnsi="黑体" w:eastAsia="黑体" w:cs="黑体"/>
                <w:i w:val="0"/>
                <w:iCs w:val="0"/>
                <w:color w:val="000000"/>
                <w:sz w:val="20"/>
                <w:szCs w:val="20"/>
                <w:u w:val="none"/>
              </w:rPr>
            </w:pPr>
          </w:p>
        </w:tc>
      </w:tr>
      <w:tr w14:paraId="63DDD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07E1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6B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D218">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4526">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C12A6">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0B3A">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6F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C1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FAA90">
            <w:pPr>
              <w:rPr>
                <w:rFonts w:hint="eastAsia" w:ascii="黑体" w:hAnsi="黑体" w:eastAsia="黑体" w:cs="黑体"/>
                <w:i w:val="0"/>
                <w:iCs w:val="0"/>
                <w:color w:val="000000"/>
                <w:sz w:val="20"/>
                <w:szCs w:val="20"/>
                <w:u w:val="none"/>
              </w:rPr>
            </w:pPr>
          </w:p>
        </w:tc>
      </w:tr>
      <w:tr w14:paraId="727C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6A2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8D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09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EA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67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E6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ED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8C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39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73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59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5B6A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61C20">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D63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8BE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E9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开展全区文化旅游市场安全管理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C0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AC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7E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60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07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14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0CE9">
            <w:pPr>
              <w:jc w:val="center"/>
              <w:rPr>
                <w:rFonts w:hint="eastAsia" w:ascii="微软雅黑" w:hAnsi="微软雅黑" w:eastAsia="微软雅黑" w:cs="微软雅黑"/>
                <w:i w:val="0"/>
                <w:iCs w:val="0"/>
                <w:color w:val="000000"/>
                <w:sz w:val="18"/>
                <w:szCs w:val="18"/>
                <w:u w:val="none"/>
              </w:rPr>
            </w:pPr>
          </w:p>
        </w:tc>
      </w:tr>
      <w:tr w14:paraId="566BF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30D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9C10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25F74">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04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开展文化旅游法律法规宣传，印制</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F5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D6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E3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份</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54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AE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3B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7A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通过“两微一网”、现场走访等形式开展了法律法规宣传，故减少了印制资料份数</w:t>
            </w:r>
          </w:p>
        </w:tc>
      </w:tr>
      <w:tr w14:paraId="64812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FEA9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DB9A2">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98A5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6C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开展文旅市场疫情防控宣传及培训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A1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50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77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8E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8C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AA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76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因疫情结束，不再开展疫情防控工作</w:t>
            </w:r>
          </w:p>
        </w:tc>
      </w:tr>
      <w:tr w14:paraId="0B4D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786F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552CE">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C32D2">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CA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开展文化旅游服务质量培训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1F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54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4B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69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AA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3C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529F">
            <w:pPr>
              <w:jc w:val="center"/>
              <w:rPr>
                <w:rFonts w:hint="eastAsia" w:ascii="微软雅黑" w:hAnsi="微软雅黑" w:eastAsia="微软雅黑" w:cs="微软雅黑"/>
                <w:i w:val="0"/>
                <w:iCs w:val="0"/>
                <w:color w:val="000000"/>
                <w:sz w:val="18"/>
                <w:szCs w:val="18"/>
                <w:u w:val="none"/>
              </w:rPr>
            </w:pPr>
          </w:p>
        </w:tc>
      </w:tr>
      <w:tr w14:paraId="75A08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64A5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2350E">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B1A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2BD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文化旅游服务质量培训企业参与</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D7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6C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1F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DE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53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4F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BD73">
            <w:pPr>
              <w:jc w:val="center"/>
              <w:rPr>
                <w:rFonts w:hint="eastAsia" w:ascii="微软雅黑" w:hAnsi="微软雅黑" w:eastAsia="微软雅黑" w:cs="微软雅黑"/>
                <w:i w:val="0"/>
                <w:iCs w:val="0"/>
                <w:color w:val="000000"/>
                <w:sz w:val="18"/>
                <w:szCs w:val="18"/>
                <w:u w:val="none"/>
              </w:rPr>
            </w:pPr>
          </w:p>
        </w:tc>
      </w:tr>
      <w:tr w14:paraId="07DF0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D00F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5B75B">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9B6BD">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75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文化旅游市场安全管理及行政检查工作达标率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7C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82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4B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AB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83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73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BB04">
            <w:pPr>
              <w:jc w:val="center"/>
              <w:rPr>
                <w:rFonts w:hint="eastAsia" w:ascii="微软雅黑" w:hAnsi="微软雅黑" w:eastAsia="微软雅黑" w:cs="微软雅黑"/>
                <w:i w:val="0"/>
                <w:iCs w:val="0"/>
                <w:color w:val="000000"/>
                <w:sz w:val="18"/>
                <w:szCs w:val="18"/>
                <w:u w:val="none"/>
              </w:rPr>
            </w:pPr>
          </w:p>
        </w:tc>
      </w:tr>
      <w:tr w14:paraId="3AF7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6B5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C61F0">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2A7C2">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12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文化旅游法律法规宣传印制各类宣传资料验收合格率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16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17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84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D2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EB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C0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56349">
            <w:pPr>
              <w:jc w:val="center"/>
              <w:rPr>
                <w:rFonts w:hint="eastAsia" w:ascii="微软雅黑" w:hAnsi="微软雅黑" w:eastAsia="微软雅黑" w:cs="微软雅黑"/>
                <w:i w:val="0"/>
                <w:iCs w:val="0"/>
                <w:color w:val="000000"/>
                <w:sz w:val="18"/>
                <w:szCs w:val="18"/>
                <w:u w:val="none"/>
              </w:rPr>
            </w:pPr>
          </w:p>
        </w:tc>
      </w:tr>
      <w:tr w14:paraId="20251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4327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365CE">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552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C2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文旅市场宣传培训资料发放及时率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62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91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25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4D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FC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C8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DF3F">
            <w:pPr>
              <w:jc w:val="center"/>
              <w:rPr>
                <w:rFonts w:hint="eastAsia" w:ascii="微软雅黑" w:hAnsi="微软雅黑" w:eastAsia="微软雅黑" w:cs="微软雅黑"/>
                <w:i w:val="0"/>
                <w:iCs w:val="0"/>
                <w:color w:val="000000"/>
                <w:sz w:val="18"/>
                <w:szCs w:val="18"/>
                <w:u w:val="none"/>
              </w:rPr>
            </w:pPr>
          </w:p>
        </w:tc>
      </w:tr>
      <w:tr w14:paraId="450E0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E5645">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FBB07">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78CA2">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31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年内全面完成常态化文化旅游</w:t>
            </w:r>
            <w:r>
              <w:rPr>
                <w:rFonts w:hint="eastAsia" w:ascii="宋体" w:hAnsi="宋体" w:cs="宋体"/>
                <w:i w:val="0"/>
                <w:iCs w:val="0"/>
                <w:color w:val="000000"/>
                <w:kern w:val="0"/>
                <w:sz w:val="20"/>
                <w:szCs w:val="20"/>
                <w:u w:val="none"/>
                <w:lang w:val="en-US" w:eastAsia="zh-CN" w:bidi="ar"/>
              </w:rPr>
              <w:t>市场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FB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7C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C2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8D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75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BC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132B">
            <w:pPr>
              <w:jc w:val="center"/>
              <w:rPr>
                <w:rFonts w:hint="eastAsia" w:ascii="微软雅黑" w:hAnsi="微软雅黑" w:eastAsia="微软雅黑" w:cs="微软雅黑"/>
                <w:i w:val="0"/>
                <w:iCs w:val="0"/>
                <w:color w:val="000000"/>
                <w:sz w:val="18"/>
                <w:szCs w:val="18"/>
                <w:u w:val="none"/>
              </w:rPr>
            </w:pPr>
          </w:p>
        </w:tc>
      </w:tr>
      <w:tr w14:paraId="7F9CE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DE861">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FF3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A5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C9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文化旅游企业经营收入增长率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61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24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6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FC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4B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E1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2DB5">
            <w:pPr>
              <w:jc w:val="center"/>
              <w:rPr>
                <w:rFonts w:hint="eastAsia" w:ascii="微软雅黑" w:hAnsi="微软雅黑" w:eastAsia="微软雅黑" w:cs="微软雅黑"/>
                <w:i w:val="0"/>
                <w:iCs w:val="0"/>
                <w:color w:val="000000"/>
                <w:sz w:val="18"/>
                <w:szCs w:val="18"/>
                <w:u w:val="none"/>
              </w:rPr>
            </w:pPr>
          </w:p>
        </w:tc>
      </w:tr>
      <w:tr w14:paraId="474A6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A2B1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BCFFF">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A7B2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51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文化旅游行业投诉下降率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11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2D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D5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17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2D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D8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9B4D">
            <w:pPr>
              <w:jc w:val="center"/>
              <w:rPr>
                <w:rFonts w:hint="eastAsia" w:ascii="微软雅黑" w:hAnsi="微软雅黑" w:eastAsia="微软雅黑" w:cs="微软雅黑"/>
                <w:i w:val="0"/>
                <w:iCs w:val="0"/>
                <w:color w:val="000000"/>
                <w:sz w:val="18"/>
                <w:szCs w:val="18"/>
                <w:u w:val="none"/>
              </w:rPr>
            </w:pPr>
          </w:p>
        </w:tc>
      </w:tr>
      <w:tr w14:paraId="7299A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770E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EBF8A">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8137D">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E2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文化旅游市场全年重大安全事故</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FD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FB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58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3E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61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E4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152A">
            <w:pPr>
              <w:jc w:val="center"/>
              <w:rPr>
                <w:rFonts w:hint="eastAsia" w:ascii="微软雅黑" w:hAnsi="微软雅黑" w:eastAsia="微软雅黑" w:cs="微软雅黑"/>
                <w:i w:val="0"/>
                <w:iCs w:val="0"/>
                <w:color w:val="000000"/>
                <w:sz w:val="18"/>
                <w:szCs w:val="18"/>
                <w:u w:val="none"/>
              </w:rPr>
            </w:pPr>
          </w:p>
        </w:tc>
      </w:tr>
      <w:tr w14:paraId="76B1F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9392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6A7FA">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19CE9">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CD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开展文旅市场疫情防控宣传及培训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FA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88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15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B3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E8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55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5B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因疫情结束，不再开展疫情防控工作</w:t>
            </w:r>
          </w:p>
        </w:tc>
      </w:tr>
      <w:tr w14:paraId="6072A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9FF6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7479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097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87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文化旅游行业生态环保重大</w:t>
            </w:r>
            <w:r>
              <w:rPr>
                <w:rFonts w:hint="eastAsia" w:ascii="宋体" w:hAnsi="宋体" w:cs="宋体"/>
                <w:i w:val="0"/>
                <w:iCs w:val="0"/>
                <w:color w:val="000000"/>
                <w:kern w:val="0"/>
                <w:sz w:val="20"/>
                <w:szCs w:val="20"/>
                <w:u w:val="none"/>
                <w:lang w:val="en-US" w:eastAsia="zh-CN" w:bidi="ar"/>
              </w:rPr>
              <w:t>事项</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F8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5C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12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23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C6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B6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833A">
            <w:pPr>
              <w:jc w:val="center"/>
              <w:rPr>
                <w:rFonts w:hint="eastAsia" w:ascii="微软雅黑" w:hAnsi="微软雅黑" w:eastAsia="微软雅黑" w:cs="微软雅黑"/>
                <w:i w:val="0"/>
                <w:iCs w:val="0"/>
                <w:color w:val="000000"/>
                <w:sz w:val="18"/>
                <w:szCs w:val="18"/>
                <w:u w:val="none"/>
              </w:rPr>
            </w:pPr>
          </w:p>
        </w:tc>
      </w:tr>
      <w:tr w14:paraId="42D9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BC81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7740B">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8D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28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文化旅游行业监管制度健全性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67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8A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7353">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4267">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A2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D1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DDC4">
            <w:pPr>
              <w:jc w:val="center"/>
              <w:rPr>
                <w:rFonts w:hint="eastAsia" w:ascii="微软雅黑" w:hAnsi="微软雅黑" w:eastAsia="微软雅黑" w:cs="微软雅黑"/>
                <w:i w:val="0"/>
                <w:iCs w:val="0"/>
                <w:color w:val="000000"/>
                <w:sz w:val="18"/>
                <w:szCs w:val="18"/>
                <w:u w:val="none"/>
              </w:rPr>
            </w:pPr>
          </w:p>
        </w:tc>
      </w:tr>
      <w:tr w14:paraId="778D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8BD7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71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29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83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35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FF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DF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5B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AB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17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6F08">
            <w:pPr>
              <w:jc w:val="center"/>
              <w:rPr>
                <w:rFonts w:hint="eastAsia" w:ascii="微软雅黑" w:hAnsi="微软雅黑" w:eastAsia="微软雅黑" w:cs="微软雅黑"/>
                <w:i w:val="0"/>
                <w:iCs w:val="0"/>
                <w:color w:val="000000"/>
                <w:sz w:val="18"/>
                <w:szCs w:val="18"/>
                <w:u w:val="none"/>
              </w:rPr>
            </w:pPr>
          </w:p>
        </w:tc>
      </w:tr>
      <w:tr w14:paraId="74855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8631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F0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33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42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文化旅游监管总成本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FA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42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1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69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3B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6E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C82C">
            <w:pPr>
              <w:jc w:val="center"/>
              <w:rPr>
                <w:rFonts w:hint="eastAsia" w:ascii="微软雅黑" w:hAnsi="微软雅黑" w:eastAsia="微软雅黑" w:cs="微软雅黑"/>
                <w:i w:val="0"/>
                <w:iCs w:val="0"/>
                <w:color w:val="000000"/>
                <w:sz w:val="18"/>
                <w:szCs w:val="18"/>
                <w:u w:val="none"/>
              </w:rPr>
            </w:pPr>
          </w:p>
        </w:tc>
      </w:tr>
      <w:tr w14:paraId="31390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FAA6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7A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47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06DB">
            <w:pPr>
              <w:rPr>
                <w:rFonts w:hint="eastAsia" w:ascii="宋体" w:hAnsi="宋体" w:eastAsia="宋体" w:cs="宋体"/>
                <w:i w:val="0"/>
                <w:iCs w:val="0"/>
                <w:color w:val="000000"/>
                <w:sz w:val="20"/>
                <w:szCs w:val="20"/>
                <w:u w:val="none"/>
              </w:rPr>
            </w:pPr>
          </w:p>
        </w:tc>
      </w:tr>
      <w:tr w14:paraId="258B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91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DF8BC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通过加强全区文化旅游市场安全管理、行政检查、法律法规宣传，提升文化旅游服务质量培训，优化文旅行业营商环境，规范文化旅游市场秩序，群众满意度95%以上。</w:t>
            </w:r>
          </w:p>
        </w:tc>
      </w:tr>
      <w:tr w14:paraId="178EF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8D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C25B9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全区文化旅游市场总体平稳，但是由于全区文化旅游企业数量较多，分布较散，文化执法体制改革后，监管人员严重不足，文化旅游市场管理不够规范。</w:t>
            </w:r>
          </w:p>
        </w:tc>
      </w:tr>
      <w:tr w14:paraId="09F9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08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478A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我们将持续完善常态化检查机制和双随机抽查机制，建立健全企业信用监管制度和约束机制，完善经营主体和产品黑名单制度，进一步加大对文化旅游市场的监管力度，确保全区文化旅游市场的安全平稳有序。</w:t>
            </w:r>
          </w:p>
        </w:tc>
      </w:tr>
      <w:tr w14:paraId="1798F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ED156C">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项目负责人：杨利君</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556ED3">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79F04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27E58D88">
            <w:pPr>
              <w:pStyle w:val="15"/>
              <w:rPr>
                <w:rFonts w:hint="eastAsia"/>
              </w:rPr>
            </w:pPr>
          </w:p>
        </w:tc>
        <w:tc>
          <w:tcPr>
            <w:tcW w:w="2011" w:type="dxa"/>
            <w:tcBorders>
              <w:top w:val="nil"/>
              <w:left w:val="nil"/>
              <w:bottom w:val="nil"/>
              <w:right w:val="nil"/>
            </w:tcBorders>
            <w:shd w:val="clear" w:color="auto" w:fill="auto"/>
            <w:vAlign w:val="center"/>
          </w:tcPr>
          <w:p w14:paraId="6167994F">
            <w:pPr>
              <w:rPr>
                <w:rFonts w:hint="eastAsia" w:ascii="宋体" w:hAnsi="宋体" w:eastAsia="宋体" w:cs="宋体"/>
                <w:i w:val="0"/>
                <w:iCs w:val="0"/>
                <w:color w:val="000000"/>
                <w:sz w:val="20"/>
                <w:szCs w:val="20"/>
                <w:u w:val="none"/>
              </w:rPr>
            </w:pPr>
          </w:p>
          <w:p w14:paraId="480C6D02">
            <w:pPr>
              <w:pStyle w:val="15"/>
              <w:rPr>
                <w:rFonts w:hint="eastAsia"/>
              </w:rPr>
            </w:pPr>
          </w:p>
        </w:tc>
        <w:tc>
          <w:tcPr>
            <w:tcW w:w="1746" w:type="dxa"/>
            <w:tcBorders>
              <w:top w:val="nil"/>
              <w:left w:val="nil"/>
              <w:bottom w:val="nil"/>
              <w:right w:val="nil"/>
            </w:tcBorders>
            <w:shd w:val="clear" w:color="auto" w:fill="auto"/>
            <w:vAlign w:val="center"/>
          </w:tcPr>
          <w:p w14:paraId="61FAFC92">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45033C60">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055CFAFD">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11D6BD2E">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7D70EF9">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360FA442">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1144612">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1C9991C5">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3BA25CE">
            <w:pPr>
              <w:rPr>
                <w:rFonts w:hint="eastAsia" w:ascii="宋体" w:hAnsi="宋体" w:eastAsia="宋体" w:cs="宋体"/>
                <w:i w:val="0"/>
                <w:iCs w:val="0"/>
                <w:color w:val="000000"/>
                <w:sz w:val="20"/>
                <w:szCs w:val="20"/>
                <w:u w:val="none"/>
              </w:rPr>
            </w:pPr>
          </w:p>
        </w:tc>
      </w:tr>
      <w:tr w14:paraId="7AFF2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6223B72">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1B2A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BF3E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0F7E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51090322T000005593830-广播电视户户通运行维护</w:t>
            </w:r>
          </w:p>
        </w:tc>
      </w:tr>
      <w:tr w14:paraId="47DC1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97EA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3A155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759470A2">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D66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74DC9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7957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730D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BA08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161100">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6C23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EC934">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77C34">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C629F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根据遂府办函〔2017〕202号文件，全面确保船山区931个自然村有线电视主干信号传输正常，满足全区群众看电视、听广播的基本需求。</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A910C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全面确保了船山区931个自然村有线电视主干信号传输正常。</w:t>
            </w:r>
          </w:p>
        </w:tc>
      </w:tr>
      <w:tr w14:paraId="33C46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38DCF">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349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56075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全区有线广播电视信号传输维护自然村数量为931个，运维成本≤44.68万元，维护工作达标率≥95%，运维工作开展及时率100%，维护范围覆盖率100%，传输故障率≤5%，社会公众满意度大于95%，受惠群众满意度大于98%。</w:t>
            </w:r>
          </w:p>
        </w:tc>
      </w:tr>
      <w:tr w14:paraId="2604C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1BD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BD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84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B6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EB40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A1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39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83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EDB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0409E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B9BD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95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5B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E1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84.82</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A8D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84.82</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3A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86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E7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DB439">
            <w:pPr>
              <w:rPr>
                <w:rFonts w:hint="eastAsia" w:ascii="黑体" w:hAnsi="黑体" w:eastAsia="黑体" w:cs="黑体"/>
                <w:i w:val="0"/>
                <w:iCs w:val="0"/>
                <w:color w:val="000000"/>
                <w:sz w:val="20"/>
                <w:szCs w:val="20"/>
                <w:u w:val="none"/>
              </w:rPr>
            </w:pPr>
          </w:p>
        </w:tc>
      </w:tr>
      <w:tr w14:paraId="6D7A1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A2E2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FA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6E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5D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84.82</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59C8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84.82</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FD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C0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4F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E4B5">
            <w:pPr>
              <w:rPr>
                <w:rFonts w:hint="eastAsia" w:ascii="黑体" w:hAnsi="黑体" w:eastAsia="黑体" w:cs="黑体"/>
                <w:i w:val="0"/>
                <w:iCs w:val="0"/>
                <w:color w:val="000000"/>
                <w:sz w:val="20"/>
                <w:szCs w:val="20"/>
                <w:u w:val="none"/>
              </w:rPr>
            </w:pPr>
          </w:p>
        </w:tc>
      </w:tr>
      <w:tr w14:paraId="218DF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84E8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03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5F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B7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71CF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E4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0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35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93EC1">
            <w:pPr>
              <w:rPr>
                <w:rFonts w:hint="eastAsia" w:ascii="黑体" w:hAnsi="黑体" w:eastAsia="黑体" w:cs="黑体"/>
                <w:i w:val="0"/>
                <w:iCs w:val="0"/>
                <w:color w:val="000000"/>
                <w:sz w:val="20"/>
                <w:szCs w:val="20"/>
                <w:u w:val="none"/>
              </w:rPr>
            </w:pPr>
          </w:p>
        </w:tc>
      </w:tr>
      <w:tr w14:paraId="644F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B067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9D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41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57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E2C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C2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92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AE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9A0E7">
            <w:pPr>
              <w:rPr>
                <w:rFonts w:hint="eastAsia" w:ascii="黑体" w:hAnsi="黑体" w:eastAsia="黑体" w:cs="黑体"/>
                <w:i w:val="0"/>
                <w:iCs w:val="0"/>
                <w:color w:val="000000"/>
                <w:sz w:val="20"/>
                <w:szCs w:val="20"/>
                <w:u w:val="none"/>
              </w:rPr>
            </w:pPr>
          </w:p>
        </w:tc>
      </w:tr>
      <w:tr w14:paraId="50CDB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66E1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2A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7CC1">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B752">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45004D">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59B0">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7D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E4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13E5F">
            <w:pPr>
              <w:rPr>
                <w:rFonts w:hint="eastAsia" w:ascii="黑体" w:hAnsi="黑体" w:eastAsia="黑体" w:cs="黑体"/>
                <w:i w:val="0"/>
                <w:iCs w:val="0"/>
                <w:color w:val="000000"/>
                <w:sz w:val="20"/>
                <w:szCs w:val="20"/>
                <w:u w:val="none"/>
              </w:rPr>
            </w:pPr>
          </w:p>
        </w:tc>
      </w:tr>
      <w:tr w14:paraId="344BE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88C4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86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2D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78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DB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AB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3D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68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34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DE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82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169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3533">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030C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EE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B8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有线广播电视信号传输维护自然村数量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1B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D6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931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17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9C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931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1B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AF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015C">
            <w:pPr>
              <w:jc w:val="center"/>
              <w:rPr>
                <w:rFonts w:hint="eastAsia" w:ascii="微软雅黑" w:hAnsi="微软雅黑" w:eastAsia="微软雅黑" w:cs="微软雅黑"/>
                <w:i w:val="0"/>
                <w:iCs w:val="0"/>
                <w:color w:val="000000"/>
                <w:sz w:val="18"/>
                <w:szCs w:val="18"/>
                <w:u w:val="none"/>
              </w:rPr>
            </w:pPr>
          </w:p>
        </w:tc>
      </w:tr>
      <w:tr w14:paraId="5AAD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4F03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1348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D1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D5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维护工作达标率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16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52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7F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F2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7D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1A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68F2">
            <w:pPr>
              <w:jc w:val="center"/>
              <w:rPr>
                <w:rFonts w:hint="eastAsia" w:ascii="微软雅黑" w:hAnsi="微软雅黑" w:eastAsia="微软雅黑" w:cs="微软雅黑"/>
                <w:i w:val="0"/>
                <w:iCs w:val="0"/>
                <w:color w:val="000000"/>
                <w:sz w:val="18"/>
                <w:szCs w:val="18"/>
                <w:u w:val="none"/>
              </w:rPr>
            </w:pPr>
          </w:p>
        </w:tc>
      </w:tr>
      <w:tr w14:paraId="155D5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16AC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B4373">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A1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F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运维工作开展及时率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86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95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A4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2C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A9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D9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FB76">
            <w:pPr>
              <w:jc w:val="center"/>
              <w:rPr>
                <w:rFonts w:hint="eastAsia" w:ascii="微软雅黑" w:hAnsi="微软雅黑" w:eastAsia="微软雅黑" w:cs="微软雅黑"/>
                <w:i w:val="0"/>
                <w:iCs w:val="0"/>
                <w:color w:val="000000"/>
                <w:sz w:val="18"/>
                <w:szCs w:val="18"/>
                <w:u w:val="none"/>
              </w:rPr>
            </w:pPr>
          </w:p>
        </w:tc>
      </w:tr>
      <w:tr w14:paraId="414A3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507C3">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C34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246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BC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传输故障率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C0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14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CD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4D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5B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C8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388E">
            <w:pPr>
              <w:jc w:val="center"/>
              <w:rPr>
                <w:rFonts w:hint="eastAsia" w:ascii="微软雅黑" w:hAnsi="微软雅黑" w:eastAsia="微软雅黑" w:cs="微软雅黑"/>
                <w:i w:val="0"/>
                <w:iCs w:val="0"/>
                <w:color w:val="000000"/>
                <w:sz w:val="18"/>
                <w:szCs w:val="18"/>
                <w:u w:val="none"/>
              </w:rPr>
            </w:pPr>
          </w:p>
        </w:tc>
      </w:tr>
      <w:tr w14:paraId="07CE8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72DA7">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7D91">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1B69D">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D3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维护范围覆盖率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20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F0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A1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AD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09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37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121E">
            <w:pPr>
              <w:jc w:val="center"/>
              <w:rPr>
                <w:rFonts w:hint="eastAsia" w:ascii="微软雅黑" w:hAnsi="微软雅黑" w:eastAsia="微软雅黑" w:cs="微软雅黑"/>
                <w:i w:val="0"/>
                <w:iCs w:val="0"/>
                <w:color w:val="000000"/>
                <w:sz w:val="18"/>
                <w:szCs w:val="18"/>
                <w:u w:val="none"/>
              </w:rPr>
            </w:pPr>
          </w:p>
        </w:tc>
      </w:tr>
      <w:tr w14:paraId="08BA3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ED0DA">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53EB">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49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D9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维护管理制度健全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73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A7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72AE">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EB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45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16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4E2E">
            <w:pPr>
              <w:jc w:val="center"/>
              <w:rPr>
                <w:rFonts w:hint="eastAsia" w:ascii="微软雅黑" w:hAnsi="微软雅黑" w:eastAsia="微软雅黑" w:cs="微软雅黑"/>
                <w:i w:val="0"/>
                <w:iCs w:val="0"/>
                <w:color w:val="000000"/>
                <w:sz w:val="18"/>
                <w:szCs w:val="18"/>
                <w:u w:val="none"/>
              </w:rPr>
            </w:pPr>
          </w:p>
        </w:tc>
      </w:tr>
      <w:tr w14:paraId="76E01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344B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2A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BD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D4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受益群众</w:t>
            </w:r>
            <w:r>
              <w:rPr>
                <w:rFonts w:ascii="宋体" w:hAnsi="宋体" w:eastAsia="宋体" w:cs="宋体"/>
                <w:i w:val="0"/>
                <w:iCs w:val="0"/>
                <w:color w:val="000000"/>
                <w:kern w:val="0"/>
                <w:sz w:val="20"/>
                <w:szCs w:val="20"/>
                <w:u w:val="none"/>
                <w:lang w:val="en-US" w:eastAsia="zh-CN" w:bidi="ar"/>
              </w:rPr>
              <w:t>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11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F1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D0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71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99</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E2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C2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C7EE">
            <w:pPr>
              <w:jc w:val="center"/>
              <w:rPr>
                <w:rFonts w:hint="eastAsia" w:ascii="微软雅黑" w:hAnsi="微软雅黑" w:eastAsia="微软雅黑" w:cs="微软雅黑"/>
                <w:i w:val="0"/>
                <w:iCs w:val="0"/>
                <w:color w:val="000000"/>
                <w:sz w:val="18"/>
                <w:szCs w:val="18"/>
                <w:u w:val="none"/>
              </w:rPr>
            </w:pPr>
          </w:p>
        </w:tc>
      </w:tr>
      <w:tr w14:paraId="59CA6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778D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E3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8D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5E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运维工作项目成本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77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A1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84.818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77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A8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84.82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FE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36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D061">
            <w:pPr>
              <w:jc w:val="center"/>
              <w:rPr>
                <w:rFonts w:hint="eastAsia" w:ascii="微软雅黑" w:hAnsi="微软雅黑" w:eastAsia="微软雅黑" w:cs="微软雅黑"/>
                <w:i w:val="0"/>
                <w:iCs w:val="0"/>
                <w:color w:val="000000"/>
                <w:sz w:val="18"/>
                <w:szCs w:val="18"/>
                <w:u w:val="none"/>
              </w:rPr>
            </w:pPr>
          </w:p>
        </w:tc>
      </w:tr>
      <w:tr w14:paraId="3489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DFDE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DA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34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1C67">
            <w:pPr>
              <w:rPr>
                <w:rFonts w:hint="eastAsia" w:ascii="宋体" w:hAnsi="宋体" w:eastAsia="宋体" w:cs="宋体"/>
                <w:i w:val="0"/>
                <w:iCs w:val="0"/>
                <w:color w:val="000000"/>
                <w:sz w:val="20"/>
                <w:szCs w:val="20"/>
                <w:u w:val="none"/>
              </w:rPr>
            </w:pPr>
          </w:p>
        </w:tc>
      </w:tr>
      <w:tr w14:paraId="09DD4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7A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6DB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项目实施符合中省市区政策部署，有相关法律法规作支撑，是满足</w:t>
            </w:r>
            <w:r>
              <w:rPr>
                <w:rFonts w:hint="eastAsia" w:ascii="宋体" w:hAnsi="宋体" w:cs="宋体"/>
                <w:i w:val="0"/>
                <w:iCs w:val="0"/>
                <w:color w:val="000000"/>
                <w:kern w:val="0"/>
                <w:sz w:val="20"/>
                <w:szCs w:val="20"/>
                <w:u w:val="none"/>
                <w:lang w:val="en-US" w:eastAsia="zh-CN" w:bidi="ar"/>
              </w:rPr>
              <w:t>区域</w:t>
            </w:r>
            <w:r>
              <w:rPr>
                <w:rFonts w:hint="eastAsia" w:ascii="宋体" w:hAnsi="宋体" w:eastAsia="宋体" w:cs="宋体"/>
                <w:i w:val="0"/>
                <w:iCs w:val="0"/>
                <w:color w:val="000000"/>
                <w:kern w:val="0"/>
                <w:sz w:val="20"/>
                <w:szCs w:val="20"/>
                <w:u w:val="none"/>
                <w:lang w:val="en-US" w:eastAsia="zh-CN" w:bidi="ar"/>
              </w:rPr>
              <w:t>文化发展的项目，资金严格按照中央文件精神执行，保障项目内容全部实现。项目建设完成后，数量、质量、成本、社会效益、可持续影响、满意度等指标完成均达标。该项目综合评估等级为优秀。</w:t>
            </w:r>
          </w:p>
        </w:tc>
      </w:tr>
      <w:tr w14:paraId="1DB2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34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79C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一是船山区广播电视网络建设完成时间较早，整体网络质量比较差，全区广播终端急需实施全面数字化升级改造，需要大量资金投入，资金缺口较大。二是农村农电网络改造、市政建设、村级道路</w:t>
            </w:r>
            <w:r>
              <w:rPr>
                <w:rFonts w:hint="eastAsia" w:ascii="宋体" w:hAnsi="宋体" w:cs="宋体"/>
                <w:i w:val="0"/>
                <w:iCs w:val="0"/>
                <w:color w:val="000000"/>
                <w:kern w:val="0"/>
                <w:sz w:val="20"/>
                <w:szCs w:val="20"/>
                <w:u w:val="none"/>
                <w:lang w:val="en-US" w:eastAsia="zh-CN" w:bidi="ar"/>
              </w:rPr>
              <w:t>修建</w:t>
            </w:r>
            <w:r>
              <w:rPr>
                <w:rFonts w:hint="eastAsia" w:ascii="宋体" w:hAnsi="宋体" w:eastAsia="宋体" w:cs="宋体"/>
                <w:i w:val="0"/>
                <w:iCs w:val="0"/>
                <w:color w:val="000000"/>
                <w:kern w:val="0"/>
                <w:sz w:val="20"/>
                <w:szCs w:val="20"/>
                <w:u w:val="none"/>
                <w:lang w:val="en-US" w:eastAsia="zh-CN" w:bidi="ar"/>
              </w:rPr>
              <w:t>等工程实施，对网络的传输有很大的影响，常常给广播电视网络运行维护增加极大</w:t>
            </w:r>
            <w:r>
              <w:rPr>
                <w:rFonts w:hint="eastAsia" w:ascii="宋体" w:hAnsi="宋体" w:cs="宋体"/>
                <w:i w:val="0"/>
                <w:iCs w:val="0"/>
                <w:color w:val="000000"/>
                <w:kern w:val="0"/>
                <w:sz w:val="20"/>
                <w:szCs w:val="20"/>
                <w:u w:val="none"/>
                <w:lang w:val="en-US" w:eastAsia="zh-CN" w:bidi="ar"/>
              </w:rPr>
              <w:t>的</w:t>
            </w:r>
            <w:r>
              <w:rPr>
                <w:rFonts w:hint="eastAsia" w:ascii="宋体" w:hAnsi="宋体" w:eastAsia="宋体" w:cs="宋体"/>
                <w:i w:val="0"/>
                <w:iCs w:val="0"/>
                <w:color w:val="000000"/>
                <w:kern w:val="0"/>
                <w:sz w:val="20"/>
                <w:szCs w:val="20"/>
                <w:u w:val="none"/>
                <w:lang w:val="en-US" w:eastAsia="zh-CN" w:bidi="ar"/>
              </w:rPr>
              <w:t>人力和物力投入。三是专业管理人员缺乏。目前全区广播电视从业人员技术水平较低，年龄较大，无专人专岗现象较为突出。</w:t>
            </w:r>
          </w:p>
        </w:tc>
      </w:tr>
      <w:tr w14:paraId="2016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FC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66F4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一是进一步建立健全机制，明确职能职责，落实巡查发现机制、问题报告机制、问题处理限时机制、巡访回访机制，确保现有用户、现有设备的运行维护管理到位，为用户提</w:t>
            </w:r>
            <w:r>
              <w:rPr>
                <w:rFonts w:hint="eastAsia" w:ascii="宋体" w:hAnsi="宋体" w:cs="宋体"/>
                <w:i w:val="0"/>
                <w:iCs w:val="0"/>
                <w:color w:val="000000"/>
                <w:kern w:val="0"/>
                <w:sz w:val="20"/>
                <w:szCs w:val="20"/>
                <w:u w:val="none"/>
                <w:lang w:val="en-US" w:eastAsia="zh-CN" w:bidi="ar"/>
              </w:rPr>
              <w:t>供优</w:t>
            </w:r>
            <w:r>
              <w:rPr>
                <w:rFonts w:hint="eastAsia" w:ascii="宋体" w:hAnsi="宋体" w:eastAsia="宋体" w:cs="宋体"/>
                <w:i w:val="0"/>
                <w:iCs w:val="0"/>
                <w:color w:val="000000"/>
                <w:kern w:val="0"/>
                <w:sz w:val="20"/>
                <w:szCs w:val="20"/>
                <w:u w:val="none"/>
                <w:lang w:val="en-US" w:eastAsia="zh-CN" w:bidi="ar"/>
              </w:rPr>
              <w:t>质、稳定的广播电视信号；二是做好网络提升改建工作，加快推进全区数字智能应急广播的建设进度，提升网络数字化程度三是做好统筹协调工作，持续加大对广播电视户户通建设的</w:t>
            </w:r>
            <w:r>
              <w:rPr>
                <w:rFonts w:hint="eastAsia" w:ascii="宋体" w:hAnsi="宋体" w:cs="宋体"/>
                <w:i w:val="0"/>
                <w:iCs w:val="0"/>
                <w:color w:val="000000"/>
                <w:kern w:val="0"/>
                <w:sz w:val="20"/>
                <w:szCs w:val="20"/>
                <w:u w:val="none"/>
                <w:lang w:val="en-US" w:eastAsia="zh-CN" w:bidi="ar"/>
              </w:rPr>
              <w:t>资源</w:t>
            </w:r>
            <w:r>
              <w:rPr>
                <w:rFonts w:hint="eastAsia" w:ascii="宋体" w:hAnsi="宋体" w:eastAsia="宋体" w:cs="宋体"/>
                <w:i w:val="0"/>
                <w:iCs w:val="0"/>
                <w:color w:val="000000"/>
                <w:kern w:val="0"/>
                <w:sz w:val="20"/>
                <w:szCs w:val="20"/>
                <w:u w:val="none"/>
                <w:lang w:val="en-US" w:eastAsia="zh-CN" w:bidi="ar"/>
              </w:rPr>
              <w:t>、人力投入。</w:t>
            </w:r>
          </w:p>
        </w:tc>
      </w:tr>
      <w:tr w14:paraId="2FD5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B8614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项目负责人：田斌</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62677A">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65F8A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D4C72BB">
            <w:pPr>
              <w:pStyle w:val="15"/>
              <w:rPr>
                <w:rFonts w:hint="eastAsia"/>
              </w:rPr>
            </w:pPr>
          </w:p>
        </w:tc>
        <w:tc>
          <w:tcPr>
            <w:tcW w:w="2011" w:type="dxa"/>
            <w:tcBorders>
              <w:top w:val="nil"/>
              <w:left w:val="nil"/>
              <w:bottom w:val="nil"/>
              <w:right w:val="nil"/>
            </w:tcBorders>
            <w:shd w:val="clear" w:color="auto" w:fill="auto"/>
            <w:vAlign w:val="center"/>
          </w:tcPr>
          <w:p w14:paraId="6306EF18">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5A80B7D0">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519C2E28">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1F4DDE31">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6167B6A7">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7755381">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17C7412E">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19B1D588">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7C10D43C">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27B5B905">
            <w:pPr>
              <w:rPr>
                <w:rFonts w:hint="eastAsia" w:ascii="宋体" w:hAnsi="宋体" w:eastAsia="宋体" w:cs="宋体"/>
                <w:i w:val="0"/>
                <w:iCs w:val="0"/>
                <w:color w:val="000000"/>
                <w:sz w:val="20"/>
                <w:szCs w:val="20"/>
                <w:u w:val="none"/>
              </w:rPr>
            </w:pPr>
          </w:p>
        </w:tc>
      </w:tr>
      <w:tr w14:paraId="330D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1663E6">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18F43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8186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5C5ED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51090322T000005595225-送文化下乡</w:t>
            </w:r>
          </w:p>
        </w:tc>
      </w:tr>
      <w:tr w14:paraId="2662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A0CF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45877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1F8A20C">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EC8F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595F8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0625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93F5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7E61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C151D1">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4781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C8387">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53B9C">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F2FE4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聘请第三方公司组织文艺队伍走进船山区7个乡镇，在73个行政村（含社区）持续开展“送文化下乡”文化惠民活动，满足人民群众日益增加的文化需求。</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8E1B5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在全区范围内为辖5个街道、7个乡镇，含73个行政村（含社区）群众，开展文艺、戏曲等不同形式文化惠民演出活动56场，为群众送上丰富多彩的文化大餐，满足乡镇、街道、村人民群众的精神文化需求。</w:t>
            </w:r>
          </w:p>
        </w:tc>
      </w:tr>
      <w:tr w14:paraId="7E273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D7E13">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C27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2FC21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为有效丰富全区群众，特别是偏远农村群众精神文化生活，巩固拓展脱贫</w:t>
            </w:r>
            <w:r>
              <w:rPr>
                <w:rFonts w:hint="eastAsia" w:ascii="宋体" w:hAnsi="宋体" w:cs="宋体"/>
                <w:i w:val="0"/>
                <w:iCs w:val="0"/>
                <w:color w:val="000000"/>
                <w:kern w:val="0"/>
                <w:sz w:val="20"/>
                <w:szCs w:val="20"/>
                <w:u w:val="none"/>
                <w:lang w:val="en-US" w:eastAsia="zh-CN" w:bidi="ar"/>
              </w:rPr>
              <w:t>攻坚</w:t>
            </w:r>
            <w:r>
              <w:rPr>
                <w:rFonts w:ascii="宋体" w:hAnsi="宋体" w:eastAsia="宋体" w:cs="宋体"/>
                <w:i w:val="0"/>
                <w:iCs w:val="0"/>
                <w:color w:val="000000"/>
                <w:kern w:val="0"/>
                <w:sz w:val="20"/>
                <w:szCs w:val="20"/>
                <w:u w:val="none"/>
                <w:lang w:val="en-US" w:eastAsia="zh-CN" w:bidi="ar"/>
              </w:rPr>
              <w:t>成果，助力乡村振兴，充分发挥“以文化人、以文育人”作用，根据省、市、区相关文件精神，在区文化广电旅游局统筹管理下，文化馆持续开展“送文化下乡”惠民演出，直接将精彩的文艺节目、戏曲节目送到乡镇、社区和村民院坝，让群众在家门口欣赏到高质量的文艺演出，丰富群众精神文化生活，进一步提升了群众的幸福感和获得感，共计开展文化惠民演出56场。</w:t>
            </w:r>
          </w:p>
        </w:tc>
      </w:tr>
      <w:tr w14:paraId="5139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1D9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D4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D0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A6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5859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DD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20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F2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53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17BC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16DB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4D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A9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DF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4741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A9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34A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8E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FD9E8">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21A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6FF0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5C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54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DB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239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FA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84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C3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757F3">
            <w:pPr>
              <w:rPr>
                <w:rFonts w:hint="eastAsia" w:ascii="黑体" w:hAnsi="黑体" w:eastAsia="黑体" w:cs="黑体"/>
                <w:i w:val="0"/>
                <w:iCs w:val="0"/>
                <w:color w:val="000000"/>
                <w:sz w:val="20"/>
                <w:szCs w:val="20"/>
                <w:u w:val="none"/>
              </w:rPr>
            </w:pPr>
          </w:p>
        </w:tc>
      </w:tr>
      <w:tr w14:paraId="242A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050A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9D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00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78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0FE0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24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25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7A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72E84">
            <w:pPr>
              <w:rPr>
                <w:rFonts w:hint="eastAsia" w:ascii="黑体" w:hAnsi="黑体" w:eastAsia="黑体" w:cs="黑体"/>
                <w:i w:val="0"/>
                <w:iCs w:val="0"/>
                <w:color w:val="000000"/>
                <w:sz w:val="20"/>
                <w:szCs w:val="20"/>
                <w:u w:val="none"/>
              </w:rPr>
            </w:pPr>
          </w:p>
        </w:tc>
      </w:tr>
      <w:tr w14:paraId="6D10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AB8DD">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10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4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8C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97E9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18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0A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EF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3848A">
            <w:pPr>
              <w:rPr>
                <w:rFonts w:hint="eastAsia" w:ascii="黑体" w:hAnsi="黑体" w:eastAsia="黑体" w:cs="黑体"/>
                <w:i w:val="0"/>
                <w:iCs w:val="0"/>
                <w:color w:val="000000"/>
                <w:sz w:val="20"/>
                <w:szCs w:val="20"/>
                <w:u w:val="none"/>
              </w:rPr>
            </w:pPr>
          </w:p>
        </w:tc>
      </w:tr>
      <w:tr w14:paraId="74E15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C41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AD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EF01">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31BE">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042F01">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5D22">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E9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C99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E05D0">
            <w:pPr>
              <w:rPr>
                <w:rFonts w:hint="eastAsia" w:ascii="黑体" w:hAnsi="黑体" w:eastAsia="黑体" w:cs="黑体"/>
                <w:i w:val="0"/>
                <w:iCs w:val="0"/>
                <w:color w:val="000000"/>
                <w:sz w:val="20"/>
                <w:szCs w:val="20"/>
                <w:u w:val="none"/>
              </w:rPr>
            </w:pPr>
          </w:p>
        </w:tc>
      </w:tr>
      <w:tr w14:paraId="0205A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94A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BF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C8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8B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F5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BC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B4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A9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B6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1E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FE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104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708E3">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871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DA0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F7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演员参与人数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80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30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1A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人/次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1E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490人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BD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5B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F4EF">
            <w:pPr>
              <w:jc w:val="center"/>
              <w:rPr>
                <w:rFonts w:hint="eastAsia" w:ascii="微软雅黑" w:hAnsi="微软雅黑" w:eastAsia="微软雅黑" w:cs="微软雅黑"/>
                <w:i w:val="0"/>
                <w:iCs w:val="0"/>
                <w:color w:val="000000"/>
                <w:sz w:val="18"/>
                <w:szCs w:val="18"/>
                <w:u w:val="none"/>
              </w:rPr>
            </w:pPr>
          </w:p>
        </w:tc>
      </w:tr>
      <w:tr w14:paraId="7A81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32A2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369AB">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8EF3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7A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开展“送文化下乡”文化惠民演出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B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A7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1B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67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00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9B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AA37">
            <w:pPr>
              <w:jc w:val="center"/>
              <w:rPr>
                <w:rFonts w:hint="eastAsia" w:ascii="微软雅黑" w:hAnsi="微软雅黑" w:eastAsia="微软雅黑" w:cs="微软雅黑"/>
                <w:i w:val="0"/>
                <w:iCs w:val="0"/>
                <w:color w:val="000000"/>
                <w:sz w:val="18"/>
                <w:szCs w:val="18"/>
                <w:u w:val="none"/>
              </w:rPr>
            </w:pPr>
          </w:p>
        </w:tc>
      </w:tr>
      <w:tr w14:paraId="7BC3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8D7E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0CA02">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4D4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6E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“送文化下乡”演出群众参与率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AE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EB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03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AA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CA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A9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BECD">
            <w:pPr>
              <w:jc w:val="center"/>
              <w:rPr>
                <w:rFonts w:hint="eastAsia" w:ascii="微软雅黑" w:hAnsi="微软雅黑" w:eastAsia="微软雅黑" w:cs="微软雅黑"/>
                <w:i w:val="0"/>
                <w:iCs w:val="0"/>
                <w:color w:val="000000"/>
                <w:sz w:val="18"/>
                <w:szCs w:val="18"/>
                <w:u w:val="none"/>
              </w:rPr>
            </w:pPr>
          </w:p>
        </w:tc>
      </w:tr>
      <w:tr w14:paraId="730E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FD04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FB5A4">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285E0">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8F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参与演员服务达标率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DB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61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1CB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71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50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51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4931">
            <w:pPr>
              <w:jc w:val="center"/>
              <w:rPr>
                <w:rFonts w:hint="eastAsia" w:ascii="微软雅黑" w:hAnsi="微软雅黑" w:eastAsia="微软雅黑" w:cs="微软雅黑"/>
                <w:i w:val="0"/>
                <w:iCs w:val="0"/>
                <w:color w:val="000000"/>
                <w:sz w:val="18"/>
                <w:szCs w:val="18"/>
                <w:u w:val="none"/>
              </w:rPr>
            </w:pPr>
          </w:p>
        </w:tc>
      </w:tr>
      <w:tr w14:paraId="7166D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8001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10C4B">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9D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29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演出完成及时率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32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E9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E6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6E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0B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6F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99C4">
            <w:pPr>
              <w:jc w:val="center"/>
              <w:rPr>
                <w:rFonts w:hint="eastAsia" w:ascii="微软雅黑" w:hAnsi="微软雅黑" w:eastAsia="微软雅黑" w:cs="微软雅黑"/>
                <w:i w:val="0"/>
                <w:iCs w:val="0"/>
                <w:color w:val="000000"/>
                <w:sz w:val="18"/>
                <w:szCs w:val="18"/>
                <w:u w:val="none"/>
              </w:rPr>
            </w:pPr>
          </w:p>
        </w:tc>
      </w:tr>
      <w:tr w14:paraId="3A0F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72F0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DBA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7C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4C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“送文化下乡”演出覆盖率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18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C5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A0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8A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E8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E8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D585">
            <w:pPr>
              <w:jc w:val="center"/>
              <w:rPr>
                <w:rFonts w:hint="eastAsia" w:ascii="微软雅黑" w:hAnsi="微软雅黑" w:eastAsia="微软雅黑" w:cs="微软雅黑"/>
                <w:i w:val="0"/>
                <w:iCs w:val="0"/>
                <w:color w:val="000000"/>
                <w:sz w:val="18"/>
                <w:szCs w:val="18"/>
                <w:u w:val="none"/>
              </w:rPr>
            </w:pPr>
          </w:p>
        </w:tc>
      </w:tr>
      <w:tr w14:paraId="59D3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8D5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F9F40">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49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1D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82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31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9399">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B0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EC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CD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66D1">
            <w:pPr>
              <w:jc w:val="center"/>
              <w:rPr>
                <w:rFonts w:hint="eastAsia" w:ascii="微软雅黑" w:hAnsi="微软雅黑" w:eastAsia="微软雅黑" w:cs="微软雅黑"/>
                <w:i w:val="0"/>
                <w:iCs w:val="0"/>
                <w:color w:val="000000"/>
                <w:sz w:val="18"/>
                <w:szCs w:val="18"/>
                <w:u w:val="none"/>
              </w:rPr>
            </w:pPr>
          </w:p>
        </w:tc>
      </w:tr>
      <w:tr w14:paraId="6516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254A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27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C2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3A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各乡镇群众满意度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C1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18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A0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32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DD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5B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3EDF">
            <w:pPr>
              <w:jc w:val="center"/>
              <w:rPr>
                <w:rFonts w:hint="eastAsia" w:ascii="微软雅黑" w:hAnsi="微软雅黑" w:eastAsia="微软雅黑" w:cs="微软雅黑"/>
                <w:i w:val="0"/>
                <w:iCs w:val="0"/>
                <w:color w:val="000000"/>
                <w:sz w:val="18"/>
                <w:szCs w:val="18"/>
                <w:u w:val="none"/>
              </w:rPr>
            </w:pPr>
          </w:p>
        </w:tc>
      </w:tr>
      <w:tr w14:paraId="1AC88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7575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4A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11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64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每场活动成本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A6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A0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0.3571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7D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F2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0.3571万元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FA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AC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FE3F">
            <w:pPr>
              <w:jc w:val="center"/>
              <w:rPr>
                <w:rFonts w:hint="eastAsia" w:ascii="微软雅黑" w:hAnsi="微软雅黑" w:eastAsia="微软雅黑" w:cs="微软雅黑"/>
                <w:i w:val="0"/>
                <w:iCs w:val="0"/>
                <w:color w:val="000000"/>
                <w:sz w:val="18"/>
                <w:szCs w:val="18"/>
                <w:u w:val="none"/>
              </w:rPr>
            </w:pPr>
          </w:p>
        </w:tc>
      </w:tr>
      <w:tr w14:paraId="7C8E6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A35F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9F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A025">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F1DA">
            <w:pPr>
              <w:rPr>
                <w:rFonts w:hint="eastAsia" w:ascii="宋体" w:hAnsi="宋体" w:eastAsia="宋体" w:cs="宋体"/>
                <w:i w:val="0"/>
                <w:iCs w:val="0"/>
                <w:color w:val="000000"/>
                <w:sz w:val="20"/>
                <w:szCs w:val="20"/>
                <w:u w:val="none"/>
              </w:rPr>
            </w:pPr>
          </w:p>
        </w:tc>
      </w:tr>
      <w:tr w14:paraId="123B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0B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1935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项目的实施，产生了良好的社会效益，全区5个街道、7个乡镇群众受益。通过“送文化下乡”文化惠民活动的方式，宣传党和政府各项政策及重点工作，同时为基层带去群众喜闻乐见的文艺节目，丰富群众精神文化生活，深受群众好评和认可，切实增强基层文化氛围，全面增强人民群众幸福感、获得感。该项目综合评价得分100分。</w:t>
            </w:r>
          </w:p>
        </w:tc>
      </w:tr>
      <w:tr w14:paraId="0F3F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51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6631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经费不足，目前送文化下乡项目经费勉强支撑深入56个村社、社区演出，无法实现到演出全覆盖，部分群众无法享受文化惠民工程福利。</w:t>
            </w:r>
          </w:p>
        </w:tc>
      </w:tr>
      <w:tr w14:paraId="3DF08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B7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31FE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加大送文化下乡专项经费投入，让文化惠民工程规模更大、档次更高、场次更多，让不同的演出风格、形式各异的艺术形式呈现在广大农村群众的面前，丰富人民群众文化生活，切实做到以文促农，推动社会和谐繁荣发展。</w:t>
            </w:r>
          </w:p>
        </w:tc>
      </w:tr>
      <w:tr w14:paraId="2C91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1"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9F74B0">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C0F237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37801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1B36E585">
            <w:pPr>
              <w:rPr>
                <w:rFonts w:hint="eastAsia" w:ascii="宋体" w:hAnsi="宋体" w:eastAsia="宋体" w:cs="宋体"/>
                <w:i w:val="0"/>
                <w:iCs w:val="0"/>
                <w:color w:val="000000"/>
                <w:sz w:val="20"/>
                <w:szCs w:val="20"/>
                <w:u w:val="none"/>
              </w:rPr>
            </w:pPr>
          </w:p>
          <w:p w14:paraId="5E578FE8">
            <w:pPr>
              <w:pStyle w:val="15"/>
              <w:rPr>
                <w:rFonts w:hint="eastAsia" w:ascii="宋体" w:hAnsi="宋体" w:eastAsia="宋体" w:cs="宋体"/>
                <w:i w:val="0"/>
                <w:iCs w:val="0"/>
                <w:color w:val="000000"/>
                <w:sz w:val="20"/>
                <w:szCs w:val="20"/>
                <w:u w:val="none"/>
              </w:rPr>
            </w:pPr>
          </w:p>
          <w:p w14:paraId="15E018CA">
            <w:pPr>
              <w:rPr>
                <w:rFonts w:hint="eastAsia" w:ascii="宋体" w:hAnsi="宋体" w:eastAsia="宋体" w:cs="宋体"/>
                <w:i w:val="0"/>
                <w:iCs w:val="0"/>
                <w:color w:val="000000"/>
                <w:sz w:val="20"/>
                <w:szCs w:val="20"/>
                <w:u w:val="none"/>
              </w:rPr>
            </w:pPr>
          </w:p>
          <w:p w14:paraId="0504E0EB">
            <w:pPr>
              <w:pStyle w:val="15"/>
              <w:rPr>
                <w:rFonts w:hint="eastAsia" w:ascii="宋体" w:hAnsi="宋体" w:eastAsia="宋体" w:cs="宋体"/>
                <w:i w:val="0"/>
                <w:iCs w:val="0"/>
                <w:color w:val="000000"/>
                <w:sz w:val="20"/>
                <w:szCs w:val="20"/>
                <w:u w:val="none"/>
              </w:rPr>
            </w:pPr>
          </w:p>
          <w:p w14:paraId="4F2B6392">
            <w:pPr>
              <w:rPr>
                <w:rFonts w:hint="eastAsia" w:ascii="宋体" w:hAnsi="宋体" w:eastAsia="宋体" w:cs="宋体"/>
                <w:i w:val="0"/>
                <w:iCs w:val="0"/>
                <w:color w:val="000000"/>
                <w:sz w:val="20"/>
                <w:szCs w:val="20"/>
                <w:u w:val="none"/>
              </w:rPr>
            </w:pPr>
          </w:p>
          <w:p w14:paraId="01169174">
            <w:pPr>
              <w:pStyle w:val="15"/>
              <w:rPr>
                <w:rFonts w:hint="eastAsia" w:ascii="宋体" w:hAnsi="宋体" w:eastAsia="宋体" w:cs="宋体"/>
                <w:i w:val="0"/>
                <w:iCs w:val="0"/>
                <w:color w:val="000000"/>
                <w:sz w:val="20"/>
                <w:szCs w:val="20"/>
                <w:u w:val="none"/>
              </w:rPr>
            </w:pPr>
          </w:p>
          <w:p w14:paraId="1162C807">
            <w:pPr>
              <w:rPr>
                <w:rFonts w:hint="eastAsia" w:ascii="宋体" w:hAnsi="宋体" w:eastAsia="宋体" w:cs="宋体"/>
                <w:i w:val="0"/>
                <w:iCs w:val="0"/>
                <w:color w:val="000000"/>
                <w:sz w:val="20"/>
                <w:szCs w:val="20"/>
                <w:u w:val="none"/>
              </w:rPr>
            </w:pPr>
          </w:p>
          <w:p w14:paraId="78207ABB">
            <w:pPr>
              <w:pStyle w:val="15"/>
              <w:rPr>
                <w:rFonts w:hint="eastAsia" w:ascii="宋体" w:hAnsi="宋体" w:eastAsia="宋体" w:cs="宋体"/>
                <w:i w:val="0"/>
                <w:iCs w:val="0"/>
                <w:color w:val="000000"/>
                <w:sz w:val="20"/>
                <w:szCs w:val="20"/>
                <w:u w:val="none"/>
              </w:rPr>
            </w:pPr>
          </w:p>
          <w:p w14:paraId="4BFBDFFB">
            <w:pPr>
              <w:rPr>
                <w:rFonts w:hint="eastAsia" w:ascii="宋体" w:hAnsi="宋体" w:eastAsia="宋体" w:cs="宋体"/>
                <w:i w:val="0"/>
                <w:iCs w:val="0"/>
                <w:color w:val="000000"/>
                <w:sz w:val="20"/>
                <w:szCs w:val="20"/>
                <w:u w:val="none"/>
              </w:rPr>
            </w:pPr>
          </w:p>
          <w:p w14:paraId="461D63BF">
            <w:pPr>
              <w:pStyle w:val="15"/>
              <w:rPr>
                <w:rFonts w:hint="eastAsia" w:ascii="宋体" w:hAnsi="宋体" w:eastAsia="宋体" w:cs="宋体"/>
                <w:i w:val="0"/>
                <w:iCs w:val="0"/>
                <w:color w:val="000000"/>
                <w:sz w:val="20"/>
                <w:szCs w:val="20"/>
                <w:u w:val="none"/>
              </w:rPr>
            </w:pPr>
          </w:p>
          <w:p w14:paraId="157647AE">
            <w:pPr>
              <w:rPr>
                <w:rFonts w:hint="eastAsia" w:ascii="宋体" w:hAnsi="宋体" w:eastAsia="宋体" w:cs="宋体"/>
                <w:i w:val="0"/>
                <w:iCs w:val="0"/>
                <w:color w:val="000000"/>
                <w:sz w:val="20"/>
                <w:szCs w:val="20"/>
                <w:u w:val="none"/>
              </w:rPr>
            </w:pPr>
          </w:p>
          <w:p w14:paraId="08DB22EC">
            <w:pPr>
              <w:pStyle w:val="15"/>
              <w:rPr>
                <w:rFonts w:hint="eastAsia" w:ascii="宋体" w:hAnsi="宋体" w:eastAsia="宋体" w:cs="宋体"/>
                <w:i w:val="0"/>
                <w:iCs w:val="0"/>
                <w:color w:val="000000"/>
                <w:sz w:val="20"/>
                <w:szCs w:val="20"/>
                <w:u w:val="none"/>
              </w:rPr>
            </w:pPr>
          </w:p>
          <w:p w14:paraId="409EBAE9">
            <w:pPr>
              <w:rPr>
                <w:rFonts w:hint="eastAsia" w:ascii="宋体" w:hAnsi="宋体" w:eastAsia="宋体" w:cs="宋体"/>
                <w:i w:val="0"/>
                <w:iCs w:val="0"/>
                <w:color w:val="000000"/>
                <w:sz w:val="20"/>
                <w:szCs w:val="20"/>
                <w:u w:val="none"/>
              </w:rPr>
            </w:pPr>
          </w:p>
          <w:p w14:paraId="48522BB9">
            <w:pPr>
              <w:pStyle w:val="15"/>
              <w:rPr>
                <w:rFonts w:hint="eastAsia" w:ascii="宋体" w:hAnsi="宋体" w:eastAsia="宋体" w:cs="宋体"/>
                <w:i w:val="0"/>
                <w:iCs w:val="0"/>
                <w:color w:val="000000"/>
                <w:sz w:val="20"/>
                <w:szCs w:val="20"/>
                <w:u w:val="none"/>
              </w:rPr>
            </w:pPr>
          </w:p>
          <w:p w14:paraId="776116B3">
            <w:pPr>
              <w:rPr>
                <w:rFonts w:hint="eastAsia" w:ascii="宋体" w:hAnsi="宋体" w:eastAsia="宋体" w:cs="宋体"/>
                <w:i w:val="0"/>
                <w:iCs w:val="0"/>
                <w:color w:val="000000"/>
                <w:sz w:val="20"/>
                <w:szCs w:val="20"/>
                <w:u w:val="none"/>
              </w:rPr>
            </w:pPr>
          </w:p>
          <w:p w14:paraId="751D91BA">
            <w:pPr>
              <w:pStyle w:val="15"/>
              <w:rPr>
                <w:rFonts w:hint="eastAsia" w:ascii="宋体" w:hAnsi="宋体" w:eastAsia="宋体" w:cs="宋体"/>
                <w:i w:val="0"/>
                <w:iCs w:val="0"/>
                <w:color w:val="000000"/>
                <w:sz w:val="20"/>
                <w:szCs w:val="20"/>
                <w:u w:val="none"/>
              </w:rPr>
            </w:pPr>
          </w:p>
          <w:p w14:paraId="3FBE458F">
            <w:pPr>
              <w:rPr>
                <w:rFonts w:hint="eastAsia" w:ascii="宋体" w:hAnsi="宋体" w:eastAsia="宋体" w:cs="宋体"/>
                <w:i w:val="0"/>
                <w:iCs w:val="0"/>
                <w:color w:val="000000"/>
                <w:sz w:val="20"/>
                <w:szCs w:val="20"/>
                <w:u w:val="none"/>
              </w:rPr>
            </w:pPr>
          </w:p>
          <w:p w14:paraId="5883E62F">
            <w:pPr>
              <w:pStyle w:val="15"/>
              <w:rPr>
                <w:rFonts w:hint="eastAsia"/>
              </w:rPr>
            </w:pPr>
          </w:p>
        </w:tc>
        <w:tc>
          <w:tcPr>
            <w:tcW w:w="2011" w:type="dxa"/>
            <w:tcBorders>
              <w:top w:val="nil"/>
              <w:left w:val="nil"/>
              <w:bottom w:val="nil"/>
              <w:right w:val="nil"/>
            </w:tcBorders>
            <w:shd w:val="clear" w:color="auto" w:fill="auto"/>
            <w:vAlign w:val="center"/>
          </w:tcPr>
          <w:p w14:paraId="0E4160BD">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36C5699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06B58F6B">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7BE1985F">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16EDD7EB">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26779FEA">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612977EF">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2EDD119A">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3149638B">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0A10691F">
            <w:pPr>
              <w:rPr>
                <w:rFonts w:hint="eastAsia" w:ascii="宋体" w:hAnsi="宋体" w:eastAsia="宋体" w:cs="宋体"/>
                <w:i w:val="0"/>
                <w:iCs w:val="0"/>
                <w:color w:val="000000"/>
                <w:sz w:val="20"/>
                <w:szCs w:val="20"/>
                <w:u w:val="none"/>
              </w:rPr>
            </w:pPr>
          </w:p>
        </w:tc>
      </w:tr>
      <w:tr w14:paraId="1C3C6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7A096B">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074E5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82DA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D5973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51090322T000005727294-地方公共文化服务体系建设（一般项目、绩效奖励）</w:t>
            </w:r>
          </w:p>
        </w:tc>
      </w:tr>
      <w:tr w14:paraId="03FF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A524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CB279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3B1D6FB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7B4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6D1F6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3E47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86E6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F70C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435431">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5F03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7676">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CADBC">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30828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为进一步满足全区人民群众公共文化需求，通过项目实施，进一步推进公共文化阵地巩固提升、广播电视公共服务能力、文化活动开展。</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FCB0A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推进公共文化阵地巩固提升、广播电视公共服务能力、文化活动开展</w:t>
            </w:r>
          </w:p>
        </w:tc>
      </w:tr>
      <w:tr w14:paraId="54FA3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448D0">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DDD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E89F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通过项目实施，全区公共文化阵地设施得到进一步提升，完成了区美术馆、区文化馆展厅改造工程，推进中共遂蓬南中心县委旧址排危修缮、工农红军第一起义筹备处旧址，完成了城市书房建设和后期运维保障。</w:t>
            </w:r>
          </w:p>
        </w:tc>
      </w:tr>
      <w:tr w14:paraId="3EF0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B9F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79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FD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D8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5AD7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AB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8C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9B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20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652B2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394B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54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C9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42.83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F8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42.83</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55E1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42.70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C1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99.69%</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5F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75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EBD1A">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A1C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7328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06B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C0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42.83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7E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42.83</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D1B4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42.70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E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99.69%</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AA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F8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3C947">
            <w:pPr>
              <w:rPr>
                <w:rFonts w:hint="eastAsia" w:ascii="黑体" w:hAnsi="黑体" w:eastAsia="黑体" w:cs="黑体"/>
                <w:i w:val="0"/>
                <w:iCs w:val="0"/>
                <w:color w:val="000000"/>
                <w:sz w:val="20"/>
                <w:szCs w:val="20"/>
                <w:u w:val="none"/>
              </w:rPr>
            </w:pPr>
          </w:p>
        </w:tc>
      </w:tr>
      <w:tr w14:paraId="49E75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4BE3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0D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3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71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9D7C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D0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40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56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C1F6">
            <w:pPr>
              <w:rPr>
                <w:rFonts w:hint="eastAsia" w:ascii="黑体" w:hAnsi="黑体" w:eastAsia="黑体" w:cs="黑体"/>
                <w:i w:val="0"/>
                <w:iCs w:val="0"/>
                <w:color w:val="000000"/>
                <w:sz w:val="20"/>
                <w:szCs w:val="20"/>
                <w:u w:val="none"/>
              </w:rPr>
            </w:pPr>
          </w:p>
        </w:tc>
      </w:tr>
      <w:tr w14:paraId="35D3C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D0A6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38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4F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AE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C16D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75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5D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26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F49EB">
            <w:pPr>
              <w:rPr>
                <w:rFonts w:hint="eastAsia" w:ascii="黑体" w:hAnsi="黑体" w:eastAsia="黑体" w:cs="黑体"/>
                <w:i w:val="0"/>
                <w:iCs w:val="0"/>
                <w:color w:val="000000"/>
                <w:sz w:val="20"/>
                <w:szCs w:val="20"/>
                <w:u w:val="none"/>
              </w:rPr>
            </w:pPr>
          </w:p>
        </w:tc>
      </w:tr>
      <w:tr w14:paraId="3FB5A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B691D">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10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1276">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B691">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AA7E7">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C1AA">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CA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F6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0355E">
            <w:pPr>
              <w:rPr>
                <w:rFonts w:hint="eastAsia" w:ascii="黑体" w:hAnsi="黑体" w:eastAsia="黑体" w:cs="黑体"/>
                <w:i w:val="0"/>
                <w:iCs w:val="0"/>
                <w:color w:val="000000"/>
                <w:sz w:val="20"/>
                <w:szCs w:val="20"/>
                <w:u w:val="none"/>
              </w:rPr>
            </w:pPr>
          </w:p>
        </w:tc>
      </w:tr>
      <w:tr w14:paraId="5202E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F53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B0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76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5C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F7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87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B9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15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02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56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58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13B57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D3962">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01F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10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43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实施公共广播电视公共服务能力、文化活动开展等项目数量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4C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B8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C8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45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39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28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22A8">
            <w:pPr>
              <w:jc w:val="center"/>
              <w:rPr>
                <w:rFonts w:hint="eastAsia" w:ascii="微软雅黑" w:hAnsi="微软雅黑" w:eastAsia="微软雅黑" w:cs="微软雅黑"/>
                <w:i w:val="0"/>
                <w:iCs w:val="0"/>
                <w:color w:val="000000"/>
                <w:sz w:val="18"/>
                <w:szCs w:val="18"/>
                <w:u w:val="none"/>
              </w:rPr>
            </w:pPr>
          </w:p>
        </w:tc>
      </w:tr>
      <w:tr w14:paraId="03981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5ECE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279B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37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6C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全面完成建设目标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DA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C1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E9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FB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AB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DD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1C66">
            <w:pPr>
              <w:jc w:val="center"/>
              <w:rPr>
                <w:rFonts w:hint="eastAsia" w:ascii="微软雅黑" w:hAnsi="微软雅黑" w:eastAsia="微软雅黑" w:cs="微软雅黑"/>
                <w:i w:val="0"/>
                <w:iCs w:val="0"/>
                <w:color w:val="000000"/>
                <w:sz w:val="18"/>
                <w:szCs w:val="18"/>
                <w:u w:val="none"/>
              </w:rPr>
            </w:pPr>
          </w:p>
        </w:tc>
      </w:tr>
      <w:tr w14:paraId="22F72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6BA9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452CE">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AD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94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Style w:val="35"/>
                <w:i w:val="0"/>
                <w:iCs w:val="0"/>
                <w:sz w:val="20"/>
                <w:szCs w:val="20"/>
                <w:lang w:val="en-US" w:eastAsia="zh-CN" w:bidi="ar"/>
              </w:rPr>
              <w:t xml:space="preserve">产出指标 </w:t>
            </w:r>
            <w:r>
              <w:rPr>
                <w:rStyle w:val="36"/>
                <w:rFonts w:eastAsia="宋体"/>
                <w:i w:val="0"/>
                <w:iCs w:val="0"/>
                <w:sz w:val="20"/>
                <w:szCs w:val="20"/>
                <w:lang w:val="en-US" w:eastAsia="zh-CN" w:bidi="ar"/>
              </w:rPr>
              <w:t xml:space="preserve"> </w:t>
            </w:r>
            <w:r>
              <w:rPr>
                <w:rStyle w:val="35"/>
                <w:i w:val="0"/>
                <w:iCs w:val="0"/>
                <w:sz w:val="20"/>
                <w:szCs w:val="20"/>
                <w:lang w:val="en-US" w:eastAsia="zh-CN" w:bidi="ar"/>
              </w:rPr>
              <w:t xml:space="preserve"> 时效指标 </w:t>
            </w:r>
            <w:r>
              <w:rPr>
                <w:rStyle w:val="36"/>
                <w:rFonts w:eastAsia="宋体"/>
                <w:i w:val="0"/>
                <w:iCs w:val="0"/>
                <w:sz w:val="20"/>
                <w:szCs w:val="20"/>
                <w:lang w:val="en-US" w:eastAsia="zh-CN" w:bidi="ar"/>
              </w:rPr>
              <w:t xml:space="preserve"> </w:t>
            </w:r>
            <w:r>
              <w:rPr>
                <w:rStyle w:val="35"/>
                <w:i w:val="0"/>
                <w:iCs w:val="0"/>
                <w:sz w:val="20"/>
                <w:szCs w:val="20"/>
                <w:lang w:val="en-US" w:eastAsia="zh-CN" w:bidi="ar"/>
              </w:rPr>
              <w:t xml:space="preserve"> 各项工作项目完成及时率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DA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FE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7B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E5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20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B4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0A9F">
            <w:pPr>
              <w:jc w:val="center"/>
              <w:rPr>
                <w:rFonts w:hint="eastAsia" w:ascii="微软雅黑" w:hAnsi="微软雅黑" w:eastAsia="微软雅黑" w:cs="微软雅黑"/>
                <w:i w:val="0"/>
                <w:iCs w:val="0"/>
                <w:color w:val="000000"/>
                <w:sz w:val="18"/>
                <w:szCs w:val="18"/>
                <w:u w:val="none"/>
              </w:rPr>
            </w:pPr>
          </w:p>
        </w:tc>
      </w:tr>
      <w:tr w14:paraId="7876F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4C092">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C19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365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9B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群众参与率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06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6E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18A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59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E5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2F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04BB">
            <w:pPr>
              <w:jc w:val="center"/>
              <w:rPr>
                <w:rFonts w:hint="eastAsia" w:ascii="微软雅黑" w:hAnsi="微软雅黑" w:eastAsia="微软雅黑" w:cs="微软雅黑"/>
                <w:i w:val="0"/>
                <w:iCs w:val="0"/>
                <w:color w:val="000000"/>
                <w:sz w:val="18"/>
                <w:szCs w:val="18"/>
                <w:u w:val="none"/>
              </w:rPr>
            </w:pPr>
          </w:p>
        </w:tc>
      </w:tr>
      <w:tr w14:paraId="1F57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24B9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FFCD6">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9AE39">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6E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广播电视信号收视收听覆盖率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96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9A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BD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86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C3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52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F07A">
            <w:pPr>
              <w:jc w:val="center"/>
              <w:rPr>
                <w:rFonts w:hint="eastAsia" w:ascii="微软雅黑" w:hAnsi="微软雅黑" w:eastAsia="微软雅黑" w:cs="微软雅黑"/>
                <w:i w:val="0"/>
                <w:iCs w:val="0"/>
                <w:color w:val="000000"/>
                <w:sz w:val="18"/>
                <w:szCs w:val="18"/>
                <w:u w:val="none"/>
              </w:rPr>
            </w:pPr>
          </w:p>
        </w:tc>
      </w:tr>
      <w:tr w14:paraId="24949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6A90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8CEE8">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6B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CE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B3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BA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优良中低差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24DC">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04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84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37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BFAB">
            <w:pPr>
              <w:jc w:val="center"/>
              <w:rPr>
                <w:rFonts w:hint="eastAsia" w:ascii="微软雅黑" w:hAnsi="微软雅黑" w:eastAsia="微软雅黑" w:cs="微软雅黑"/>
                <w:i w:val="0"/>
                <w:iCs w:val="0"/>
                <w:color w:val="000000"/>
                <w:sz w:val="18"/>
                <w:szCs w:val="18"/>
                <w:u w:val="none"/>
              </w:rPr>
            </w:pPr>
          </w:p>
        </w:tc>
      </w:tr>
      <w:tr w14:paraId="2523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1862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A7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6B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21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受惠群众满意度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FE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9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D74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04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99</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B8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34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909C">
            <w:pPr>
              <w:jc w:val="center"/>
              <w:rPr>
                <w:rFonts w:hint="eastAsia" w:ascii="微软雅黑" w:hAnsi="微软雅黑" w:eastAsia="微软雅黑" w:cs="微软雅黑"/>
                <w:i w:val="0"/>
                <w:iCs w:val="0"/>
                <w:color w:val="000000"/>
                <w:sz w:val="18"/>
                <w:szCs w:val="18"/>
                <w:u w:val="none"/>
              </w:rPr>
            </w:pPr>
          </w:p>
        </w:tc>
      </w:tr>
      <w:tr w14:paraId="1540B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A5B0B">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F4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34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15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71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97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42.8348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36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67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DE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15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DF8B">
            <w:pPr>
              <w:jc w:val="center"/>
              <w:rPr>
                <w:rFonts w:hint="eastAsia" w:ascii="微软雅黑" w:hAnsi="微软雅黑" w:eastAsia="微软雅黑" w:cs="微软雅黑"/>
                <w:i w:val="0"/>
                <w:iCs w:val="0"/>
                <w:color w:val="000000"/>
                <w:sz w:val="18"/>
                <w:szCs w:val="18"/>
                <w:u w:val="none"/>
              </w:rPr>
            </w:pPr>
          </w:p>
        </w:tc>
      </w:tr>
      <w:tr w14:paraId="584EF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8704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B8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90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303A">
            <w:pPr>
              <w:rPr>
                <w:rFonts w:hint="eastAsia" w:ascii="宋体" w:hAnsi="宋体" w:eastAsia="宋体" w:cs="宋体"/>
                <w:i w:val="0"/>
                <w:iCs w:val="0"/>
                <w:color w:val="000000"/>
                <w:sz w:val="20"/>
                <w:szCs w:val="20"/>
                <w:u w:val="none"/>
              </w:rPr>
            </w:pPr>
          </w:p>
        </w:tc>
      </w:tr>
      <w:tr w14:paraId="50C8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44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E09DD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项目实施符合中省市区政策部署，有相关法律法规作支撑，是满足</w:t>
            </w:r>
            <w:r>
              <w:rPr>
                <w:rFonts w:hint="eastAsia" w:ascii="宋体" w:hAnsi="宋体" w:cs="宋体"/>
                <w:i w:val="0"/>
                <w:iCs w:val="0"/>
                <w:color w:val="000000"/>
                <w:kern w:val="0"/>
                <w:sz w:val="20"/>
                <w:szCs w:val="20"/>
                <w:u w:val="none"/>
                <w:lang w:val="en-US" w:eastAsia="zh-CN" w:bidi="ar"/>
              </w:rPr>
              <w:t>区域</w:t>
            </w:r>
            <w:r>
              <w:rPr>
                <w:rFonts w:hint="eastAsia" w:ascii="宋体" w:hAnsi="宋体" w:eastAsia="宋体" w:cs="宋体"/>
                <w:i w:val="0"/>
                <w:iCs w:val="0"/>
                <w:color w:val="000000"/>
                <w:kern w:val="0"/>
                <w:sz w:val="20"/>
                <w:szCs w:val="20"/>
                <w:u w:val="none"/>
                <w:lang w:val="en-US" w:eastAsia="zh-CN" w:bidi="ar"/>
              </w:rPr>
              <w:t>文化发展的项目，资金严格按照中央文件精神执行，保障项目内容全部实现。项目建设完成后，数量、质量、成本、社会效益、可持续影响、满意度等指标完成均达标。该项目综合评估等级为优秀。</w:t>
            </w:r>
          </w:p>
        </w:tc>
      </w:tr>
      <w:tr w14:paraId="102B3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5F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33B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项目资金缺口大。</w:t>
            </w:r>
          </w:p>
        </w:tc>
      </w:tr>
      <w:tr w14:paraId="0A2B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2C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7D37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各级持续加大公共文化服务项目的资金投入。</w:t>
            </w:r>
          </w:p>
        </w:tc>
      </w:tr>
      <w:tr w14:paraId="0F219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1D67E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项目负责人：田斌</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330D03B">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0945E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F5CFED8">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277CE35E">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41F811F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579A90F7">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62673F4D">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2A24CF82">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3C2609B">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129D261F">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76741B7B">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60A96ED4">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62BC08A5">
            <w:pPr>
              <w:rPr>
                <w:rFonts w:hint="eastAsia" w:ascii="宋体" w:hAnsi="宋体" w:eastAsia="宋体" w:cs="宋体"/>
                <w:i w:val="0"/>
                <w:iCs w:val="0"/>
                <w:color w:val="000000"/>
                <w:sz w:val="20"/>
                <w:szCs w:val="20"/>
                <w:u w:val="none"/>
              </w:rPr>
            </w:pPr>
          </w:p>
        </w:tc>
      </w:tr>
      <w:tr w14:paraId="4C0A2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E504DC">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E90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24A6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23D22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51090322T000005727611-市级文化和旅游发展资金（物质文化遗产保护）</w:t>
            </w:r>
          </w:p>
        </w:tc>
      </w:tr>
      <w:tr w14:paraId="58BB2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EB13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74401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1C2E435">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17E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0BD2E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7D5F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F32B2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2EFC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2EC8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年度目标完成情况</w:t>
            </w:r>
          </w:p>
        </w:tc>
      </w:tr>
      <w:tr w14:paraId="4D3A6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400AD">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C7680">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2CB12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完成“中共遂蓬南中心县委旧址”排危修缮工程以及聘请专人对“中国工农红军四川第一路起义筹备处旧址</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松林圣堂</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涪江女子中学旧址”3处文保单位开展看护工作。</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1CF8B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完成“中共遂蓬南中心县委旧址”排危修缮工程，聘请专人完成2处文保单位开展看护工作。</w:t>
            </w:r>
          </w:p>
        </w:tc>
      </w:tr>
      <w:tr w14:paraId="6C61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295B2">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6E3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72CA5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按照《中共遂蓬南中心县委旧址排危修缮设计方案》以及市文物管理局</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遂文物函 〔2019〕 1号</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批复，有计划、有目的实施修缮工程；整合2019年、2021年市级资金于2022年完成市级文物保护单位“中共遂蓬南中心县委旧址”排危修缮施工通过现场初验，2023年通过审计拨付款项。聘用专职看护人员，签订看护合同，完成“中国工农红军四川第一路起义筹备处旧址”及“涪江女子中学旧址”2处重点文保单位开展看护工作。</w:t>
            </w:r>
          </w:p>
        </w:tc>
      </w:tr>
      <w:tr w14:paraId="54B2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A8A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8A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9E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D3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3EA1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52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A2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B1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7F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5BABE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084E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5E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D2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33.60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88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33.60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BE1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31.74</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19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94.47%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1B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0B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9.44</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AE8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1处文保单位看护费用未使用，由公职人员进行巡视看护。</w:t>
            </w:r>
          </w:p>
        </w:tc>
      </w:tr>
      <w:tr w14:paraId="1875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6574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3B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47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33.60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23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33.60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8D75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31.74</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B7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94.47%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51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25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54D34">
            <w:pPr>
              <w:jc w:val="center"/>
              <w:rPr>
                <w:rFonts w:hint="eastAsia" w:ascii="宋体" w:hAnsi="宋体" w:eastAsia="宋体" w:cs="宋体"/>
                <w:i w:val="0"/>
                <w:iCs w:val="0"/>
                <w:color w:val="000000"/>
                <w:sz w:val="20"/>
                <w:szCs w:val="20"/>
                <w:u w:val="none"/>
              </w:rPr>
            </w:pPr>
          </w:p>
        </w:tc>
      </w:tr>
      <w:tr w14:paraId="56ACE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D9E8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A0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C6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56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6AF5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87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76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2C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93679">
            <w:pPr>
              <w:jc w:val="center"/>
              <w:rPr>
                <w:rFonts w:hint="eastAsia" w:ascii="宋体" w:hAnsi="宋体" w:eastAsia="宋体" w:cs="宋体"/>
                <w:i w:val="0"/>
                <w:iCs w:val="0"/>
                <w:color w:val="000000"/>
                <w:sz w:val="20"/>
                <w:szCs w:val="20"/>
                <w:u w:val="none"/>
              </w:rPr>
            </w:pPr>
          </w:p>
        </w:tc>
      </w:tr>
      <w:tr w14:paraId="00F7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0A19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B1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12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A5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2122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A8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F4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61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EE201">
            <w:pPr>
              <w:jc w:val="center"/>
              <w:rPr>
                <w:rFonts w:hint="eastAsia" w:ascii="宋体" w:hAnsi="宋体" w:eastAsia="宋体" w:cs="宋体"/>
                <w:i w:val="0"/>
                <w:iCs w:val="0"/>
                <w:color w:val="000000"/>
                <w:sz w:val="20"/>
                <w:szCs w:val="20"/>
                <w:u w:val="none"/>
              </w:rPr>
            </w:pPr>
          </w:p>
        </w:tc>
      </w:tr>
      <w:tr w14:paraId="1AE1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051D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79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BCFD">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F6AF">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77340B">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745F">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5C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21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4D60E">
            <w:pPr>
              <w:jc w:val="center"/>
              <w:rPr>
                <w:rFonts w:hint="eastAsia" w:ascii="宋体" w:hAnsi="宋体" w:eastAsia="宋体" w:cs="宋体"/>
                <w:i w:val="0"/>
                <w:iCs w:val="0"/>
                <w:color w:val="000000"/>
                <w:sz w:val="20"/>
                <w:szCs w:val="20"/>
                <w:u w:val="none"/>
              </w:rPr>
            </w:pPr>
          </w:p>
        </w:tc>
      </w:tr>
      <w:tr w14:paraId="375B8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628A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F5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B0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68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E0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23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29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D9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85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FA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48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0D7EF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21AE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DB5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0F3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9C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完成对文保单位看护工作</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E4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76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10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处</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5D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F4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27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4B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剩余1处文保单位看护由公职人员进行巡视看护。</w:t>
            </w:r>
          </w:p>
        </w:tc>
      </w:tr>
      <w:tr w14:paraId="3F990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F0747">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7E96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12F52">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55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完成对文保单位排危修缮工程</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40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E9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40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处</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49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40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66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D463">
            <w:pPr>
              <w:jc w:val="center"/>
              <w:rPr>
                <w:rFonts w:hint="eastAsia" w:ascii="微软雅黑" w:hAnsi="微软雅黑" w:eastAsia="微软雅黑" w:cs="微软雅黑"/>
                <w:i w:val="0"/>
                <w:iCs w:val="0"/>
                <w:color w:val="000000"/>
                <w:sz w:val="18"/>
                <w:szCs w:val="18"/>
                <w:u w:val="none"/>
              </w:rPr>
            </w:pPr>
          </w:p>
        </w:tc>
      </w:tr>
      <w:tr w14:paraId="3D6FB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A360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8DA1B">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3C7E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46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文保单位排危修缮工程完成率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23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C8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C1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2A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C9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1B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39B1">
            <w:pPr>
              <w:jc w:val="center"/>
              <w:rPr>
                <w:rFonts w:hint="eastAsia" w:ascii="微软雅黑" w:hAnsi="微软雅黑" w:eastAsia="微软雅黑" w:cs="微软雅黑"/>
                <w:i w:val="0"/>
                <w:iCs w:val="0"/>
                <w:color w:val="000000"/>
                <w:sz w:val="18"/>
                <w:szCs w:val="18"/>
                <w:u w:val="none"/>
              </w:rPr>
            </w:pPr>
          </w:p>
        </w:tc>
      </w:tr>
      <w:tr w14:paraId="46BA4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C2EF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6C73D">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21BCB">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3E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文保单位看护工作合格率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B1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44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10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EE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43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2D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6B9D">
            <w:pPr>
              <w:jc w:val="center"/>
              <w:rPr>
                <w:rFonts w:hint="eastAsia" w:ascii="微软雅黑" w:hAnsi="微软雅黑" w:eastAsia="微软雅黑" w:cs="微软雅黑"/>
                <w:i w:val="0"/>
                <w:iCs w:val="0"/>
                <w:color w:val="000000"/>
                <w:sz w:val="18"/>
                <w:szCs w:val="18"/>
                <w:u w:val="none"/>
              </w:rPr>
            </w:pPr>
          </w:p>
        </w:tc>
      </w:tr>
      <w:tr w14:paraId="6A177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84727">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01458">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8C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22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项目周期</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E2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BE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80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6B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1年</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42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55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B8F3">
            <w:pPr>
              <w:jc w:val="center"/>
              <w:rPr>
                <w:rFonts w:hint="eastAsia" w:ascii="微软雅黑" w:hAnsi="微软雅黑" w:eastAsia="微软雅黑" w:cs="微软雅黑"/>
                <w:i w:val="0"/>
                <w:iCs w:val="0"/>
                <w:color w:val="000000"/>
                <w:sz w:val="18"/>
                <w:szCs w:val="18"/>
                <w:u w:val="none"/>
              </w:rPr>
            </w:pPr>
          </w:p>
        </w:tc>
      </w:tr>
      <w:tr w14:paraId="690FB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5149">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277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AE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9C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更好地保护我区重要文物，促进船山文化旅游事业发展</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10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58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36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70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E3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E1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B097">
            <w:pPr>
              <w:jc w:val="center"/>
              <w:rPr>
                <w:rFonts w:hint="eastAsia" w:ascii="微软雅黑" w:hAnsi="微软雅黑" w:eastAsia="微软雅黑" w:cs="微软雅黑"/>
                <w:i w:val="0"/>
                <w:iCs w:val="0"/>
                <w:color w:val="000000"/>
                <w:sz w:val="18"/>
                <w:szCs w:val="18"/>
                <w:u w:val="none"/>
              </w:rPr>
            </w:pPr>
          </w:p>
        </w:tc>
      </w:tr>
      <w:tr w14:paraId="7DE0F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6FD0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32580">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FD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8B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33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7D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2716">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A81C">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0F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39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CF63">
            <w:pPr>
              <w:jc w:val="center"/>
              <w:rPr>
                <w:rFonts w:hint="eastAsia" w:ascii="微软雅黑" w:hAnsi="微软雅黑" w:eastAsia="微软雅黑" w:cs="微软雅黑"/>
                <w:i w:val="0"/>
                <w:iCs w:val="0"/>
                <w:color w:val="000000"/>
                <w:sz w:val="18"/>
                <w:szCs w:val="18"/>
                <w:u w:val="none"/>
              </w:rPr>
            </w:pPr>
          </w:p>
        </w:tc>
      </w:tr>
      <w:tr w14:paraId="15319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00AC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95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AC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FA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业主单位及群众满意度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E3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1A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97</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61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25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31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66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1B4D">
            <w:pPr>
              <w:jc w:val="center"/>
              <w:rPr>
                <w:rFonts w:hint="eastAsia" w:ascii="微软雅黑" w:hAnsi="微软雅黑" w:eastAsia="微软雅黑" w:cs="微软雅黑"/>
                <w:i w:val="0"/>
                <w:iCs w:val="0"/>
                <w:color w:val="000000"/>
                <w:sz w:val="18"/>
                <w:szCs w:val="18"/>
                <w:u w:val="none"/>
              </w:rPr>
            </w:pPr>
          </w:p>
        </w:tc>
      </w:tr>
      <w:tr w14:paraId="473D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E299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B9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74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A8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E2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AE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33.6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B8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94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31.741612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5E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71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ADA9">
            <w:pPr>
              <w:jc w:val="center"/>
              <w:rPr>
                <w:rFonts w:hint="eastAsia" w:ascii="微软雅黑" w:hAnsi="微软雅黑" w:eastAsia="微软雅黑" w:cs="微软雅黑"/>
                <w:i w:val="0"/>
                <w:iCs w:val="0"/>
                <w:color w:val="000000"/>
                <w:sz w:val="18"/>
                <w:szCs w:val="18"/>
                <w:u w:val="none"/>
              </w:rPr>
            </w:pPr>
          </w:p>
        </w:tc>
      </w:tr>
      <w:tr w14:paraId="7537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A065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A6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6F3B">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97.44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7B0E">
            <w:pPr>
              <w:rPr>
                <w:rFonts w:hint="eastAsia" w:ascii="宋体" w:hAnsi="宋体" w:eastAsia="宋体" w:cs="宋体"/>
                <w:i w:val="0"/>
                <w:iCs w:val="0"/>
                <w:color w:val="000000"/>
                <w:sz w:val="20"/>
                <w:szCs w:val="20"/>
                <w:u w:val="none"/>
              </w:rPr>
            </w:pPr>
          </w:p>
        </w:tc>
      </w:tr>
      <w:tr w14:paraId="6FE3D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C7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F039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项目实施，完成了市级文物保护单位“中共遂蓬南中心县委旧址”排危修缮工程，排除了该处文保单位的安全隐患，并根据项目建设进度完成了资金拨付；落实“中国工农红军四川第一路起义筹备处旧址”及“涪江女子中学旧址”2处文保单位专人看护看守，看护期12个月，做到及时发现隐患，为后期隐患整治争取了更多空间时间，更好地保护我区重要文物。</w:t>
            </w:r>
          </w:p>
        </w:tc>
      </w:tr>
      <w:tr w14:paraId="0F7D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8C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473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文物保护修缮专项资金不足，实施该修缮项目的资金经多年上级资金累积而成，导致实施文物保护修缮工程比预计延后。</w:t>
            </w:r>
            <w:r>
              <w:rPr>
                <w:rFonts w:hint="eastAsia" w:ascii="宋体" w:hAnsi="宋体" w:cs="宋体"/>
                <w:i w:val="0"/>
                <w:iCs w:val="0"/>
                <w:color w:val="000000"/>
                <w:kern w:val="0"/>
                <w:sz w:val="20"/>
                <w:szCs w:val="20"/>
                <w:u w:val="none"/>
                <w:lang w:val="en-US" w:eastAsia="zh-CN" w:bidi="ar"/>
              </w:rPr>
              <w:t>结合自身</w:t>
            </w:r>
            <w:r>
              <w:rPr>
                <w:rFonts w:hint="eastAsia" w:ascii="宋体" w:hAnsi="宋体" w:eastAsia="宋体" w:cs="宋体"/>
                <w:i w:val="0"/>
                <w:iCs w:val="0"/>
                <w:color w:val="000000"/>
                <w:kern w:val="0"/>
                <w:sz w:val="20"/>
                <w:szCs w:val="20"/>
                <w:u w:val="none"/>
                <w:lang w:val="en-US" w:eastAsia="zh-CN" w:bidi="ar"/>
              </w:rPr>
              <w:t>情况，分析存在的问题及原因。（200字以内）</w:t>
            </w:r>
          </w:p>
        </w:tc>
      </w:tr>
      <w:tr w14:paraId="09A2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C8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16E4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建议持续加大专项经费投入，加强文物保护利用。</w:t>
            </w:r>
          </w:p>
        </w:tc>
      </w:tr>
      <w:tr w14:paraId="27BDF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454630">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项目负责人：梁婉茹</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CE2EF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7C7A7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1ADA4C7A">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682F0D61">
            <w:pPr>
              <w:rPr>
                <w:rFonts w:hint="eastAsia" w:ascii="宋体" w:hAnsi="宋体" w:eastAsia="宋体" w:cs="宋体"/>
                <w:i w:val="0"/>
                <w:iCs w:val="0"/>
                <w:color w:val="000000"/>
                <w:sz w:val="20"/>
                <w:szCs w:val="20"/>
                <w:u w:val="none"/>
              </w:rPr>
            </w:pPr>
          </w:p>
          <w:p w14:paraId="6706008F">
            <w:pPr>
              <w:pStyle w:val="15"/>
              <w:rPr>
                <w:rFonts w:hint="eastAsia" w:ascii="宋体" w:hAnsi="宋体" w:eastAsia="宋体" w:cs="宋体"/>
                <w:i w:val="0"/>
                <w:iCs w:val="0"/>
                <w:color w:val="000000"/>
                <w:sz w:val="20"/>
                <w:szCs w:val="20"/>
                <w:u w:val="none"/>
              </w:rPr>
            </w:pPr>
          </w:p>
          <w:p w14:paraId="75C35C82">
            <w:pPr>
              <w:rPr>
                <w:rFonts w:hint="eastAsia" w:ascii="宋体" w:hAnsi="宋体" w:eastAsia="宋体" w:cs="宋体"/>
                <w:i w:val="0"/>
                <w:iCs w:val="0"/>
                <w:color w:val="000000"/>
                <w:sz w:val="20"/>
                <w:szCs w:val="20"/>
                <w:u w:val="none"/>
              </w:rPr>
            </w:pPr>
          </w:p>
          <w:p w14:paraId="74D8DEEF">
            <w:pPr>
              <w:pStyle w:val="15"/>
              <w:rPr>
                <w:rFonts w:hint="eastAsia" w:ascii="宋体" w:hAnsi="宋体" w:eastAsia="宋体" w:cs="宋体"/>
                <w:i w:val="0"/>
                <w:iCs w:val="0"/>
                <w:color w:val="000000"/>
                <w:sz w:val="20"/>
                <w:szCs w:val="20"/>
                <w:u w:val="none"/>
              </w:rPr>
            </w:pPr>
          </w:p>
          <w:p w14:paraId="37193AE2">
            <w:pPr>
              <w:rPr>
                <w:rFonts w:hint="eastAsia" w:ascii="宋体" w:hAnsi="宋体" w:eastAsia="宋体" w:cs="宋体"/>
                <w:i w:val="0"/>
                <w:iCs w:val="0"/>
                <w:color w:val="000000"/>
                <w:sz w:val="20"/>
                <w:szCs w:val="20"/>
                <w:u w:val="none"/>
              </w:rPr>
            </w:pPr>
          </w:p>
          <w:p w14:paraId="12F61B7C">
            <w:pPr>
              <w:pStyle w:val="15"/>
              <w:rPr>
                <w:rFonts w:hint="eastAsia" w:ascii="宋体" w:hAnsi="宋体" w:eastAsia="宋体" w:cs="宋体"/>
                <w:i w:val="0"/>
                <w:iCs w:val="0"/>
                <w:color w:val="000000"/>
                <w:sz w:val="20"/>
                <w:szCs w:val="20"/>
                <w:u w:val="none"/>
              </w:rPr>
            </w:pPr>
          </w:p>
          <w:p w14:paraId="2C1C936D">
            <w:pPr>
              <w:rPr>
                <w:rFonts w:hint="eastAsia" w:ascii="宋体" w:hAnsi="宋体" w:eastAsia="宋体" w:cs="宋体"/>
                <w:i w:val="0"/>
                <w:iCs w:val="0"/>
                <w:color w:val="000000"/>
                <w:sz w:val="20"/>
                <w:szCs w:val="20"/>
                <w:u w:val="none"/>
              </w:rPr>
            </w:pPr>
          </w:p>
          <w:p w14:paraId="5FEC1833">
            <w:pPr>
              <w:pStyle w:val="15"/>
              <w:rPr>
                <w:rFonts w:hint="eastAsia" w:ascii="宋体" w:hAnsi="宋体" w:eastAsia="宋体" w:cs="宋体"/>
                <w:i w:val="0"/>
                <w:iCs w:val="0"/>
                <w:color w:val="000000"/>
                <w:sz w:val="20"/>
                <w:szCs w:val="20"/>
                <w:u w:val="none"/>
              </w:rPr>
            </w:pPr>
          </w:p>
          <w:p w14:paraId="0E5370CC">
            <w:pPr>
              <w:rPr>
                <w:rFonts w:hint="eastAsia" w:ascii="宋体" w:hAnsi="宋体" w:eastAsia="宋体" w:cs="宋体"/>
                <w:i w:val="0"/>
                <w:iCs w:val="0"/>
                <w:color w:val="000000"/>
                <w:sz w:val="20"/>
                <w:szCs w:val="20"/>
                <w:u w:val="none"/>
              </w:rPr>
            </w:pPr>
          </w:p>
          <w:p w14:paraId="0F8F32A3">
            <w:pPr>
              <w:pStyle w:val="15"/>
              <w:rPr>
                <w:rFonts w:hint="eastAsia" w:ascii="宋体" w:hAnsi="宋体" w:eastAsia="宋体" w:cs="宋体"/>
                <w:i w:val="0"/>
                <w:iCs w:val="0"/>
                <w:color w:val="000000"/>
                <w:sz w:val="20"/>
                <w:szCs w:val="20"/>
                <w:u w:val="none"/>
              </w:rPr>
            </w:pPr>
          </w:p>
          <w:p w14:paraId="0CF42B80">
            <w:pPr>
              <w:rPr>
                <w:rFonts w:hint="eastAsia" w:ascii="宋体" w:hAnsi="宋体" w:eastAsia="宋体" w:cs="宋体"/>
                <w:i w:val="0"/>
                <w:iCs w:val="0"/>
                <w:color w:val="000000"/>
                <w:sz w:val="20"/>
                <w:szCs w:val="20"/>
                <w:u w:val="none"/>
              </w:rPr>
            </w:pPr>
          </w:p>
          <w:p w14:paraId="7624E262">
            <w:pPr>
              <w:pStyle w:val="15"/>
              <w:rPr>
                <w:rFonts w:hint="eastAsia" w:ascii="宋体" w:hAnsi="宋体" w:eastAsia="宋体" w:cs="宋体"/>
                <w:i w:val="0"/>
                <w:iCs w:val="0"/>
                <w:color w:val="000000"/>
                <w:sz w:val="20"/>
                <w:szCs w:val="20"/>
                <w:u w:val="none"/>
              </w:rPr>
            </w:pPr>
          </w:p>
          <w:p w14:paraId="401AC717">
            <w:pPr>
              <w:rPr>
                <w:rFonts w:hint="eastAsia" w:ascii="宋体" w:hAnsi="宋体" w:eastAsia="宋体" w:cs="宋体"/>
                <w:i w:val="0"/>
                <w:iCs w:val="0"/>
                <w:color w:val="000000"/>
                <w:sz w:val="20"/>
                <w:szCs w:val="20"/>
                <w:u w:val="none"/>
              </w:rPr>
            </w:pPr>
          </w:p>
          <w:p w14:paraId="6EC0A013">
            <w:pPr>
              <w:pStyle w:val="15"/>
              <w:rPr>
                <w:rFonts w:hint="eastAsia" w:ascii="宋体" w:hAnsi="宋体" w:eastAsia="宋体" w:cs="宋体"/>
                <w:i w:val="0"/>
                <w:iCs w:val="0"/>
                <w:color w:val="000000"/>
                <w:sz w:val="20"/>
                <w:szCs w:val="20"/>
                <w:u w:val="none"/>
              </w:rPr>
            </w:pPr>
          </w:p>
          <w:p w14:paraId="06CB19D7">
            <w:pPr>
              <w:rPr>
                <w:rFonts w:hint="eastAsia" w:ascii="宋体" w:hAnsi="宋体" w:eastAsia="宋体" w:cs="宋体"/>
                <w:i w:val="0"/>
                <w:iCs w:val="0"/>
                <w:color w:val="000000"/>
                <w:sz w:val="20"/>
                <w:szCs w:val="20"/>
                <w:u w:val="none"/>
              </w:rPr>
            </w:pPr>
          </w:p>
          <w:p w14:paraId="58F0B8FF">
            <w:pPr>
              <w:pStyle w:val="15"/>
              <w:rPr>
                <w:rFonts w:hint="eastAsia" w:ascii="宋体" w:hAnsi="宋体" w:eastAsia="宋体" w:cs="宋体"/>
                <w:i w:val="0"/>
                <w:iCs w:val="0"/>
                <w:color w:val="000000"/>
                <w:sz w:val="20"/>
                <w:szCs w:val="20"/>
                <w:u w:val="none"/>
              </w:rPr>
            </w:pPr>
          </w:p>
          <w:p w14:paraId="1C2FB455">
            <w:pPr>
              <w:rPr>
                <w:rFonts w:hint="eastAsia" w:ascii="宋体" w:hAnsi="宋体" w:eastAsia="宋体" w:cs="宋体"/>
                <w:i w:val="0"/>
                <w:iCs w:val="0"/>
                <w:color w:val="000000"/>
                <w:sz w:val="20"/>
                <w:szCs w:val="20"/>
                <w:u w:val="none"/>
              </w:rPr>
            </w:pPr>
          </w:p>
          <w:p w14:paraId="0D53BAB5">
            <w:pPr>
              <w:pStyle w:val="15"/>
              <w:rPr>
                <w:rFonts w:hint="eastAsia"/>
              </w:rPr>
            </w:pPr>
          </w:p>
        </w:tc>
        <w:tc>
          <w:tcPr>
            <w:tcW w:w="1746" w:type="dxa"/>
            <w:tcBorders>
              <w:top w:val="nil"/>
              <w:left w:val="nil"/>
              <w:bottom w:val="nil"/>
              <w:right w:val="nil"/>
            </w:tcBorders>
            <w:shd w:val="clear" w:color="auto" w:fill="auto"/>
            <w:vAlign w:val="center"/>
          </w:tcPr>
          <w:p w14:paraId="74EF274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2D0C2366">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0290BC5F">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7B7EA931">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C5B68EE">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58EAE2A6">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ADB380C">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095E1D23">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1C478FD">
            <w:pPr>
              <w:rPr>
                <w:rFonts w:hint="eastAsia" w:ascii="宋体" w:hAnsi="宋体" w:eastAsia="宋体" w:cs="宋体"/>
                <w:i w:val="0"/>
                <w:iCs w:val="0"/>
                <w:color w:val="000000"/>
                <w:sz w:val="20"/>
                <w:szCs w:val="20"/>
                <w:u w:val="none"/>
              </w:rPr>
            </w:pPr>
          </w:p>
        </w:tc>
      </w:tr>
      <w:tr w14:paraId="626EF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B81927C">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5AB01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09E7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64D9E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51090323T000007634577-船山区乡镇级片区旅游发展专项规划资金</w:t>
            </w:r>
          </w:p>
        </w:tc>
      </w:tr>
      <w:tr w14:paraId="5135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957D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8AB38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66C7ACD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4069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16D9E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3682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E164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1014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D2D291">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17B4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016B6">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F8742">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B4C49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编制《船山区乡镇级片区旅游发展专项规划》，包含永河农旅融合示范区（片区旅游专规）、唐桂生态农业引领区（旅游专章）等3个片区，助力我区乡村旅游发展，丰富船山文旅产业体量。</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916E9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顺利完成规划编制任务，为乡村旅游发展，项目落地实施提供科学依据，打下良好基础</w:t>
            </w:r>
          </w:p>
        </w:tc>
      </w:tr>
      <w:tr w14:paraId="616F8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F99B3">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7B1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48CE4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区文广旅游局组织公开招标第三方机构，2022年6月底前完成编制《船山区乡镇级片区旅游发展专项规划》初稿，经多次征询区直相关部门意见，形成过程稿。2023年，《船山区乡镇级片区旅游发展专项规划》全部通过专家委员会审核。</w:t>
            </w:r>
          </w:p>
        </w:tc>
      </w:tr>
      <w:tr w14:paraId="0791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C3E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5B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DB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3F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967C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D4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C8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B8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40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34E6D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B6D0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58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AF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02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3C07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32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C4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46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A3A91F">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35D4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B5BD">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9C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86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C3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9A45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76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B9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37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FA4CF">
            <w:pPr>
              <w:rPr>
                <w:rFonts w:hint="eastAsia" w:ascii="黑体" w:hAnsi="黑体" w:eastAsia="黑体" w:cs="黑体"/>
                <w:i w:val="0"/>
                <w:iCs w:val="0"/>
                <w:color w:val="000000"/>
                <w:sz w:val="20"/>
                <w:szCs w:val="20"/>
                <w:u w:val="none"/>
              </w:rPr>
            </w:pPr>
          </w:p>
        </w:tc>
      </w:tr>
      <w:tr w14:paraId="491E2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36B1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4E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18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E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8A95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84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A9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8B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EA4F4">
            <w:pPr>
              <w:rPr>
                <w:rFonts w:hint="eastAsia" w:ascii="黑体" w:hAnsi="黑体" w:eastAsia="黑体" w:cs="黑体"/>
                <w:i w:val="0"/>
                <w:iCs w:val="0"/>
                <w:color w:val="000000"/>
                <w:sz w:val="20"/>
                <w:szCs w:val="20"/>
                <w:u w:val="none"/>
              </w:rPr>
            </w:pPr>
          </w:p>
        </w:tc>
      </w:tr>
      <w:tr w14:paraId="3C07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AF67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25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A9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13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04CD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56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4D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D7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721D0">
            <w:pPr>
              <w:rPr>
                <w:rFonts w:hint="eastAsia" w:ascii="黑体" w:hAnsi="黑体" w:eastAsia="黑体" w:cs="黑体"/>
                <w:i w:val="0"/>
                <w:iCs w:val="0"/>
                <w:color w:val="000000"/>
                <w:sz w:val="20"/>
                <w:szCs w:val="20"/>
                <w:u w:val="none"/>
              </w:rPr>
            </w:pPr>
          </w:p>
        </w:tc>
      </w:tr>
      <w:tr w14:paraId="39DA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F5DE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57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E6A1">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FBA">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E3D5F8">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DFBD">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52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31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4E331">
            <w:pPr>
              <w:rPr>
                <w:rFonts w:hint="eastAsia" w:ascii="黑体" w:hAnsi="黑体" w:eastAsia="黑体" w:cs="黑体"/>
                <w:i w:val="0"/>
                <w:iCs w:val="0"/>
                <w:color w:val="000000"/>
                <w:sz w:val="20"/>
                <w:szCs w:val="20"/>
                <w:u w:val="none"/>
              </w:rPr>
            </w:pPr>
          </w:p>
        </w:tc>
      </w:tr>
      <w:tr w14:paraId="30F2F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794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96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03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3E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BF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81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75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47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70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6B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6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EA4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69FEA">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C5D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598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9F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永河农旅融合片区旅游发展专项规划；唐桂生态农业片区、龙老遂潼一体片区旅游规划专章</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F5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B4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7F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41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BE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1E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76DF">
            <w:pPr>
              <w:jc w:val="center"/>
              <w:rPr>
                <w:rFonts w:hint="eastAsia" w:ascii="微软雅黑" w:hAnsi="微软雅黑" w:eastAsia="微软雅黑" w:cs="微软雅黑"/>
                <w:i w:val="0"/>
                <w:iCs w:val="0"/>
                <w:color w:val="000000"/>
                <w:sz w:val="18"/>
                <w:szCs w:val="18"/>
                <w:u w:val="none"/>
              </w:rPr>
            </w:pPr>
          </w:p>
        </w:tc>
      </w:tr>
      <w:tr w14:paraId="2141C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42DDA">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85702">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A8A6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01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编制《船山区乡镇级片区旅游发展专项规划》，包含永河农旅融合示范区（片区旅游专规）、唐桂生态农业引领区（旅游专章）等3个片区，助力我区乡村旅游发展，丰富船山文旅产业体量。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DB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06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A9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FB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5D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96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6F47">
            <w:pPr>
              <w:jc w:val="center"/>
              <w:rPr>
                <w:rFonts w:hint="eastAsia" w:ascii="微软雅黑" w:hAnsi="微软雅黑" w:eastAsia="微软雅黑" w:cs="微软雅黑"/>
                <w:i w:val="0"/>
                <w:iCs w:val="0"/>
                <w:color w:val="000000"/>
                <w:sz w:val="18"/>
                <w:szCs w:val="18"/>
                <w:u w:val="none"/>
              </w:rPr>
            </w:pPr>
          </w:p>
        </w:tc>
      </w:tr>
      <w:tr w14:paraId="5CC6A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8E3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C712F">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33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EC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对全区旅游资源进行系统梳理，深度对接全区国土空间规划，预留全区文旅产业发展空间，确保项目落图落斑</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6B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A7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46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4B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75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12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EF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少量项目因土地问题暂时无法落图</w:t>
            </w:r>
          </w:p>
        </w:tc>
      </w:tr>
      <w:tr w14:paraId="135C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A1F5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0FB0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76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1F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按照省市要求6月底完成任务</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A5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3A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EB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60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20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89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9D22">
            <w:pPr>
              <w:jc w:val="center"/>
              <w:rPr>
                <w:rFonts w:hint="eastAsia" w:ascii="微软雅黑" w:hAnsi="微软雅黑" w:eastAsia="微软雅黑" w:cs="微软雅黑"/>
                <w:i w:val="0"/>
                <w:iCs w:val="0"/>
                <w:color w:val="000000"/>
                <w:sz w:val="18"/>
                <w:szCs w:val="18"/>
                <w:u w:val="none"/>
              </w:rPr>
            </w:pPr>
          </w:p>
        </w:tc>
      </w:tr>
      <w:tr w14:paraId="5265F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3AC01">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21D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978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27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游客接待人次年均同比增长</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94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58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B3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36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34.52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31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59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EE4D">
            <w:pPr>
              <w:jc w:val="center"/>
              <w:rPr>
                <w:rFonts w:hint="eastAsia" w:ascii="微软雅黑" w:hAnsi="微软雅黑" w:eastAsia="微软雅黑" w:cs="微软雅黑"/>
                <w:i w:val="0"/>
                <w:iCs w:val="0"/>
                <w:color w:val="000000"/>
                <w:sz w:val="18"/>
                <w:szCs w:val="18"/>
                <w:u w:val="none"/>
              </w:rPr>
            </w:pPr>
          </w:p>
        </w:tc>
      </w:tr>
      <w:tr w14:paraId="1978D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0CDCA">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E310E">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2110A">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7C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船山乡村旅游知名度、美誉度、影响力提升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7A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DF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68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EC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9C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22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0162">
            <w:pPr>
              <w:jc w:val="center"/>
              <w:rPr>
                <w:rFonts w:hint="eastAsia" w:ascii="微软雅黑" w:hAnsi="微软雅黑" w:eastAsia="微软雅黑" w:cs="微软雅黑"/>
                <w:i w:val="0"/>
                <w:iCs w:val="0"/>
                <w:color w:val="000000"/>
                <w:sz w:val="18"/>
                <w:szCs w:val="18"/>
                <w:u w:val="none"/>
              </w:rPr>
            </w:pPr>
          </w:p>
        </w:tc>
      </w:tr>
      <w:tr w14:paraId="7B7CF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C55A6">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7B190">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CB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生态效益指标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4F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生态环境保护得到加强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57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0B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01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A8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49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E0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BB26">
            <w:pPr>
              <w:jc w:val="center"/>
              <w:rPr>
                <w:rFonts w:hint="eastAsia" w:ascii="微软雅黑" w:hAnsi="微软雅黑" w:eastAsia="微软雅黑" w:cs="微软雅黑"/>
                <w:i w:val="0"/>
                <w:iCs w:val="0"/>
                <w:color w:val="000000"/>
                <w:sz w:val="18"/>
                <w:szCs w:val="18"/>
                <w:u w:val="none"/>
              </w:rPr>
            </w:pPr>
          </w:p>
        </w:tc>
      </w:tr>
      <w:tr w14:paraId="5AE0D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A5926">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92F06">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F3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A6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文旅产业可持续发展名气提高</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D9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52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E6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02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02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20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6FD4">
            <w:pPr>
              <w:jc w:val="center"/>
              <w:rPr>
                <w:rFonts w:hint="eastAsia" w:ascii="微软雅黑" w:hAnsi="微软雅黑" w:eastAsia="微软雅黑" w:cs="微软雅黑"/>
                <w:i w:val="0"/>
                <w:iCs w:val="0"/>
                <w:color w:val="000000"/>
                <w:sz w:val="18"/>
                <w:szCs w:val="18"/>
                <w:u w:val="none"/>
              </w:rPr>
            </w:pPr>
          </w:p>
        </w:tc>
      </w:tr>
      <w:tr w14:paraId="45BC3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0B13E">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47A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9F4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06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游客投诉下降率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58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DB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29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8B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78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89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81E1">
            <w:pPr>
              <w:jc w:val="center"/>
              <w:rPr>
                <w:rFonts w:hint="eastAsia" w:ascii="微软雅黑" w:hAnsi="微软雅黑" w:eastAsia="微软雅黑" w:cs="微软雅黑"/>
                <w:i w:val="0"/>
                <w:iCs w:val="0"/>
                <w:color w:val="000000"/>
                <w:sz w:val="18"/>
                <w:szCs w:val="18"/>
                <w:u w:val="none"/>
              </w:rPr>
            </w:pPr>
          </w:p>
        </w:tc>
      </w:tr>
      <w:tr w14:paraId="44547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433B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7564A">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1F8F7">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87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901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7E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51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FE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3F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AB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851B8">
            <w:pPr>
              <w:jc w:val="center"/>
              <w:rPr>
                <w:rFonts w:hint="eastAsia" w:ascii="微软雅黑" w:hAnsi="微软雅黑" w:eastAsia="微软雅黑" w:cs="微软雅黑"/>
                <w:i w:val="0"/>
                <w:iCs w:val="0"/>
                <w:color w:val="000000"/>
                <w:sz w:val="18"/>
                <w:szCs w:val="18"/>
                <w:u w:val="none"/>
              </w:rPr>
            </w:pPr>
          </w:p>
        </w:tc>
      </w:tr>
      <w:tr w14:paraId="39C3B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C069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B0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B7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6C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资金总量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F9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58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45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F5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E2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D2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FCD5">
            <w:pPr>
              <w:jc w:val="center"/>
              <w:rPr>
                <w:rFonts w:hint="eastAsia" w:ascii="微软雅黑" w:hAnsi="微软雅黑" w:eastAsia="微软雅黑" w:cs="微软雅黑"/>
                <w:i w:val="0"/>
                <w:iCs w:val="0"/>
                <w:color w:val="000000"/>
                <w:sz w:val="18"/>
                <w:szCs w:val="18"/>
                <w:u w:val="none"/>
              </w:rPr>
            </w:pPr>
          </w:p>
        </w:tc>
      </w:tr>
      <w:tr w14:paraId="6FCA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F8666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7D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2AAE">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547A">
            <w:pPr>
              <w:rPr>
                <w:rFonts w:hint="eastAsia" w:ascii="宋体" w:hAnsi="宋体" w:eastAsia="宋体" w:cs="宋体"/>
                <w:i w:val="0"/>
                <w:iCs w:val="0"/>
                <w:color w:val="000000"/>
                <w:sz w:val="20"/>
                <w:szCs w:val="20"/>
                <w:u w:val="none"/>
              </w:rPr>
            </w:pPr>
          </w:p>
        </w:tc>
      </w:tr>
      <w:tr w14:paraId="6B4FB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47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57A37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项目自评得分98分，船山区乡镇级片区旅游发展专项规划项目已全面完成，并通过专家委员会审定。通过规划进一步明确了船山区乡镇及片区旅游发展方向，为全面推进乡村振兴提供了蓝图和指导。</w:t>
            </w:r>
          </w:p>
        </w:tc>
      </w:tr>
      <w:tr w14:paraId="5BEB3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FD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6B6B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船山区乡镇级片区旅游发展专项规划重在落实，船山区乡镇级片区之前旅游发展差异明显，规划项目需及时招引、投资和建设，资金需求量大。</w:t>
            </w:r>
          </w:p>
        </w:tc>
      </w:tr>
      <w:tr w14:paraId="15FF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C2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D8750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二是加大资金投入。相关单位积极争取上级专项资金，整合使用，区财政逐步增加对乡镇级片区旅游规划项目的投入，强化资金保障。</w:t>
            </w:r>
          </w:p>
          <w:p w14:paraId="4851EA0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三是加大招引力度。组织推介会推介船山乡镇级片区旅游资源，邀请文旅客商赴船山进行考察调研。强化政策保障，争取招引项目尽快落实船山。</w:t>
            </w:r>
          </w:p>
        </w:tc>
      </w:tr>
      <w:tr w14:paraId="73A52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2F0968">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项目负责人：彭安近</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B78E18">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5E3A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1757BEE6">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4C496392">
            <w:pPr>
              <w:rPr>
                <w:rFonts w:hint="eastAsia" w:ascii="宋体" w:hAnsi="宋体" w:eastAsia="宋体" w:cs="宋体"/>
                <w:i w:val="0"/>
                <w:iCs w:val="0"/>
                <w:color w:val="000000"/>
                <w:sz w:val="20"/>
                <w:szCs w:val="20"/>
                <w:u w:val="none"/>
              </w:rPr>
            </w:pPr>
          </w:p>
          <w:p w14:paraId="4F6D0129">
            <w:pPr>
              <w:pStyle w:val="15"/>
              <w:rPr>
                <w:rFonts w:hint="eastAsia" w:ascii="宋体" w:hAnsi="宋体" w:eastAsia="宋体" w:cs="宋体"/>
                <w:i w:val="0"/>
                <w:iCs w:val="0"/>
                <w:color w:val="000000"/>
                <w:sz w:val="20"/>
                <w:szCs w:val="20"/>
                <w:u w:val="none"/>
              </w:rPr>
            </w:pPr>
          </w:p>
          <w:p w14:paraId="424F0002">
            <w:pPr>
              <w:rPr>
                <w:rFonts w:hint="eastAsia" w:ascii="宋体" w:hAnsi="宋体" w:eastAsia="宋体" w:cs="宋体"/>
                <w:i w:val="0"/>
                <w:iCs w:val="0"/>
                <w:color w:val="000000"/>
                <w:sz w:val="20"/>
                <w:szCs w:val="20"/>
                <w:u w:val="none"/>
              </w:rPr>
            </w:pPr>
          </w:p>
          <w:p w14:paraId="6604CE6C">
            <w:pPr>
              <w:pStyle w:val="15"/>
              <w:rPr>
                <w:rFonts w:hint="eastAsia" w:ascii="宋体" w:hAnsi="宋体" w:eastAsia="宋体" w:cs="宋体"/>
                <w:i w:val="0"/>
                <w:iCs w:val="0"/>
                <w:color w:val="000000"/>
                <w:sz w:val="20"/>
                <w:szCs w:val="20"/>
                <w:u w:val="none"/>
              </w:rPr>
            </w:pPr>
          </w:p>
          <w:p w14:paraId="6601E7A0">
            <w:pPr>
              <w:rPr>
                <w:rFonts w:hint="eastAsia" w:ascii="宋体" w:hAnsi="宋体" w:eastAsia="宋体" w:cs="宋体"/>
                <w:i w:val="0"/>
                <w:iCs w:val="0"/>
                <w:color w:val="000000"/>
                <w:sz w:val="20"/>
                <w:szCs w:val="20"/>
                <w:u w:val="none"/>
              </w:rPr>
            </w:pPr>
          </w:p>
          <w:p w14:paraId="08FC768C">
            <w:pPr>
              <w:pStyle w:val="15"/>
              <w:rPr>
                <w:rFonts w:hint="eastAsia" w:ascii="宋体" w:hAnsi="宋体" w:eastAsia="宋体" w:cs="宋体"/>
                <w:i w:val="0"/>
                <w:iCs w:val="0"/>
                <w:color w:val="000000"/>
                <w:sz w:val="20"/>
                <w:szCs w:val="20"/>
                <w:u w:val="none"/>
              </w:rPr>
            </w:pPr>
          </w:p>
          <w:p w14:paraId="145B14ED">
            <w:pPr>
              <w:pStyle w:val="15"/>
              <w:rPr>
                <w:rFonts w:hint="eastAsia"/>
              </w:rPr>
            </w:pPr>
          </w:p>
        </w:tc>
        <w:tc>
          <w:tcPr>
            <w:tcW w:w="1746" w:type="dxa"/>
            <w:tcBorders>
              <w:top w:val="nil"/>
              <w:left w:val="nil"/>
              <w:bottom w:val="nil"/>
              <w:right w:val="nil"/>
            </w:tcBorders>
            <w:shd w:val="clear" w:color="auto" w:fill="auto"/>
            <w:vAlign w:val="center"/>
          </w:tcPr>
          <w:p w14:paraId="03CFC970">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7A777FFA">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D911C4C">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7CD2FAA9">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D1F25AA">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5302C13E">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7EE07ED">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6A919409">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0FE0373E">
            <w:pPr>
              <w:rPr>
                <w:rFonts w:hint="eastAsia" w:ascii="宋体" w:hAnsi="宋体" w:eastAsia="宋体" w:cs="宋体"/>
                <w:i w:val="0"/>
                <w:iCs w:val="0"/>
                <w:color w:val="000000"/>
                <w:sz w:val="20"/>
                <w:szCs w:val="20"/>
                <w:u w:val="none"/>
              </w:rPr>
            </w:pPr>
          </w:p>
        </w:tc>
      </w:tr>
      <w:tr w14:paraId="46711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163509">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4BFB2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1D479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5F03E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51090323T000007820045-省级公共服务体系建设专项资金（广电项目）</w:t>
            </w:r>
          </w:p>
        </w:tc>
      </w:tr>
      <w:tr w14:paraId="7BAF8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3C27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CF75F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B3F2DD4">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8076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174C3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0CAA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5424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E5AC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D2305F">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3D67B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834D1">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AF679">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4EFC7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建设完成船山区应急广播平台；建设完成1个区级前端、7个乡镇级前端、81个村级平台；建设完成300台套应急广播村村响接收终端；有效整合已建村应急广播村村响系统，实现互联互通。</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6A1EE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建设完成1个区级前端、7个乡镇级前端、81个村级平台；建设完成300台套应急广播村村响接收终端</w:t>
            </w:r>
          </w:p>
        </w:tc>
      </w:tr>
      <w:tr w14:paraId="59EF2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F6C65">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9B4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9274A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通过政府采购，按照合同约定，项目如期推进。通过项目实施，建设完成了区级应急广播平台，7个乡镇和81个村应急广播分平台，安装应急广播终端300台套。</w:t>
            </w:r>
          </w:p>
        </w:tc>
      </w:tr>
      <w:tr w14:paraId="73DD9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2E7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7B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F2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2D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C196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B8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23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65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49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538F1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5C82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6F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8B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67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EEC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A7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91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73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80835">
            <w:pPr>
              <w:rPr>
                <w:rFonts w:hint="eastAsia" w:ascii="黑体" w:hAnsi="黑体" w:eastAsia="黑体" w:cs="黑体"/>
                <w:i w:val="0"/>
                <w:iCs w:val="0"/>
                <w:color w:val="000000"/>
                <w:sz w:val="20"/>
                <w:szCs w:val="20"/>
                <w:u w:val="none"/>
              </w:rPr>
            </w:pPr>
          </w:p>
        </w:tc>
      </w:tr>
      <w:tr w14:paraId="016D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FE8C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87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5B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C5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0F3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D5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BE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63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02A76">
            <w:pPr>
              <w:rPr>
                <w:rFonts w:hint="eastAsia" w:ascii="黑体" w:hAnsi="黑体" w:eastAsia="黑体" w:cs="黑体"/>
                <w:i w:val="0"/>
                <w:iCs w:val="0"/>
                <w:color w:val="000000"/>
                <w:sz w:val="20"/>
                <w:szCs w:val="20"/>
                <w:u w:val="none"/>
              </w:rPr>
            </w:pPr>
          </w:p>
        </w:tc>
      </w:tr>
      <w:tr w14:paraId="7C10A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806B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53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D9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E5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E8BD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5F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89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6D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634D7">
            <w:pPr>
              <w:rPr>
                <w:rFonts w:hint="eastAsia" w:ascii="黑体" w:hAnsi="黑体" w:eastAsia="黑体" w:cs="黑体"/>
                <w:i w:val="0"/>
                <w:iCs w:val="0"/>
                <w:color w:val="000000"/>
                <w:sz w:val="20"/>
                <w:szCs w:val="20"/>
                <w:u w:val="none"/>
              </w:rPr>
            </w:pPr>
          </w:p>
        </w:tc>
      </w:tr>
      <w:tr w14:paraId="482A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1C7E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C5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A9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44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7275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D5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DE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E2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D9883">
            <w:pPr>
              <w:rPr>
                <w:rFonts w:hint="eastAsia" w:ascii="黑体" w:hAnsi="黑体" w:eastAsia="黑体" w:cs="黑体"/>
                <w:i w:val="0"/>
                <w:iCs w:val="0"/>
                <w:color w:val="000000"/>
                <w:sz w:val="20"/>
                <w:szCs w:val="20"/>
                <w:u w:val="none"/>
              </w:rPr>
            </w:pPr>
          </w:p>
        </w:tc>
      </w:tr>
      <w:tr w14:paraId="5872B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978D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4A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4A5D">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0667">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5C91ED">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40B5">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CF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0C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6DE9">
            <w:pPr>
              <w:rPr>
                <w:rFonts w:hint="eastAsia" w:ascii="黑体" w:hAnsi="黑体" w:eastAsia="黑体" w:cs="黑体"/>
                <w:i w:val="0"/>
                <w:iCs w:val="0"/>
                <w:color w:val="000000"/>
                <w:sz w:val="20"/>
                <w:szCs w:val="20"/>
                <w:u w:val="none"/>
              </w:rPr>
            </w:pPr>
          </w:p>
        </w:tc>
      </w:tr>
      <w:tr w14:paraId="43EB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321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2B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5A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6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51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8C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41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98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28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57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15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5388E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8108">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7D8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67C0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29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区级应急广播系统数量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70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32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D2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CE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AE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C6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72A3">
            <w:pPr>
              <w:jc w:val="center"/>
              <w:rPr>
                <w:rFonts w:hint="eastAsia" w:ascii="微软雅黑" w:hAnsi="微软雅黑" w:eastAsia="微软雅黑" w:cs="微软雅黑"/>
                <w:i w:val="0"/>
                <w:iCs w:val="0"/>
                <w:color w:val="000000"/>
                <w:sz w:val="18"/>
                <w:szCs w:val="18"/>
                <w:u w:val="none"/>
              </w:rPr>
            </w:pPr>
          </w:p>
        </w:tc>
      </w:tr>
      <w:tr w14:paraId="5C2C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D055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160F7">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B861B">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67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终端建设数量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1E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0F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BA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台套</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79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05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AA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40BA">
            <w:pPr>
              <w:jc w:val="center"/>
              <w:rPr>
                <w:rFonts w:hint="eastAsia" w:ascii="微软雅黑" w:hAnsi="微软雅黑" w:eastAsia="微软雅黑" w:cs="微软雅黑"/>
                <w:i w:val="0"/>
                <w:iCs w:val="0"/>
                <w:color w:val="000000"/>
                <w:sz w:val="18"/>
                <w:szCs w:val="18"/>
                <w:u w:val="none"/>
              </w:rPr>
            </w:pPr>
          </w:p>
        </w:tc>
      </w:tr>
      <w:tr w14:paraId="64214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A6CA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430F">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454A6">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C1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村级应急前段</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4A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1D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76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E3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83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06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20E3">
            <w:pPr>
              <w:jc w:val="center"/>
              <w:rPr>
                <w:rFonts w:hint="eastAsia" w:ascii="微软雅黑" w:hAnsi="微软雅黑" w:eastAsia="微软雅黑" w:cs="微软雅黑"/>
                <w:i w:val="0"/>
                <w:iCs w:val="0"/>
                <w:color w:val="000000"/>
                <w:sz w:val="18"/>
                <w:szCs w:val="18"/>
                <w:u w:val="none"/>
              </w:rPr>
            </w:pPr>
          </w:p>
        </w:tc>
      </w:tr>
      <w:tr w14:paraId="7B2C0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78A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574F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B9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80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项目实施合格率（通过省广电局联调联试）</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EC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6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61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F9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64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9A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3327">
            <w:pPr>
              <w:jc w:val="center"/>
              <w:rPr>
                <w:rFonts w:hint="eastAsia" w:ascii="微软雅黑" w:hAnsi="微软雅黑" w:eastAsia="微软雅黑" w:cs="微软雅黑"/>
                <w:i w:val="0"/>
                <w:iCs w:val="0"/>
                <w:color w:val="000000"/>
                <w:sz w:val="18"/>
                <w:szCs w:val="18"/>
                <w:u w:val="none"/>
              </w:rPr>
            </w:pPr>
          </w:p>
        </w:tc>
      </w:tr>
      <w:tr w14:paraId="61475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BEDE0">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410B5">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96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9C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完成项目招标，启动项目实施，项目实施完成</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E8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3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2023年7月</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6AB3">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F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2023年11月</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27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E1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31B1">
            <w:pPr>
              <w:jc w:val="center"/>
              <w:rPr>
                <w:rFonts w:hint="eastAsia" w:ascii="微软雅黑" w:hAnsi="微软雅黑" w:eastAsia="微软雅黑" w:cs="微软雅黑"/>
                <w:i w:val="0"/>
                <w:iCs w:val="0"/>
                <w:color w:val="000000"/>
                <w:sz w:val="18"/>
                <w:szCs w:val="18"/>
                <w:u w:val="none"/>
              </w:rPr>
            </w:pPr>
          </w:p>
        </w:tc>
      </w:tr>
      <w:tr w14:paraId="7170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4AF0F">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CEC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7B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2A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广播电视公共服务覆盖率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D2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22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进一步提高</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07FA">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B6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进一步提高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56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24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B6E0">
            <w:pPr>
              <w:jc w:val="center"/>
              <w:rPr>
                <w:rFonts w:hint="eastAsia" w:ascii="微软雅黑" w:hAnsi="微软雅黑" w:eastAsia="微软雅黑" w:cs="微软雅黑"/>
                <w:i w:val="0"/>
                <w:iCs w:val="0"/>
                <w:color w:val="000000"/>
                <w:sz w:val="18"/>
                <w:szCs w:val="18"/>
                <w:u w:val="none"/>
              </w:rPr>
            </w:pPr>
          </w:p>
        </w:tc>
      </w:tr>
      <w:tr w14:paraId="4B28C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BA79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5886F">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71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DC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项目管理制度健全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24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CF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EE0D">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A5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健全</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6A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27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0C81">
            <w:pPr>
              <w:jc w:val="center"/>
              <w:rPr>
                <w:rFonts w:hint="eastAsia" w:ascii="微软雅黑" w:hAnsi="微软雅黑" w:eastAsia="微软雅黑" w:cs="微软雅黑"/>
                <w:i w:val="0"/>
                <w:iCs w:val="0"/>
                <w:color w:val="000000"/>
                <w:sz w:val="18"/>
                <w:szCs w:val="18"/>
                <w:u w:val="none"/>
              </w:rPr>
            </w:pPr>
          </w:p>
        </w:tc>
      </w:tr>
      <w:tr w14:paraId="2D712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638E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0C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D2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9A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受惠群众满意度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39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DE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37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48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998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E0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DC06">
            <w:pPr>
              <w:jc w:val="center"/>
              <w:rPr>
                <w:rFonts w:hint="eastAsia" w:ascii="微软雅黑" w:hAnsi="微软雅黑" w:eastAsia="微软雅黑" w:cs="微软雅黑"/>
                <w:i w:val="0"/>
                <w:iCs w:val="0"/>
                <w:color w:val="000000"/>
                <w:sz w:val="18"/>
                <w:szCs w:val="18"/>
                <w:u w:val="none"/>
              </w:rPr>
            </w:pPr>
          </w:p>
        </w:tc>
      </w:tr>
      <w:tr w14:paraId="12276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FF7B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48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1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8A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9C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B3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345.16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9D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41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3E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D4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E133">
            <w:pPr>
              <w:jc w:val="center"/>
              <w:rPr>
                <w:rFonts w:hint="eastAsia" w:ascii="微软雅黑" w:hAnsi="微软雅黑" w:eastAsia="微软雅黑" w:cs="微软雅黑"/>
                <w:i w:val="0"/>
                <w:iCs w:val="0"/>
                <w:color w:val="000000"/>
                <w:sz w:val="18"/>
                <w:szCs w:val="18"/>
                <w:u w:val="none"/>
              </w:rPr>
            </w:pPr>
          </w:p>
        </w:tc>
      </w:tr>
      <w:tr w14:paraId="7A5B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B6F08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B0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5A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A3B5">
            <w:pPr>
              <w:rPr>
                <w:rFonts w:hint="eastAsia" w:ascii="宋体" w:hAnsi="宋体" w:eastAsia="宋体" w:cs="宋体"/>
                <w:i w:val="0"/>
                <w:iCs w:val="0"/>
                <w:color w:val="000000"/>
                <w:sz w:val="20"/>
                <w:szCs w:val="20"/>
                <w:u w:val="none"/>
              </w:rPr>
            </w:pPr>
          </w:p>
        </w:tc>
      </w:tr>
      <w:tr w14:paraId="72B15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50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C13D9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符合中省市区政策部署，有相关法律法规作支撑，是满足全省应急广播发展的项目，资金严格按照中央文件精神执行，保障项目内容全部实现。项目建设完成后，数量、质量、成本、社会效益、可持续影响、满意度等指标完成均达标。该项目综合评估等级为优秀。</w:t>
            </w:r>
          </w:p>
        </w:tc>
      </w:tr>
      <w:tr w14:paraId="6DAD8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85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6A9E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项目需要后期继续投入，不断</w:t>
            </w:r>
            <w:r>
              <w:rPr>
                <w:rFonts w:hint="eastAsia" w:ascii="宋体" w:hAnsi="宋体" w:cs="宋体"/>
                <w:i w:val="0"/>
                <w:iCs w:val="0"/>
                <w:color w:val="000000"/>
                <w:kern w:val="0"/>
                <w:sz w:val="20"/>
                <w:szCs w:val="20"/>
                <w:u w:val="none"/>
                <w:lang w:val="en-US" w:eastAsia="zh-CN" w:bidi="ar"/>
              </w:rPr>
              <w:t>地</w:t>
            </w:r>
            <w:r>
              <w:rPr>
                <w:rFonts w:hint="eastAsia" w:ascii="宋体" w:hAnsi="宋体" w:eastAsia="宋体" w:cs="宋体"/>
                <w:i w:val="0"/>
                <w:iCs w:val="0"/>
                <w:color w:val="000000"/>
                <w:kern w:val="0"/>
                <w:sz w:val="20"/>
                <w:szCs w:val="20"/>
                <w:u w:val="none"/>
                <w:lang w:val="en-US" w:eastAsia="zh-CN" w:bidi="ar"/>
              </w:rPr>
              <w:t>完善点位和后期运维经费的保障。</w:t>
            </w:r>
          </w:p>
        </w:tc>
      </w:tr>
      <w:tr w14:paraId="66014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EB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29C37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1、加强盲区的补点建设。根据各乡镇的摸底统计，部分村社仍然有信号覆盖不全。还有乡镇对场镇、河道、交通路口等特殊点位有安装需求，统筹资金做好补点建设工作。</w:t>
            </w:r>
          </w:p>
          <w:p w14:paraId="767A553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2、加强系统管理。做好区级平台的值班值守，加强镇村前端和终端的管理和监听，完善运行维护管理制度，做好应急广播系统安全播出管理，全力确保系统整体通响率。</w:t>
            </w:r>
          </w:p>
          <w:p w14:paraId="0C64FB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3、扩大应急广播系统使用率。协调相关部门出台文件，要求各乡镇、村安排落实人员利用应急广播系统宣传农业生产、防灾减灾、惠民政策等，并纳入考核</w:t>
            </w:r>
          </w:p>
        </w:tc>
      </w:tr>
      <w:tr w14:paraId="79C60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7"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14938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项目负责人：田斌</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FFE5A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2CD71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0DE41B23">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17B4E639">
            <w:pPr>
              <w:rPr>
                <w:rFonts w:hint="eastAsia" w:ascii="宋体" w:hAnsi="宋体" w:eastAsia="宋体" w:cs="宋体"/>
                <w:i w:val="0"/>
                <w:iCs w:val="0"/>
                <w:color w:val="000000"/>
                <w:sz w:val="20"/>
                <w:szCs w:val="20"/>
                <w:u w:val="none"/>
              </w:rPr>
            </w:pPr>
          </w:p>
          <w:p w14:paraId="67A0927D">
            <w:pPr>
              <w:pStyle w:val="15"/>
              <w:rPr>
                <w:rFonts w:hint="eastAsia" w:ascii="宋体" w:hAnsi="宋体" w:eastAsia="宋体" w:cs="宋体"/>
                <w:i w:val="0"/>
                <w:iCs w:val="0"/>
                <w:color w:val="000000"/>
                <w:sz w:val="20"/>
                <w:szCs w:val="20"/>
                <w:u w:val="none"/>
              </w:rPr>
            </w:pPr>
          </w:p>
          <w:p w14:paraId="1F5985D7">
            <w:pPr>
              <w:rPr>
                <w:rFonts w:hint="eastAsia" w:ascii="宋体" w:hAnsi="宋体" w:eastAsia="宋体" w:cs="宋体"/>
                <w:i w:val="0"/>
                <w:iCs w:val="0"/>
                <w:color w:val="000000"/>
                <w:sz w:val="20"/>
                <w:szCs w:val="20"/>
                <w:u w:val="none"/>
              </w:rPr>
            </w:pPr>
          </w:p>
          <w:p w14:paraId="0B23C063">
            <w:pPr>
              <w:pStyle w:val="15"/>
              <w:rPr>
                <w:rFonts w:hint="eastAsia" w:ascii="宋体" w:hAnsi="宋体" w:eastAsia="宋体" w:cs="宋体"/>
                <w:i w:val="0"/>
                <w:iCs w:val="0"/>
                <w:color w:val="000000"/>
                <w:sz w:val="20"/>
                <w:szCs w:val="20"/>
                <w:u w:val="none"/>
              </w:rPr>
            </w:pPr>
          </w:p>
          <w:p w14:paraId="687AC774">
            <w:pPr>
              <w:rPr>
                <w:rFonts w:hint="eastAsia" w:ascii="宋体" w:hAnsi="宋体" w:eastAsia="宋体" w:cs="宋体"/>
                <w:i w:val="0"/>
                <w:iCs w:val="0"/>
                <w:color w:val="000000"/>
                <w:sz w:val="20"/>
                <w:szCs w:val="20"/>
                <w:u w:val="none"/>
              </w:rPr>
            </w:pPr>
          </w:p>
          <w:p w14:paraId="1AB93E0C">
            <w:pPr>
              <w:pStyle w:val="15"/>
              <w:rPr>
                <w:rFonts w:hint="eastAsia" w:ascii="宋体" w:hAnsi="宋体" w:eastAsia="宋体" w:cs="宋体"/>
                <w:i w:val="0"/>
                <w:iCs w:val="0"/>
                <w:color w:val="000000"/>
                <w:sz w:val="20"/>
                <w:szCs w:val="20"/>
                <w:u w:val="none"/>
              </w:rPr>
            </w:pPr>
          </w:p>
          <w:p w14:paraId="4617EE9E">
            <w:pPr>
              <w:rPr>
                <w:rFonts w:hint="eastAsia" w:ascii="宋体" w:hAnsi="宋体" w:eastAsia="宋体" w:cs="宋体"/>
                <w:i w:val="0"/>
                <w:iCs w:val="0"/>
                <w:color w:val="000000"/>
                <w:sz w:val="20"/>
                <w:szCs w:val="20"/>
                <w:u w:val="none"/>
              </w:rPr>
            </w:pPr>
          </w:p>
          <w:p w14:paraId="0CD619B6">
            <w:pPr>
              <w:pStyle w:val="15"/>
              <w:rPr>
                <w:rFonts w:hint="eastAsia" w:ascii="宋体" w:hAnsi="宋体" w:eastAsia="宋体" w:cs="宋体"/>
                <w:i w:val="0"/>
                <w:iCs w:val="0"/>
                <w:color w:val="000000"/>
                <w:sz w:val="20"/>
                <w:szCs w:val="20"/>
                <w:u w:val="none"/>
              </w:rPr>
            </w:pPr>
          </w:p>
          <w:p w14:paraId="41EC40F6">
            <w:pPr>
              <w:rPr>
                <w:rFonts w:hint="eastAsia" w:ascii="宋体" w:hAnsi="宋体" w:eastAsia="宋体" w:cs="宋体"/>
                <w:i w:val="0"/>
                <w:iCs w:val="0"/>
                <w:color w:val="000000"/>
                <w:sz w:val="20"/>
                <w:szCs w:val="20"/>
                <w:u w:val="none"/>
              </w:rPr>
            </w:pPr>
          </w:p>
          <w:p w14:paraId="697130FB">
            <w:pPr>
              <w:pStyle w:val="15"/>
              <w:rPr>
                <w:rFonts w:hint="eastAsia" w:ascii="宋体" w:hAnsi="宋体" w:eastAsia="宋体" w:cs="宋体"/>
                <w:i w:val="0"/>
                <w:iCs w:val="0"/>
                <w:color w:val="000000"/>
                <w:sz w:val="20"/>
                <w:szCs w:val="20"/>
                <w:u w:val="none"/>
              </w:rPr>
            </w:pPr>
          </w:p>
          <w:p w14:paraId="25E061D2">
            <w:pPr>
              <w:rPr>
                <w:rFonts w:hint="eastAsia" w:ascii="宋体" w:hAnsi="宋体" w:eastAsia="宋体" w:cs="宋体"/>
                <w:i w:val="0"/>
                <w:iCs w:val="0"/>
                <w:color w:val="000000"/>
                <w:sz w:val="20"/>
                <w:szCs w:val="20"/>
                <w:u w:val="none"/>
              </w:rPr>
            </w:pPr>
          </w:p>
          <w:p w14:paraId="109C3423">
            <w:pPr>
              <w:pStyle w:val="15"/>
              <w:rPr>
                <w:rFonts w:hint="eastAsia" w:ascii="宋体" w:hAnsi="宋体" w:eastAsia="宋体" w:cs="宋体"/>
                <w:i w:val="0"/>
                <w:iCs w:val="0"/>
                <w:color w:val="000000"/>
                <w:sz w:val="20"/>
                <w:szCs w:val="20"/>
                <w:u w:val="none"/>
              </w:rPr>
            </w:pPr>
          </w:p>
          <w:p w14:paraId="10EEFAF8">
            <w:pPr>
              <w:rPr>
                <w:rFonts w:hint="eastAsia" w:ascii="宋体" w:hAnsi="宋体" w:eastAsia="宋体" w:cs="宋体"/>
                <w:i w:val="0"/>
                <w:iCs w:val="0"/>
                <w:color w:val="000000"/>
                <w:sz w:val="20"/>
                <w:szCs w:val="20"/>
                <w:u w:val="none"/>
              </w:rPr>
            </w:pPr>
          </w:p>
          <w:p w14:paraId="56B84DAC">
            <w:pPr>
              <w:pStyle w:val="15"/>
              <w:rPr>
                <w:rFonts w:hint="eastAsia" w:ascii="宋体" w:hAnsi="宋体" w:eastAsia="宋体" w:cs="宋体"/>
                <w:i w:val="0"/>
                <w:iCs w:val="0"/>
                <w:color w:val="000000"/>
                <w:sz w:val="20"/>
                <w:szCs w:val="20"/>
                <w:u w:val="none"/>
              </w:rPr>
            </w:pPr>
          </w:p>
          <w:p w14:paraId="4DC0128D">
            <w:pPr>
              <w:rPr>
                <w:rFonts w:hint="eastAsia" w:ascii="宋体" w:hAnsi="宋体" w:eastAsia="宋体" w:cs="宋体"/>
                <w:i w:val="0"/>
                <w:iCs w:val="0"/>
                <w:color w:val="000000"/>
                <w:sz w:val="20"/>
                <w:szCs w:val="20"/>
                <w:u w:val="none"/>
              </w:rPr>
            </w:pPr>
          </w:p>
          <w:p w14:paraId="6C6EB75F">
            <w:pPr>
              <w:pStyle w:val="15"/>
              <w:rPr>
                <w:rFonts w:hint="eastAsia"/>
              </w:rPr>
            </w:pPr>
          </w:p>
        </w:tc>
        <w:tc>
          <w:tcPr>
            <w:tcW w:w="1746" w:type="dxa"/>
            <w:tcBorders>
              <w:top w:val="nil"/>
              <w:left w:val="nil"/>
              <w:bottom w:val="nil"/>
              <w:right w:val="nil"/>
            </w:tcBorders>
            <w:shd w:val="clear" w:color="auto" w:fill="auto"/>
            <w:vAlign w:val="center"/>
          </w:tcPr>
          <w:p w14:paraId="11D88C64">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670FC0E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77FCBA0">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6BFDF284">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A3A319F">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4C26460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76299410">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2DB8E45C">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377578FE">
            <w:pPr>
              <w:rPr>
                <w:rFonts w:hint="eastAsia" w:ascii="宋体" w:hAnsi="宋体" w:eastAsia="宋体" w:cs="宋体"/>
                <w:i w:val="0"/>
                <w:iCs w:val="0"/>
                <w:color w:val="000000"/>
                <w:sz w:val="20"/>
                <w:szCs w:val="20"/>
                <w:u w:val="none"/>
              </w:rPr>
            </w:pPr>
          </w:p>
        </w:tc>
      </w:tr>
      <w:tr w14:paraId="31E17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7F4AD7">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4E6A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54B6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B68C2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51090323T000007827480-乡村文化振兴和旅游发展补助</w:t>
            </w:r>
          </w:p>
        </w:tc>
      </w:tr>
      <w:tr w14:paraId="2F47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0C35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FBDD5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0B2D3403">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7390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3C33F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47B5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B928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29B5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824EA9">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78745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46A2C">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6268">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CD52B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开展“文化和自然遗产日”进景区展示宣传活动2场，参加遂宁市2022年文化和自然遗产日“我们的节日端午——粽琴端午</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初心向党</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”系列活动1场。</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CBB23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组织船山区非遗项目走进永和家园开展以“连接现代生活·绽放迷人光彩”为主题的“文化和自然遗产日”进景区体验互动活动、参加永和产业园开园仪式非遗展示以及“我们的节日·端午——粽琴端午·初心向党”系列活动现场非遗集市、非遗民俗体验区、非遗节目表演。</w:t>
            </w:r>
          </w:p>
        </w:tc>
      </w:tr>
      <w:tr w14:paraId="31F1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FC181">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C0E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4BCB3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组织船山区非遗项目10项走进永和家园开展以“连接现代生活·绽放迷人光彩”为主题的“文化和自然遗产日”进景区体验互动活动、参加永和产业园开园仪式非遗展示，组织非遗项目10项，非遗传承人14人，非遗节目表演参演非遗舞蹈1支，表演人员32人参加“我们的节日·端午——粽琴端午·初心向党”系列活动现场非遗集市、非遗民俗体验区、非遗节目表演。</w:t>
            </w:r>
          </w:p>
        </w:tc>
      </w:tr>
      <w:tr w14:paraId="63A8C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547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52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C6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88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C1A7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10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33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8D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AD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2977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B561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89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FC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F9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878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DE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7E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DB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70843">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DFCD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29D1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EF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98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B5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2DC4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44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39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3B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EC1F0">
            <w:pPr>
              <w:rPr>
                <w:rFonts w:hint="eastAsia" w:ascii="黑体" w:hAnsi="黑体" w:eastAsia="黑体" w:cs="黑体"/>
                <w:i w:val="0"/>
                <w:iCs w:val="0"/>
                <w:color w:val="000000"/>
                <w:sz w:val="20"/>
                <w:szCs w:val="20"/>
                <w:u w:val="none"/>
              </w:rPr>
            </w:pPr>
          </w:p>
        </w:tc>
      </w:tr>
      <w:tr w14:paraId="5BB8F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0293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A8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DD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07E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651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42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8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05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66B9">
            <w:pPr>
              <w:rPr>
                <w:rFonts w:hint="eastAsia" w:ascii="黑体" w:hAnsi="黑体" w:eastAsia="黑体" w:cs="黑体"/>
                <w:i w:val="0"/>
                <w:iCs w:val="0"/>
                <w:color w:val="000000"/>
                <w:sz w:val="20"/>
                <w:szCs w:val="20"/>
                <w:u w:val="none"/>
              </w:rPr>
            </w:pPr>
          </w:p>
        </w:tc>
      </w:tr>
      <w:tr w14:paraId="36175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70AC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79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6A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65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740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FA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4B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C4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B173">
            <w:pPr>
              <w:rPr>
                <w:rFonts w:hint="eastAsia" w:ascii="黑体" w:hAnsi="黑体" w:eastAsia="黑体" w:cs="黑体"/>
                <w:i w:val="0"/>
                <w:iCs w:val="0"/>
                <w:color w:val="000000"/>
                <w:sz w:val="20"/>
                <w:szCs w:val="20"/>
                <w:u w:val="none"/>
              </w:rPr>
            </w:pPr>
          </w:p>
        </w:tc>
      </w:tr>
      <w:tr w14:paraId="70282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AABF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41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1177">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332F">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951DDB">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3471">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37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F1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62CB0">
            <w:pPr>
              <w:rPr>
                <w:rFonts w:hint="eastAsia" w:ascii="黑体" w:hAnsi="黑体" w:eastAsia="黑体" w:cs="黑体"/>
                <w:i w:val="0"/>
                <w:iCs w:val="0"/>
                <w:color w:val="000000"/>
                <w:sz w:val="20"/>
                <w:szCs w:val="20"/>
                <w:u w:val="none"/>
              </w:rPr>
            </w:pPr>
          </w:p>
        </w:tc>
      </w:tr>
      <w:tr w14:paraId="2632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829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D6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A9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9D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7D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4F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2D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95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FB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3E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A7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01C7E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3AC9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987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383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DE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参加遂宁市2022年文化和自然遗产日</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我们的节日.端午--粽琴端午初心向党</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系列活动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D1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BC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DE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70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27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89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0872">
            <w:pPr>
              <w:jc w:val="center"/>
              <w:rPr>
                <w:rFonts w:hint="eastAsia" w:ascii="微软雅黑" w:hAnsi="微软雅黑" w:eastAsia="微软雅黑" w:cs="微软雅黑"/>
                <w:i w:val="0"/>
                <w:iCs w:val="0"/>
                <w:color w:val="000000"/>
                <w:sz w:val="18"/>
                <w:szCs w:val="18"/>
                <w:u w:val="none"/>
              </w:rPr>
            </w:pPr>
          </w:p>
        </w:tc>
      </w:tr>
      <w:tr w14:paraId="40F44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33E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826F4">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720DD">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DB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开展</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文化和自然遗产日</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进景区展示宣传活动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40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B8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11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场次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22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3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76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54C7">
            <w:pPr>
              <w:jc w:val="center"/>
              <w:rPr>
                <w:rFonts w:hint="eastAsia" w:ascii="微软雅黑" w:hAnsi="微软雅黑" w:eastAsia="微软雅黑" w:cs="微软雅黑"/>
                <w:i w:val="0"/>
                <w:iCs w:val="0"/>
                <w:color w:val="000000"/>
                <w:sz w:val="18"/>
                <w:szCs w:val="18"/>
                <w:u w:val="none"/>
              </w:rPr>
            </w:pPr>
          </w:p>
        </w:tc>
      </w:tr>
      <w:tr w14:paraId="6619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2FD8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234CF">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49205">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21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参演非遗舞蹈</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48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5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77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支</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E0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1支</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48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77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FD49">
            <w:pPr>
              <w:jc w:val="center"/>
              <w:rPr>
                <w:rFonts w:hint="eastAsia" w:ascii="微软雅黑" w:hAnsi="微软雅黑" w:eastAsia="微软雅黑" w:cs="微软雅黑"/>
                <w:i w:val="0"/>
                <w:iCs w:val="0"/>
                <w:color w:val="000000"/>
                <w:sz w:val="18"/>
                <w:szCs w:val="18"/>
                <w:u w:val="none"/>
              </w:rPr>
            </w:pPr>
          </w:p>
        </w:tc>
      </w:tr>
      <w:tr w14:paraId="1616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6733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CFC1D">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4E00">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20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参展非遗传承人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A3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66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08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5E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99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4D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5240">
            <w:pPr>
              <w:jc w:val="center"/>
              <w:rPr>
                <w:rFonts w:hint="eastAsia" w:ascii="微软雅黑" w:hAnsi="微软雅黑" w:eastAsia="微软雅黑" w:cs="微软雅黑"/>
                <w:i w:val="0"/>
                <w:iCs w:val="0"/>
                <w:color w:val="000000"/>
                <w:sz w:val="18"/>
                <w:szCs w:val="18"/>
                <w:u w:val="none"/>
              </w:rPr>
            </w:pPr>
          </w:p>
        </w:tc>
      </w:tr>
      <w:tr w14:paraId="247F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E6065">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D6D6D">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0C05B">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6E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参加遂宁市2022年文化和自然遗产日</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我们的节日.端午--粽琴端午初心向党</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系列活动参展非遗项目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ED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26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A6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E2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10项</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10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44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D481">
            <w:pPr>
              <w:jc w:val="center"/>
              <w:rPr>
                <w:rFonts w:hint="eastAsia" w:ascii="微软雅黑" w:hAnsi="微软雅黑" w:eastAsia="微软雅黑" w:cs="微软雅黑"/>
                <w:i w:val="0"/>
                <w:iCs w:val="0"/>
                <w:color w:val="000000"/>
                <w:sz w:val="18"/>
                <w:szCs w:val="18"/>
                <w:u w:val="none"/>
              </w:rPr>
            </w:pPr>
          </w:p>
        </w:tc>
      </w:tr>
      <w:tr w14:paraId="07C3F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D919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6E8A0">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E0D37">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9A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非遗舞蹈表演人员</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37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29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39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11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8B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3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2EDB">
            <w:pPr>
              <w:jc w:val="center"/>
              <w:rPr>
                <w:rFonts w:hint="eastAsia" w:ascii="微软雅黑" w:hAnsi="微软雅黑" w:eastAsia="微软雅黑" w:cs="微软雅黑"/>
                <w:i w:val="0"/>
                <w:iCs w:val="0"/>
                <w:color w:val="000000"/>
                <w:sz w:val="18"/>
                <w:szCs w:val="18"/>
                <w:u w:val="none"/>
              </w:rPr>
            </w:pPr>
          </w:p>
        </w:tc>
      </w:tr>
      <w:tr w14:paraId="42FF3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985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FD180">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E2CFB">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FD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文化和自然遗产日进景区展示活动参展非遗项目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43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74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8E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66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10项</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8F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2E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7CF5">
            <w:pPr>
              <w:jc w:val="center"/>
              <w:rPr>
                <w:rFonts w:hint="eastAsia" w:ascii="微软雅黑" w:hAnsi="微软雅黑" w:eastAsia="微软雅黑" w:cs="微软雅黑"/>
                <w:i w:val="0"/>
                <w:iCs w:val="0"/>
                <w:color w:val="000000"/>
                <w:sz w:val="18"/>
                <w:szCs w:val="18"/>
                <w:u w:val="none"/>
              </w:rPr>
            </w:pPr>
          </w:p>
        </w:tc>
      </w:tr>
      <w:tr w14:paraId="43420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4F7C5">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7285A">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367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E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演员参演率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05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DD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E8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CD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CB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81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1839">
            <w:pPr>
              <w:jc w:val="center"/>
              <w:rPr>
                <w:rFonts w:hint="eastAsia" w:ascii="微软雅黑" w:hAnsi="微软雅黑" w:eastAsia="微软雅黑" w:cs="微软雅黑"/>
                <w:i w:val="0"/>
                <w:iCs w:val="0"/>
                <w:color w:val="000000"/>
                <w:sz w:val="18"/>
                <w:szCs w:val="18"/>
                <w:u w:val="none"/>
              </w:rPr>
            </w:pPr>
          </w:p>
        </w:tc>
      </w:tr>
      <w:tr w14:paraId="090DC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D26B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B6F83">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EF9BA">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4B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传承人参展率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2F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6D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02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9A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34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C7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B733">
            <w:pPr>
              <w:jc w:val="center"/>
              <w:rPr>
                <w:rFonts w:hint="eastAsia" w:ascii="微软雅黑" w:hAnsi="微软雅黑" w:eastAsia="微软雅黑" w:cs="微软雅黑"/>
                <w:i w:val="0"/>
                <w:iCs w:val="0"/>
                <w:color w:val="000000"/>
                <w:sz w:val="18"/>
                <w:szCs w:val="18"/>
                <w:u w:val="none"/>
              </w:rPr>
            </w:pPr>
          </w:p>
        </w:tc>
      </w:tr>
      <w:tr w14:paraId="610BB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26AE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D1555">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E6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56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1C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68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E6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A5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4F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42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D688">
            <w:pPr>
              <w:jc w:val="center"/>
              <w:rPr>
                <w:rFonts w:hint="eastAsia" w:ascii="微软雅黑" w:hAnsi="微软雅黑" w:eastAsia="微软雅黑" w:cs="微软雅黑"/>
                <w:i w:val="0"/>
                <w:iCs w:val="0"/>
                <w:color w:val="000000"/>
                <w:sz w:val="18"/>
                <w:szCs w:val="18"/>
                <w:u w:val="none"/>
              </w:rPr>
            </w:pPr>
          </w:p>
        </w:tc>
      </w:tr>
      <w:tr w14:paraId="0745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9D770">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5E4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B0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48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B1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1F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E4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F1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E7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22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995C">
            <w:pPr>
              <w:jc w:val="center"/>
              <w:rPr>
                <w:rFonts w:hint="eastAsia" w:ascii="微软雅黑" w:hAnsi="微软雅黑" w:eastAsia="微软雅黑" w:cs="微软雅黑"/>
                <w:i w:val="0"/>
                <w:iCs w:val="0"/>
                <w:color w:val="000000"/>
                <w:sz w:val="18"/>
                <w:szCs w:val="18"/>
                <w:u w:val="none"/>
              </w:rPr>
            </w:pPr>
          </w:p>
        </w:tc>
      </w:tr>
      <w:tr w14:paraId="61B04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EF02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086A8">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C0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78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提高对非物质文化遗产保护率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BD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5F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C4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EF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52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07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C603">
            <w:pPr>
              <w:jc w:val="center"/>
              <w:rPr>
                <w:rFonts w:hint="eastAsia" w:ascii="微软雅黑" w:hAnsi="微软雅黑" w:eastAsia="微软雅黑" w:cs="微软雅黑"/>
                <w:i w:val="0"/>
                <w:iCs w:val="0"/>
                <w:color w:val="000000"/>
                <w:sz w:val="18"/>
                <w:szCs w:val="18"/>
                <w:u w:val="none"/>
              </w:rPr>
            </w:pPr>
          </w:p>
        </w:tc>
      </w:tr>
      <w:tr w14:paraId="4CF6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C5B5">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0CC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E2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0B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CB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62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好</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C858">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52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好</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52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86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5FE3">
            <w:pPr>
              <w:jc w:val="center"/>
              <w:rPr>
                <w:rFonts w:hint="eastAsia" w:ascii="微软雅黑" w:hAnsi="微软雅黑" w:eastAsia="微软雅黑" w:cs="微软雅黑"/>
                <w:i w:val="0"/>
                <w:iCs w:val="0"/>
                <w:color w:val="000000"/>
                <w:sz w:val="18"/>
                <w:szCs w:val="18"/>
                <w:u w:val="none"/>
              </w:rPr>
            </w:pPr>
          </w:p>
        </w:tc>
      </w:tr>
      <w:tr w14:paraId="1BE9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B2874">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B34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BD1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77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传承人满意度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00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D2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4C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99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28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FE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0AD2">
            <w:pPr>
              <w:jc w:val="center"/>
              <w:rPr>
                <w:rFonts w:hint="eastAsia" w:ascii="微软雅黑" w:hAnsi="微软雅黑" w:eastAsia="微软雅黑" w:cs="微软雅黑"/>
                <w:i w:val="0"/>
                <w:iCs w:val="0"/>
                <w:color w:val="000000"/>
                <w:sz w:val="18"/>
                <w:szCs w:val="18"/>
                <w:u w:val="none"/>
              </w:rPr>
            </w:pPr>
          </w:p>
        </w:tc>
      </w:tr>
      <w:tr w14:paraId="6309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B704B">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5BF35">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CAFBA">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5F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43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7E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2B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BD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DD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17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9408">
            <w:pPr>
              <w:jc w:val="center"/>
              <w:rPr>
                <w:rFonts w:hint="eastAsia" w:ascii="微软雅黑" w:hAnsi="微软雅黑" w:eastAsia="微软雅黑" w:cs="微软雅黑"/>
                <w:i w:val="0"/>
                <w:iCs w:val="0"/>
                <w:color w:val="000000"/>
                <w:sz w:val="18"/>
                <w:szCs w:val="18"/>
                <w:u w:val="none"/>
              </w:rPr>
            </w:pPr>
          </w:p>
        </w:tc>
      </w:tr>
      <w:tr w14:paraId="6F9E9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30BC1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27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F57E">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A734">
            <w:pPr>
              <w:rPr>
                <w:rFonts w:hint="eastAsia" w:ascii="宋体" w:hAnsi="宋体" w:eastAsia="宋体" w:cs="宋体"/>
                <w:i w:val="0"/>
                <w:iCs w:val="0"/>
                <w:color w:val="000000"/>
                <w:sz w:val="20"/>
                <w:szCs w:val="20"/>
                <w:u w:val="none"/>
              </w:rPr>
            </w:pPr>
          </w:p>
        </w:tc>
      </w:tr>
      <w:tr w14:paraId="5C75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AB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448A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项目社会效益明显，新颖的活动形式、丰富的内容吸引了大量游客和群众前来观赏体验，赢得了众人好评。项目在传承中华民族优秀传统文化，丰富群众节日文化生活，促进文旅融合，拉动文旅经济，助力文旅产业发展，推动乡村振兴，起到了积极作用。该项目综合评价得分100分。</w:t>
            </w:r>
          </w:p>
        </w:tc>
      </w:tr>
      <w:tr w14:paraId="4A452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5B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A5A9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投入不足，宣传推广渠道不够完善，后续影响力不够，还需要进一步加大宣传营销手段扩大活动影响力。</w:t>
            </w:r>
          </w:p>
        </w:tc>
      </w:tr>
      <w:tr w14:paraId="34532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D1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AE531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建议在往后的专项文化活动中加大经费以及人力、宣传等投入。着重突出活动主题，提高影响力，扩大社会效益。</w:t>
            </w:r>
          </w:p>
        </w:tc>
      </w:tr>
      <w:tr w14:paraId="4138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8"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FBAA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C38A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财务负责人：秦勇</w:t>
            </w:r>
          </w:p>
        </w:tc>
      </w:tr>
      <w:tr w14:paraId="44BB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3DD9C08F">
            <w:pPr>
              <w:rPr>
                <w:rFonts w:hint="eastAsia" w:eastAsia="宋体"/>
                <w:lang w:eastAsia="zh-CN"/>
              </w:rPr>
            </w:pPr>
          </w:p>
          <w:p w14:paraId="395DD324">
            <w:pPr>
              <w:pStyle w:val="15"/>
              <w:rPr>
                <w:rFonts w:hint="eastAsia"/>
                <w:lang w:eastAsia="zh-CN"/>
              </w:rPr>
            </w:pPr>
          </w:p>
        </w:tc>
        <w:tc>
          <w:tcPr>
            <w:tcW w:w="2011" w:type="dxa"/>
            <w:tcBorders>
              <w:top w:val="nil"/>
              <w:left w:val="nil"/>
              <w:bottom w:val="nil"/>
              <w:right w:val="nil"/>
            </w:tcBorders>
            <w:shd w:val="clear" w:color="auto" w:fill="auto"/>
            <w:vAlign w:val="center"/>
          </w:tcPr>
          <w:p w14:paraId="2D0AECE4">
            <w:pPr>
              <w:rPr>
                <w:rFonts w:hint="eastAsia" w:ascii="宋体" w:hAnsi="宋体" w:eastAsia="宋体" w:cs="宋体"/>
                <w:i w:val="0"/>
                <w:iCs w:val="0"/>
                <w:color w:val="000000"/>
                <w:sz w:val="20"/>
                <w:szCs w:val="20"/>
                <w:u w:val="none"/>
              </w:rPr>
            </w:pPr>
          </w:p>
          <w:p w14:paraId="2009B610">
            <w:pPr>
              <w:pStyle w:val="15"/>
              <w:rPr>
                <w:rFonts w:hint="eastAsia" w:ascii="宋体" w:hAnsi="宋体" w:eastAsia="宋体" w:cs="宋体"/>
                <w:i w:val="0"/>
                <w:iCs w:val="0"/>
                <w:color w:val="000000"/>
                <w:sz w:val="20"/>
                <w:szCs w:val="20"/>
                <w:u w:val="none"/>
              </w:rPr>
            </w:pPr>
          </w:p>
          <w:p w14:paraId="5CEDB4C6">
            <w:pPr>
              <w:rPr>
                <w:rFonts w:hint="eastAsia" w:ascii="宋体" w:hAnsi="宋体" w:eastAsia="宋体" w:cs="宋体"/>
                <w:i w:val="0"/>
                <w:iCs w:val="0"/>
                <w:color w:val="000000"/>
                <w:sz w:val="20"/>
                <w:szCs w:val="20"/>
                <w:u w:val="none"/>
              </w:rPr>
            </w:pPr>
          </w:p>
          <w:p w14:paraId="7AE3244E">
            <w:pPr>
              <w:pStyle w:val="15"/>
              <w:rPr>
                <w:rFonts w:hint="eastAsia" w:ascii="宋体" w:hAnsi="宋体" w:eastAsia="宋体" w:cs="宋体"/>
                <w:i w:val="0"/>
                <w:iCs w:val="0"/>
                <w:color w:val="000000"/>
                <w:sz w:val="20"/>
                <w:szCs w:val="20"/>
                <w:u w:val="none"/>
              </w:rPr>
            </w:pPr>
          </w:p>
          <w:p w14:paraId="67C6CF37">
            <w:pPr>
              <w:rPr>
                <w:rFonts w:hint="eastAsia" w:ascii="宋体" w:hAnsi="宋体" w:eastAsia="宋体" w:cs="宋体"/>
                <w:i w:val="0"/>
                <w:iCs w:val="0"/>
                <w:color w:val="000000"/>
                <w:sz w:val="20"/>
                <w:szCs w:val="20"/>
                <w:u w:val="none"/>
              </w:rPr>
            </w:pPr>
          </w:p>
          <w:p w14:paraId="37B83DE0">
            <w:pPr>
              <w:pStyle w:val="15"/>
              <w:rPr>
                <w:rFonts w:hint="eastAsia"/>
              </w:rPr>
            </w:pPr>
          </w:p>
        </w:tc>
        <w:tc>
          <w:tcPr>
            <w:tcW w:w="1746" w:type="dxa"/>
            <w:tcBorders>
              <w:top w:val="nil"/>
              <w:left w:val="nil"/>
              <w:bottom w:val="nil"/>
              <w:right w:val="nil"/>
            </w:tcBorders>
            <w:shd w:val="clear" w:color="auto" w:fill="auto"/>
            <w:vAlign w:val="center"/>
          </w:tcPr>
          <w:p w14:paraId="63CC6E60">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32102243">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C1ACAA6">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3A7BD39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1902380F">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64055E99">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4517AFD">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51F1A4B9">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0906BBE">
            <w:pPr>
              <w:rPr>
                <w:rFonts w:hint="eastAsia" w:ascii="宋体" w:hAnsi="宋体" w:eastAsia="宋体" w:cs="宋体"/>
                <w:i w:val="0"/>
                <w:iCs w:val="0"/>
                <w:color w:val="000000"/>
                <w:sz w:val="20"/>
                <w:szCs w:val="20"/>
                <w:u w:val="none"/>
              </w:rPr>
            </w:pPr>
          </w:p>
        </w:tc>
      </w:tr>
      <w:tr w14:paraId="51D3B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DB6F38">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5129B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1B6D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D6CD1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51090323T000008249192-文化旅游宣传营销</w:t>
            </w:r>
          </w:p>
        </w:tc>
      </w:tr>
      <w:tr w14:paraId="483B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B3A7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3B0FE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D741C93">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E588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31EB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3309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0FE2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2615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2B9302">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54F7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C9D2E">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E0DC3">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638F1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力宣传船山旅游资源，全面提升船山旅游市场影响力和竞争力；加强各类营销平台资源利用，保障宣传营销稳步进行，利用好船山文旅官网、微信、微博、抖音等公众号，人民网视频号等自有平台内容购买与广告发布，举办、参加节会展会，文创产品制作发布，宣传视频拍摄等做好宣传营销，为有效提高船山文化旅游资源知名度，塑造船山品牌，推动文化旅游消费市场，助力完成新一轮旅游品牌创建工作.</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5EDFF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各项工作顺利成功完成，通过网络平台宣传、视频拍摄等工作进一步完善提升了船山文旅的知名度。</w:t>
            </w:r>
          </w:p>
        </w:tc>
      </w:tr>
      <w:tr w14:paraId="0274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4C86C">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F93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21F76E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积极组织举办全区节会活动，用好用活船山文旅“两微一网”平台运维管理，以及日常宣传营销资料设计制作。</w:t>
            </w:r>
          </w:p>
        </w:tc>
      </w:tr>
      <w:tr w14:paraId="07DD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B0E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5A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F3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9C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E51F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89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AD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57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48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6B8BA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7E67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E8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A4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90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19.60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E259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19.60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D4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5F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E4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7B285">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B03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19E7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EE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FF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E8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19.60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EDA4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19.60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87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67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3D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03FD9">
            <w:pPr>
              <w:rPr>
                <w:rFonts w:hint="eastAsia" w:ascii="黑体" w:hAnsi="黑体" w:eastAsia="黑体" w:cs="黑体"/>
                <w:i w:val="0"/>
                <w:iCs w:val="0"/>
                <w:color w:val="000000"/>
                <w:sz w:val="20"/>
                <w:szCs w:val="20"/>
                <w:u w:val="none"/>
              </w:rPr>
            </w:pPr>
          </w:p>
        </w:tc>
      </w:tr>
      <w:tr w14:paraId="12108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F853">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F3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44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2E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9DC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7A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CD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A9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6ED11">
            <w:pPr>
              <w:rPr>
                <w:rFonts w:hint="eastAsia" w:ascii="黑体" w:hAnsi="黑体" w:eastAsia="黑体" w:cs="黑体"/>
                <w:i w:val="0"/>
                <w:iCs w:val="0"/>
                <w:color w:val="000000"/>
                <w:sz w:val="20"/>
                <w:szCs w:val="20"/>
                <w:u w:val="none"/>
              </w:rPr>
            </w:pPr>
          </w:p>
        </w:tc>
      </w:tr>
      <w:tr w14:paraId="41D63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6BC8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54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83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06F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038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61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6E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28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92C4F">
            <w:pPr>
              <w:rPr>
                <w:rFonts w:hint="eastAsia" w:ascii="黑体" w:hAnsi="黑体" w:eastAsia="黑体" w:cs="黑体"/>
                <w:i w:val="0"/>
                <w:iCs w:val="0"/>
                <w:color w:val="000000"/>
                <w:sz w:val="20"/>
                <w:szCs w:val="20"/>
                <w:u w:val="none"/>
              </w:rPr>
            </w:pPr>
          </w:p>
        </w:tc>
      </w:tr>
      <w:tr w14:paraId="7C9D87F0">
        <w:tblPrEx>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40A3F">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97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CF34">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B1F0">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9002D">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AB98">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DA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35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D3AD7">
            <w:pPr>
              <w:rPr>
                <w:rFonts w:hint="eastAsia" w:ascii="黑体" w:hAnsi="黑体" w:eastAsia="黑体" w:cs="黑体"/>
                <w:i w:val="0"/>
                <w:iCs w:val="0"/>
                <w:color w:val="000000"/>
                <w:sz w:val="20"/>
                <w:szCs w:val="20"/>
                <w:u w:val="none"/>
              </w:rPr>
            </w:pPr>
          </w:p>
        </w:tc>
      </w:tr>
      <w:tr w14:paraId="778D8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8CF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11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85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9F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D3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90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84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09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1D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99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53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058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9FB28">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B57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384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3B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文创产品制作</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36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40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DC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46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45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8A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4C16">
            <w:pPr>
              <w:jc w:val="center"/>
              <w:rPr>
                <w:rFonts w:hint="eastAsia" w:ascii="微软雅黑" w:hAnsi="微软雅黑" w:eastAsia="微软雅黑" w:cs="微软雅黑"/>
                <w:i w:val="0"/>
                <w:iCs w:val="0"/>
                <w:color w:val="000000"/>
                <w:sz w:val="18"/>
                <w:szCs w:val="18"/>
                <w:u w:val="none"/>
              </w:rPr>
            </w:pPr>
          </w:p>
        </w:tc>
      </w:tr>
      <w:tr w14:paraId="23AE6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7A60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F1E7C">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EBA0F">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CE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自媒体平台内容购买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F30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11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FA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E5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C2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AB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EF6D">
            <w:pPr>
              <w:jc w:val="center"/>
              <w:rPr>
                <w:rFonts w:hint="eastAsia" w:ascii="微软雅黑" w:hAnsi="微软雅黑" w:eastAsia="微软雅黑" w:cs="微软雅黑"/>
                <w:i w:val="0"/>
                <w:iCs w:val="0"/>
                <w:color w:val="000000"/>
                <w:sz w:val="18"/>
                <w:szCs w:val="18"/>
                <w:u w:val="none"/>
              </w:rPr>
            </w:pPr>
          </w:p>
        </w:tc>
      </w:tr>
      <w:tr w14:paraId="68A6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5DA3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E0124">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99B98">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6D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宣传视频拍摄</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06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DB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18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85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DC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B8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F00">
            <w:pPr>
              <w:jc w:val="center"/>
              <w:rPr>
                <w:rFonts w:hint="eastAsia" w:ascii="微软雅黑" w:hAnsi="微软雅黑" w:eastAsia="微软雅黑" w:cs="微软雅黑"/>
                <w:i w:val="0"/>
                <w:iCs w:val="0"/>
                <w:color w:val="000000"/>
                <w:sz w:val="18"/>
                <w:szCs w:val="18"/>
                <w:u w:val="none"/>
              </w:rPr>
            </w:pPr>
          </w:p>
        </w:tc>
      </w:tr>
      <w:tr w14:paraId="49D18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7F96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8734F">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7CE13">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6E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参与、举办节会展会</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FF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29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C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E5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5B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91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E681">
            <w:pPr>
              <w:jc w:val="center"/>
              <w:rPr>
                <w:rFonts w:hint="eastAsia" w:ascii="微软雅黑" w:hAnsi="微软雅黑" w:eastAsia="微软雅黑" w:cs="微软雅黑"/>
                <w:i w:val="0"/>
                <w:iCs w:val="0"/>
                <w:color w:val="000000"/>
                <w:sz w:val="18"/>
                <w:szCs w:val="18"/>
                <w:u w:val="none"/>
              </w:rPr>
            </w:pPr>
          </w:p>
        </w:tc>
      </w:tr>
      <w:tr w14:paraId="4B145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0D25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5FAD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E2193">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2B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广告发布</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85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6D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1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B3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16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79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624D">
            <w:pPr>
              <w:jc w:val="center"/>
              <w:rPr>
                <w:rFonts w:hint="eastAsia" w:ascii="微软雅黑" w:hAnsi="微软雅黑" w:eastAsia="微软雅黑" w:cs="微软雅黑"/>
                <w:i w:val="0"/>
                <w:iCs w:val="0"/>
                <w:color w:val="000000"/>
                <w:sz w:val="18"/>
                <w:szCs w:val="18"/>
                <w:u w:val="none"/>
              </w:rPr>
            </w:pPr>
          </w:p>
        </w:tc>
      </w:tr>
      <w:tr w14:paraId="46290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8DE6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11AF7">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ED6D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EE0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OTA平台运维</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4A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15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9B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5E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60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4C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0981">
            <w:pPr>
              <w:jc w:val="center"/>
              <w:rPr>
                <w:rFonts w:hint="eastAsia" w:ascii="微软雅黑" w:hAnsi="微软雅黑" w:eastAsia="微软雅黑" w:cs="微软雅黑"/>
                <w:i w:val="0"/>
                <w:iCs w:val="0"/>
                <w:color w:val="000000"/>
                <w:sz w:val="18"/>
                <w:szCs w:val="18"/>
                <w:u w:val="none"/>
              </w:rPr>
            </w:pPr>
          </w:p>
        </w:tc>
      </w:tr>
      <w:tr w14:paraId="05043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A036A">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4F63F">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02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C8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宣传视频验收合格率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9B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2D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74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B1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85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CE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C3ED">
            <w:pPr>
              <w:jc w:val="center"/>
              <w:rPr>
                <w:rFonts w:hint="eastAsia" w:ascii="微软雅黑" w:hAnsi="微软雅黑" w:eastAsia="微软雅黑" w:cs="微软雅黑"/>
                <w:i w:val="0"/>
                <w:iCs w:val="0"/>
                <w:color w:val="000000"/>
                <w:sz w:val="18"/>
                <w:szCs w:val="18"/>
                <w:u w:val="none"/>
              </w:rPr>
            </w:pPr>
          </w:p>
        </w:tc>
      </w:tr>
      <w:tr w14:paraId="4D71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0FC5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C820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2A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B6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工作任务完成及时性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90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08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及时</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46D8">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4F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及时</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BC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EC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1510">
            <w:pPr>
              <w:jc w:val="center"/>
              <w:rPr>
                <w:rFonts w:hint="eastAsia" w:ascii="微软雅黑" w:hAnsi="微软雅黑" w:eastAsia="微软雅黑" w:cs="微软雅黑"/>
                <w:i w:val="0"/>
                <w:iCs w:val="0"/>
                <w:color w:val="000000"/>
                <w:sz w:val="18"/>
                <w:szCs w:val="18"/>
                <w:u w:val="none"/>
              </w:rPr>
            </w:pPr>
          </w:p>
        </w:tc>
      </w:tr>
      <w:tr w14:paraId="5BCB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8F229">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5BC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BC7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25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文化旅游自信在全区的社会认可度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32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8B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D7E8">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4C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9A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7F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74BC">
            <w:pPr>
              <w:jc w:val="center"/>
              <w:rPr>
                <w:rFonts w:hint="eastAsia" w:ascii="微软雅黑" w:hAnsi="微软雅黑" w:eastAsia="微软雅黑" w:cs="微软雅黑"/>
                <w:i w:val="0"/>
                <w:iCs w:val="0"/>
                <w:color w:val="000000"/>
                <w:sz w:val="18"/>
                <w:szCs w:val="18"/>
                <w:u w:val="none"/>
              </w:rPr>
            </w:pPr>
          </w:p>
        </w:tc>
      </w:tr>
      <w:tr w14:paraId="14ECE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0B04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C95A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C58E1">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9B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全区旅游美誉度及影响力</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FE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60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9A54">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51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55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B8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5477">
            <w:pPr>
              <w:jc w:val="center"/>
              <w:rPr>
                <w:rFonts w:hint="eastAsia" w:ascii="微软雅黑" w:hAnsi="微软雅黑" w:eastAsia="微软雅黑" w:cs="微软雅黑"/>
                <w:i w:val="0"/>
                <w:iCs w:val="0"/>
                <w:color w:val="000000"/>
                <w:sz w:val="18"/>
                <w:szCs w:val="18"/>
                <w:u w:val="none"/>
              </w:rPr>
            </w:pPr>
          </w:p>
        </w:tc>
      </w:tr>
      <w:tr w14:paraId="68075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B3CF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4FF47">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3B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FF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文化旅游产业实现可持续发展，助推品牌创建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A0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ED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持续提升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5D3B">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6D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持续提升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48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40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1EE1">
            <w:pPr>
              <w:jc w:val="center"/>
              <w:rPr>
                <w:rFonts w:hint="eastAsia" w:ascii="微软雅黑" w:hAnsi="微软雅黑" w:eastAsia="微软雅黑" w:cs="微软雅黑"/>
                <w:i w:val="0"/>
                <w:iCs w:val="0"/>
                <w:color w:val="000000"/>
                <w:sz w:val="18"/>
                <w:szCs w:val="18"/>
                <w:u w:val="none"/>
              </w:rPr>
            </w:pPr>
          </w:p>
        </w:tc>
      </w:tr>
      <w:tr w14:paraId="3E68B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295F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0C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DA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27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广大游客及社会民众满意度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81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76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E6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6A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65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64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D026">
            <w:pPr>
              <w:jc w:val="center"/>
              <w:rPr>
                <w:rFonts w:hint="eastAsia" w:ascii="微软雅黑" w:hAnsi="微软雅黑" w:eastAsia="微软雅黑" w:cs="微软雅黑"/>
                <w:i w:val="0"/>
                <w:iCs w:val="0"/>
                <w:color w:val="000000"/>
                <w:sz w:val="18"/>
                <w:szCs w:val="18"/>
                <w:u w:val="none"/>
              </w:rPr>
            </w:pPr>
          </w:p>
        </w:tc>
      </w:tr>
      <w:tr w14:paraId="62289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A3E7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11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87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F5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工作项目成本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4A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26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FD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ABC2">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07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55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287B">
            <w:pPr>
              <w:jc w:val="center"/>
              <w:rPr>
                <w:rFonts w:hint="eastAsia" w:ascii="微软雅黑" w:hAnsi="微软雅黑" w:eastAsia="微软雅黑" w:cs="微软雅黑"/>
                <w:i w:val="0"/>
                <w:iCs w:val="0"/>
                <w:color w:val="000000"/>
                <w:sz w:val="18"/>
                <w:szCs w:val="18"/>
                <w:u w:val="none"/>
              </w:rPr>
            </w:pPr>
          </w:p>
        </w:tc>
      </w:tr>
      <w:tr w14:paraId="258C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09C4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93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6A99">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0087">
            <w:pPr>
              <w:rPr>
                <w:rFonts w:hint="eastAsia" w:ascii="宋体" w:hAnsi="宋体" w:eastAsia="宋体" w:cs="宋体"/>
                <w:i w:val="0"/>
                <w:iCs w:val="0"/>
                <w:color w:val="000000"/>
                <w:sz w:val="20"/>
                <w:szCs w:val="20"/>
                <w:u w:val="none"/>
              </w:rPr>
            </w:pPr>
          </w:p>
        </w:tc>
      </w:tr>
      <w:tr w14:paraId="633C4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D2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B33A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文化旅游宣传营销项目资金管理方面，按规定专款专用及时足额拨付，按规定对资金实行专项管理、专账核算，按规定的范围使用资金。在项目管理方面，顺利完善遂理一家亲交流活动举办，用好用活船山文旅“两微一抖”平台运维管理，以及日常宣传营销资料设计制作，提高船山旅游知名度和影响力，产生了良好的社会效益和经济效益。</w:t>
            </w:r>
          </w:p>
        </w:tc>
      </w:tr>
      <w:tr w14:paraId="3DBC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1"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D5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3275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宣传推广渠道不够完善，影响力还需要进一步加大。</w:t>
            </w:r>
          </w:p>
        </w:tc>
      </w:tr>
      <w:tr w14:paraId="7476E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75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7BD06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一是</w:t>
            </w:r>
            <w:r>
              <w:rPr>
                <w:rFonts w:hint="eastAsia" w:ascii="宋体" w:hAnsi="宋体" w:cs="宋体"/>
                <w:i w:val="0"/>
                <w:iCs w:val="0"/>
                <w:color w:val="000000"/>
                <w:kern w:val="0"/>
                <w:sz w:val="20"/>
                <w:szCs w:val="20"/>
                <w:u w:val="none"/>
                <w:lang w:val="en-US" w:eastAsia="zh-CN" w:bidi="ar"/>
              </w:rPr>
              <w:t>加大资金投入</w:t>
            </w:r>
            <w:r>
              <w:rPr>
                <w:rFonts w:hint="eastAsia" w:ascii="宋体" w:hAnsi="宋体" w:eastAsia="宋体" w:cs="宋体"/>
                <w:i w:val="0"/>
                <w:iCs w:val="0"/>
                <w:color w:val="000000"/>
                <w:kern w:val="0"/>
                <w:sz w:val="20"/>
                <w:szCs w:val="20"/>
                <w:u w:val="none"/>
                <w:lang w:val="en-US" w:eastAsia="zh-CN" w:bidi="ar"/>
              </w:rPr>
              <w:t>。进一步拓宽营销渠道，丰富合作媒体。</w:t>
            </w:r>
          </w:p>
          <w:p w14:paraId="0BCCF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二是</w:t>
            </w:r>
            <w:r>
              <w:rPr>
                <w:rFonts w:hint="eastAsia" w:ascii="宋体" w:hAnsi="宋体" w:cs="宋体"/>
                <w:i w:val="0"/>
                <w:iCs w:val="0"/>
                <w:color w:val="000000"/>
                <w:kern w:val="0"/>
                <w:sz w:val="20"/>
                <w:szCs w:val="20"/>
                <w:u w:val="none"/>
                <w:lang w:val="en-US" w:eastAsia="zh-CN" w:bidi="ar"/>
              </w:rPr>
              <w:t>加大</w:t>
            </w:r>
            <w:r>
              <w:rPr>
                <w:rFonts w:hint="eastAsia" w:ascii="宋体" w:hAnsi="宋体" w:eastAsia="宋体" w:cs="宋体"/>
                <w:i w:val="0"/>
                <w:iCs w:val="0"/>
                <w:color w:val="000000"/>
                <w:kern w:val="0"/>
                <w:sz w:val="20"/>
                <w:szCs w:val="20"/>
                <w:u w:val="none"/>
                <w:lang w:val="en-US" w:eastAsia="zh-CN" w:bidi="ar"/>
              </w:rPr>
              <w:t>宣传力度。扩大宣传营销范围，提高船山节会活动在船山、遂宁乃至全川的影响力。</w:t>
            </w:r>
          </w:p>
        </w:tc>
      </w:tr>
      <w:tr w14:paraId="2B781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DA383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项目负责人：邓宇</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7AAC64">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6CEC7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E8064D0">
            <w:pPr>
              <w:rPr>
                <w:rFonts w:hint="eastAsia" w:ascii="宋体" w:hAnsi="宋体" w:eastAsia="宋体" w:cs="宋体"/>
                <w:i w:val="0"/>
                <w:iCs w:val="0"/>
                <w:color w:val="000000"/>
                <w:sz w:val="20"/>
                <w:szCs w:val="20"/>
                <w:u w:val="none"/>
              </w:rPr>
            </w:pPr>
          </w:p>
          <w:p w14:paraId="131813F3">
            <w:pPr>
              <w:pStyle w:val="15"/>
              <w:rPr>
                <w:rFonts w:hint="eastAsia" w:ascii="宋体" w:hAnsi="宋体" w:eastAsia="宋体" w:cs="宋体"/>
                <w:i w:val="0"/>
                <w:iCs w:val="0"/>
                <w:color w:val="000000"/>
                <w:sz w:val="20"/>
                <w:szCs w:val="20"/>
                <w:u w:val="none"/>
              </w:rPr>
            </w:pPr>
          </w:p>
          <w:p w14:paraId="57592522">
            <w:pPr>
              <w:rPr>
                <w:rFonts w:hint="eastAsia" w:ascii="宋体" w:hAnsi="宋体" w:eastAsia="宋体" w:cs="宋体"/>
                <w:i w:val="0"/>
                <w:iCs w:val="0"/>
                <w:color w:val="000000"/>
                <w:sz w:val="20"/>
                <w:szCs w:val="20"/>
                <w:u w:val="none"/>
              </w:rPr>
            </w:pPr>
          </w:p>
          <w:p w14:paraId="055ECF40">
            <w:pPr>
              <w:pStyle w:val="15"/>
              <w:rPr>
                <w:rFonts w:hint="eastAsia" w:ascii="宋体" w:hAnsi="宋体" w:eastAsia="宋体" w:cs="宋体"/>
                <w:i w:val="0"/>
                <w:iCs w:val="0"/>
                <w:color w:val="000000"/>
                <w:sz w:val="20"/>
                <w:szCs w:val="20"/>
                <w:u w:val="none"/>
              </w:rPr>
            </w:pPr>
          </w:p>
          <w:p w14:paraId="5079DC79">
            <w:pPr>
              <w:rPr>
                <w:rFonts w:hint="eastAsia" w:ascii="宋体" w:hAnsi="宋体" w:eastAsia="宋体" w:cs="宋体"/>
                <w:i w:val="0"/>
                <w:iCs w:val="0"/>
                <w:color w:val="000000"/>
                <w:sz w:val="20"/>
                <w:szCs w:val="20"/>
                <w:u w:val="none"/>
              </w:rPr>
            </w:pPr>
          </w:p>
          <w:p w14:paraId="3E2617CF">
            <w:pPr>
              <w:pStyle w:val="15"/>
              <w:rPr>
                <w:rFonts w:hint="eastAsia" w:ascii="宋体" w:hAnsi="宋体" w:eastAsia="宋体" w:cs="宋体"/>
                <w:i w:val="0"/>
                <w:iCs w:val="0"/>
                <w:color w:val="000000"/>
                <w:sz w:val="20"/>
                <w:szCs w:val="20"/>
                <w:u w:val="none"/>
              </w:rPr>
            </w:pPr>
          </w:p>
          <w:p w14:paraId="47A68460">
            <w:pPr>
              <w:rPr>
                <w:rFonts w:hint="eastAsia" w:ascii="宋体" w:hAnsi="宋体" w:eastAsia="宋体" w:cs="宋体"/>
                <w:i w:val="0"/>
                <w:iCs w:val="0"/>
                <w:color w:val="000000"/>
                <w:sz w:val="20"/>
                <w:szCs w:val="20"/>
                <w:u w:val="none"/>
              </w:rPr>
            </w:pPr>
          </w:p>
          <w:p w14:paraId="755C3AB8">
            <w:pPr>
              <w:pStyle w:val="15"/>
              <w:rPr>
                <w:rFonts w:hint="eastAsia" w:ascii="宋体" w:hAnsi="宋体" w:eastAsia="宋体" w:cs="宋体"/>
                <w:i w:val="0"/>
                <w:iCs w:val="0"/>
                <w:color w:val="000000"/>
                <w:sz w:val="20"/>
                <w:szCs w:val="20"/>
                <w:u w:val="none"/>
              </w:rPr>
            </w:pPr>
          </w:p>
          <w:p w14:paraId="1D9FDC68">
            <w:pPr>
              <w:rPr>
                <w:rFonts w:hint="eastAsia" w:ascii="宋体" w:hAnsi="宋体" w:eastAsia="宋体" w:cs="宋体"/>
                <w:i w:val="0"/>
                <w:iCs w:val="0"/>
                <w:color w:val="000000"/>
                <w:sz w:val="20"/>
                <w:szCs w:val="20"/>
                <w:u w:val="none"/>
              </w:rPr>
            </w:pPr>
          </w:p>
          <w:p w14:paraId="721F13E2">
            <w:pPr>
              <w:pStyle w:val="15"/>
              <w:rPr>
                <w:rFonts w:hint="eastAsia" w:ascii="宋体" w:hAnsi="宋体" w:eastAsia="宋体" w:cs="宋体"/>
                <w:i w:val="0"/>
                <w:iCs w:val="0"/>
                <w:color w:val="000000"/>
                <w:sz w:val="20"/>
                <w:szCs w:val="20"/>
                <w:u w:val="none"/>
              </w:rPr>
            </w:pPr>
          </w:p>
          <w:p w14:paraId="36B51785">
            <w:pPr>
              <w:rPr>
                <w:rFonts w:hint="eastAsia" w:ascii="宋体" w:hAnsi="宋体" w:eastAsia="宋体" w:cs="宋体"/>
                <w:i w:val="0"/>
                <w:iCs w:val="0"/>
                <w:color w:val="000000"/>
                <w:sz w:val="20"/>
                <w:szCs w:val="20"/>
                <w:u w:val="none"/>
              </w:rPr>
            </w:pPr>
          </w:p>
          <w:p w14:paraId="0136A167">
            <w:pPr>
              <w:pStyle w:val="15"/>
              <w:rPr>
                <w:rFonts w:hint="eastAsia" w:ascii="宋体" w:hAnsi="宋体" w:eastAsia="宋体" w:cs="宋体"/>
                <w:i w:val="0"/>
                <w:iCs w:val="0"/>
                <w:color w:val="000000"/>
                <w:sz w:val="20"/>
                <w:szCs w:val="20"/>
                <w:u w:val="none"/>
              </w:rPr>
            </w:pPr>
          </w:p>
          <w:p w14:paraId="016924E0">
            <w:pPr>
              <w:rPr>
                <w:rFonts w:hint="eastAsia" w:ascii="宋体" w:hAnsi="宋体" w:eastAsia="宋体" w:cs="宋体"/>
                <w:i w:val="0"/>
                <w:iCs w:val="0"/>
                <w:color w:val="000000"/>
                <w:sz w:val="20"/>
                <w:szCs w:val="20"/>
                <w:u w:val="none"/>
              </w:rPr>
            </w:pPr>
          </w:p>
          <w:p w14:paraId="5849AADB">
            <w:pPr>
              <w:pStyle w:val="15"/>
              <w:rPr>
                <w:rFonts w:hint="eastAsia"/>
              </w:rPr>
            </w:pPr>
          </w:p>
        </w:tc>
        <w:tc>
          <w:tcPr>
            <w:tcW w:w="2011" w:type="dxa"/>
            <w:tcBorders>
              <w:top w:val="nil"/>
              <w:left w:val="nil"/>
              <w:bottom w:val="nil"/>
              <w:right w:val="nil"/>
            </w:tcBorders>
            <w:shd w:val="clear" w:color="auto" w:fill="auto"/>
            <w:vAlign w:val="center"/>
          </w:tcPr>
          <w:p w14:paraId="32F22359">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3319E3FA">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75712564">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79D44045">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62C99259">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CC12F51">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536EED5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6336C43E">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442B14C0">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364B3F30">
            <w:pPr>
              <w:rPr>
                <w:rFonts w:hint="eastAsia" w:ascii="宋体" w:hAnsi="宋体" w:eastAsia="宋体" w:cs="宋体"/>
                <w:i w:val="0"/>
                <w:iCs w:val="0"/>
                <w:color w:val="000000"/>
                <w:sz w:val="20"/>
                <w:szCs w:val="20"/>
                <w:u w:val="none"/>
              </w:rPr>
            </w:pPr>
          </w:p>
        </w:tc>
      </w:tr>
      <w:tr w14:paraId="013F8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A95BE5">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部门预算项目支出绩效自评表（2023年度）</w:t>
            </w:r>
          </w:p>
        </w:tc>
      </w:tr>
      <w:tr w14:paraId="40032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03B6B2">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F12CE9">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51090323T000008249228-公共文化服务活动及管理</w:t>
            </w:r>
          </w:p>
        </w:tc>
      </w:tr>
      <w:tr w14:paraId="60AD6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E89DF">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45E6BD">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C62D4FF">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1630D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w:t>
            </w:r>
          </w:p>
        </w:tc>
      </w:tr>
      <w:tr w14:paraId="3208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8FC92">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0F9C1">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2BCB8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64E8CF2">
            <w:pPr>
              <w:keepNext w:val="0"/>
              <w:keepLines w:val="0"/>
              <w:widowControl/>
              <w:suppressLineNumbers w:val="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年度目标完成情况</w:t>
            </w:r>
          </w:p>
        </w:tc>
      </w:tr>
      <w:tr w14:paraId="4A886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B6A10">
            <w:pP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18C87">
            <w:pPr>
              <w:rPr>
                <w:rFonts w:hint="eastAsia" w:ascii="宋体" w:hAnsi="宋体" w:eastAsia="宋体" w:cs="宋体"/>
                <w:i w:val="0"/>
                <w:iCs w:val="0"/>
                <w:color w:val="000000"/>
                <w:sz w:val="21"/>
                <w:szCs w:val="21"/>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7EF75B">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有效参加中省市组织的文化旅游活动，并自行组织开展各类文化旅游节会活动，以各类活动为载体，促进全区旅游美誉度及影响力全面提升，不断助推文化旅游产业持续发展，助力旅游品牌创建工作，提高船山知名度和影响力，丰富人民群众文旅生活，推动文化旅游消费市场，提升人民群众幸福生活指数</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4ACF4A">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各项工作顺利成功完成，通过举办节会、对外参展等工作进一步完善提升了船山文旅的知名度。</w:t>
            </w:r>
          </w:p>
        </w:tc>
      </w:tr>
      <w:tr w14:paraId="527E1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96B5A">
            <w:pP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F0E1">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E72128B">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积极参加各类展会，宣传船山文旅信息；组织举办全区节会活动，设计制作饱含船山文化元素的文创产品，文化旅游产业实现可持续发展，助推旅游创建。</w:t>
            </w:r>
          </w:p>
        </w:tc>
      </w:tr>
      <w:tr w14:paraId="3DDDF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02E8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B96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702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AF6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549D5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932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478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BAA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6CF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原因</w:t>
            </w:r>
          </w:p>
        </w:tc>
      </w:tr>
      <w:tr w14:paraId="1FA68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06988">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0FB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D80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2C6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9.97</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8E2DF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9.97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B0C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B25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C47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25BBE">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F2A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8A00D">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B81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6A8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24B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9.97</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5B77B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9.97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D16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9F4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D48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07A80">
            <w:pPr>
              <w:rPr>
                <w:rFonts w:hint="eastAsia" w:ascii="黑体" w:hAnsi="黑体" w:eastAsia="黑体" w:cs="黑体"/>
                <w:i w:val="0"/>
                <w:iCs w:val="0"/>
                <w:color w:val="000000"/>
                <w:sz w:val="21"/>
                <w:szCs w:val="21"/>
                <w:u w:val="none"/>
              </w:rPr>
            </w:pPr>
          </w:p>
        </w:tc>
      </w:tr>
      <w:tr w14:paraId="4BA00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4182B">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132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F9D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ECC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55BD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B5D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031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938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B9A21">
            <w:pPr>
              <w:rPr>
                <w:rFonts w:hint="eastAsia" w:ascii="黑体" w:hAnsi="黑体" w:eastAsia="黑体" w:cs="黑体"/>
                <w:i w:val="0"/>
                <w:iCs w:val="0"/>
                <w:color w:val="000000"/>
                <w:sz w:val="21"/>
                <w:szCs w:val="21"/>
                <w:u w:val="none"/>
              </w:rPr>
            </w:pPr>
          </w:p>
        </w:tc>
      </w:tr>
      <w:tr w14:paraId="48E6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D5C87">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3B7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E6C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5F7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A68DE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C60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507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67C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584DB">
            <w:pPr>
              <w:rPr>
                <w:rFonts w:hint="eastAsia" w:ascii="黑体" w:hAnsi="黑体" w:eastAsia="黑体" w:cs="黑体"/>
                <w:i w:val="0"/>
                <w:iCs w:val="0"/>
                <w:color w:val="000000"/>
                <w:sz w:val="21"/>
                <w:szCs w:val="21"/>
                <w:u w:val="none"/>
              </w:rPr>
            </w:pPr>
          </w:p>
        </w:tc>
      </w:tr>
      <w:tr w14:paraId="042AD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21267">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BC9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3D42">
            <w:pPr>
              <w:jc w:val="center"/>
              <w:rPr>
                <w:rFonts w:hint="eastAsia" w:ascii="微软雅黑" w:hAnsi="微软雅黑" w:eastAsia="微软雅黑" w:cs="微软雅黑"/>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56AC">
            <w:pPr>
              <w:jc w:val="center"/>
              <w:rPr>
                <w:rFonts w:hint="eastAsia" w:ascii="微软雅黑" w:hAnsi="微软雅黑" w:eastAsia="微软雅黑" w:cs="微软雅黑"/>
                <w:i w:val="0"/>
                <w:iCs w:val="0"/>
                <w:color w:val="000000"/>
                <w:sz w:val="20"/>
                <w:szCs w:val="20"/>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DB602">
            <w:pPr>
              <w:jc w:val="center"/>
              <w:rPr>
                <w:rFonts w:hint="eastAsia" w:ascii="微软雅黑" w:hAnsi="微软雅黑" w:eastAsia="微软雅黑" w:cs="微软雅黑"/>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AC36">
            <w:pPr>
              <w:jc w:val="center"/>
              <w:rPr>
                <w:rFonts w:hint="eastAsia" w:ascii="微软雅黑" w:hAnsi="微软雅黑" w:eastAsia="微软雅黑" w:cs="微软雅黑"/>
                <w:i w:val="0"/>
                <w:iCs w:val="0"/>
                <w:color w:val="000000"/>
                <w:sz w:val="20"/>
                <w:szCs w:val="20"/>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0CC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66A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62AEB">
            <w:pPr>
              <w:rPr>
                <w:rFonts w:hint="eastAsia" w:ascii="黑体" w:hAnsi="黑体" w:eastAsia="黑体" w:cs="黑体"/>
                <w:i w:val="0"/>
                <w:iCs w:val="0"/>
                <w:color w:val="000000"/>
                <w:sz w:val="21"/>
                <w:szCs w:val="21"/>
                <w:u w:val="none"/>
              </w:rPr>
            </w:pPr>
          </w:p>
        </w:tc>
      </w:tr>
      <w:tr w14:paraId="31499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1FC0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887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73B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876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556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033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957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930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CB3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704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12F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未完成原因分析</w:t>
            </w:r>
          </w:p>
        </w:tc>
      </w:tr>
      <w:tr w14:paraId="4DC95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6B9CE">
            <w:pPr>
              <w:jc w:val="center"/>
              <w:rPr>
                <w:rFonts w:hint="eastAsia" w:ascii="宋体" w:hAnsi="宋体" w:eastAsia="宋体" w:cs="宋体"/>
                <w:i w:val="0"/>
                <w:iCs w:val="0"/>
                <w:color w:val="000000"/>
                <w:sz w:val="21"/>
                <w:szCs w:val="21"/>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B8F3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E5C1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EB8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组织开展各类文化旅游活动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3AB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0C3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6A4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11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141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059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89BA">
            <w:pPr>
              <w:jc w:val="center"/>
              <w:rPr>
                <w:rFonts w:hint="eastAsia" w:ascii="微软雅黑" w:hAnsi="微软雅黑" w:eastAsia="微软雅黑" w:cs="微软雅黑"/>
                <w:i w:val="0"/>
                <w:iCs w:val="0"/>
                <w:color w:val="000000"/>
                <w:sz w:val="20"/>
                <w:szCs w:val="20"/>
                <w:u w:val="none"/>
              </w:rPr>
            </w:pPr>
          </w:p>
        </w:tc>
      </w:tr>
      <w:tr w14:paraId="178D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E7922">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79CB9">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932EE">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3EC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参与省市交办的文化旅游活动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9C9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E18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157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0E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821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3F4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E2D3">
            <w:pPr>
              <w:jc w:val="center"/>
              <w:rPr>
                <w:rFonts w:hint="eastAsia" w:ascii="微软雅黑" w:hAnsi="微软雅黑" w:eastAsia="微软雅黑" w:cs="微软雅黑"/>
                <w:i w:val="0"/>
                <w:iCs w:val="0"/>
                <w:color w:val="000000"/>
                <w:sz w:val="20"/>
                <w:szCs w:val="20"/>
                <w:u w:val="none"/>
              </w:rPr>
            </w:pPr>
          </w:p>
        </w:tc>
      </w:tr>
      <w:tr w14:paraId="65F7D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4C069">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4388A">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A3F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C0C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活动参与率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C76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91B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EF7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0B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E13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4F1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D70C">
            <w:pPr>
              <w:jc w:val="center"/>
              <w:rPr>
                <w:rFonts w:hint="eastAsia" w:ascii="微软雅黑" w:hAnsi="微软雅黑" w:eastAsia="微软雅黑" w:cs="微软雅黑"/>
                <w:i w:val="0"/>
                <w:iCs w:val="0"/>
                <w:color w:val="000000"/>
                <w:sz w:val="20"/>
                <w:szCs w:val="20"/>
                <w:u w:val="none"/>
              </w:rPr>
            </w:pPr>
          </w:p>
        </w:tc>
      </w:tr>
      <w:tr w14:paraId="1AFE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5AFF">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BD74C">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279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059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各类活动开展及时性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A26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961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及时</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0B93">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BDC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及时</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3E1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4FC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8072">
            <w:pPr>
              <w:jc w:val="center"/>
              <w:rPr>
                <w:rFonts w:hint="eastAsia" w:ascii="微软雅黑" w:hAnsi="微软雅黑" w:eastAsia="微软雅黑" w:cs="微软雅黑"/>
                <w:i w:val="0"/>
                <w:iCs w:val="0"/>
                <w:color w:val="000000"/>
                <w:sz w:val="20"/>
                <w:szCs w:val="20"/>
                <w:u w:val="none"/>
              </w:rPr>
            </w:pPr>
          </w:p>
        </w:tc>
      </w:tr>
      <w:tr w14:paraId="38526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A4D97">
            <w:pPr>
              <w:jc w:val="center"/>
              <w:rPr>
                <w:rFonts w:hint="eastAsia" w:ascii="宋体" w:hAnsi="宋体" w:eastAsia="宋体" w:cs="宋体"/>
                <w:i w:val="0"/>
                <w:iCs w:val="0"/>
                <w:color w:val="000000"/>
                <w:sz w:val="21"/>
                <w:szCs w:val="21"/>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A0ED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效益指标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EDD4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041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文化自信在全区的社会认知度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3D6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050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C655">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350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提升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D9D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745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5855">
            <w:pPr>
              <w:jc w:val="center"/>
              <w:rPr>
                <w:rFonts w:hint="eastAsia" w:ascii="微软雅黑" w:hAnsi="微软雅黑" w:eastAsia="微软雅黑" w:cs="微软雅黑"/>
                <w:i w:val="0"/>
                <w:iCs w:val="0"/>
                <w:color w:val="000000"/>
                <w:sz w:val="20"/>
                <w:szCs w:val="20"/>
                <w:u w:val="none"/>
              </w:rPr>
            </w:pPr>
          </w:p>
        </w:tc>
      </w:tr>
      <w:tr w14:paraId="7025A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14A3F">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57D97">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51386">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619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全区旅游美誉度及影响力</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B20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781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AF06">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314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提升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DC1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0EC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657F">
            <w:pPr>
              <w:jc w:val="center"/>
              <w:rPr>
                <w:rFonts w:hint="eastAsia" w:ascii="微软雅黑" w:hAnsi="微软雅黑" w:eastAsia="微软雅黑" w:cs="微软雅黑"/>
                <w:i w:val="0"/>
                <w:iCs w:val="0"/>
                <w:color w:val="000000"/>
                <w:sz w:val="20"/>
                <w:szCs w:val="20"/>
                <w:u w:val="none"/>
              </w:rPr>
            </w:pPr>
          </w:p>
        </w:tc>
      </w:tr>
      <w:tr w14:paraId="23D96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2275C">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E938">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368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可持续发展指标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9F7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文化旅游产业实现可持续发展，助推旅游创建</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415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CF7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持续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5597">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D45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持续</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740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904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5059">
            <w:pPr>
              <w:jc w:val="center"/>
              <w:rPr>
                <w:rFonts w:hint="eastAsia" w:ascii="微软雅黑" w:hAnsi="微软雅黑" w:eastAsia="微软雅黑" w:cs="微软雅黑"/>
                <w:i w:val="0"/>
                <w:iCs w:val="0"/>
                <w:color w:val="000000"/>
                <w:sz w:val="20"/>
                <w:szCs w:val="20"/>
                <w:u w:val="none"/>
              </w:rPr>
            </w:pPr>
          </w:p>
        </w:tc>
      </w:tr>
      <w:tr w14:paraId="7280D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F4C39">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C0E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27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531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广大游客及社会民众满意度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19C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862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442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883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794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EC6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3A74">
            <w:pPr>
              <w:jc w:val="center"/>
              <w:rPr>
                <w:rFonts w:hint="eastAsia" w:ascii="微软雅黑" w:hAnsi="微软雅黑" w:eastAsia="微软雅黑" w:cs="微软雅黑"/>
                <w:i w:val="0"/>
                <w:iCs w:val="0"/>
                <w:color w:val="000000"/>
                <w:sz w:val="20"/>
                <w:szCs w:val="20"/>
                <w:u w:val="none"/>
              </w:rPr>
            </w:pPr>
          </w:p>
        </w:tc>
      </w:tr>
      <w:tr w14:paraId="676F9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9F8F6">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379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75B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B7C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项目完成成本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768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045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D42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673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36A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4E5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FC7A">
            <w:pPr>
              <w:jc w:val="center"/>
              <w:rPr>
                <w:rFonts w:hint="eastAsia" w:ascii="微软雅黑" w:hAnsi="微软雅黑" w:eastAsia="微软雅黑" w:cs="微软雅黑"/>
                <w:i w:val="0"/>
                <w:iCs w:val="0"/>
                <w:color w:val="000000"/>
                <w:sz w:val="20"/>
                <w:szCs w:val="20"/>
                <w:u w:val="none"/>
              </w:rPr>
            </w:pPr>
          </w:p>
        </w:tc>
      </w:tr>
      <w:tr w14:paraId="34092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1C90C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523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DA56">
            <w:pPr>
              <w:keepNext w:val="0"/>
              <w:keepLines w:val="0"/>
              <w:widowControl/>
              <w:suppressLineNumbers w:val="0"/>
              <w:jc w:val="righ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1111">
            <w:pPr>
              <w:rPr>
                <w:rFonts w:hint="eastAsia" w:ascii="宋体" w:hAnsi="宋体" w:eastAsia="宋体" w:cs="宋体"/>
                <w:i w:val="0"/>
                <w:iCs w:val="0"/>
                <w:color w:val="000000"/>
                <w:sz w:val="21"/>
                <w:szCs w:val="21"/>
                <w:u w:val="none"/>
              </w:rPr>
            </w:pPr>
          </w:p>
        </w:tc>
      </w:tr>
      <w:tr w14:paraId="4CFB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C7B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CFC90E">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2023年公共文化服务活动及管理项目资金管理方面，按规定专款专用及时足额拨付，按规定对资金实行专项管理、专账核算，按规定的范围使用资金。在项目管理方面，积极参加各类展会，推介船山文创产品，办好各类节会活动，提高船山旅游知名度和影响力，产生了良好的社会效益和经济效益。</w:t>
            </w:r>
          </w:p>
        </w:tc>
      </w:tr>
      <w:tr w14:paraId="62709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E15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ECFC34">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节会活动内容较为单一，表现形式还需要进一步拓宽。</w:t>
            </w:r>
          </w:p>
        </w:tc>
      </w:tr>
      <w:tr w14:paraId="48BDF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49D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7EF45D">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加强内容打造。扩大宣传营销范围，提高船山节会活动在船山、遂宁乃至全川的影响力。</w:t>
            </w:r>
          </w:p>
        </w:tc>
      </w:tr>
      <w:tr w14:paraId="54007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4D403B">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项目负责人：邓宇</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86935E4">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财务负责人：秦勇</w:t>
            </w:r>
          </w:p>
        </w:tc>
      </w:tr>
      <w:tr w14:paraId="647E9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203FDD30">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7C96CCE4">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34DB7897">
            <w:pPr>
              <w:rPr>
                <w:rFonts w:hint="eastAsia" w:ascii="宋体" w:hAnsi="宋体" w:eastAsia="宋体" w:cs="宋体"/>
                <w:i w:val="0"/>
                <w:iCs w:val="0"/>
                <w:color w:val="000000"/>
                <w:sz w:val="20"/>
                <w:szCs w:val="20"/>
                <w:u w:val="none"/>
              </w:rPr>
            </w:pPr>
          </w:p>
          <w:p w14:paraId="0A792A1F">
            <w:pPr>
              <w:pStyle w:val="15"/>
              <w:rPr>
                <w:rFonts w:hint="eastAsia" w:ascii="宋体" w:hAnsi="宋体" w:eastAsia="宋体" w:cs="宋体"/>
                <w:i w:val="0"/>
                <w:iCs w:val="0"/>
                <w:color w:val="000000"/>
                <w:sz w:val="20"/>
                <w:szCs w:val="20"/>
                <w:u w:val="none"/>
              </w:rPr>
            </w:pPr>
          </w:p>
          <w:p w14:paraId="233B6C65">
            <w:pPr>
              <w:rPr>
                <w:rFonts w:hint="eastAsia" w:ascii="宋体" w:hAnsi="宋体" w:eastAsia="宋体" w:cs="宋体"/>
                <w:i w:val="0"/>
                <w:iCs w:val="0"/>
                <w:color w:val="000000"/>
                <w:sz w:val="20"/>
                <w:szCs w:val="20"/>
                <w:u w:val="none"/>
              </w:rPr>
            </w:pPr>
          </w:p>
          <w:p w14:paraId="55703D25">
            <w:pPr>
              <w:pStyle w:val="15"/>
              <w:rPr>
                <w:rFonts w:hint="eastAsia" w:ascii="宋体" w:hAnsi="宋体" w:eastAsia="宋体" w:cs="宋体"/>
                <w:i w:val="0"/>
                <w:iCs w:val="0"/>
                <w:color w:val="000000"/>
                <w:sz w:val="20"/>
                <w:szCs w:val="20"/>
                <w:u w:val="none"/>
              </w:rPr>
            </w:pPr>
          </w:p>
          <w:p w14:paraId="6C273A47">
            <w:pPr>
              <w:rPr>
                <w:rFonts w:hint="eastAsia" w:ascii="宋体" w:hAnsi="宋体" w:eastAsia="宋体" w:cs="宋体"/>
                <w:i w:val="0"/>
                <w:iCs w:val="0"/>
                <w:color w:val="000000"/>
                <w:sz w:val="20"/>
                <w:szCs w:val="20"/>
                <w:u w:val="none"/>
              </w:rPr>
            </w:pPr>
          </w:p>
          <w:p w14:paraId="2B576C45">
            <w:pPr>
              <w:pStyle w:val="15"/>
              <w:rPr>
                <w:rFonts w:hint="eastAsia" w:ascii="宋体" w:hAnsi="宋体" w:eastAsia="宋体" w:cs="宋体"/>
                <w:i w:val="0"/>
                <w:iCs w:val="0"/>
                <w:color w:val="000000"/>
                <w:sz w:val="20"/>
                <w:szCs w:val="20"/>
                <w:u w:val="none"/>
              </w:rPr>
            </w:pPr>
          </w:p>
          <w:p w14:paraId="5B342074">
            <w:pPr>
              <w:rPr>
                <w:rFonts w:hint="eastAsia" w:ascii="宋体" w:hAnsi="宋体" w:eastAsia="宋体" w:cs="宋体"/>
                <w:i w:val="0"/>
                <w:iCs w:val="0"/>
                <w:color w:val="000000"/>
                <w:sz w:val="20"/>
                <w:szCs w:val="20"/>
                <w:u w:val="none"/>
              </w:rPr>
            </w:pPr>
          </w:p>
          <w:p w14:paraId="41A5C256">
            <w:pPr>
              <w:pStyle w:val="15"/>
              <w:rPr>
                <w:rFonts w:hint="eastAsia" w:ascii="宋体" w:hAnsi="宋体" w:eastAsia="宋体" w:cs="宋体"/>
                <w:i w:val="0"/>
                <w:iCs w:val="0"/>
                <w:color w:val="000000"/>
                <w:sz w:val="20"/>
                <w:szCs w:val="20"/>
                <w:u w:val="none"/>
              </w:rPr>
            </w:pPr>
          </w:p>
          <w:p w14:paraId="675668A0">
            <w:pPr>
              <w:rPr>
                <w:rFonts w:hint="eastAsia" w:ascii="宋体" w:hAnsi="宋体" w:eastAsia="宋体" w:cs="宋体"/>
                <w:i w:val="0"/>
                <w:iCs w:val="0"/>
                <w:color w:val="000000"/>
                <w:sz w:val="20"/>
                <w:szCs w:val="20"/>
                <w:u w:val="none"/>
              </w:rPr>
            </w:pPr>
          </w:p>
          <w:p w14:paraId="51872EC8">
            <w:pPr>
              <w:pStyle w:val="15"/>
              <w:rPr>
                <w:rFonts w:hint="eastAsia" w:ascii="宋体" w:hAnsi="宋体" w:eastAsia="宋体" w:cs="宋体"/>
                <w:i w:val="0"/>
                <w:iCs w:val="0"/>
                <w:color w:val="000000"/>
                <w:sz w:val="20"/>
                <w:szCs w:val="20"/>
                <w:u w:val="none"/>
              </w:rPr>
            </w:pPr>
          </w:p>
          <w:p w14:paraId="2B9C5F98">
            <w:pPr>
              <w:rPr>
                <w:rFonts w:hint="eastAsia" w:ascii="宋体" w:hAnsi="宋体" w:eastAsia="宋体" w:cs="宋体"/>
                <w:i w:val="0"/>
                <w:iCs w:val="0"/>
                <w:color w:val="000000"/>
                <w:sz w:val="20"/>
                <w:szCs w:val="20"/>
                <w:u w:val="none"/>
              </w:rPr>
            </w:pPr>
          </w:p>
          <w:p w14:paraId="3FFFDC89">
            <w:pPr>
              <w:pStyle w:val="15"/>
              <w:rPr>
                <w:rFonts w:hint="eastAsia" w:ascii="宋体" w:hAnsi="宋体" w:eastAsia="宋体" w:cs="宋体"/>
                <w:i w:val="0"/>
                <w:iCs w:val="0"/>
                <w:color w:val="000000"/>
                <w:sz w:val="20"/>
                <w:szCs w:val="20"/>
                <w:u w:val="none"/>
              </w:rPr>
            </w:pPr>
          </w:p>
          <w:p w14:paraId="1B198870">
            <w:pPr>
              <w:rPr>
                <w:rFonts w:hint="eastAsia"/>
              </w:rPr>
            </w:pPr>
          </w:p>
        </w:tc>
        <w:tc>
          <w:tcPr>
            <w:tcW w:w="2835" w:type="dxa"/>
            <w:tcBorders>
              <w:top w:val="nil"/>
              <w:left w:val="nil"/>
              <w:bottom w:val="nil"/>
              <w:right w:val="nil"/>
            </w:tcBorders>
            <w:shd w:val="clear" w:color="auto" w:fill="auto"/>
            <w:vAlign w:val="center"/>
          </w:tcPr>
          <w:p w14:paraId="129F7A88">
            <w:pPr>
              <w:rPr>
                <w:rFonts w:hint="eastAsia" w:ascii="宋体" w:hAnsi="宋体" w:eastAsia="宋体" w:cs="宋体"/>
                <w:i w:val="0"/>
                <w:iCs w:val="0"/>
                <w:color w:val="000000"/>
                <w:sz w:val="20"/>
                <w:szCs w:val="20"/>
                <w:u w:val="none"/>
              </w:rPr>
            </w:pPr>
          </w:p>
          <w:p w14:paraId="0D1E47C6">
            <w:pPr>
              <w:pStyle w:val="15"/>
              <w:rPr>
                <w:rFonts w:hint="eastAsia" w:ascii="宋体" w:hAnsi="宋体" w:eastAsia="宋体" w:cs="宋体"/>
                <w:i w:val="0"/>
                <w:iCs w:val="0"/>
                <w:color w:val="000000"/>
                <w:sz w:val="20"/>
                <w:szCs w:val="20"/>
                <w:u w:val="none"/>
              </w:rPr>
            </w:pPr>
          </w:p>
          <w:p w14:paraId="55F4131D">
            <w:pPr>
              <w:rPr>
                <w:rFonts w:hint="eastAsia" w:ascii="宋体" w:hAnsi="宋体" w:eastAsia="宋体" w:cs="宋体"/>
                <w:i w:val="0"/>
                <w:iCs w:val="0"/>
                <w:color w:val="000000"/>
                <w:sz w:val="20"/>
                <w:szCs w:val="20"/>
                <w:u w:val="none"/>
              </w:rPr>
            </w:pPr>
          </w:p>
          <w:p w14:paraId="1E05AB55">
            <w:pPr>
              <w:pStyle w:val="15"/>
              <w:rPr>
                <w:rFonts w:hint="eastAsia" w:ascii="宋体" w:hAnsi="宋体" w:eastAsia="宋体" w:cs="宋体"/>
                <w:i w:val="0"/>
                <w:iCs w:val="0"/>
                <w:color w:val="000000"/>
                <w:sz w:val="20"/>
                <w:szCs w:val="20"/>
                <w:u w:val="none"/>
              </w:rPr>
            </w:pPr>
          </w:p>
          <w:p w14:paraId="265A9536">
            <w:pPr>
              <w:rPr>
                <w:rFonts w:hint="eastAsia" w:ascii="宋体" w:hAnsi="宋体" w:eastAsia="宋体" w:cs="宋体"/>
                <w:i w:val="0"/>
                <w:iCs w:val="0"/>
                <w:color w:val="000000"/>
                <w:sz w:val="20"/>
                <w:szCs w:val="20"/>
                <w:u w:val="none"/>
              </w:rPr>
            </w:pPr>
          </w:p>
          <w:p w14:paraId="602EC748">
            <w:pPr>
              <w:pStyle w:val="15"/>
              <w:rPr>
                <w:rFonts w:hint="eastAsia" w:ascii="宋体" w:hAnsi="宋体" w:eastAsia="宋体" w:cs="宋体"/>
                <w:i w:val="0"/>
                <w:iCs w:val="0"/>
                <w:color w:val="000000"/>
                <w:sz w:val="20"/>
                <w:szCs w:val="20"/>
                <w:u w:val="none"/>
              </w:rPr>
            </w:pPr>
          </w:p>
          <w:p w14:paraId="17A62090">
            <w:pPr>
              <w:rPr>
                <w:rFonts w:hint="eastAsia" w:ascii="宋体" w:hAnsi="宋体" w:eastAsia="宋体" w:cs="宋体"/>
                <w:i w:val="0"/>
                <w:iCs w:val="0"/>
                <w:color w:val="000000"/>
                <w:sz w:val="20"/>
                <w:szCs w:val="20"/>
                <w:u w:val="none"/>
              </w:rPr>
            </w:pPr>
          </w:p>
          <w:p w14:paraId="154FF9A0">
            <w:pPr>
              <w:pStyle w:val="15"/>
              <w:rPr>
                <w:rFonts w:hint="eastAsia" w:ascii="宋体" w:hAnsi="宋体" w:eastAsia="宋体" w:cs="宋体"/>
                <w:i w:val="0"/>
                <w:iCs w:val="0"/>
                <w:color w:val="000000"/>
                <w:sz w:val="20"/>
                <w:szCs w:val="20"/>
                <w:u w:val="none"/>
              </w:rPr>
            </w:pPr>
          </w:p>
          <w:p w14:paraId="70E5ED9D">
            <w:pPr>
              <w:rPr>
                <w:rFonts w:hint="eastAsia" w:ascii="宋体" w:hAnsi="宋体" w:eastAsia="宋体" w:cs="宋体"/>
                <w:i w:val="0"/>
                <w:iCs w:val="0"/>
                <w:color w:val="000000"/>
                <w:sz w:val="20"/>
                <w:szCs w:val="20"/>
                <w:u w:val="none"/>
              </w:rPr>
            </w:pPr>
          </w:p>
          <w:p w14:paraId="6F645F56">
            <w:pPr>
              <w:pStyle w:val="15"/>
              <w:rPr>
                <w:rFonts w:hint="eastAsia" w:ascii="宋体" w:hAnsi="宋体" w:eastAsia="宋体" w:cs="宋体"/>
                <w:i w:val="0"/>
                <w:iCs w:val="0"/>
                <w:color w:val="000000"/>
                <w:sz w:val="20"/>
                <w:szCs w:val="20"/>
                <w:u w:val="none"/>
              </w:rPr>
            </w:pPr>
          </w:p>
          <w:p w14:paraId="32188E1C">
            <w:pPr>
              <w:rPr>
                <w:rFonts w:hint="eastAsia" w:ascii="宋体" w:hAnsi="宋体" w:eastAsia="宋体" w:cs="宋体"/>
                <w:i w:val="0"/>
                <w:iCs w:val="0"/>
                <w:color w:val="000000"/>
                <w:sz w:val="20"/>
                <w:szCs w:val="20"/>
                <w:u w:val="none"/>
              </w:rPr>
            </w:pPr>
          </w:p>
          <w:p w14:paraId="36528247">
            <w:pPr>
              <w:pStyle w:val="15"/>
              <w:rPr>
                <w:rFonts w:hint="eastAsia" w:ascii="宋体" w:hAnsi="宋体" w:eastAsia="宋体" w:cs="宋体"/>
                <w:i w:val="0"/>
                <w:iCs w:val="0"/>
                <w:color w:val="000000"/>
                <w:sz w:val="20"/>
                <w:szCs w:val="20"/>
                <w:u w:val="none"/>
              </w:rPr>
            </w:pPr>
          </w:p>
          <w:p w14:paraId="4264D54C">
            <w:pPr>
              <w:rPr>
                <w:rFonts w:hint="eastAsia" w:ascii="宋体" w:hAnsi="宋体" w:eastAsia="宋体" w:cs="宋体"/>
                <w:i w:val="0"/>
                <w:iCs w:val="0"/>
                <w:color w:val="000000"/>
                <w:sz w:val="20"/>
                <w:szCs w:val="20"/>
                <w:u w:val="none"/>
              </w:rPr>
            </w:pPr>
          </w:p>
          <w:p w14:paraId="02855116">
            <w:pPr>
              <w:pStyle w:val="15"/>
              <w:rPr>
                <w:rFonts w:hint="eastAsia" w:ascii="宋体" w:hAnsi="宋体" w:eastAsia="宋体" w:cs="宋体"/>
                <w:i w:val="0"/>
                <w:iCs w:val="0"/>
                <w:color w:val="000000"/>
                <w:sz w:val="20"/>
                <w:szCs w:val="20"/>
                <w:u w:val="none"/>
              </w:rPr>
            </w:pPr>
          </w:p>
          <w:p w14:paraId="7E4822FB">
            <w:pPr>
              <w:rPr>
                <w:rFonts w:hint="eastAsia" w:ascii="宋体" w:hAnsi="宋体" w:eastAsia="宋体" w:cs="宋体"/>
                <w:i w:val="0"/>
                <w:iCs w:val="0"/>
                <w:color w:val="000000"/>
                <w:sz w:val="20"/>
                <w:szCs w:val="20"/>
                <w:u w:val="none"/>
              </w:rPr>
            </w:pPr>
          </w:p>
          <w:p w14:paraId="67B65527">
            <w:pPr>
              <w:pStyle w:val="15"/>
              <w:rPr>
                <w:rFonts w:hint="eastAsia" w:ascii="宋体" w:hAnsi="宋体" w:eastAsia="宋体" w:cs="宋体"/>
                <w:i w:val="0"/>
                <w:iCs w:val="0"/>
                <w:color w:val="000000"/>
                <w:sz w:val="20"/>
                <w:szCs w:val="20"/>
                <w:u w:val="none"/>
              </w:rPr>
            </w:pPr>
          </w:p>
          <w:p w14:paraId="5891880A">
            <w:pPr>
              <w:rPr>
                <w:rFonts w:hint="eastAsia" w:ascii="宋体" w:hAnsi="宋体" w:eastAsia="宋体" w:cs="宋体"/>
                <w:i w:val="0"/>
                <w:iCs w:val="0"/>
                <w:color w:val="000000"/>
                <w:sz w:val="20"/>
                <w:szCs w:val="20"/>
                <w:u w:val="none"/>
              </w:rPr>
            </w:pPr>
          </w:p>
          <w:p w14:paraId="379EC558">
            <w:pPr>
              <w:pStyle w:val="15"/>
              <w:rPr>
                <w:rFonts w:hint="eastAsia"/>
              </w:rPr>
            </w:pPr>
          </w:p>
        </w:tc>
        <w:tc>
          <w:tcPr>
            <w:tcW w:w="517" w:type="dxa"/>
            <w:tcBorders>
              <w:top w:val="nil"/>
              <w:left w:val="nil"/>
              <w:bottom w:val="nil"/>
              <w:right w:val="nil"/>
            </w:tcBorders>
            <w:shd w:val="clear" w:color="auto" w:fill="auto"/>
            <w:vAlign w:val="center"/>
          </w:tcPr>
          <w:p w14:paraId="7B2984E3">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120A4140">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1A93B162">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0A18FBD1">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D324500">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517F9714">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7E59032">
            <w:pPr>
              <w:rPr>
                <w:rFonts w:hint="eastAsia" w:ascii="宋体" w:hAnsi="宋体" w:eastAsia="宋体" w:cs="宋体"/>
                <w:i w:val="0"/>
                <w:iCs w:val="0"/>
                <w:color w:val="000000"/>
                <w:sz w:val="20"/>
                <w:szCs w:val="20"/>
                <w:u w:val="none"/>
              </w:rPr>
            </w:pPr>
          </w:p>
        </w:tc>
      </w:tr>
      <w:tr w14:paraId="04069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2F2E1CE">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4C47B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74A2F">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B2F343">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51090323T000008255350-创建天府旅游名县工作经费</w:t>
            </w:r>
          </w:p>
        </w:tc>
      </w:tr>
      <w:tr w14:paraId="2E41E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F4715">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E7D2A7">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5E991907">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C7DC5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w:t>
            </w:r>
          </w:p>
        </w:tc>
      </w:tr>
      <w:tr w14:paraId="02D9A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5FEB6">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E0128">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E8CF1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059470">
            <w:pPr>
              <w:keepNext w:val="0"/>
              <w:keepLines w:val="0"/>
              <w:widowControl/>
              <w:suppressLineNumbers w:val="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年度目标完成情况</w:t>
            </w:r>
          </w:p>
        </w:tc>
      </w:tr>
      <w:tr w14:paraId="5768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FCDFE">
            <w:pP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18B85">
            <w:pPr>
              <w:rPr>
                <w:rFonts w:hint="eastAsia" w:ascii="宋体" w:hAnsi="宋体" w:eastAsia="宋体" w:cs="宋体"/>
                <w:i w:val="0"/>
                <w:iCs w:val="0"/>
                <w:color w:val="000000"/>
                <w:sz w:val="21"/>
                <w:szCs w:val="21"/>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C9A5BD">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深入贯彻中省市关于文化和旅游发展决策部署及省市文化和旅游发展大会精神，主动融入成渝地区双城经济圈建设，按照全市“养心文旅名城”“西部水都”“区域文旅康体中心”的整体布局，不断完善公共服务，丰富旅游产品，大力培育品牌，强化宣传营销，加强要素保障，努力将船山打造为旅游康养目的地和休闲度假首选地，力争2023年成功创建天府旅游名县命名县。</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1047B3">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通过全力开展创建天府旅游名县工作，持续提升船山知名度和美誉度，加快建设成旅游康养目的地和休闲度假首选地，为船山区成功创建天府旅游名县命名县打下了坚实基础</w:t>
            </w:r>
          </w:p>
        </w:tc>
      </w:tr>
      <w:tr w14:paraId="38095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EC8A">
            <w:pP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BC83">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906C14">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船山区深入贯彻中省市关于文化和旅游发展决策部署及省市文化和旅游发展大会精神，主动融入成渝地区双城经济圈建设，按照全市“养心文旅名城”“西部水都”“区域文旅康体中心”的整体布局，不断完善公共服务，丰富旅游产品，大力培育品牌，强化宣传营销，加强要素保障，努力将船山打造为旅游康养目的地和休闲度假首选地。2023年，创建天府旅游名县工作经费项目预算50万元，主要用于船山区天府旅游名县创建工作。</w:t>
            </w:r>
          </w:p>
        </w:tc>
      </w:tr>
      <w:tr w14:paraId="7DE49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5AD2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92E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AF4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18A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6BE77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34B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50E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FCC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3F6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原因</w:t>
            </w:r>
          </w:p>
        </w:tc>
      </w:tr>
      <w:tr w14:paraId="6165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2CE6D">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A01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D5A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F59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47.90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54C61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47.90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930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92C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AE4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C94E8">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F277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92196">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C49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242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FE2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47.90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ED05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47.90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46C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C45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704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699F9">
            <w:pPr>
              <w:rPr>
                <w:rFonts w:hint="eastAsia" w:ascii="黑体" w:hAnsi="黑体" w:eastAsia="黑体" w:cs="黑体"/>
                <w:i w:val="0"/>
                <w:iCs w:val="0"/>
                <w:color w:val="000000"/>
                <w:sz w:val="20"/>
                <w:szCs w:val="20"/>
                <w:u w:val="none"/>
              </w:rPr>
            </w:pPr>
          </w:p>
        </w:tc>
      </w:tr>
      <w:tr w14:paraId="234D24B8">
        <w:tblPrEx>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BC8C7">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083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7C2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C31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6F28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417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A9A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8A5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8DFBD">
            <w:pPr>
              <w:rPr>
                <w:rFonts w:hint="eastAsia" w:ascii="黑体" w:hAnsi="黑体" w:eastAsia="黑体" w:cs="黑体"/>
                <w:i w:val="0"/>
                <w:iCs w:val="0"/>
                <w:color w:val="000000"/>
                <w:sz w:val="20"/>
                <w:szCs w:val="20"/>
                <w:u w:val="none"/>
              </w:rPr>
            </w:pPr>
          </w:p>
        </w:tc>
      </w:tr>
      <w:tr w14:paraId="7001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51014">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25C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4AE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5D3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7BAE2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C92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782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63C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B45DD">
            <w:pPr>
              <w:rPr>
                <w:rFonts w:hint="eastAsia" w:ascii="黑体" w:hAnsi="黑体" w:eastAsia="黑体" w:cs="黑体"/>
                <w:i w:val="0"/>
                <w:iCs w:val="0"/>
                <w:color w:val="000000"/>
                <w:sz w:val="20"/>
                <w:szCs w:val="20"/>
                <w:u w:val="none"/>
              </w:rPr>
            </w:pPr>
          </w:p>
        </w:tc>
      </w:tr>
      <w:tr w14:paraId="6D03C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F2E83">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EFF1">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FD2F">
            <w:pPr>
              <w:jc w:val="center"/>
              <w:rPr>
                <w:rFonts w:hint="eastAsia" w:ascii="微软雅黑" w:hAnsi="微软雅黑" w:eastAsia="微软雅黑" w:cs="微软雅黑"/>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6DF4">
            <w:pPr>
              <w:jc w:val="center"/>
              <w:rPr>
                <w:rFonts w:hint="eastAsia" w:ascii="微软雅黑" w:hAnsi="微软雅黑" w:eastAsia="微软雅黑" w:cs="微软雅黑"/>
                <w:i w:val="0"/>
                <w:iCs w:val="0"/>
                <w:color w:val="000000"/>
                <w:sz w:val="21"/>
                <w:szCs w:val="21"/>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6CBB3E">
            <w:pPr>
              <w:jc w:val="center"/>
              <w:rPr>
                <w:rFonts w:hint="eastAsia" w:ascii="微软雅黑" w:hAnsi="微软雅黑" w:eastAsia="微软雅黑" w:cs="微软雅黑"/>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0296">
            <w:pPr>
              <w:jc w:val="center"/>
              <w:rPr>
                <w:rFonts w:hint="eastAsia" w:ascii="微软雅黑" w:hAnsi="微软雅黑" w:eastAsia="微软雅黑" w:cs="微软雅黑"/>
                <w:i w:val="0"/>
                <w:iCs w:val="0"/>
                <w:color w:val="000000"/>
                <w:sz w:val="21"/>
                <w:szCs w:val="21"/>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690F">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FCD9">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B4B78">
            <w:pPr>
              <w:rPr>
                <w:rFonts w:hint="eastAsia" w:ascii="黑体" w:hAnsi="黑体" w:eastAsia="黑体" w:cs="黑体"/>
                <w:i w:val="0"/>
                <w:iCs w:val="0"/>
                <w:color w:val="000000"/>
                <w:sz w:val="21"/>
                <w:szCs w:val="21"/>
                <w:u w:val="none"/>
              </w:rPr>
            </w:pPr>
          </w:p>
        </w:tc>
      </w:tr>
      <w:tr w14:paraId="1F1DA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B57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92F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17F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C06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F4F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BBD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0AB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46B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B93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D9F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ECF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未完成原因分析</w:t>
            </w:r>
          </w:p>
        </w:tc>
      </w:tr>
      <w:tr w14:paraId="3E138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1DBA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4E1B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E72A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C07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创建申报资料印制、PPT制作</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D14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201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2000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F3D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份</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E6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3F5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C38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8</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F9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按照市文化和旅游领导小组要求，船山区2024年争创天府旅游名县命名县，故未申请2023年命名县验收评定。故减少了资料印制份数</w:t>
            </w:r>
          </w:p>
        </w:tc>
      </w:tr>
      <w:tr w14:paraId="4B686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0711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E6034">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32726">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431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创建推进会议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9D9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DC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8C2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D6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15A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A1A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12</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4B14">
            <w:pPr>
              <w:jc w:val="center"/>
              <w:rPr>
                <w:rFonts w:hint="eastAsia" w:ascii="微软雅黑" w:hAnsi="微软雅黑" w:eastAsia="微软雅黑" w:cs="微软雅黑"/>
                <w:i w:val="0"/>
                <w:iCs w:val="0"/>
                <w:color w:val="000000"/>
                <w:sz w:val="20"/>
                <w:szCs w:val="20"/>
                <w:u w:val="none"/>
              </w:rPr>
            </w:pPr>
          </w:p>
        </w:tc>
      </w:tr>
      <w:tr w14:paraId="4650D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8B04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4C07D">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83C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2B6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力争2023年成功创建天府旅游名县命名县</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6BC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9FD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177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7E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6DC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220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F1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按照市文化和旅游领导小组要求，船山区2024年争创天府旅游名县命名县，故未申请2023年命名县验收评定。</w:t>
            </w:r>
          </w:p>
        </w:tc>
      </w:tr>
      <w:tr w14:paraId="3428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F77C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E7ABD">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DD6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07B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资金及时下达率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B44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00C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D19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CA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66E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1BE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B8C3">
            <w:pPr>
              <w:jc w:val="center"/>
              <w:rPr>
                <w:rFonts w:hint="eastAsia" w:ascii="微软雅黑" w:hAnsi="微软雅黑" w:eastAsia="微软雅黑" w:cs="微软雅黑"/>
                <w:i w:val="0"/>
                <w:iCs w:val="0"/>
                <w:color w:val="000000"/>
                <w:sz w:val="20"/>
                <w:szCs w:val="20"/>
                <w:u w:val="none"/>
              </w:rPr>
            </w:pPr>
          </w:p>
        </w:tc>
      </w:tr>
      <w:tr w14:paraId="4CEB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28998">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1247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D00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5D1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加快建设成旅游康养目的地和休闲度假首选地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37E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43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可持续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83E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79D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可持续</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312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E8F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468F">
            <w:pPr>
              <w:jc w:val="center"/>
              <w:rPr>
                <w:rFonts w:hint="eastAsia" w:ascii="微软雅黑" w:hAnsi="微软雅黑" w:eastAsia="微软雅黑" w:cs="微软雅黑"/>
                <w:i w:val="0"/>
                <w:iCs w:val="0"/>
                <w:color w:val="000000"/>
                <w:sz w:val="20"/>
                <w:szCs w:val="20"/>
                <w:u w:val="none"/>
              </w:rPr>
            </w:pPr>
          </w:p>
        </w:tc>
      </w:tr>
      <w:tr w14:paraId="2968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36B7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A3244">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10B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8A5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提升船山的知名度和美誉度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FBF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7FC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持续</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E05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2D1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持续</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29B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C8B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5EF2">
            <w:pPr>
              <w:jc w:val="center"/>
              <w:rPr>
                <w:rFonts w:hint="eastAsia" w:ascii="微软雅黑" w:hAnsi="微软雅黑" w:eastAsia="微软雅黑" w:cs="微软雅黑"/>
                <w:i w:val="0"/>
                <w:iCs w:val="0"/>
                <w:color w:val="000000"/>
                <w:sz w:val="20"/>
                <w:szCs w:val="20"/>
                <w:u w:val="none"/>
              </w:rPr>
            </w:pPr>
          </w:p>
        </w:tc>
      </w:tr>
      <w:tr w14:paraId="48E97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51D9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DE1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6EA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4CB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6FA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4F7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179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258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199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79F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63E4">
            <w:pPr>
              <w:jc w:val="center"/>
              <w:rPr>
                <w:rFonts w:hint="eastAsia" w:ascii="微软雅黑" w:hAnsi="微软雅黑" w:eastAsia="微软雅黑" w:cs="微软雅黑"/>
                <w:i w:val="0"/>
                <w:iCs w:val="0"/>
                <w:color w:val="000000"/>
                <w:sz w:val="20"/>
                <w:szCs w:val="20"/>
                <w:u w:val="none"/>
              </w:rPr>
            </w:pPr>
          </w:p>
        </w:tc>
      </w:tr>
      <w:tr w14:paraId="3350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988B2">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1D6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560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876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5BC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FF1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E4A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83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47.9037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3AD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13A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597D">
            <w:pPr>
              <w:jc w:val="center"/>
              <w:rPr>
                <w:rFonts w:hint="eastAsia" w:ascii="微软雅黑" w:hAnsi="微软雅黑" w:eastAsia="微软雅黑" w:cs="微软雅黑"/>
                <w:i w:val="0"/>
                <w:iCs w:val="0"/>
                <w:color w:val="000000"/>
                <w:sz w:val="20"/>
                <w:szCs w:val="20"/>
                <w:u w:val="none"/>
              </w:rPr>
            </w:pPr>
          </w:p>
        </w:tc>
      </w:tr>
      <w:tr w14:paraId="5A76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C522E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E56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0D7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84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85D9">
            <w:pPr>
              <w:rPr>
                <w:rFonts w:hint="eastAsia" w:ascii="宋体" w:hAnsi="宋体" w:eastAsia="宋体" w:cs="宋体"/>
                <w:i w:val="0"/>
                <w:iCs w:val="0"/>
                <w:color w:val="000000"/>
                <w:sz w:val="21"/>
                <w:szCs w:val="21"/>
                <w:u w:val="none"/>
              </w:rPr>
            </w:pPr>
          </w:p>
        </w:tc>
      </w:tr>
      <w:tr w14:paraId="73391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94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54D1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通过全力开展创建天府旅游名县工作，持续提升船山知名度和美誉度，加快建设成旅游康养目的地和休闲度假首选地，为船山区成功创建天府旅游名县命名县打下了坚实基础，群众满意度95%以上。</w:t>
            </w:r>
          </w:p>
        </w:tc>
      </w:tr>
      <w:tr w14:paraId="54B4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7"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FE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38F5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该项目总体投入不足，宣传推广渠道还不够完善，后续影响力不够，还需要进一步加大宣传营销手段，持续提升船山的知名度和美誉度。</w:t>
            </w:r>
          </w:p>
        </w:tc>
      </w:tr>
      <w:tr w14:paraId="71839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F52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9928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我们将进一步优化全区文化旅游产业布局、攻坚文旅重大项目、培塑文旅核心品牌、完善基础配套、创新宣传营销创建工作等，全力以赴完成创建工作任务，按要求使用拨付该项资金。</w:t>
            </w:r>
          </w:p>
        </w:tc>
      </w:tr>
      <w:tr w14:paraId="532B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8BB2B8">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项目负责人：杨利君</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A08770">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财务负责人：秦勇</w:t>
            </w:r>
          </w:p>
        </w:tc>
      </w:tr>
      <w:tr w14:paraId="127B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CE1156A">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429937BF">
            <w:pPr>
              <w:rPr>
                <w:rFonts w:hint="eastAsia" w:ascii="宋体" w:hAnsi="宋体" w:eastAsia="宋体" w:cs="宋体"/>
                <w:i w:val="0"/>
                <w:iCs w:val="0"/>
                <w:color w:val="000000"/>
                <w:sz w:val="20"/>
                <w:szCs w:val="20"/>
                <w:u w:val="none"/>
              </w:rPr>
            </w:pPr>
          </w:p>
          <w:p w14:paraId="7C70CD7A">
            <w:pPr>
              <w:pStyle w:val="15"/>
              <w:rPr>
                <w:rFonts w:hint="eastAsia" w:ascii="宋体" w:hAnsi="宋体" w:eastAsia="宋体" w:cs="宋体"/>
                <w:i w:val="0"/>
                <w:iCs w:val="0"/>
                <w:color w:val="000000"/>
                <w:sz w:val="20"/>
                <w:szCs w:val="20"/>
                <w:u w:val="none"/>
              </w:rPr>
            </w:pPr>
          </w:p>
          <w:p w14:paraId="7DB50BD2">
            <w:pPr>
              <w:rPr>
                <w:rFonts w:hint="eastAsia" w:ascii="宋体" w:hAnsi="宋体" w:eastAsia="宋体" w:cs="宋体"/>
                <w:i w:val="0"/>
                <w:iCs w:val="0"/>
                <w:color w:val="000000"/>
                <w:sz w:val="20"/>
                <w:szCs w:val="20"/>
                <w:u w:val="none"/>
              </w:rPr>
            </w:pPr>
          </w:p>
          <w:p w14:paraId="6BDD1E1E">
            <w:pPr>
              <w:pStyle w:val="15"/>
              <w:rPr>
                <w:rFonts w:hint="eastAsia" w:ascii="宋体" w:hAnsi="宋体" w:eastAsia="宋体" w:cs="宋体"/>
                <w:i w:val="0"/>
                <w:iCs w:val="0"/>
                <w:color w:val="000000"/>
                <w:sz w:val="20"/>
                <w:szCs w:val="20"/>
                <w:u w:val="none"/>
              </w:rPr>
            </w:pPr>
          </w:p>
          <w:p w14:paraId="42F0528D">
            <w:pPr>
              <w:rPr>
                <w:rFonts w:hint="eastAsia" w:ascii="宋体" w:hAnsi="宋体" w:eastAsia="宋体" w:cs="宋体"/>
                <w:i w:val="0"/>
                <w:iCs w:val="0"/>
                <w:color w:val="000000"/>
                <w:sz w:val="20"/>
                <w:szCs w:val="20"/>
                <w:u w:val="none"/>
              </w:rPr>
            </w:pPr>
          </w:p>
          <w:p w14:paraId="72498CCA">
            <w:pPr>
              <w:pStyle w:val="15"/>
              <w:rPr>
                <w:rFonts w:hint="eastAsia" w:ascii="宋体" w:hAnsi="宋体" w:eastAsia="宋体" w:cs="宋体"/>
                <w:i w:val="0"/>
                <w:iCs w:val="0"/>
                <w:color w:val="000000"/>
                <w:sz w:val="20"/>
                <w:szCs w:val="20"/>
                <w:u w:val="none"/>
              </w:rPr>
            </w:pPr>
          </w:p>
          <w:p w14:paraId="2C2F26C0">
            <w:pPr>
              <w:pStyle w:val="15"/>
              <w:rPr>
                <w:rFonts w:hint="eastAsia"/>
              </w:rPr>
            </w:pPr>
          </w:p>
        </w:tc>
        <w:tc>
          <w:tcPr>
            <w:tcW w:w="1746" w:type="dxa"/>
            <w:tcBorders>
              <w:top w:val="nil"/>
              <w:left w:val="nil"/>
              <w:bottom w:val="nil"/>
              <w:right w:val="nil"/>
            </w:tcBorders>
            <w:shd w:val="clear" w:color="auto" w:fill="auto"/>
            <w:vAlign w:val="center"/>
          </w:tcPr>
          <w:p w14:paraId="2D7F60FA">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7AB6E7B6">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1F1C3E95">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5D068CD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93A5E05">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3F8A179F">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7E2E6078">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4CC66FC9">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571DEB65">
            <w:pPr>
              <w:rPr>
                <w:rFonts w:hint="eastAsia" w:ascii="宋体" w:hAnsi="宋体" w:eastAsia="宋体" w:cs="宋体"/>
                <w:i w:val="0"/>
                <w:iCs w:val="0"/>
                <w:color w:val="000000"/>
                <w:sz w:val="20"/>
                <w:szCs w:val="20"/>
                <w:u w:val="none"/>
              </w:rPr>
            </w:pPr>
          </w:p>
        </w:tc>
      </w:tr>
      <w:tr w14:paraId="43A9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82C9457">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2D03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AC0F8">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5E0C0E">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51090323T000008506042-青少年综合实践基地（营地）建设</w:t>
            </w:r>
          </w:p>
        </w:tc>
      </w:tr>
      <w:tr w14:paraId="2E87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FF9F2">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675D14">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023ECC19">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0C8E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四川省遂宁市船山区文化广播电视和旅游局</w:t>
            </w:r>
          </w:p>
        </w:tc>
      </w:tr>
      <w:tr w14:paraId="4C469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D13AE">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2BE07">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F2FC1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74206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年度目标完成情况</w:t>
            </w:r>
          </w:p>
        </w:tc>
      </w:tr>
      <w:tr w14:paraId="582D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76A8">
            <w:pP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32009">
            <w:pPr>
              <w:rPr>
                <w:rFonts w:hint="eastAsia" w:ascii="宋体" w:hAnsi="宋体" w:eastAsia="宋体" w:cs="宋体"/>
                <w:i w:val="0"/>
                <w:iCs w:val="0"/>
                <w:color w:val="000000"/>
                <w:sz w:val="21"/>
                <w:szCs w:val="21"/>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7E8ADD">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建设完成生命、农业、科技、文化等研学馆及食堂宿舍给排水道路绿化等基础设施。</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F537BA">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2023年中旬，项目完成生命、农业、科技、文化等研学馆及食堂宿舍给排水道路绿化等基础设施。5月，首批场馆开放，以传统工艺、传统生产、劳动技术、农业科技等为主题进行场馆建设和课程开发，包括竹创坊、非遗坊、遂窑坊、水电坊、农食坊等。自开馆运营以来，已承接了6800余人次的课外教学活动。</w:t>
            </w:r>
          </w:p>
        </w:tc>
      </w:tr>
      <w:tr w14:paraId="325E0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F7EB7">
            <w:pP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BA96">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BA00EF">
            <w:pPr>
              <w:keepNext w:val="0"/>
              <w:keepLines w:val="0"/>
              <w:widowControl/>
              <w:suppressLineNumbers w:val="0"/>
              <w:jc w:val="lef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项目按照“专款专用，谁实施、谁负责”的原则，区文化广电旅游局作为青少年综合实践基地（营地）建设项目参与部门，组建工作专班，明确专人负责对本项目的统筹谋划，全程监督管理和开展绩效评价。</w:t>
            </w:r>
          </w:p>
        </w:tc>
      </w:tr>
      <w:tr w14:paraId="04BC3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A789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791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F59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26F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4689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447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4BF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55C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45A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原因</w:t>
            </w:r>
          </w:p>
        </w:tc>
      </w:tr>
      <w:tr w14:paraId="723C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BCCA6">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9FE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4FF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D54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F600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36F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C8C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5A8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39F10">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68F1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0224E">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12D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6B1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6D7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F24E7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376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2AA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D5D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EBE85">
            <w:pPr>
              <w:rPr>
                <w:rFonts w:hint="eastAsia" w:ascii="黑体" w:hAnsi="黑体" w:eastAsia="黑体" w:cs="黑体"/>
                <w:i w:val="0"/>
                <w:iCs w:val="0"/>
                <w:color w:val="000000"/>
                <w:sz w:val="21"/>
                <w:szCs w:val="21"/>
                <w:u w:val="none"/>
              </w:rPr>
            </w:pPr>
          </w:p>
        </w:tc>
      </w:tr>
      <w:tr w14:paraId="1EDB1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4F798">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269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FEF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F42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68B74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AC9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DF2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738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EA9E8">
            <w:pPr>
              <w:rPr>
                <w:rFonts w:hint="eastAsia" w:ascii="黑体" w:hAnsi="黑体" w:eastAsia="黑体" w:cs="黑体"/>
                <w:i w:val="0"/>
                <w:iCs w:val="0"/>
                <w:color w:val="000000"/>
                <w:sz w:val="21"/>
                <w:szCs w:val="21"/>
                <w:u w:val="none"/>
              </w:rPr>
            </w:pPr>
          </w:p>
        </w:tc>
      </w:tr>
      <w:tr w14:paraId="7BB7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D1749">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C9B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B53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D91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D5B4E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C46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1E5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803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58EA6">
            <w:pPr>
              <w:rPr>
                <w:rFonts w:hint="eastAsia" w:ascii="黑体" w:hAnsi="黑体" w:eastAsia="黑体" w:cs="黑体"/>
                <w:i w:val="0"/>
                <w:iCs w:val="0"/>
                <w:color w:val="000000"/>
                <w:sz w:val="21"/>
                <w:szCs w:val="21"/>
                <w:u w:val="none"/>
              </w:rPr>
            </w:pPr>
          </w:p>
        </w:tc>
      </w:tr>
      <w:tr w14:paraId="666AA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FB6EC">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B3F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84EE">
            <w:pPr>
              <w:jc w:val="center"/>
              <w:rPr>
                <w:rFonts w:hint="eastAsia" w:ascii="微软雅黑" w:hAnsi="微软雅黑" w:eastAsia="微软雅黑" w:cs="微软雅黑"/>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8288">
            <w:pPr>
              <w:jc w:val="center"/>
              <w:rPr>
                <w:rFonts w:hint="eastAsia" w:ascii="微软雅黑" w:hAnsi="微软雅黑" w:eastAsia="微软雅黑" w:cs="微软雅黑"/>
                <w:i w:val="0"/>
                <w:iCs w:val="0"/>
                <w:color w:val="000000"/>
                <w:sz w:val="20"/>
                <w:szCs w:val="20"/>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A37A3">
            <w:pPr>
              <w:jc w:val="center"/>
              <w:rPr>
                <w:rFonts w:hint="eastAsia" w:ascii="微软雅黑" w:hAnsi="微软雅黑" w:eastAsia="微软雅黑" w:cs="微软雅黑"/>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8E17">
            <w:pPr>
              <w:jc w:val="center"/>
              <w:rPr>
                <w:rFonts w:hint="eastAsia" w:ascii="微软雅黑" w:hAnsi="微软雅黑" w:eastAsia="微软雅黑" w:cs="微软雅黑"/>
                <w:i w:val="0"/>
                <w:iCs w:val="0"/>
                <w:color w:val="000000"/>
                <w:sz w:val="20"/>
                <w:szCs w:val="20"/>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0A1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3F5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6B14C">
            <w:pPr>
              <w:rPr>
                <w:rFonts w:hint="eastAsia" w:ascii="黑体" w:hAnsi="黑体" w:eastAsia="黑体" w:cs="黑体"/>
                <w:i w:val="0"/>
                <w:iCs w:val="0"/>
                <w:color w:val="000000"/>
                <w:sz w:val="21"/>
                <w:szCs w:val="21"/>
                <w:u w:val="none"/>
              </w:rPr>
            </w:pPr>
          </w:p>
        </w:tc>
      </w:tr>
      <w:tr w14:paraId="7674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2A0C3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EAE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F8B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E20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730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639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82E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145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FFE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EBD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34B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未完成原因分析</w:t>
            </w:r>
          </w:p>
        </w:tc>
      </w:tr>
      <w:tr w14:paraId="60D00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807EC">
            <w:pPr>
              <w:jc w:val="center"/>
              <w:rPr>
                <w:rFonts w:hint="eastAsia" w:ascii="宋体" w:hAnsi="宋体" w:eastAsia="宋体" w:cs="宋体"/>
                <w:i w:val="0"/>
                <w:iCs w:val="0"/>
                <w:color w:val="000000"/>
                <w:sz w:val="21"/>
                <w:szCs w:val="21"/>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38E0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FC23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E71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食堂</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93A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47E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FD8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DD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751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2F2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E0C5">
            <w:pPr>
              <w:jc w:val="center"/>
              <w:rPr>
                <w:rFonts w:hint="eastAsia" w:ascii="微软雅黑" w:hAnsi="微软雅黑" w:eastAsia="微软雅黑" w:cs="微软雅黑"/>
                <w:i w:val="0"/>
                <w:iCs w:val="0"/>
                <w:color w:val="000000"/>
                <w:sz w:val="20"/>
                <w:szCs w:val="20"/>
                <w:u w:val="none"/>
              </w:rPr>
            </w:pPr>
          </w:p>
        </w:tc>
      </w:tr>
      <w:tr w14:paraId="4524C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EBD30">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78429">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46AC4">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841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农业实践研学馆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D4C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97A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CFB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95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B8E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E55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E88A">
            <w:pPr>
              <w:jc w:val="center"/>
              <w:rPr>
                <w:rFonts w:hint="eastAsia" w:ascii="微软雅黑" w:hAnsi="微软雅黑" w:eastAsia="微软雅黑" w:cs="微软雅黑"/>
                <w:i w:val="0"/>
                <w:iCs w:val="0"/>
                <w:color w:val="000000"/>
                <w:sz w:val="20"/>
                <w:szCs w:val="20"/>
                <w:u w:val="none"/>
              </w:rPr>
            </w:pPr>
          </w:p>
        </w:tc>
      </w:tr>
      <w:tr w14:paraId="1DE07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A6FAC">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BB5B9">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A290A">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183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科技实践研学馆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9CC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CC5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CBE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05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4A8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5B2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F412">
            <w:pPr>
              <w:jc w:val="center"/>
              <w:rPr>
                <w:rFonts w:hint="eastAsia" w:ascii="微软雅黑" w:hAnsi="微软雅黑" w:eastAsia="微软雅黑" w:cs="微软雅黑"/>
                <w:i w:val="0"/>
                <w:iCs w:val="0"/>
                <w:color w:val="000000"/>
                <w:sz w:val="20"/>
                <w:szCs w:val="20"/>
                <w:u w:val="none"/>
              </w:rPr>
            </w:pPr>
          </w:p>
        </w:tc>
      </w:tr>
      <w:tr w14:paraId="2411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76073">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6D225">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DD835">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FEB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文化实践研学馆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666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715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125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77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FDB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FA9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1481">
            <w:pPr>
              <w:jc w:val="center"/>
              <w:rPr>
                <w:rFonts w:hint="eastAsia" w:ascii="微软雅黑" w:hAnsi="微软雅黑" w:eastAsia="微软雅黑" w:cs="微软雅黑"/>
                <w:i w:val="0"/>
                <w:iCs w:val="0"/>
                <w:color w:val="000000"/>
                <w:sz w:val="20"/>
                <w:szCs w:val="20"/>
                <w:u w:val="none"/>
              </w:rPr>
            </w:pPr>
          </w:p>
        </w:tc>
      </w:tr>
      <w:tr w14:paraId="327B5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69492">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DB91B">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289D">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41A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主楼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1F8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547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878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F4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36A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D11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BFA4">
            <w:pPr>
              <w:jc w:val="center"/>
              <w:rPr>
                <w:rFonts w:hint="eastAsia" w:ascii="微软雅黑" w:hAnsi="微软雅黑" w:eastAsia="微软雅黑" w:cs="微软雅黑"/>
                <w:i w:val="0"/>
                <w:iCs w:val="0"/>
                <w:color w:val="000000"/>
                <w:sz w:val="20"/>
                <w:szCs w:val="20"/>
                <w:u w:val="none"/>
              </w:rPr>
            </w:pPr>
          </w:p>
        </w:tc>
      </w:tr>
      <w:tr w14:paraId="3E98E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D8798">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E40D3">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ED172">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D61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宿舍</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A77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8C1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A8F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C1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DEA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CB5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F11">
            <w:pPr>
              <w:jc w:val="center"/>
              <w:rPr>
                <w:rFonts w:hint="eastAsia" w:ascii="微软雅黑" w:hAnsi="微软雅黑" w:eastAsia="微软雅黑" w:cs="微软雅黑"/>
                <w:i w:val="0"/>
                <w:iCs w:val="0"/>
                <w:color w:val="000000"/>
                <w:sz w:val="20"/>
                <w:szCs w:val="20"/>
                <w:u w:val="none"/>
              </w:rPr>
            </w:pPr>
          </w:p>
        </w:tc>
      </w:tr>
      <w:tr w14:paraId="00A01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D6493">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2D0AC">
            <w:pPr>
              <w:jc w:val="center"/>
              <w:rPr>
                <w:rFonts w:hint="eastAsia" w:ascii="宋体" w:hAnsi="宋体" w:eastAsia="宋体" w:cs="宋体"/>
                <w:i w:val="0"/>
                <w:iCs w:val="0"/>
                <w:color w:val="000000"/>
                <w:sz w:val="21"/>
                <w:szCs w:val="21"/>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3B0B8">
            <w:pPr>
              <w:jc w:val="center"/>
              <w:rPr>
                <w:rFonts w:hint="eastAsia" w:ascii="宋体" w:hAnsi="宋体" w:eastAsia="宋体" w:cs="宋体"/>
                <w:i w:val="0"/>
                <w:iCs w:val="0"/>
                <w:color w:val="000000"/>
                <w:sz w:val="21"/>
                <w:szCs w:val="21"/>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568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生命实践研学馆</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97C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0ED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5B2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29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83C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1B3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4F76">
            <w:pPr>
              <w:jc w:val="center"/>
              <w:rPr>
                <w:rFonts w:hint="eastAsia" w:ascii="微软雅黑" w:hAnsi="微软雅黑" w:eastAsia="微软雅黑" w:cs="微软雅黑"/>
                <w:i w:val="0"/>
                <w:iCs w:val="0"/>
                <w:color w:val="000000"/>
                <w:sz w:val="20"/>
                <w:szCs w:val="20"/>
                <w:u w:val="none"/>
              </w:rPr>
            </w:pPr>
          </w:p>
        </w:tc>
      </w:tr>
      <w:tr w14:paraId="39316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CDC81">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9CAE3">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F95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D81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项目实施合格率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294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03D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CC1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46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235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540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A3AE">
            <w:pPr>
              <w:jc w:val="center"/>
              <w:rPr>
                <w:rFonts w:hint="eastAsia" w:ascii="微软雅黑" w:hAnsi="微软雅黑" w:eastAsia="微软雅黑" w:cs="微软雅黑"/>
                <w:i w:val="0"/>
                <w:iCs w:val="0"/>
                <w:color w:val="000000"/>
                <w:sz w:val="20"/>
                <w:szCs w:val="20"/>
                <w:u w:val="none"/>
              </w:rPr>
            </w:pPr>
          </w:p>
        </w:tc>
      </w:tr>
      <w:tr w14:paraId="17AC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CAC01">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C711">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537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CDC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完成项目整体建设及运营</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F48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F73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2023年12月</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EF55">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64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2024年6月</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F30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75D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30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黑体" w:hAnsi="黑体" w:eastAsia="黑体" w:cs="黑体"/>
                <w:i w:val="0"/>
                <w:iCs w:val="0"/>
                <w:color w:val="000000"/>
                <w:kern w:val="0"/>
                <w:sz w:val="21"/>
                <w:szCs w:val="21"/>
                <w:u w:val="none"/>
                <w:lang w:val="en-US" w:eastAsia="zh-CN" w:bidi="ar"/>
              </w:rPr>
              <w:t>2023年5月，部分场馆投入运营，2024年6项目正式竣工</w:t>
            </w:r>
          </w:p>
        </w:tc>
      </w:tr>
      <w:tr w14:paraId="12225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11346">
            <w:pPr>
              <w:jc w:val="center"/>
              <w:rPr>
                <w:rFonts w:hint="eastAsia" w:ascii="宋体" w:hAnsi="宋体" w:eastAsia="宋体" w:cs="宋体"/>
                <w:i w:val="0"/>
                <w:iCs w:val="0"/>
                <w:color w:val="000000"/>
                <w:sz w:val="21"/>
                <w:szCs w:val="21"/>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B3B9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225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AD7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增强教育供给能力，促进区域教育协调均衡发展</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3F2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520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进一步提高</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CA50">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080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进一步提高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3930">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987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9962">
            <w:pPr>
              <w:jc w:val="center"/>
              <w:rPr>
                <w:rFonts w:hint="eastAsia" w:ascii="微软雅黑" w:hAnsi="微软雅黑" w:eastAsia="微软雅黑" w:cs="微软雅黑"/>
                <w:i w:val="0"/>
                <w:iCs w:val="0"/>
                <w:color w:val="000000"/>
                <w:sz w:val="20"/>
                <w:szCs w:val="20"/>
                <w:u w:val="none"/>
              </w:rPr>
            </w:pPr>
          </w:p>
        </w:tc>
      </w:tr>
      <w:tr w14:paraId="2B6C8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841C1">
            <w:pPr>
              <w:jc w:val="center"/>
              <w:rPr>
                <w:rFonts w:hint="eastAsia" w:ascii="宋体" w:hAnsi="宋体" w:eastAsia="宋体" w:cs="宋体"/>
                <w:i w:val="0"/>
                <w:iCs w:val="0"/>
                <w:color w:val="000000"/>
                <w:sz w:val="21"/>
                <w:szCs w:val="21"/>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DED3B">
            <w:pPr>
              <w:jc w:val="center"/>
              <w:rPr>
                <w:rFonts w:hint="eastAsia" w:ascii="宋体" w:hAnsi="宋体" w:eastAsia="宋体" w:cs="宋体"/>
                <w:i w:val="0"/>
                <w:iCs w:val="0"/>
                <w:color w:val="000000"/>
                <w:sz w:val="21"/>
                <w:szCs w:val="21"/>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6B98">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5D8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项目管理制度健全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737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839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好</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7E13">
            <w:pPr>
              <w:jc w:val="center"/>
              <w:rPr>
                <w:rFonts w:hint="eastAsia" w:ascii="宋体" w:hAnsi="宋体" w:eastAsia="宋体" w:cs="宋体"/>
                <w:i w:val="0"/>
                <w:iCs w:val="0"/>
                <w:color w:val="000000"/>
                <w:sz w:val="21"/>
                <w:szCs w:val="21"/>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DAD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好</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CE8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C412">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25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876D">
            <w:pPr>
              <w:jc w:val="center"/>
              <w:rPr>
                <w:rFonts w:hint="eastAsia" w:ascii="微软雅黑" w:hAnsi="微软雅黑" w:eastAsia="微软雅黑" w:cs="微软雅黑"/>
                <w:i w:val="0"/>
                <w:iCs w:val="0"/>
                <w:color w:val="000000"/>
                <w:sz w:val="20"/>
                <w:szCs w:val="20"/>
                <w:u w:val="none"/>
              </w:rPr>
            </w:pPr>
          </w:p>
        </w:tc>
      </w:tr>
      <w:tr w14:paraId="3DFE4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D64DA">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9BE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C35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988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受惠对象满意度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D3A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9A1B">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1095">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7B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F6EC">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6AF6">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F56E">
            <w:pPr>
              <w:jc w:val="center"/>
              <w:rPr>
                <w:rFonts w:hint="eastAsia" w:ascii="微软雅黑" w:hAnsi="微软雅黑" w:eastAsia="微软雅黑" w:cs="微软雅黑"/>
                <w:i w:val="0"/>
                <w:iCs w:val="0"/>
                <w:color w:val="000000"/>
                <w:sz w:val="20"/>
                <w:szCs w:val="20"/>
                <w:u w:val="none"/>
              </w:rPr>
            </w:pPr>
          </w:p>
        </w:tc>
      </w:tr>
      <w:tr w14:paraId="6359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F0FC3">
            <w:pPr>
              <w:jc w:val="center"/>
              <w:rPr>
                <w:rFonts w:hint="eastAsia" w:ascii="宋体" w:hAnsi="宋体" w:eastAsia="宋体" w:cs="宋体"/>
                <w:i w:val="0"/>
                <w:iCs w:val="0"/>
                <w:color w:val="000000"/>
                <w:sz w:val="21"/>
                <w:szCs w:val="21"/>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828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A5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94D1">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D74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7973">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3309.6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1FC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69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B9C4">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973D">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18E8">
            <w:pPr>
              <w:jc w:val="center"/>
              <w:rPr>
                <w:rFonts w:hint="eastAsia" w:ascii="微软雅黑" w:hAnsi="微软雅黑" w:eastAsia="微软雅黑" w:cs="微软雅黑"/>
                <w:i w:val="0"/>
                <w:iCs w:val="0"/>
                <w:color w:val="000000"/>
                <w:sz w:val="20"/>
                <w:szCs w:val="20"/>
                <w:u w:val="none"/>
              </w:rPr>
            </w:pPr>
          </w:p>
        </w:tc>
      </w:tr>
      <w:tr w14:paraId="1D332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4F679E">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E009">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1422">
            <w:pPr>
              <w:keepNext w:val="0"/>
              <w:keepLines w:val="0"/>
              <w:widowControl/>
              <w:suppressLineNumbers w:val="0"/>
              <w:jc w:val="right"/>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97</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B865">
            <w:pPr>
              <w:rPr>
                <w:rFonts w:hint="eastAsia" w:ascii="宋体" w:hAnsi="宋体" w:eastAsia="宋体" w:cs="宋体"/>
                <w:i w:val="0"/>
                <w:iCs w:val="0"/>
                <w:color w:val="000000"/>
                <w:sz w:val="21"/>
                <w:szCs w:val="21"/>
                <w:u w:val="none"/>
              </w:rPr>
            </w:pPr>
          </w:p>
        </w:tc>
      </w:tr>
      <w:tr w14:paraId="0C53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E15F">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D708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项目自评得分97分，项目顺利</w:t>
            </w:r>
            <w:r>
              <w:rPr>
                <w:rFonts w:hint="eastAsia" w:ascii="宋体" w:hAnsi="宋体" w:cs="宋体"/>
                <w:i w:val="0"/>
                <w:iCs w:val="0"/>
                <w:color w:val="000000"/>
                <w:kern w:val="0"/>
                <w:sz w:val="21"/>
                <w:szCs w:val="21"/>
                <w:u w:val="none"/>
                <w:lang w:val="en-US" w:eastAsia="zh-CN" w:bidi="ar"/>
              </w:rPr>
              <w:t>完成</w:t>
            </w:r>
            <w:r>
              <w:rPr>
                <w:rFonts w:hint="eastAsia" w:ascii="宋体" w:hAnsi="宋体" w:eastAsia="宋体" w:cs="宋体"/>
                <w:i w:val="0"/>
                <w:iCs w:val="0"/>
                <w:color w:val="000000"/>
                <w:kern w:val="0"/>
                <w:sz w:val="21"/>
                <w:szCs w:val="21"/>
                <w:u w:val="none"/>
                <w:lang w:val="en-US" w:eastAsia="zh-CN" w:bidi="ar"/>
              </w:rPr>
              <w:t>主题场馆区、户外实践区、营地功能区、研学生活区建设，2024年项目顺利开营。先后组织各类活动吸引中小学生和家长积极参与，受到多家主流媒体争相报道。进一步丰富永和家园文旅业态，不断提升我区乡村旅游影响力。</w:t>
            </w:r>
          </w:p>
        </w:tc>
      </w:tr>
      <w:tr w14:paraId="56A5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786A">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6E9E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540D8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D7C7">
            <w:pPr>
              <w:keepNext w:val="0"/>
              <w:keepLines w:val="0"/>
              <w:widowControl/>
              <w:suppressLineNumbers w:val="0"/>
              <w:jc w:val="center"/>
              <w:textAlignment w:val="center"/>
              <w:rPr>
                <w:rFonts w:ascii="宋体" w:hAnsi="宋体" w:eastAsia="宋体" w:cs="宋体"/>
                <w:i w:val="0"/>
                <w:iCs w:val="0"/>
                <w:color w:val="000000"/>
                <w:sz w:val="21"/>
                <w:szCs w:val="21"/>
                <w:u w:val="none"/>
              </w:rPr>
            </w:pPr>
            <w:r>
              <w:rPr>
                <w:rFonts w:ascii="宋体" w:hAnsi="宋体" w:eastAsia="宋体" w:cs="宋体"/>
                <w:i w:val="0"/>
                <w:iCs w:val="0"/>
                <w:color w:val="000000"/>
                <w:kern w:val="0"/>
                <w:sz w:val="21"/>
                <w:szCs w:val="21"/>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779D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1F30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292B15">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项目负责人：彭安近</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699754">
            <w:pPr>
              <w:keepNext w:val="0"/>
              <w:keepLines w:val="0"/>
              <w:widowControl/>
              <w:suppressLineNumbers w:val="0"/>
              <w:jc w:val="left"/>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bidi="ar"/>
              </w:rPr>
              <w:t>财务负责人：秦勇</w:t>
            </w:r>
          </w:p>
        </w:tc>
      </w:tr>
      <w:tr w14:paraId="03142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5792EE69">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55E8D6E5">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476E4142">
            <w:pPr>
              <w:rPr>
                <w:rFonts w:hint="eastAsia" w:ascii="宋体" w:hAnsi="宋体" w:eastAsia="宋体" w:cs="宋体"/>
                <w:i w:val="0"/>
                <w:iCs w:val="0"/>
                <w:color w:val="000000"/>
                <w:sz w:val="20"/>
                <w:szCs w:val="20"/>
                <w:u w:val="none"/>
              </w:rPr>
            </w:pPr>
          </w:p>
          <w:p w14:paraId="58CA1DC1">
            <w:pPr>
              <w:pStyle w:val="15"/>
              <w:rPr>
                <w:rFonts w:hint="eastAsia" w:ascii="宋体" w:hAnsi="宋体" w:eastAsia="宋体" w:cs="宋体"/>
                <w:i w:val="0"/>
                <w:iCs w:val="0"/>
                <w:color w:val="000000"/>
                <w:sz w:val="20"/>
                <w:szCs w:val="20"/>
                <w:u w:val="none"/>
              </w:rPr>
            </w:pPr>
          </w:p>
          <w:p w14:paraId="6FD50270">
            <w:pPr>
              <w:rPr>
                <w:rFonts w:hint="eastAsia" w:ascii="宋体" w:hAnsi="宋体" w:eastAsia="宋体" w:cs="宋体"/>
                <w:i w:val="0"/>
                <w:iCs w:val="0"/>
                <w:color w:val="000000"/>
                <w:sz w:val="20"/>
                <w:szCs w:val="20"/>
                <w:u w:val="none"/>
              </w:rPr>
            </w:pPr>
          </w:p>
          <w:p w14:paraId="527A72F3">
            <w:pPr>
              <w:pStyle w:val="15"/>
              <w:rPr>
                <w:rFonts w:hint="eastAsia" w:ascii="宋体" w:hAnsi="宋体" w:eastAsia="宋体" w:cs="宋体"/>
                <w:i w:val="0"/>
                <w:iCs w:val="0"/>
                <w:color w:val="000000"/>
                <w:sz w:val="20"/>
                <w:szCs w:val="20"/>
                <w:u w:val="none"/>
              </w:rPr>
            </w:pPr>
          </w:p>
          <w:p w14:paraId="5EE4FE03">
            <w:pPr>
              <w:rPr>
                <w:rFonts w:hint="eastAsia" w:ascii="宋体" w:hAnsi="宋体" w:eastAsia="宋体" w:cs="宋体"/>
                <w:i w:val="0"/>
                <w:iCs w:val="0"/>
                <w:color w:val="000000"/>
                <w:sz w:val="20"/>
                <w:szCs w:val="20"/>
                <w:u w:val="none"/>
              </w:rPr>
            </w:pPr>
          </w:p>
          <w:p w14:paraId="64154625">
            <w:pPr>
              <w:pStyle w:val="15"/>
              <w:rPr>
                <w:rFonts w:hint="eastAsia"/>
              </w:rPr>
            </w:pPr>
          </w:p>
        </w:tc>
        <w:tc>
          <w:tcPr>
            <w:tcW w:w="2835" w:type="dxa"/>
            <w:tcBorders>
              <w:top w:val="nil"/>
              <w:left w:val="nil"/>
              <w:bottom w:val="nil"/>
              <w:right w:val="nil"/>
            </w:tcBorders>
            <w:shd w:val="clear" w:color="auto" w:fill="auto"/>
            <w:vAlign w:val="center"/>
          </w:tcPr>
          <w:p w14:paraId="0E407F79">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23F722AD">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0FEA5D54">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0A62D3D0">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032FF457">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6DF956E3">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3E31604C">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64676D52">
            <w:pPr>
              <w:rPr>
                <w:rFonts w:hint="eastAsia" w:ascii="宋体" w:hAnsi="宋体" w:eastAsia="宋体" w:cs="宋体"/>
                <w:i w:val="0"/>
                <w:iCs w:val="0"/>
                <w:color w:val="000000"/>
                <w:sz w:val="20"/>
                <w:szCs w:val="20"/>
                <w:u w:val="none"/>
              </w:rPr>
            </w:pPr>
          </w:p>
        </w:tc>
      </w:tr>
      <w:tr w14:paraId="1CAC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7626FE8">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9BC5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049B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01745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51090323T000008506277-城市书房建设补助</w:t>
            </w:r>
          </w:p>
        </w:tc>
      </w:tr>
      <w:tr w14:paraId="54A1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1C763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28F40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318D5514">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13B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209E3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016C5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E98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BA1B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A05C87">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5892F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AF225">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8B701">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69DA6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实现24H城市书房的图书借阅、图书阅读等基本服务功能区，并结合实际设置文化交流、文创展示、休闲服务、地方文献展示等拓展服务功能区。</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AFF04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实现了24H城市书房的图书借阅、图书阅读等基本服务功能区，并结合实际设置文化交流、文创展示、休闲服务、地方文献展示等拓展服务功能区。</w:t>
            </w:r>
          </w:p>
        </w:tc>
      </w:tr>
      <w:tr w14:paraId="4E7A2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F90EC">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EE4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79E89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通过项目实施，采用了统一的图书馆自动化管理系统和图书定位管理等技术进行管理，设置自助识别机、自助办证机、自助借还机等，读者可凭身份证、社保卡刷卡或扫二维码进入，实现24小时自助服务。安装高清网络监控摄像头、硬盘录像机和安全门禁系统，配置书架、阅览桌椅、工作台。</w:t>
            </w:r>
          </w:p>
        </w:tc>
      </w:tr>
      <w:tr w14:paraId="17F1E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3E4C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FD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A5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78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DE8C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18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2A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54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21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23E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00C0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8B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1D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CC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8EAB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8C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35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3F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35F30">
            <w:pPr>
              <w:rPr>
                <w:rFonts w:hint="eastAsia" w:ascii="黑体" w:hAnsi="黑体" w:eastAsia="黑体" w:cs="黑体"/>
                <w:i w:val="0"/>
                <w:iCs w:val="0"/>
                <w:color w:val="000000"/>
                <w:sz w:val="20"/>
                <w:szCs w:val="20"/>
                <w:u w:val="none"/>
              </w:rPr>
            </w:pPr>
          </w:p>
        </w:tc>
      </w:tr>
      <w:tr w14:paraId="3960D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11C3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D7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79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A0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DBA8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8B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7F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C9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5F4A5">
            <w:pPr>
              <w:rPr>
                <w:rFonts w:hint="eastAsia" w:ascii="黑体" w:hAnsi="黑体" w:eastAsia="黑体" w:cs="黑体"/>
                <w:i w:val="0"/>
                <w:iCs w:val="0"/>
                <w:color w:val="000000"/>
                <w:sz w:val="20"/>
                <w:szCs w:val="20"/>
                <w:u w:val="none"/>
              </w:rPr>
            </w:pPr>
          </w:p>
        </w:tc>
      </w:tr>
      <w:tr w14:paraId="69DB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8727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37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93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93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2547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2F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D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4B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BC74B">
            <w:pPr>
              <w:rPr>
                <w:rFonts w:hint="eastAsia" w:ascii="黑体" w:hAnsi="黑体" w:eastAsia="黑体" w:cs="黑体"/>
                <w:i w:val="0"/>
                <w:iCs w:val="0"/>
                <w:color w:val="000000"/>
                <w:sz w:val="20"/>
                <w:szCs w:val="20"/>
                <w:u w:val="none"/>
              </w:rPr>
            </w:pPr>
          </w:p>
        </w:tc>
      </w:tr>
      <w:tr w14:paraId="67222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3F0C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EF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0B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7F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554D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9C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F3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3B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2ABFD">
            <w:pPr>
              <w:rPr>
                <w:rFonts w:hint="eastAsia" w:ascii="黑体" w:hAnsi="黑体" w:eastAsia="黑体" w:cs="黑体"/>
                <w:i w:val="0"/>
                <w:iCs w:val="0"/>
                <w:color w:val="000000"/>
                <w:sz w:val="20"/>
                <w:szCs w:val="20"/>
                <w:u w:val="none"/>
              </w:rPr>
            </w:pPr>
          </w:p>
        </w:tc>
      </w:tr>
      <w:tr w14:paraId="75E8D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AE4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F7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7EE1">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3531">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9226C">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1B8E">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E4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5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0319C">
            <w:pPr>
              <w:rPr>
                <w:rFonts w:hint="eastAsia" w:ascii="黑体" w:hAnsi="黑体" w:eastAsia="黑体" w:cs="黑体"/>
                <w:i w:val="0"/>
                <w:iCs w:val="0"/>
                <w:color w:val="000000"/>
                <w:sz w:val="20"/>
                <w:szCs w:val="20"/>
                <w:u w:val="none"/>
              </w:rPr>
            </w:pPr>
          </w:p>
        </w:tc>
      </w:tr>
      <w:tr w14:paraId="75597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1B6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0E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54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C1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B2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AD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DA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3C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86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E8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CB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035B3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13B8A">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7744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79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9E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24H城市书房建设</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11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C1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B9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37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59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A4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CA93">
            <w:pPr>
              <w:jc w:val="center"/>
              <w:rPr>
                <w:rFonts w:hint="eastAsia" w:ascii="微软雅黑" w:hAnsi="微软雅黑" w:eastAsia="微软雅黑" w:cs="微软雅黑"/>
                <w:i w:val="0"/>
                <w:iCs w:val="0"/>
                <w:color w:val="000000"/>
                <w:sz w:val="18"/>
                <w:szCs w:val="18"/>
                <w:u w:val="none"/>
              </w:rPr>
            </w:pPr>
          </w:p>
        </w:tc>
      </w:tr>
      <w:tr w14:paraId="5698C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296F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BF9DE">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89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AD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项目实施合格率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45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2D1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51D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FC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7F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63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8DB8">
            <w:pPr>
              <w:jc w:val="center"/>
              <w:rPr>
                <w:rFonts w:hint="eastAsia" w:ascii="微软雅黑" w:hAnsi="微软雅黑" w:eastAsia="微软雅黑" w:cs="微软雅黑"/>
                <w:i w:val="0"/>
                <w:iCs w:val="0"/>
                <w:color w:val="000000"/>
                <w:sz w:val="18"/>
                <w:szCs w:val="18"/>
                <w:u w:val="none"/>
              </w:rPr>
            </w:pPr>
          </w:p>
        </w:tc>
      </w:tr>
      <w:tr w14:paraId="17A22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BF22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81E07">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61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29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启动项目实施，项目实施完成</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DF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E8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1年</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95F3">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F6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完成</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D5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27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A90C">
            <w:pPr>
              <w:jc w:val="center"/>
              <w:rPr>
                <w:rFonts w:hint="eastAsia" w:ascii="微软雅黑" w:hAnsi="微软雅黑" w:eastAsia="微软雅黑" w:cs="微软雅黑"/>
                <w:i w:val="0"/>
                <w:iCs w:val="0"/>
                <w:color w:val="000000"/>
                <w:sz w:val="18"/>
                <w:szCs w:val="18"/>
                <w:u w:val="none"/>
              </w:rPr>
            </w:pPr>
          </w:p>
        </w:tc>
      </w:tr>
      <w:tr w14:paraId="54E6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6CEFD">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4BA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42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F1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公共文化服务效能</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28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C6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进一步提高</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825E">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16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进一步提高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3B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A5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C203">
            <w:pPr>
              <w:jc w:val="center"/>
              <w:rPr>
                <w:rFonts w:hint="eastAsia" w:ascii="微软雅黑" w:hAnsi="微软雅黑" w:eastAsia="微软雅黑" w:cs="微软雅黑"/>
                <w:i w:val="0"/>
                <w:iCs w:val="0"/>
                <w:color w:val="000000"/>
                <w:sz w:val="18"/>
                <w:szCs w:val="18"/>
                <w:u w:val="none"/>
              </w:rPr>
            </w:pPr>
          </w:p>
        </w:tc>
      </w:tr>
      <w:tr w14:paraId="56418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1871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369C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5B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9C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项目管理制度健全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FA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D9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好</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AEA7">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41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好</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C6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B8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2E8E">
            <w:pPr>
              <w:jc w:val="center"/>
              <w:rPr>
                <w:rFonts w:hint="eastAsia" w:ascii="微软雅黑" w:hAnsi="微软雅黑" w:eastAsia="微软雅黑" w:cs="微软雅黑"/>
                <w:i w:val="0"/>
                <w:iCs w:val="0"/>
                <w:color w:val="000000"/>
                <w:sz w:val="18"/>
                <w:szCs w:val="18"/>
                <w:u w:val="none"/>
              </w:rPr>
            </w:pPr>
          </w:p>
        </w:tc>
      </w:tr>
      <w:tr w14:paraId="1E8DE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A8E4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61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35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0A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受惠群众满意度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44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15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52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7B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B7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13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B713">
            <w:pPr>
              <w:jc w:val="center"/>
              <w:rPr>
                <w:rFonts w:hint="eastAsia" w:ascii="微软雅黑" w:hAnsi="微软雅黑" w:eastAsia="微软雅黑" w:cs="微软雅黑"/>
                <w:i w:val="0"/>
                <w:iCs w:val="0"/>
                <w:color w:val="000000"/>
                <w:sz w:val="18"/>
                <w:szCs w:val="18"/>
                <w:u w:val="none"/>
              </w:rPr>
            </w:pPr>
          </w:p>
        </w:tc>
      </w:tr>
      <w:tr w14:paraId="03EA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09D4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9B3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5E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60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AE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31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19.65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60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5E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DD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57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BE7B">
            <w:pPr>
              <w:jc w:val="center"/>
              <w:rPr>
                <w:rFonts w:hint="eastAsia" w:ascii="微软雅黑" w:hAnsi="微软雅黑" w:eastAsia="微软雅黑" w:cs="微软雅黑"/>
                <w:i w:val="0"/>
                <w:iCs w:val="0"/>
                <w:color w:val="000000"/>
                <w:sz w:val="18"/>
                <w:szCs w:val="18"/>
                <w:u w:val="none"/>
              </w:rPr>
            </w:pPr>
          </w:p>
        </w:tc>
      </w:tr>
      <w:tr w14:paraId="509DA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E28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C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AA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E2A1">
            <w:pPr>
              <w:rPr>
                <w:rFonts w:hint="eastAsia" w:ascii="宋体" w:hAnsi="宋体" w:eastAsia="宋体" w:cs="宋体"/>
                <w:i w:val="0"/>
                <w:iCs w:val="0"/>
                <w:color w:val="000000"/>
                <w:sz w:val="20"/>
                <w:szCs w:val="20"/>
                <w:u w:val="none"/>
              </w:rPr>
            </w:pPr>
          </w:p>
        </w:tc>
      </w:tr>
      <w:tr w14:paraId="6156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92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93A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项目实施符合中省市区政策部署，有相关法律法规作支撑，是满足</w:t>
            </w:r>
            <w:r>
              <w:rPr>
                <w:rFonts w:hint="eastAsia" w:ascii="宋体" w:hAnsi="宋体" w:cs="宋体"/>
                <w:i w:val="0"/>
                <w:iCs w:val="0"/>
                <w:color w:val="000000"/>
                <w:kern w:val="0"/>
                <w:sz w:val="20"/>
                <w:szCs w:val="20"/>
                <w:u w:val="none"/>
                <w:lang w:val="en-US" w:eastAsia="zh-CN" w:bidi="ar"/>
              </w:rPr>
              <w:t>区域</w:t>
            </w:r>
            <w:r>
              <w:rPr>
                <w:rFonts w:hint="eastAsia" w:ascii="宋体" w:hAnsi="宋体" w:eastAsia="宋体" w:cs="宋体"/>
                <w:i w:val="0"/>
                <w:iCs w:val="0"/>
                <w:color w:val="000000"/>
                <w:kern w:val="0"/>
                <w:sz w:val="20"/>
                <w:szCs w:val="20"/>
                <w:u w:val="none"/>
                <w:lang w:val="en-US" w:eastAsia="zh-CN" w:bidi="ar"/>
              </w:rPr>
              <w:t>文化发展的项目，资金严格按照中央文件精神执行，保障项目内容全部实现。项目建设完成后，数量、质量、成本、社会效益、可持续影响、满意度等指标完成均达标。该项目综合评估等级为优秀。</w:t>
            </w:r>
          </w:p>
        </w:tc>
      </w:tr>
      <w:tr w14:paraId="1D9A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8F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BFF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项目缺乏专项运维经费。</w:t>
            </w:r>
          </w:p>
        </w:tc>
      </w:tr>
      <w:tr w14:paraId="0920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4B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5F90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增加城市书房的运行维护费用。</w:t>
            </w:r>
          </w:p>
        </w:tc>
      </w:tr>
      <w:tr w14:paraId="3A770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00522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项目负责人：田斌</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66EDEB">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4E978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73A761F">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652E22BD">
            <w:pPr>
              <w:rPr>
                <w:rFonts w:hint="eastAsia" w:ascii="宋体" w:hAnsi="宋体" w:eastAsia="宋体" w:cs="宋体"/>
                <w:i w:val="0"/>
                <w:iCs w:val="0"/>
                <w:color w:val="000000"/>
                <w:sz w:val="20"/>
                <w:szCs w:val="20"/>
                <w:u w:val="none"/>
              </w:rPr>
            </w:pPr>
          </w:p>
          <w:p w14:paraId="3823EE29">
            <w:pPr>
              <w:pStyle w:val="15"/>
              <w:rPr>
                <w:rFonts w:hint="eastAsia" w:ascii="宋体" w:hAnsi="宋体" w:eastAsia="宋体" w:cs="宋体"/>
                <w:i w:val="0"/>
                <w:iCs w:val="0"/>
                <w:color w:val="000000"/>
                <w:sz w:val="20"/>
                <w:szCs w:val="20"/>
                <w:u w:val="none"/>
              </w:rPr>
            </w:pPr>
          </w:p>
          <w:p w14:paraId="20A957FA">
            <w:pPr>
              <w:rPr>
                <w:rFonts w:hint="eastAsia"/>
              </w:rPr>
            </w:pPr>
          </w:p>
        </w:tc>
        <w:tc>
          <w:tcPr>
            <w:tcW w:w="1746" w:type="dxa"/>
            <w:tcBorders>
              <w:top w:val="nil"/>
              <w:left w:val="nil"/>
              <w:bottom w:val="nil"/>
              <w:right w:val="nil"/>
            </w:tcBorders>
            <w:shd w:val="clear" w:color="auto" w:fill="auto"/>
            <w:vAlign w:val="center"/>
          </w:tcPr>
          <w:p w14:paraId="34C5F68A">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0D89DB5A">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465FE06">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75FCCFCE">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864B17B">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1881904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759F58BF">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05BF90C4">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AE9081B">
            <w:pPr>
              <w:rPr>
                <w:rFonts w:hint="eastAsia" w:ascii="宋体" w:hAnsi="宋体" w:eastAsia="宋体" w:cs="宋体"/>
                <w:i w:val="0"/>
                <w:iCs w:val="0"/>
                <w:color w:val="000000"/>
                <w:sz w:val="20"/>
                <w:szCs w:val="20"/>
                <w:u w:val="none"/>
              </w:rPr>
            </w:pPr>
          </w:p>
        </w:tc>
      </w:tr>
      <w:tr w14:paraId="1FAA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CF14C87">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443D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3096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2CBD5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51090323T000009025384-2023年春节慰问</w:t>
            </w:r>
          </w:p>
        </w:tc>
      </w:tr>
      <w:tr w14:paraId="0711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9EE6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BE71C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1C21992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FBCD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7A2E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DCB0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5F4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1365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EC6DDF">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2713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16EC8">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2631A">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8C416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春节对旅游执法、文旅工作者进行“送温暖、献爱心”慰问活动</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6018E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在春节期间对全区25名文旅工作者、文旅执法人员进行了慰问</w:t>
            </w:r>
          </w:p>
        </w:tc>
      </w:tr>
      <w:tr w14:paraId="738F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E62A0">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97A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9377B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按照全区春节期间“送温暖献爱心”走访慰问活动的统一安排部署执行</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该项目经书记、区长审批同意，由区文化广电旅游局牵头对文旅工作者、文旅执法人员进行慰问</w:t>
            </w:r>
          </w:p>
        </w:tc>
      </w:tr>
      <w:tr w14:paraId="29A12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498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15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F9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2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5F1C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67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7F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AC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07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7D242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80F1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2F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CD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00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5142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53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CF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14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6750E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A2E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F62E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31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68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20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1608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4A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C0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FF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9B347">
            <w:pPr>
              <w:rPr>
                <w:rFonts w:hint="eastAsia" w:ascii="黑体" w:hAnsi="黑体" w:eastAsia="黑体" w:cs="黑体"/>
                <w:i w:val="0"/>
                <w:iCs w:val="0"/>
                <w:color w:val="000000"/>
                <w:sz w:val="20"/>
                <w:szCs w:val="20"/>
                <w:u w:val="none"/>
              </w:rPr>
            </w:pPr>
          </w:p>
        </w:tc>
      </w:tr>
      <w:tr w14:paraId="79FD5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3127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44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20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88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B43F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54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CD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B6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94349">
            <w:pPr>
              <w:rPr>
                <w:rFonts w:hint="eastAsia" w:ascii="黑体" w:hAnsi="黑体" w:eastAsia="黑体" w:cs="黑体"/>
                <w:i w:val="0"/>
                <w:iCs w:val="0"/>
                <w:color w:val="000000"/>
                <w:sz w:val="20"/>
                <w:szCs w:val="20"/>
                <w:u w:val="none"/>
              </w:rPr>
            </w:pPr>
          </w:p>
        </w:tc>
      </w:tr>
      <w:tr w14:paraId="2393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A0EB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50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9A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02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F70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BE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CF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7F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28BB">
            <w:pPr>
              <w:rPr>
                <w:rFonts w:hint="eastAsia" w:ascii="黑体" w:hAnsi="黑体" w:eastAsia="黑体" w:cs="黑体"/>
                <w:i w:val="0"/>
                <w:iCs w:val="0"/>
                <w:color w:val="000000"/>
                <w:sz w:val="20"/>
                <w:szCs w:val="20"/>
                <w:u w:val="none"/>
              </w:rPr>
            </w:pPr>
          </w:p>
        </w:tc>
      </w:tr>
      <w:tr w14:paraId="3BF56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B47D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BD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879B">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260F">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B3CAD0">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A995">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2F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66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AF9D8">
            <w:pPr>
              <w:rPr>
                <w:rFonts w:hint="eastAsia" w:ascii="黑体" w:hAnsi="黑体" w:eastAsia="黑体" w:cs="黑体"/>
                <w:i w:val="0"/>
                <w:iCs w:val="0"/>
                <w:color w:val="000000"/>
                <w:sz w:val="20"/>
                <w:szCs w:val="20"/>
                <w:u w:val="none"/>
              </w:rPr>
            </w:pPr>
          </w:p>
        </w:tc>
      </w:tr>
      <w:tr w14:paraId="7C18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A4C9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C1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A8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ED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FF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B9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8D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EB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CA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E7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1B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1163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5611B">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CC7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75A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1E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慰问人数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DC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7B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5B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8921">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8D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1C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D368">
            <w:pPr>
              <w:jc w:val="center"/>
              <w:rPr>
                <w:rFonts w:hint="eastAsia" w:ascii="微软雅黑" w:hAnsi="微软雅黑" w:eastAsia="微软雅黑" w:cs="微软雅黑"/>
                <w:i w:val="0"/>
                <w:iCs w:val="0"/>
                <w:color w:val="000000"/>
                <w:sz w:val="18"/>
                <w:szCs w:val="18"/>
                <w:u w:val="none"/>
              </w:rPr>
            </w:pPr>
          </w:p>
        </w:tc>
      </w:tr>
      <w:tr w14:paraId="596A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E8B2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4B8D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53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F4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慰问准确率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9E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1E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6E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7CD5">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2D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6C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5CBD">
            <w:pPr>
              <w:jc w:val="center"/>
              <w:rPr>
                <w:rFonts w:hint="eastAsia" w:ascii="微软雅黑" w:hAnsi="微软雅黑" w:eastAsia="微软雅黑" w:cs="微软雅黑"/>
                <w:i w:val="0"/>
                <w:iCs w:val="0"/>
                <w:color w:val="000000"/>
                <w:sz w:val="18"/>
                <w:szCs w:val="18"/>
                <w:u w:val="none"/>
              </w:rPr>
            </w:pPr>
          </w:p>
        </w:tc>
      </w:tr>
      <w:tr w14:paraId="76B1A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8253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A6D4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BB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6D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慰问及时率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4C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C7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88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2D0B">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A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BC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EE59">
            <w:pPr>
              <w:jc w:val="center"/>
              <w:rPr>
                <w:rFonts w:hint="eastAsia" w:ascii="微软雅黑" w:hAnsi="微软雅黑" w:eastAsia="微软雅黑" w:cs="微软雅黑"/>
                <w:i w:val="0"/>
                <w:iCs w:val="0"/>
                <w:color w:val="000000"/>
                <w:sz w:val="18"/>
                <w:szCs w:val="18"/>
                <w:u w:val="none"/>
              </w:rPr>
            </w:pPr>
          </w:p>
        </w:tc>
      </w:tr>
      <w:tr w14:paraId="24BF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D35A8">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46C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08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7C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文旅行业从业者感受温暖爱心</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9E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A2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C8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1F7B">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BD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3F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42AA">
            <w:pPr>
              <w:jc w:val="center"/>
              <w:rPr>
                <w:rFonts w:hint="eastAsia" w:ascii="微软雅黑" w:hAnsi="微软雅黑" w:eastAsia="微软雅黑" w:cs="微软雅黑"/>
                <w:i w:val="0"/>
                <w:iCs w:val="0"/>
                <w:color w:val="000000"/>
                <w:sz w:val="18"/>
                <w:szCs w:val="18"/>
                <w:u w:val="none"/>
              </w:rPr>
            </w:pPr>
          </w:p>
        </w:tc>
      </w:tr>
      <w:tr w14:paraId="62755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37177">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36909">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10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BB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E1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FC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641C">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3FA6">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EA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5E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34A3">
            <w:pPr>
              <w:jc w:val="center"/>
              <w:rPr>
                <w:rFonts w:hint="eastAsia" w:ascii="微软雅黑" w:hAnsi="微软雅黑" w:eastAsia="微软雅黑" w:cs="微软雅黑"/>
                <w:i w:val="0"/>
                <w:iCs w:val="0"/>
                <w:color w:val="000000"/>
                <w:sz w:val="18"/>
                <w:szCs w:val="18"/>
                <w:u w:val="none"/>
              </w:rPr>
            </w:pPr>
          </w:p>
        </w:tc>
      </w:tr>
      <w:tr w14:paraId="2EAF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01FE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5C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C3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E2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接受慰问人群满意度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94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DF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7F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34CA">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7C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A4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775B">
            <w:pPr>
              <w:jc w:val="center"/>
              <w:rPr>
                <w:rFonts w:hint="eastAsia" w:ascii="微软雅黑" w:hAnsi="微软雅黑" w:eastAsia="微软雅黑" w:cs="微软雅黑"/>
                <w:i w:val="0"/>
                <w:iCs w:val="0"/>
                <w:color w:val="000000"/>
                <w:sz w:val="18"/>
                <w:szCs w:val="18"/>
                <w:u w:val="none"/>
              </w:rPr>
            </w:pPr>
          </w:p>
        </w:tc>
      </w:tr>
      <w:tr w14:paraId="767F3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65F8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5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6A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CF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慰问总成本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72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61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47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7A90">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8CF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3E3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09C">
            <w:pPr>
              <w:jc w:val="center"/>
              <w:rPr>
                <w:rFonts w:hint="eastAsia" w:ascii="微软雅黑" w:hAnsi="微软雅黑" w:eastAsia="微软雅黑" w:cs="微软雅黑"/>
                <w:i w:val="0"/>
                <w:iCs w:val="0"/>
                <w:color w:val="000000"/>
                <w:sz w:val="18"/>
                <w:szCs w:val="18"/>
                <w:u w:val="none"/>
              </w:rPr>
            </w:pPr>
          </w:p>
        </w:tc>
      </w:tr>
      <w:tr w14:paraId="4C447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A65BF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13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F1F1">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F4FD">
            <w:pPr>
              <w:rPr>
                <w:rFonts w:hint="eastAsia" w:ascii="宋体" w:hAnsi="宋体" w:eastAsia="宋体" w:cs="宋体"/>
                <w:i w:val="0"/>
                <w:iCs w:val="0"/>
                <w:color w:val="000000"/>
                <w:sz w:val="20"/>
                <w:szCs w:val="20"/>
                <w:u w:val="none"/>
              </w:rPr>
            </w:pPr>
          </w:p>
        </w:tc>
      </w:tr>
      <w:tr w14:paraId="54F6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124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B0E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项目的组织实施，对全区文旅工作者、文旅执法者进行了春节的慰问，使他们感受到了党和政府的温暖与关怀，取得了良好的社会效益，该项目自评得分100分。</w:t>
            </w:r>
          </w:p>
        </w:tc>
      </w:tr>
      <w:tr w14:paraId="6427E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AB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D63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097CC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FC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E36D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2BF0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DCA4F0">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项目负责人：谢永明</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413B78">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0D826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54101BD0">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7F9FFFFC">
            <w:pPr>
              <w:rPr>
                <w:rFonts w:hint="eastAsia" w:ascii="宋体" w:hAnsi="宋体" w:eastAsia="宋体" w:cs="宋体"/>
                <w:i w:val="0"/>
                <w:iCs w:val="0"/>
                <w:color w:val="000000"/>
                <w:sz w:val="20"/>
                <w:szCs w:val="20"/>
                <w:u w:val="none"/>
              </w:rPr>
            </w:pPr>
          </w:p>
          <w:p w14:paraId="78CE4986">
            <w:pPr>
              <w:pStyle w:val="15"/>
              <w:rPr>
                <w:rFonts w:hint="eastAsia" w:ascii="宋体" w:hAnsi="宋体" w:eastAsia="宋体" w:cs="宋体"/>
                <w:i w:val="0"/>
                <w:iCs w:val="0"/>
                <w:color w:val="000000"/>
                <w:sz w:val="20"/>
                <w:szCs w:val="20"/>
                <w:u w:val="none"/>
              </w:rPr>
            </w:pPr>
          </w:p>
          <w:p w14:paraId="73615866">
            <w:pPr>
              <w:rPr>
                <w:rFonts w:hint="eastAsia" w:ascii="宋体" w:hAnsi="宋体" w:eastAsia="宋体" w:cs="宋体"/>
                <w:i w:val="0"/>
                <w:iCs w:val="0"/>
                <w:color w:val="000000"/>
                <w:sz w:val="20"/>
                <w:szCs w:val="20"/>
                <w:u w:val="none"/>
              </w:rPr>
            </w:pPr>
          </w:p>
          <w:p w14:paraId="653E8F68">
            <w:pPr>
              <w:pStyle w:val="15"/>
              <w:rPr>
                <w:rFonts w:hint="eastAsia"/>
              </w:rPr>
            </w:pPr>
          </w:p>
        </w:tc>
        <w:tc>
          <w:tcPr>
            <w:tcW w:w="1746" w:type="dxa"/>
            <w:tcBorders>
              <w:top w:val="nil"/>
              <w:left w:val="nil"/>
              <w:bottom w:val="nil"/>
              <w:right w:val="nil"/>
            </w:tcBorders>
            <w:shd w:val="clear" w:color="auto" w:fill="auto"/>
            <w:vAlign w:val="center"/>
          </w:tcPr>
          <w:p w14:paraId="4B5046F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2829B676">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FECF563">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1324EBC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80052B3">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0F8DCD3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596F73DF">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5C62ED2C">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06760081">
            <w:pPr>
              <w:rPr>
                <w:rFonts w:hint="eastAsia" w:ascii="宋体" w:hAnsi="宋体" w:eastAsia="宋体" w:cs="宋体"/>
                <w:i w:val="0"/>
                <w:iCs w:val="0"/>
                <w:color w:val="000000"/>
                <w:sz w:val="20"/>
                <w:szCs w:val="20"/>
                <w:u w:val="none"/>
              </w:rPr>
            </w:pPr>
          </w:p>
        </w:tc>
      </w:tr>
      <w:tr w14:paraId="38A2B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0162D26">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7775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4E057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8A3A09">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51090323T000009580685-市级文化旅游发展资金（非物质文化遗产保护）桃子龙传承保护补助资金</w:t>
            </w:r>
          </w:p>
        </w:tc>
      </w:tr>
      <w:tr w14:paraId="703BF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07C3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6FEC5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9C8858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95C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068C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D2E3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9B1B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BE6C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0B8CA2">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14B9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9491">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97119">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45E1E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完成代表性传承人调查记录以及两条龙制作与传承队伍培训。</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1EDC8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完成2名省级代表性传承人调查记录，完成两条龙道具制作（龙头、龙宝、龙尾、桃子）及传承队伍培训。</w:t>
            </w:r>
          </w:p>
        </w:tc>
      </w:tr>
      <w:tr w14:paraId="581A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9FBFC">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63C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F9751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组织开展“船山桃子龙”重塑活动，完成对省级代表性传承人调查记录，完成两条龙道具制作（龙头、龙宝、龙尾、桃子）及传承队伍培训，提高对我区省级非遗项目“船山桃子龙”的保护力度，为今后申报国家级非遗奠定基础。</w:t>
            </w:r>
          </w:p>
        </w:tc>
      </w:tr>
      <w:tr w14:paraId="4A2B5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39D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E8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C9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77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E5DB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01F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02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21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B6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74D05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3D78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CA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44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F5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0A6B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F6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D4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B9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DD526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02CB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F0D8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9C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69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B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ECF0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669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B8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F0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F3140">
            <w:pPr>
              <w:rPr>
                <w:rFonts w:hint="eastAsia" w:ascii="黑体" w:hAnsi="黑体" w:eastAsia="黑体" w:cs="黑体"/>
                <w:i w:val="0"/>
                <w:iCs w:val="0"/>
                <w:color w:val="000000"/>
                <w:sz w:val="20"/>
                <w:szCs w:val="20"/>
                <w:u w:val="none"/>
              </w:rPr>
            </w:pPr>
          </w:p>
        </w:tc>
      </w:tr>
      <w:tr w14:paraId="62A08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549F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BB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77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18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11BE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CB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F3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D4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6ADFC">
            <w:pPr>
              <w:rPr>
                <w:rFonts w:hint="eastAsia" w:ascii="黑体" w:hAnsi="黑体" w:eastAsia="黑体" w:cs="黑体"/>
                <w:i w:val="0"/>
                <w:iCs w:val="0"/>
                <w:color w:val="000000"/>
                <w:sz w:val="20"/>
                <w:szCs w:val="20"/>
                <w:u w:val="none"/>
              </w:rPr>
            </w:pPr>
          </w:p>
        </w:tc>
      </w:tr>
      <w:tr w14:paraId="1EB23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AE8F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D9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67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C7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B9519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BE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2B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64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EAF82">
            <w:pPr>
              <w:rPr>
                <w:rFonts w:hint="eastAsia" w:ascii="黑体" w:hAnsi="黑体" w:eastAsia="黑体" w:cs="黑体"/>
                <w:i w:val="0"/>
                <w:iCs w:val="0"/>
                <w:color w:val="000000"/>
                <w:sz w:val="20"/>
                <w:szCs w:val="20"/>
                <w:u w:val="none"/>
              </w:rPr>
            </w:pPr>
          </w:p>
        </w:tc>
      </w:tr>
      <w:tr w14:paraId="36B11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4C65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00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38E3">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64BE">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4F530">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29D4">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9C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76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31014">
            <w:pPr>
              <w:rPr>
                <w:rFonts w:hint="eastAsia" w:ascii="黑体" w:hAnsi="黑体" w:eastAsia="黑体" w:cs="黑体"/>
                <w:i w:val="0"/>
                <w:iCs w:val="0"/>
                <w:color w:val="000000"/>
                <w:sz w:val="20"/>
                <w:szCs w:val="20"/>
                <w:u w:val="none"/>
              </w:rPr>
            </w:pPr>
          </w:p>
        </w:tc>
      </w:tr>
      <w:tr w14:paraId="05347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FE1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6B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11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274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2F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14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9E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0FC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F6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0C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B0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4778F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96331">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107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AA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60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对“船山桃子龙”进行重塑</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9C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A5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A95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8F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2个</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1A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3A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872C">
            <w:pPr>
              <w:jc w:val="center"/>
              <w:rPr>
                <w:rFonts w:hint="eastAsia" w:ascii="微软雅黑" w:hAnsi="微软雅黑" w:eastAsia="微软雅黑" w:cs="微软雅黑"/>
                <w:i w:val="0"/>
                <w:iCs w:val="0"/>
                <w:color w:val="000000"/>
                <w:sz w:val="18"/>
                <w:szCs w:val="18"/>
                <w:u w:val="none"/>
              </w:rPr>
            </w:pPr>
          </w:p>
        </w:tc>
      </w:tr>
      <w:tr w14:paraId="4E0C1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186E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A5AB3">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7D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FE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97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96C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F7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69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BB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DB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4969">
            <w:pPr>
              <w:jc w:val="center"/>
              <w:rPr>
                <w:rFonts w:hint="eastAsia" w:ascii="微软雅黑" w:hAnsi="微软雅黑" w:eastAsia="微软雅黑" w:cs="微软雅黑"/>
                <w:i w:val="0"/>
                <w:iCs w:val="0"/>
                <w:color w:val="000000"/>
                <w:sz w:val="18"/>
                <w:szCs w:val="18"/>
                <w:u w:val="none"/>
              </w:rPr>
            </w:pPr>
          </w:p>
        </w:tc>
      </w:tr>
      <w:tr w14:paraId="6AD0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AA346">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7AF0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D4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0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1C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43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D7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DD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04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B45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F189">
            <w:pPr>
              <w:jc w:val="center"/>
              <w:rPr>
                <w:rFonts w:hint="eastAsia" w:ascii="微软雅黑" w:hAnsi="微软雅黑" w:eastAsia="微软雅黑" w:cs="微软雅黑"/>
                <w:i w:val="0"/>
                <w:iCs w:val="0"/>
                <w:color w:val="000000"/>
                <w:sz w:val="18"/>
                <w:szCs w:val="18"/>
                <w:u w:val="none"/>
              </w:rPr>
            </w:pPr>
          </w:p>
        </w:tc>
      </w:tr>
      <w:tr w14:paraId="40C72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C6C5A">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774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59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77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提高对非物质文化遗产保护率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91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59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15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2C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97%</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09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60E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342F">
            <w:pPr>
              <w:jc w:val="center"/>
              <w:rPr>
                <w:rFonts w:hint="eastAsia" w:ascii="微软雅黑" w:hAnsi="微软雅黑" w:eastAsia="微软雅黑" w:cs="微软雅黑"/>
                <w:i w:val="0"/>
                <w:iCs w:val="0"/>
                <w:color w:val="000000"/>
                <w:sz w:val="18"/>
                <w:szCs w:val="18"/>
                <w:u w:val="none"/>
              </w:rPr>
            </w:pPr>
          </w:p>
        </w:tc>
      </w:tr>
      <w:tr w14:paraId="0B486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E212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DFD63">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54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4F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1D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E9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5ED7">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78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定性</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42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FF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3DD6">
            <w:pPr>
              <w:jc w:val="center"/>
              <w:rPr>
                <w:rFonts w:hint="eastAsia" w:ascii="微软雅黑" w:hAnsi="微软雅黑" w:eastAsia="微软雅黑" w:cs="微软雅黑"/>
                <w:i w:val="0"/>
                <w:iCs w:val="0"/>
                <w:color w:val="000000"/>
                <w:sz w:val="18"/>
                <w:szCs w:val="18"/>
                <w:u w:val="none"/>
              </w:rPr>
            </w:pPr>
          </w:p>
        </w:tc>
      </w:tr>
      <w:tr w14:paraId="67881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B53B3">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F22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8F4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C3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传承人满意度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24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7F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6E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C7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60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8C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6C11">
            <w:pPr>
              <w:jc w:val="center"/>
              <w:rPr>
                <w:rFonts w:hint="eastAsia" w:ascii="微软雅黑" w:hAnsi="微软雅黑" w:eastAsia="微软雅黑" w:cs="微软雅黑"/>
                <w:i w:val="0"/>
                <w:iCs w:val="0"/>
                <w:color w:val="000000"/>
                <w:sz w:val="18"/>
                <w:szCs w:val="18"/>
                <w:u w:val="none"/>
              </w:rPr>
            </w:pPr>
          </w:p>
        </w:tc>
      </w:tr>
      <w:tr w14:paraId="17E4F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D011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0279">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49886">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E6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2F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84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9D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9D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2E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FA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4691">
            <w:pPr>
              <w:jc w:val="center"/>
              <w:rPr>
                <w:rFonts w:hint="eastAsia" w:ascii="微软雅黑" w:hAnsi="微软雅黑" w:eastAsia="微软雅黑" w:cs="微软雅黑"/>
                <w:i w:val="0"/>
                <w:iCs w:val="0"/>
                <w:color w:val="000000"/>
                <w:sz w:val="18"/>
                <w:szCs w:val="18"/>
                <w:u w:val="none"/>
              </w:rPr>
            </w:pPr>
          </w:p>
        </w:tc>
      </w:tr>
      <w:tr w14:paraId="1D8D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4CA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77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EB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A8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68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E1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21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02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3C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26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7144">
            <w:pPr>
              <w:jc w:val="center"/>
              <w:rPr>
                <w:rFonts w:hint="eastAsia" w:ascii="微软雅黑" w:hAnsi="微软雅黑" w:eastAsia="微软雅黑" w:cs="微软雅黑"/>
                <w:i w:val="0"/>
                <w:iCs w:val="0"/>
                <w:color w:val="000000"/>
                <w:sz w:val="18"/>
                <w:szCs w:val="18"/>
                <w:u w:val="none"/>
              </w:rPr>
            </w:pPr>
          </w:p>
        </w:tc>
      </w:tr>
      <w:tr w14:paraId="289A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010C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AE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FDDD">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A747">
            <w:pPr>
              <w:rPr>
                <w:rFonts w:hint="eastAsia" w:ascii="宋体" w:hAnsi="宋体" w:eastAsia="宋体" w:cs="宋体"/>
                <w:i w:val="0"/>
                <w:iCs w:val="0"/>
                <w:color w:val="000000"/>
                <w:sz w:val="20"/>
                <w:szCs w:val="20"/>
                <w:u w:val="none"/>
              </w:rPr>
            </w:pPr>
          </w:p>
        </w:tc>
      </w:tr>
      <w:tr w14:paraId="6582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3F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93DB2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实施以来，有效保护传承我区省级非物质文化遗产“船山桃子龙”，扩大传承队伍，同时吸引我区群众积极参与非物质文化遗产保护，增强非物质文化遗产保护意识。项目开展以来深受群众好评和各界认可。综合评分得分100分。</w:t>
            </w:r>
          </w:p>
        </w:tc>
      </w:tr>
      <w:tr w14:paraId="322FE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93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06D8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在“船山桃子龙”保护传承工作中存在人力、物力、财力投入不足，导致存在技艺流失的风险，传承后继乏人。</w:t>
            </w:r>
          </w:p>
        </w:tc>
      </w:tr>
      <w:tr w14:paraId="6817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E1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2557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建议在往后的专项活动中加大经费以及人力、物力等投入。着重提高保护力度，提高影响力，深化社会效益。</w:t>
            </w:r>
          </w:p>
        </w:tc>
      </w:tr>
      <w:tr w14:paraId="7443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4F1EB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D9557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3181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113D4307">
            <w:pPr>
              <w:rPr>
                <w:rFonts w:hint="eastAsia" w:ascii="宋体" w:hAnsi="宋体" w:eastAsia="宋体" w:cs="宋体"/>
                <w:i w:val="0"/>
                <w:iCs w:val="0"/>
                <w:color w:val="000000"/>
                <w:sz w:val="20"/>
                <w:szCs w:val="20"/>
                <w:u w:val="none"/>
              </w:rPr>
            </w:pPr>
          </w:p>
          <w:p w14:paraId="38A470FB">
            <w:pPr>
              <w:pStyle w:val="15"/>
              <w:rPr>
                <w:rFonts w:hint="eastAsia" w:ascii="宋体" w:hAnsi="宋体" w:eastAsia="宋体" w:cs="宋体"/>
                <w:i w:val="0"/>
                <w:iCs w:val="0"/>
                <w:color w:val="000000"/>
                <w:sz w:val="20"/>
                <w:szCs w:val="20"/>
                <w:u w:val="none"/>
              </w:rPr>
            </w:pPr>
          </w:p>
          <w:p w14:paraId="563B6CC2">
            <w:pPr>
              <w:rPr>
                <w:rFonts w:hint="eastAsia" w:ascii="宋体" w:hAnsi="宋体" w:eastAsia="宋体" w:cs="宋体"/>
                <w:i w:val="0"/>
                <w:iCs w:val="0"/>
                <w:color w:val="000000"/>
                <w:sz w:val="20"/>
                <w:szCs w:val="20"/>
                <w:u w:val="none"/>
              </w:rPr>
            </w:pPr>
          </w:p>
          <w:p w14:paraId="2AAE954A">
            <w:pPr>
              <w:pStyle w:val="15"/>
              <w:rPr>
                <w:rFonts w:hint="eastAsia"/>
              </w:rPr>
            </w:pPr>
          </w:p>
        </w:tc>
        <w:tc>
          <w:tcPr>
            <w:tcW w:w="2011" w:type="dxa"/>
            <w:tcBorders>
              <w:top w:val="nil"/>
              <w:left w:val="nil"/>
              <w:bottom w:val="nil"/>
              <w:right w:val="nil"/>
            </w:tcBorders>
            <w:shd w:val="clear" w:color="auto" w:fill="auto"/>
            <w:vAlign w:val="center"/>
          </w:tcPr>
          <w:p w14:paraId="517CAD7A">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5F96C0AC">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124EB2A8">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57437B4B">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73AD651C">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0BA6E882">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5B5F9F89">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4EB800A5">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2A9AA73E">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0B0EA04A">
            <w:pPr>
              <w:rPr>
                <w:rFonts w:hint="eastAsia" w:ascii="宋体" w:hAnsi="宋体" w:eastAsia="宋体" w:cs="宋体"/>
                <w:i w:val="0"/>
                <w:iCs w:val="0"/>
                <w:color w:val="000000"/>
                <w:sz w:val="20"/>
                <w:szCs w:val="20"/>
                <w:u w:val="none"/>
              </w:rPr>
            </w:pPr>
          </w:p>
        </w:tc>
      </w:tr>
      <w:tr w14:paraId="57AF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B233C5">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4335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C84E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224F9D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51090323T000009580689-2021年旅游发展资金</w:t>
            </w:r>
          </w:p>
        </w:tc>
      </w:tr>
      <w:tr w14:paraId="1E0F5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E13C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37722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4ED8F77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942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3795A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5046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5DD3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A2F7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0A09AA">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04BB2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B56D9">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4A20B">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DBBF3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充分发挥区级旅游专项资金效益，培育壮大文化旅游市场主体，激发文化旅游市场活力，推动全区文化旅游产业高质量发展，助力天府旅游名县命名县和国家全域旅游示范区创建。</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02151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2021年旅游发展资金项目进一步培育壮大文化旅游市场主体，激活文化旅游市场活力，推动全区文化旅游产业高质量发展，助推天府旅游名县创建工作。</w:t>
            </w:r>
          </w:p>
        </w:tc>
      </w:tr>
      <w:tr w14:paraId="7ABD9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23D34">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B2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D78E6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由企业主动递交申请材料，属地乡镇（街道、园区）核实签字盖章，区文广旅局严格审核，并报区财政局研究审定。共有遂宁市青年国际旅行社有限公司、四川省圣莲花文化艺术有限公司等16家申报主体从旅游公共服务设施建设、宣传营销推广、重大节庆活动举办、旅游品牌创建、游客招徕扶持五方面申报2021年度旅游发展专项资金26.1万元。</w:t>
            </w:r>
          </w:p>
        </w:tc>
      </w:tr>
      <w:tr w14:paraId="6E334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E26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62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29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91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7673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1C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E6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E2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C5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414A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C9EF4">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9D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09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E2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26.10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3410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26.10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B2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292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3E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27E35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3847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EB2A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FD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D05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55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26.10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31FB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26.10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98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27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6F8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2F1EC">
            <w:pPr>
              <w:rPr>
                <w:rFonts w:hint="eastAsia" w:ascii="黑体" w:hAnsi="黑体" w:eastAsia="黑体" w:cs="黑体"/>
                <w:i w:val="0"/>
                <w:iCs w:val="0"/>
                <w:color w:val="000000"/>
                <w:sz w:val="20"/>
                <w:szCs w:val="20"/>
                <w:u w:val="none"/>
              </w:rPr>
            </w:pPr>
          </w:p>
        </w:tc>
      </w:tr>
      <w:tr w14:paraId="39FFB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AC3D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10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1C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83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0A0A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D7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5A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E3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B664">
            <w:pPr>
              <w:rPr>
                <w:rFonts w:hint="eastAsia" w:ascii="黑体" w:hAnsi="黑体" w:eastAsia="黑体" w:cs="黑体"/>
                <w:i w:val="0"/>
                <w:iCs w:val="0"/>
                <w:color w:val="000000"/>
                <w:sz w:val="20"/>
                <w:szCs w:val="20"/>
                <w:u w:val="none"/>
              </w:rPr>
            </w:pPr>
          </w:p>
        </w:tc>
      </w:tr>
      <w:tr w14:paraId="5048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AC81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89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87E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F5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1731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69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96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03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EABA6">
            <w:pPr>
              <w:rPr>
                <w:rFonts w:hint="eastAsia" w:ascii="黑体" w:hAnsi="黑体" w:eastAsia="黑体" w:cs="黑体"/>
                <w:i w:val="0"/>
                <w:iCs w:val="0"/>
                <w:color w:val="000000"/>
                <w:sz w:val="20"/>
                <w:szCs w:val="20"/>
                <w:u w:val="none"/>
              </w:rPr>
            </w:pPr>
          </w:p>
        </w:tc>
      </w:tr>
      <w:tr w14:paraId="352289AC">
        <w:tblPrEx>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1A14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2A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7E64">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6B50">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EF7990">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BBD6">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97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9B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B5094">
            <w:pPr>
              <w:rPr>
                <w:rFonts w:hint="eastAsia" w:ascii="黑体" w:hAnsi="黑体" w:eastAsia="黑体" w:cs="黑体"/>
                <w:i w:val="0"/>
                <w:iCs w:val="0"/>
                <w:color w:val="000000"/>
                <w:sz w:val="20"/>
                <w:szCs w:val="20"/>
                <w:u w:val="none"/>
              </w:rPr>
            </w:pPr>
          </w:p>
        </w:tc>
      </w:tr>
      <w:tr w14:paraId="521F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5096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2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8D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8D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451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54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31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36F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81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34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48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42DCD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7292C">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74F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D9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9C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对申报主体进行补贴</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85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C0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F54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家</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3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52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0C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B7A0">
            <w:pPr>
              <w:jc w:val="center"/>
              <w:rPr>
                <w:rFonts w:hint="eastAsia" w:ascii="微软雅黑" w:hAnsi="微软雅黑" w:eastAsia="微软雅黑" w:cs="微软雅黑"/>
                <w:i w:val="0"/>
                <w:iCs w:val="0"/>
                <w:color w:val="000000"/>
                <w:sz w:val="18"/>
                <w:szCs w:val="18"/>
                <w:u w:val="none"/>
              </w:rPr>
            </w:pPr>
          </w:p>
        </w:tc>
      </w:tr>
      <w:tr w14:paraId="320BC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0FC5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88B7">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118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63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51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CF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62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2F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C3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56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6A63">
            <w:pPr>
              <w:jc w:val="center"/>
              <w:rPr>
                <w:rFonts w:hint="eastAsia" w:ascii="微软雅黑" w:hAnsi="微软雅黑" w:eastAsia="微软雅黑" w:cs="微软雅黑"/>
                <w:i w:val="0"/>
                <w:iCs w:val="0"/>
                <w:color w:val="000000"/>
                <w:sz w:val="18"/>
                <w:szCs w:val="18"/>
                <w:u w:val="none"/>
              </w:rPr>
            </w:pPr>
          </w:p>
        </w:tc>
      </w:tr>
      <w:tr w14:paraId="4E36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FE4D">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33FD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53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33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资金支付及时率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DD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61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F2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05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DB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83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79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资金拨付不及时，时长超1年</w:t>
            </w:r>
          </w:p>
        </w:tc>
      </w:tr>
      <w:tr w14:paraId="64601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DB8AE">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57D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C5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7A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吸引社会资本投资船山文旅项目，提升旅游基础设施</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871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7A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60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74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D4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49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316E">
            <w:pPr>
              <w:jc w:val="center"/>
              <w:rPr>
                <w:rFonts w:hint="eastAsia" w:ascii="微软雅黑" w:hAnsi="微软雅黑" w:eastAsia="微软雅黑" w:cs="微软雅黑"/>
                <w:i w:val="0"/>
                <w:iCs w:val="0"/>
                <w:color w:val="000000"/>
                <w:sz w:val="18"/>
                <w:szCs w:val="18"/>
                <w:u w:val="none"/>
              </w:rPr>
            </w:pPr>
          </w:p>
        </w:tc>
      </w:tr>
      <w:tr w14:paraId="1E2C5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3F86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5687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593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AB0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船山旅游知名度、美誉度、影响力提升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9D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27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50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02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F3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1C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2C6A">
            <w:pPr>
              <w:jc w:val="center"/>
              <w:rPr>
                <w:rFonts w:hint="eastAsia" w:ascii="微软雅黑" w:hAnsi="微软雅黑" w:eastAsia="微软雅黑" w:cs="微软雅黑"/>
                <w:i w:val="0"/>
                <w:iCs w:val="0"/>
                <w:color w:val="000000"/>
                <w:sz w:val="18"/>
                <w:szCs w:val="18"/>
                <w:u w:val="none"/>
              </w:rPr>
            </w:pPr>
          </w:p>
        </w:tc>
      </w:tr>
      <w:tr w14:paraId="643B0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85C9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CF2E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60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56D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船山区旅游发展专项资金管理办法健全性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D4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1F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DF2F">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A1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健全</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E5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4C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DFC3">
            <w:pPr>
              <w:jc w:val="center"/>
              <w:rPr>
                <w:rFonts w:hint="eastAsia" w:ascii="微软雅黑" w:hAnsi="微软雅黑" w:eastAsia="微软雅黑" w:cs="微软雅黑"/>
                <w:i w:val="0"/>
                <w:iCs w:val="0"/>
                <w:color w:val="000000"/>
                <w:sz w:val="18"/>
                <w:szCs w:val="18"/>
                <w:u w:val="none"/>
              </w:rPr>
            </w:pPr>
          </w:p>
        </w:tc>
      </w:tr>
      <w:tr w14:paraId="35762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4A9A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706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0CA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103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0D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EE5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84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CB0D">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6D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B7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970F">
            <w:pPr>
              <w:jc w:val="center"/>
              <w:rPr>
                <w:rFonts w:hint="eastAsia" w:ascii="微软雅黑" w:hAnsi="微软雅黑" w:eastAsia="微软雅黑" w:cs="微软雅黑"/>
                <w:i w:val="0"/>
                <w:iCs w:val="0"/>
                <w:color w:val="000000"/>
                <w:sz w:val="18"/>
                <w:szCs w:val="18"/>
                <w:u w:val="none"/>
              </w:rPr>
            </w:pPr>
          </w:p>
        </w:tc>
      </w:tr>
      <w:tr w14:paraId="3F7BB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273E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A39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1D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99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奖补总成本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85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32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26.1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2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849F">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16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7A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40F2">
            <w:pPr>
              <w:jc w:val="center"/>
              <w:rPr>
                <w:rFonts w:hint="eastAsia" w:ascii="微软雅黑" w:hAnsi="微软雅黑" w:eastAsia="微软雅黑" w:cs="微软雅黑"/>
                <w:i w:val="0"/>
                <w:iCs w:val="0"/>
                <w:color w:val="000000"/>
                <w:sz w:val="18"/>
                <w:szCs w:val="18"/>
                <w:u w:val="none"/>
              </w:rPr>
            </w:pPr>
          </w:p>
        </w:tc>
      </w:tr>
      <w:tr w14:paraId="45A4B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ED39B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62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B9F8">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408D">
            <w:pPr>
              <w:rPr>
                <w:rFonts w:hint="eastAsia" w:ascii="宋体" w:hAnsi="宋体" w:eastAsia="宋体" w:cs="宋体"/>
                <w:i w:val="0"/>
                <w:iCs w:val="0"/>
                <w:color w:val="000000"/>
                <w:sz w:val="20"/>
                <w:szCs w:val="20"/>
                <w:u w:val="none"/>
              </w:rPr>
            </w:pPr>
          </w:p>
        </w:tc>
      </w:tr>
      <w:tr w14:paraId="08A8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7D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8325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项目自评得分96分，在旅游发展资金的引领下，船山区文旅企业积极参加各种展会和推介活动，有力宣传船山文旅产品，提升船山文旅影响力。船山文旅规上企业逐年增多，文旅产品先后斩获大奖。</w:t>
            </w:r>
          </w:p>
        </w:tc>
      </w:tr>
      <w:tr w14:paraId="0432D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B9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D382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资金拨付时间长，申报企业不能快速享受奖补红利。</w:t>
            </w:r>
          </w:p>
        </w:tc>
      </w:tr>
      <w:tr w14:paraId="1DBD0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CB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DBCC9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一是将惠企政策所需资金纳入年初预算。根据以往年度惠企政策资金需求情况，测算下一年度资金数额并将其纳入下一年度财政预算予以保障，缩短资金申报审批周期。</w:t>
            </w:r>
          </w:p>
          <w:p w14:paraId="5ADE04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二是建立健全惠企政策资金拨付管理制度，进一步明确惠企政策牵头单位和财政部门职能职责，通过制度或条例规范资金兑现时限，目标绩效部门定期督办相关惠企政策资金兑现进度。</w:t>
            </w:r>
          </w:p>
        </w:tc>
      </w:tr>
      <w:tr w14:paraId="6A1FF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84F471">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项目负责人：彭安近</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DDF158">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15067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329BFE90">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6B707063">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1884AE62">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2717D244">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9DFCC8C">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7346024C">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16B185D5">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1EC9DDEC">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43A873A1">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41F76248">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6FFA7353">
            <w:pPr>
              <w:rPr>
                <w:rFonts w:hint="eastAsia" w:ascii="宋体" w:hAnsi="宋体" w:eastAsia="宋体" w:cs="宋体"/>
                <w:i w:val="0"/>
                <w:iCs w:val="0"/>
                <w:color w:val="000000"/>
                <w:sz w:val="20"/>
                <w:szCs w:val="20"/>
                <w:u w:val="none"/>
              </w:rPr>
            </w:pPr>
          </w:p>
        </w:tc>
      </w:tr>
      <w:tr w14:paraId="23E85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49DB3B4">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657F7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C1A8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57F879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51090323T000009580701-遂理一家亲活动补助资金</w:t>
            </w:r>
          </w:p>
        </w:tc>
      </w:tr>
      <w:tr w14:paraId="446D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0676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E0EED1">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2889339B">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D654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67299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B2EDA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1272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319F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CC6458">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37F07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D8391">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7A9A8">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EFEF8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为此次遂理一家亲活动的演出节目、主持。服装道具以及宣传营销做好保障，确保此次文化交流活动有序开展。</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D1367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十周年成就展中文艺演出组织工作，提供曲艺、街舞、乐队演出节目3个（含开场节目1个）、邀请专业男主持人1名；组织观音素麻花、圣莲花茶、徐老三豆腐干3家船山区特色文旅产品和企业参展，向两地群众展示船山区传统文化、非遗文化。</w:t>
            </w:r>
          </w:p>
        </w:tc>
      </w:tr>
      <w:tr w14:paraId="570E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8A579">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768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97773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十周年成就展中文艺演出组织工作，提供曲艺、街舞、乐队演出节目3个（含开场节目1个）、邀请专业男主持人1名；组织观音素麻花、圣莲花茶、徐老三豆腐干3家船山区特色文旅产品和企业参展，向两地群众展示船山区传统文化、非遗文化。</w:t>
            </w:r>
          </w:p>
        </w:tc>
      </w:tr>
      <w:tr w14:paraId="00979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CC2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76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23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25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3871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03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6C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53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7E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4B08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8D9F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C0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C9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03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1.75</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334B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BED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40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64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ABDC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475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F4E4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E6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49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308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1.75</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674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ADA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09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9A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BE413">
            <w:pPr>
              <w:rPr>
                <w:rFonts w:hint="eastAsia" w:ascii="黑体" w:hAnsi="黑体" w:eastAsia="黑体" w:cs="黑体"/>
                <w:i w:val="0"/>
                <w:iCs w:val="0"/>
                <w:color w:val="000000"/>
                <w:sz w:val="20"/>
                <w:szCs w:val="20"/>
                <w:u w:val="none"/>
              </w:rPr>
            </w:pPr>
          </w:p>
        </w:tc>
      </w:tr>
      <w:tr w14:paraId="206A5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EC71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17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D0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95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BDBC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DC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DC7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1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14519">
            <w:pPr>
              <w:rPr>
                <w:rFonts w:hint="eastAsia" w:ascii="黑体" w:hAnsi="黑体" w:eastAsia="黑体" w:cs="黑体"/>
                <w:i w:val="0"/>
                <w:iCs w:val="0"/>
                <w:color w:val="000000"/>
                <w:sz w:val="20"/>
                <w:szCs w:val="20"/>
                <w:u w:val="none"/>
              </w:rPr>
            </w:pPr>
          </w:p>
        </w:tc>
      </w:tr>
      <w:tr w14:paraId="063D8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DE1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87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62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9B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C258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B4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30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4A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E409D">
            <w:pPr>
              <w:rPr>
                <w:rFonts w:hint="eastAsia" w:ascii="黑体" w:hAnsi="黑体" w:eastAsia="黑体" w:cs="黑体"/>
                <w:i w:val="0"/>
                <w:iCs w:val="0"/>
                <w:color w:val="000000"/>
                <w:sz w:val="20"/>
                <w:szCs w:val="20"/>
                <w:u w:val="none"/>
              </w:rPr>
            </w:pPr>
          </w:p>
        </w:tc>
      </w:tr>
      <w:tr w14:paraId="43318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1EDC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E37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B96F">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E647">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313275">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B5C0">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3A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9FD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8515B">
            <w:pPr>
              <w:rPr>
                <w:rFonts w:hint="eastAsia" w:ascii="黑体" w:hAnsi="黑体" w:eastAsia="黑体" w:cs="黑体"/>
                <w:i w:val="0"/>
                <w:iCs w:val="0"/>
                <w:color w:val="000000"/>
                <w:sz w:val="20"/>
                <w:szCs w:val="20"/>
                <w:u w:val="none"/>
              </w:rPr>
            </w:pPr>
          </w:p>
        </w:tc>
      </w:tr>
      <w:tr w14:paraId="1F0D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F0BD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415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3B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9B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AA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C3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21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6D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7D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29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41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56FC2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90CC5">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3C8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7CA4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CE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遂理一家亲·十年共振兴演出节目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F8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1D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11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7F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3个</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59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56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DBF5">
            <w:pPr>
              <w:jc w:val="center"/>
              <w:rPr>
                <w:rFonts w:hint="eastAsia" w:ascii="微软雅黑" w:hAnsi="微软雅黑" w:eastAsia="微软雅黑" w:cs="微软雅黑"/>
                <w:i w:val="0"/>
                <w:iCs w:val="0"/>
                <w:color w:val="000000"/>
                <w:sz w:val="18"/>
                <w:szCs w:val="18"/>
                <w:u w:val="none"/>
              </w:rPr>
            </w:pPr>
          </w:p>
        </w:tc>
      </w:tr>
      <w:tr w14:paraId="383A9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90183">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BFA0">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99F88">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A9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演员参与人数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56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DDB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DF0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人</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A6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20人</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02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7C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1AE9">
            <w:pPr>
              <w:jc w:val="center"/>
              <w:rPr>
                <w:rFonts w:hint="eastAsia" w:ascii="微软雅黑" w:hAnsi="微软雅黑" w:eastAsia="微软雅黑" w:cs="微软雅黑"/>
                <w:i w:val="0"/>
                <w:iCs w:val="0"/>
                <w:color w:val="000000"/>
                <w:sz w:val="18"/>
                <w:szCs w:val="18"/>
                <w:u w:val="none"/>
              </w:rPr>
            </w:pPr>
          </w:p>
        </w:tc>
      </w:tr>
      <w:tr w14:paraId="64FB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20FE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798BA">
            <w:pPr>
              <w:jc w:val="center"/>
              <w:rPr>
                <w:rFonts w:hint="eastAsia" w:ascii="宋体" w:hAnsi="宋体" w:eastAsia="宋体" w:cs="宋体"/>
                <w:i w:val="0"/>
                <w:iCs w:val="0"/>
                <w:color w:val="000000"/>
                <w:sz w:val="20"/>
                <w:szCs w:val="20"/>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23BF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8C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参与演员服务达标率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95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FD5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ACC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37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FD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454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F0DD">
            <w:pPr>
              <w:jc w:val="center"/>
              <w:rPr>
                <w:rFonts w:hint="eastAsia" w:ascii="微软雅黑" w:hAnsi="微软雅黑" w:eastAsia="微软雅黑" w:cs="微软雅黑"/>
                <w:i w:val="0"/>
                <w:iCs w:val="0"/>
                <w:color w:val="000000"/>
                <w:sz w:val="18"/>
                <w:szCs w:val="18"/>
                <w:u w:val="none"/>
              </w:rPr>
            </w:pPr>
          </w:p>
        </w:tc>
      </w:tr>
      <w:tr w14:paraId="66970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C9988">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2F28C">
            <w:pPr>
              <w:jc w:val="center"/>
              <w:rPr>
                <w:rFonts w:hint="eastAsia" w:ascii="宋体" w:hAnsi="宋体" w:eastAsia="宋体" w:cs="宋体"/>
                <w:i w:val="0"/>
                <w:iCs w:val="0"/>
                <w:color w:val="000000"/>
                <w:sz w:val="20"/>
                <w:szCs w:val="20"/>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C9968">
            <w:pPr>
              <w:jc w:val="center"/>
              <w:rPr>
                <w:rFonts w:hint="eastAsia" w:ascii="宋体" w:hAnsi="宋体" w:eastAsia="宋体" w:cs="宋体"/>
                <w:i w:val="0"/>
                <w:iCs w:val="0"/>
                <w:color w:val="000000"/>
                <w:sz w:val="20"/>
                <w:szCs w:val="20"/>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B7A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资金发放准确率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CC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C30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995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11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47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6F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251E">
            <w:pPr>
              <w:jc w:val="center"/>
              <w:rPr>
                <w:rFonts w:hint="eastAsia" w:ascii="微软雅黑" w:hAnsi="微软雅黑" w:eastAsia="微软雅黑" w:cs="微软雅黑"/>
                <w:i w:val="0"/>
                <w:iCs w:val="0"/>
                <w:color w:val="000000"/>
                <w:sz w:val="18"/>
                <w:szCs w:val="18"/>
                <w:u w:val="none"/>
              </w:rPr>
            </w:pPr>
          </w:p>
        </w:tc>
      </w:tr>
      <w:tr w14:paraId="6B009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4A4D">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20B7">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EC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1F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1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A7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0B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59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DF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CB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1C54">
            <w:pPr>
              <w:jc w:val="center"/>
              <w:rPr>
                <w:rFonts w:hint="eastAsia" w:ascii="微软雅黑" w:hAnsi="微软雅黑" w:eastAsia="微软雅黑" w:cs="微软雅黑"/>
                <w:i w:val="0"/>
                <w:iCs w:val="0"/>
                <w:color w:val="000000"/>
                <w:sz w:val="18"/>
                <w:szCs w:val="18"/>
                <w:u w:val="none"/>
              </w:rPr>
            </w:pPr>
          </w:p>
        </w:tc>
      </w:tr>
      <w:tr w14:paraId="65B50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07244">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274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6C9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2C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促进船山区与理县文化交流</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98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B47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87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006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4E3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C7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CB35">
            <w:pPr>
              <w:jc w:val="center"/>
              <w:rPr>
                <w:rFonts w:hint="eastAsia" w:ascii="微软雅黑" w:hAnsi="微软雅黑" w:eastAsia="微软雅黑" w:cs="微软雅黑"/>
                <w:i w:val="0"/>
                <w:iCs w:val="0"/>
                <w:color w:val="000000"/>
                <w:sz w:val="18"/>
                <w:szCs w:val="18"/>
                <w:u w:val="none"/>
              </w:rPr>
            </w:pPr>
          </w:p>
        </w:tc>
      </w:tr>
      <w:tr w14:paraId="6C74E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E3FDE">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A1B79">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15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B5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05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77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优良中差</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419E">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CF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优</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A7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71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0012">
            <w:pPr>
              <w:jc w:val="center"/>
              <w:rPr>
                <w:rFonts w:hint="eastAsia" w:ascii="微软雅黑" w:hAnsi="微软雅黑" w:eastAsia="微软雅黑" w:cs="微软雅黑"/>
                <w:i w:val="0"/>
                <w:iCs w:val="0"/>
                <w:color w:val="000000"/>
                <w:sz w:val="18"/>
                <w:szCs w:val="18"/>
                <w:u w:val="none"/>
              </w:rPr>
            </w:pPr>
          </w:p>
        </w:tc>
      </w:tr>
      <w:tr w14:paraId="1AF59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27631">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96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C5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57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12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DC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86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B3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68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30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DF91">
            <w:pPr>
              <w:jc w:val="center"/>
              <w:rPr>
                <w:rFonts w:hint="eastAsia" w:ascii="微软雅黑" w:hAnsi="微软雅黑" w:eastAsia="微软雅黑" w:cs="微软雅黑"/>
                <w:i w:val="0"/>
                <w:iCs w:val="0"/>
                <w:color w:val="000000"/>
                <w:sz w:val="18"/>
                <w:szCs w:val="18"/>
                <w:u w:val="none"/>
              </w:rPr>
            </w:pPr>
          </w:p>
        </w:tc>
      </w:tr>
      <w:tr w14:paraId="589CD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3C637">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F9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F31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7F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ACD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42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1.7494</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1D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AC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1.7494万元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1C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7B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C978">
            <w:pPr>
              <w:jc w:val="center"/>
              <w:rPr>
                <w:rFonts w:hint="eastAsia" w:ascii="微软雅黑" w:hAnsi="微软雅黑" w:eastAsia="微软雅黑" w:cs="微软雅黑"/>
                <w:i w:val="0"/>
                <w:iCs w:val="0"/>
                <w:color w:val="000000"/>
                <w:sz w:val="18"/>
                <w:szCs w:val="18"/>
                <w:u w:val="none"/>
              </w:rPr>
            </w:pPr>
          </w:p>
        </w:tc>
      </w:tr>
      <w:tr w14:paraId="102E7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2419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02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37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3281">
            <w:pPr>
              <w:rPr>
                <w:rFonts w:hint="eastAsia" w:ascii="宋体" w:hAnsi="宋体" w:eastAsia="宋体" w:cs="宋体"/>
                <w:i w:val="0"/>
                <w:iCs w:val="0"/>
                <w:color w:val="000000"/>
                <w:sz w:val="20"/>
                <w:szCs w:val="20"/>
                <w:u w:val="none"/>
              </w:rPr>
            </w:pPr>
          </w:p>
        </w:tc>
      </w:tr>
      <w:tr w14:paraId="4A1F8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47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CF4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项目的实施，产生了良好的社会效益，遂理两地群众受益。通过开展遂理一家亲活动有效推进两地文化交流的进一步深化，发挥两地文化融合互动优势，促进两地人文经济的进一步繁荣发展，深受两地群众好评和认可。综合评价得分100分。</w:t>
            </w:r>
          </w:p>
        </w:tc>
      </w:tr>
      <w:tr w14:paraId="67EA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D3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92D4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该项目总体投入不足，内容不够丰富，宣传推广渠道还不够完善，后续影响力不够，还需要进一步加大宣传营销手段，扩大活动影响力。</w:t>
            </w:r>
          </w:p>
        </w:tc>
      </w:tr>
      <w:tr w14:paraId="51BF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A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16E6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建议在往后的专项文艺活动中加大经费以及人力、宣传等投入。着重突出活动主题，提高影响力，深化社会效益。</w:t>
            </w:r>
          </w:p>
        </w:tc>
      </w:tr>
      <w:tr w14:paraId="153F3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CA4DAA">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E3948B">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2FE1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738D27F4">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23D2C105">
            <w:pPr>
              <w:rPr>
                <w:rFonts w:hint="eastAsia" w:ascii="宋体" w:hAnsi="宋体" w:eastAsia="宋体" w:cs="宋体"/>
                <w:i w:val="0"/>
                <w:iCs w:val="0"/>
                <w:color w:val="000000"/>
                <w:sz w:val="20"/>
                <w:szCs w:val="20"/>
                <w:u w:val="none"/>
              </w:rPr>
            </w:pPr>
          </w:p>
        </w:tc>
        <w:tc>
          <w:tcPr>
            <w:tcW w:w="1746" w:type="dxa"/>
            <w:tcBorders>
              <w:top w:val="nil"/>
              <w:left w:val="nil"/>
              <w:bottom w:val="nil"/>
              <w:right w:val="nil"/>
            </w:tcBorders>
            <w:shd w:val="clear" w:color="auto" w:fill="auto"/>
            <w:vAlign w:val="center"/>
          </w:tcPr>
          <w:p w14:paraId="143EE3DD">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08E3BB1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2B68568B">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294B859B">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7240B9CA">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53313E0B">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032EC2CC">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0DCE1CD2">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618D7DCD">
            <w:pPr>
              <w:rPr>
                <w:rFonts w:hint="eastAsia" w:ascii="宋体" w:hAnsi="宋体" w:eastAsia="宋体" w:cs="宋体"/>
                <w:i w:val="0"/>
                <w:iCs w:val="0"/>
                <w:color w:val="000000"/>
                <w:sz w:val="20"/>
                <w:szCs w:val="20"/>
                <w:u w:val="none"/>
              </w:rPr>
            </w:pPr>
          </w:p>
        </w:tc>
      </w:tr>
      <w:tr w14:paraId="6694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378BBB1">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06D97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1958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DCD190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51090323T000009715959-县级应急广播平台运行维护</w:t>
            </w:r>
          </w:p>
        </w:tc>
      </w:tr>
      <w:tr w14:paraId="0D7DF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303D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52D71D">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2DD932A3">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E2F2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45652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3A58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6161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48934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C1F3B1">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268B9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6E38E">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EAF23">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D74B06">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保障已经建成的县级应急广播播控平台的正常运行，保障平台及时发布应急广播信息，给辖区群众免费提供应急广播服务。</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FC87A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保障已经建成的县级应急广播播控平台的正常运行，保障平台及时发布应急广播信息，给辖区群众免费提供应急广播服务。</w:t>
            </w:r>
          </w:p>
        </w:tc>
      </w:tr>
      <w:tr w14:paraId="5FC88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2F85A">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609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0B928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保障已经建成的县级应急广播播控平台的正常运行，保障平台及时发布应急广播信息，给辖区群众免费提供应急广播服务。</w:t>
            </w:r>
          </w:p>
        </w:tc>
      </w:tr>
      <w:tr w14:paraId="6CAA4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195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46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3A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FEE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722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E89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06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AC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3F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3FC16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079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E1C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5B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AA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C9DE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56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89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51A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A4A83">
            <w:pPr>
              <w:rPr>
                <w:rFonts w:hint="eastAsia" w:ascii="黑体" w:hAnsi="黑体" w:eastAsia="黑体" w:cs="黑体"/>
                <w:i w:val="0"/>
                <w:iCs w:val="0"/>
                <w:color w:val="000000"/>
                <w:sz w:val="20"/>
                <w:szCs w:val="20"/>
                <w:u w:val="none"/>
              </w:rPr>
            </w:pPr>
          </w:p>
        </w:tc>
      </w:tr>
      <w:tr w14:paraId="39DB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51DDA">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8D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67F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6D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8A899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C4E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8A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E6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AB025">
            <w:pPr>
              <w:rPr>
                <w:rFonts w:hint="eastAsia" w:ascii="黑体" w:hAnsi="黑体" w:eastAsia="黑体" w:cs="黑体"/>
                <w:i w:val="0"/>
                <w:iCs w:val="0"/>
                <w:color w:val="000000"/>
                <w:sz w:val="20"/>
                <w:szCs w:val="20"/>
                <w:u w:val="none"/>
              </w:rPr>
            </w:pPr>
          </w:p>
        </w:tc>
      </w:tr>
      <w:tr w14:paraId="4F81B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591E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FF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67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7C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CE97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74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17D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45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43B1B">
            <w:pPr>
              <w:rPr>
                <w:rFonts w:hint="eastAsia" w:ascii="黑体" w:hAnsi="黑体" w:eastAsia="黑体" w:cs="黑体"/>
                <w:i w:val="0"/>
                <w:iCs w:val="0"/>
                <w:color w:val="000000"/>
                <w:sz w:val="20"/>
                <w:szCs w:val="20"/>
                <w:u w:val="none"/>
              </w:rPr>
            </w:pPr>
          </w:p>
        </w:tc>
      </w:tr>
      <w:tr w14:paraId="2830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5419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B6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F1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99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81E5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45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47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7D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74DE0">
            <w:pPr>
              <w:rPr>
                <w:rFonts w:hint="eastAsia" w:ascii="黑体" w:hAnsi="黑体" w:eastAsia="黑体" w:cs="黑体"/>
                <w:i w:val="0"/>
                <w:iCs w:val="0"/>
                <w:color w:val="000000"/>
                <w:sz w:val="20"/>
                <w:szCs w:val="20"/>
                <w:u w:val="none"/>
              </w:rPr>
            </w:pPr>
          </w:p>
        </w:tc>
      </w:tr>
      <w:tr w14:paraId="77371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CA42D">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7D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D918">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271E">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F669BD">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5250">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991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C6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A40F2">
            <w:pPr>
              <w:rPr>
                <w:rFonts w:hint="eastAsia" w:ascii="黑体" w:hAnsi="黑体" w:eastAsia="黑体" w:cs="黑体"/>
                <w:i w:val="0"/>
                <w:iCs w:val="0"/>
                <w:color w:val="000000"/>
                <w:sz w:val="20"/>
                <w:szCs w:val="20"/>
                <w:u w:val="none"/>
              </w:rPr>
            </w:pPr>
          </w:p>
        </w:tc>
      </w:tr>
      <w:tr w14:paraId="5A4A8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6D82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A96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25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21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709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32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BA5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47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40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FC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A3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06FF2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EEB2D">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78E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923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CCA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区级应急广播系统运维数量</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C7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43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FC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80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7E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64A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550B">
            <w:pPr>
              <w:jc w:val="center"/>
              <w:rPr>
                <w:rFonts w:hint="eastAsia" w:ascii="微软雅黑" w:hAnsi="微软雅黑" w:eastAsia="微软雅黑" w:cs="微软雅黑"/>
                <w:i w:val="0"/>
                <w:iCs w:val="0"/>
                <w:color w:val="000000"/>
                <w:sz w:val="18"/>
                <w:szCs w:val="18"/>
                <w:u w:val="none"/>
              </w:rPr>
            </w:pPr>
          </w:p>
        </w:tc>
      </w:tr>
      <w:tr w14:paraId="6A74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F98F7">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1BFF1">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2DE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69A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应急广播设施设备完好率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A3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EB9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1A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03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CB2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F13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748C">
            <w:pPr>
              <w:jc w:val="center"/>
              <w:rPr>
                <w:rFonts w:hint="eastAsia" w:ascii="微软雅黑" w:hAnsi="微软雅黑" w:eastAsia="微软雅黑" w:cs="微软雅黑"/>
                <w:i w:val="0"/>
                <w:iCs w:val="0"/>
                <w:color w:val="000000"/>
                <w:sz w:val="18"/>
                <w:szCs w:val="18"/>
                <w:u w:val="none"/>
              </w:rPr>
            </w:pPr>
          </w:p>
        </w:tc>
      </w:tr>
      <w:tr w14:paraId="5C9E5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96CDF">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C3B2">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0AF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E7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项目完成及时率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36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0ED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A3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76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01E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C1B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656E">
            <w:pPr>
              <w:jc w:val="center"/>
              <w:rPr>
                <w:rFonts w:hint="eastAsia" w:ascii="微软雅黑" w:hAnsi="微软雅黑" w:eastAsia="微软雅黑" w:cs="微软雅黑"/>
                <w:i w:val="0"/>
                <w:iCs w:val="0"/>
                <w:color w:val="000000"/>
                <w:sz w:val="18"/>
                <w:szCs w:val="18"/>
                <w:u w:val="none"/>
              </w:rPr>
            </w:pPr>
          </w:p>
        </w:tc>
      </w:tr>
      <w:tr w14:paraId="69FFE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BD311">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F717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D4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1E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应急信息发布及时率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F0A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D0D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8C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49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96</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66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767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9E9C">
            <w:pPr>
              <w:jc w:val="center"/>
              <w:rPr>
                <w:rFonts w:hint="eastAsia" w:ascii="微软雅黑" w:hAnsi="微软雅黑" w:eastAsia="微软雅黑" w:cs="微软雅黑"/>
                <w:i w:val="0"/>
                <w:iCs w:val="0"/>
                <w:color w:val="000000"/>
                <w:sz w:val="18"/>
                <w:szCs w:val="18"/>
                <w:u w:val="none"/>
              </w:rPr>
            </w:pPr>
          </w:p>
        </w:tc>
      </w:tr>
      <w:tr w14:paraId="4494A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13DC1">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504A">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5D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33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项目管理制度健全性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4C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F3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E2E0">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D2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健全</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A3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8D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0B3E">
            <w:pPr>
              <w:jc w:val="center"/>
              <w:rPr>
                <w:rFonts w:hint="eastAsia" w:ascii="微软雅黑" w:hAnsi="微软雅黑" w:eastAsia="微软雅黑" w:cs="微软雅黑"/>
                <w:i w:val="0"/>
                <w:iCs w:val="0"/>
                <w:color w:val="000000"/>
                <w:sz w:val="18"/>
                <w:szCs w:val="18"/>
                <w:u w:val="none"/>
              </w:rPr>
            </w:pPr>
          </w:p>
        </w:tc>
      </w:tr>
      <w:tr w14:paraId="30A68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B63A6">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FFA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ADB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25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受惠群众满意度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91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849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D7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BA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C9B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42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D02E">
            <w:pPr>
              <w:jc w:val="center"/>
              <w:rPr>
                <w:rFonts w:hint="eastAsia" w:ascii="微软雅黑" w:hAnsi="微软雅黑" w:eastAsia="微软雅黑" w:cs="微软雅黑"/>
                <w:i w:val="0"/>
                <w:iCs w:val="0"/>
                <w:color w:val="000000"/>
                <w:sz w:val="18"/>
                <w:szCs w:val="18"/>
                <w:u w:val="none"/>
              </w:rPr>
            </w:pPr>
          </w:p>
        </w:tc>
      </w:tr>
      <w:tr w14:paraId="5C7AA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2DD7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35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7B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17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69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1C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2F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22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44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147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43AE">
            <w:pPr>
              <w:jc w:val="center"/>
              <w:rPr>
                <w:rFonts w:hint="eastAsia" w:ascii="微软雅黑" w:hAnsi="微软雅黑" w:eastAsia="微软雅黑" w:cs="微软雅黑"/>
                <w:i w:val="0"/>
                <w:iCs w:val="0"/>
                <w:color w:val="000000"/>
                <w:sz w:val="18"/>
                <w:szCs w:val="18"/>
                <w:u w:val="none"/>
              </w:rPr>
            </w:pPr>
          </w:p>
        </w:tc>
      </w:tr>
      <w:tr w14:paraId="397A9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59E60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04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B4C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8A8E">
            <w:pPr>
              <w:rPr>
                <w:rFonts w:hint="eastAsia" w:ascii="宋体" w:hAnsi="宋体" w:eastAsia="宋体" w:cs="宋体"/>
                <w:i w:val="0"/>
                <w:iCs w:val="0"/>
                <w:color w:val="000000"/>
                <w:sz w:val="20"/>
                <w:szCs w:val="20"/>
                <w:u w:val="none"/>
              </w:rPr>
            </w:pPr>
          </w:p>
        </w:tc>
      </w:tr>
      <w:tr w14:paraId="1308D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5A7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E99F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项目实施符合中省市区政策部署，有相关法律法规作支撑，是满足</w:t>
            </w:r>
            <w:r>
              <w:rPr>
                <w:rFonts w:hint="eastAsia" w:ascii="宋体" w:hAnsi="宋体" w:cs="宋体"/>
                <w:i w:val="0"/>
                <w:iCs w:val="0"/>
                <w:color w:val="000000"/>
                <w:kern w:val="0"/>
                <w:sz w:val="20"/>
                <w:szCs w:val="20"/>
                <w:u w:val="none"/>
                <w:lang w:val="en-US" w:eastAsia="zh-CN" w:bidi="ar"/>
              </w:rPr>
              <w:t>区域</w:t>
            </w:r>
            <w:r>
              <w:rPr>
                <w:rFonts w:hint="eastAsia" w:ascii="宋体" w:hAnsi="宋体" w:eastAsia="宋体" w:cs="宋体"/>
                <w:i w:val="0"/>
                <w:iCs w:val="0"/>
                <w:color w:val="000000"/>
                <w:kern w:val="0"/>
                <w:sz w:val="20"/>
                <w:szCs w:val="20"/>
                <w:u w:val="none"/>
                <w:lang w:val="en-US" w:eastAsia="zh-CN" w:bidi="ar"/>
              </w:rPr>
              <w:t>文化发展的项目，资金严格按照中央文件精神执行，保障项目内容全部实现。项目建设完成后，数量、质量、成本、社会效益、可持续影响、满意度等指标完成均达标。该项目综合评估等级为优秀。</w:t>
            </w:r>
          </w:p>
        </w:tc>
      </w:tr>
      <w:tr w14:paraId="27AA0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130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6EB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资金投入不足，缺乏后续建设资金</w:t>
            </w:r>
          </w:p>
        </w:tc>
      </w:tr>
      <w:tr w14:paraId="5336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2A2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955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进一步建立健全机制，明确职能职责，确保系统稳定运行</w:t>
            </w:r>
          </w:p>
        </w:tc>
      </w:tr>
      <w:tr w14:paraId="071BF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0C0516">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项目负责人：田斌</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FD4C47">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51CC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0BE036E7">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4D5D5B2B">
            <w:pPr>
              <w:rPr>
                <w:rFonts w:hint="eastAsia" w:ascii="宋体" w:hAnsi="宋体" w:eastAsia="宋体" w:cs="宋体"/>
                <w:i w:val="0"/>
                <w:iCs w:val="0"/>
                <w:color w:val="000000"/>
                <w:sz w:val="20"/>
                <w:szCs w:val="20"/>
                <w:u w:val="none"/>
              </w:rPr>
            </w:pPr>
          </w:p>
          <w:p w14:paraId="7598528D">
            <w:pPr>
              <w:pStyle w:val="15"/>
              <w:rPr>
                <w:rFonts w:hint="eastAsia" w:ascii="宋体" w:hAnsi="宋体" w:eastAsia="宋体" w:cs="宋体"/>
                <w:i w:val="0"/>
                <w:iCs w:val="0"/>
                <w:color w:val="000000"/>
                <w:sz w:val="20"/>
                <w:szCs w:val="20"/>
                <w:u w:val="none"/>
              </w:rPr>
            </w:pPr>
          </w:p>
          <w:p w14:paraId="7CBD78B1">
            <w:pPr>
              <w:rPr>
                <w:rFonts w:hint="eastAsia" w:ascii="宋体" w:hAnsi="宋体" w:eastAsia="宋体" w:cs="宋体"/>
                <w:i w:val="0"/>
                <w:iCs w:val="0"/>
                <w:color w:val="000000"/>
                <w:sz w:val="20"/>
                <w:szCs w:val="20"/>
                <w:u w:val="none"/>
              </w:rPr>
            </w:pPr>
          </w:p>
          <w:p w14:paraId="47D2B77A">
            <w:pPr>
              <w:pStyle w:val="15"/>
              <w:rPr>
                <w:rFonts w:hint="eastAsia" w:ascii="宋体" w:hAnsi="宋体" w:eastAsia="宋体" w:cs="宋体"/>
                <w:i w:val="0"/>
                <w:iCs w:val="0"/>
                <w:color w:val="000000"/>
                <w:sz w:val="20"/>
                <w:szCs w:val="20"/>
                <w:u w:val="none"/>
              </w:rPr>
            </w:pPr>
          </w:p>
          <w:p w14:paraId="6A2C33A2">
            <w:pPr>
              <w:rPr>
                <w:rFonts w:hint="eastAsia" w:ascii="宋体" w:hAnsi="宋体" w:eastAsia="宋体" w:cs="宋体"/>
                <w:i w:val="0"/>
                <w:iCs w:val="0"/>
                <w:color w:val="000000"/>
                <w:sz w:val="20"/>
                <w:szCs w:val="20"/>
                <w:u w:val="none"/>
              </w:rPr>
            </w:pPr>
          </w:p>
          <w:p w14:paraId="089E5DD9">
            <w:pPr>
              <w:pStyle w:val="15"/>
              <w:rPr>
                <w:rFonts w:hint="eastAsia"/>
              </w:rPr>
            </w:pPr>
          </w:p>
        </w:tc>
        <w:tc>
          <w:tcPr>
            <w:tcW w:w="1746" w:type="dxa"/>
            <w:tcBorders>
              <w:top w:val="nil"/>
              <w:left w:val="nil"/>
              <w:bottom w:val="nil"/>
              <w:right w:val="nil"/>
            </w:tcBorders>
            <w:shd w:val="clear" w:color="auto" w:fill="auto"/>
            <w:vAlign w:val="center"/>
          </w:tcPr>
          <w:p w14:paraId="44C94BFE">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3539A495">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2ACA0691">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0A756131">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10356A0">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4B810FC9">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1CD44BB8">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7338C06D">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616413D7">
            <w:pPr>
              <w:rPr>
                <w:rFonts w:hint="eastAsia" w:ascii="宋体" w:hAnsi="宋体" w:eastAsia="宋体" w:cs="宋体"/>
                <w:i w:val="0"/>
                <w:iCs w:val="0"/>
                <w:color w:val="000000"/>
                <w:sz w:val="20"/>
                <w:szCs w:val="20"/>
                <w:u w:val="none"/>
              </w:rPr>
            </w:pPr>
          </w:p>
        </w:tc>
      </w:tr>
      <w:tr w14:paraId="54819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FBDD77B">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3527D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ADD6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A9F3E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51090323T000009801413-2023年文物保护专项资金（花园节孝坊质保金）保护维修项目</w:t>
            </w:r>
          </w:p>
        </w:tc>
      </w:tr>
      <w:tr w14:paraId="7F8B0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CA717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D7F1A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00D0B67E">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A4B33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5358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70C9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958AE">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5C9FB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A40186">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07BC6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AE0E4">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AF26E">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80159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完成花园节孝牌坊保护维修项目质保金按合同要求全额支付</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EFB2D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完成花园节孝牌坊保护维修项目质保金按合同要求全额支付。</w:t>
            </w:r>
          </w:p>
        </w:tc>
      </w:tr>
      <w:tr w14:paraId="308D8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BE157">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A2A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F0148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区文化广电旅游局负责整个项目的统筹安排、监督管理、规划验收。为保证项目的顺利实施，区文化广电旅游局安排区文物管理所查询《花园节孝坊修缮项目合同》以及过往资金支付资料，明确质保期限，质保金金额等，现场核实花园节孝坊现状是否完好，按照合同约定报请局领导同意后，实施支付。项目严格执行事业单位财务管理制度</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 xml:space="preserve"> 项目资金按规定实行了项目单独核算，账务处理及时</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会计核算规范，支出符合规定，资金按计划、方案及完成结果进行支付。</w:t>
            </w:r>
          </w:p>
        </w:tc>
      </w:tr>
      <w:tr w14:paraId="73BB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EF43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16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43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87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9750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0E1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67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5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0FB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0EB7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C5A1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83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43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74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2.71</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F24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2.71</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71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286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94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206F5">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6F0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BF22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BF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FAC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234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2.71</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E441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2.71</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51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E6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FC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1D57">
            <w:pPr>
              <w:rPr>
                <w:rFonts w:hint="eastAsia" w:ascii="黑体" w:hAnsi="黑体" w:eastAsia="黑体" w:cs="黑体"/>
                <w:i w:val="0"/>
                <w:iCs w:val="0"/>
                <w:color w:val="000000"/>
                <w:sz w:val="20"/>
                <w:szCs w:val="20"/>
                <w:u w:val="none"/>
              </w:rPr>
            </w:pPr>
          </w:p>
        </w:tc>
      </w:tr>
      <w:tr w14:paraId="4C437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A91C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1D9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749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DE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03D3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214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A27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6A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95244">
            <w:pPr>
              <w:rPr>
                <w:rFonts w:hint="eastAsia" w:ascii="黑体" w:hAnsi="黑体" w:eastAsia="黑体" w:cs="黑体"/>
                <w:i w:val="0"/>
                <w:iCs w:val="0"/>
                <w:color w:val="000000"/>
                <w:sz w:val="20"/>
                <w:szCs w:val="20"/>
                <w:u w:val="none"/>
              </w:rPr>
            </w:pPr>
          </w:p>
        </w:tc>
      </w:tr>
      <w:tr w14:paraId="130F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82F2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F0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414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060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4BD49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6EE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49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B8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62602">
            <w:pPr>
              <w:rPr>
                <w:rFonts w:hint="eastAsia" w:ascii="黑体" w:hAnsi="黑体" w:eastAsia="黑体" w:cs="黑体"/>
                <w:i w:val="0"/>
                <w:iCs w:val="0"/>
                <w:color w:val="000000"/>
                <w:sz w:val="20"/>
                <w:szCs w:val="20"/>
                <w:u w:val="none"/>
              </w:rPr>
            </w:pPr>
          </w:p>
        </w:tc>
      </w:tr>
      <w:tr w14:paraId="0B51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6CDD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E74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0B05">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4B75">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E2BDA4">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7E35">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50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87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4E9FA">
            <w:pPr>
              <w:rPr>
                <w:rFonts w:hint="eastAsia" w:ascii="黑体" w:hAnsi="黑体" w:eastAsia="黑体" w:cs="黑体"/>
                <w:i w:val="0"/>
                <w:iCs w:val="0"/>
                <w:color w:val="000000"/>
                <w:sz w:val="20"/>
                <w:szCs w:val="20"/>
                <w:u w:val="none"/>
              </w:rPr>
            </w:pPr>
          </w:p>
        </w:tc>
      </w:tr>
      <w:tr w14:paraId="7A498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CC01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38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BA7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683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D8E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7F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26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81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92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9B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E23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603C2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42A9">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A44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D56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3F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支付质保金</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A64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BD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D8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次</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DB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A98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15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1931">
            <w:pPr>
              <w:jc w:val="center"/>
              <w:rPr>
                <w:rFonts w:hint="eastAsia" w:ascii="微软雅黑" w:hAnsi="微软雅黑" w:eastAsia="微软雅黑" w:cs="微软雅黑"/>
                <w:i w:val="0"/>
                <w:iCs w:val="0"/>
                <w:color w:val="000000"/>
                <w:sz w:val="18"/>
                <w:szCs w:val="18"/>
                <w:u w:val="none"/>
              </w:rPr>
            </w:pPr>
          </w:p>
        </w:tc>
      </w:tr>
      <w:tr w14:paraId="25354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B619C">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0A5A6">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40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C3A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支付准确率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9DB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21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EF0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0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84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D56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1E4A">
            <w:pPr>
              <w:jc w:val="center"/>
              <w:rPr>
                <w:rFonts w:hint="eastAsia" w:ascii="微软雅黑" w:hAnsi="微软雅黑" w:eastAsia="微软雅黑" w:cs="微软雅黑"/>
                <w:i w:val="0"/>
                <w:iCs w:val="0"/>
                <w:color w:val="000000"/>
                <w:sz w:val="18"/>
                <w:szCs w:val="18"/>
                <w:u w:val="none"/>
              </w:rPr>
            </w:pPr>
          </w:p>
        </w:tc>
      </w:tr>
      <w:tr w14:paraId="4F5EA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594FA">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0AD0B">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D3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57E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资金拨付时间</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4F6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5EC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12月</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1B37">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91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12个月</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578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66F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27F2">
            <w:pPr>
              <w:jc w:val="center"/>
              <w:rPr>
                <w:rFonts w:hint="eastAsia" w:ascii="微软雅黑" w:hAnsi="微软雅黑" w:eastAsia="微软雅黑" w:cs="微软雅黑"/>
                <w:i w:val="0"/>
                <w:iCs w:val="0"/>
                <w:color w:val="000000"/>
                <w:sz w:val="18"/>
                <w:szCs w:val="18"/>
                <w:u w:val="none"/>
              </w:rPr>
            </w:pPr>
          </w:p>
        </w:tc>
      </w:tr>
      <w:tr w14:paraId="29C5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5456C">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EB16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A6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C2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有效保护文物</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A6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B12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BA8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F7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62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84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46A8">
            <w:pPr>
              <w:jc w:val="center"/>
              <w:rPr>
                <w:rFonts w:hint="eastAsia" w:ascii="微软雅黑" w:hAnsi="微软雅黑" w:eastAsia="微软雅黑" w:cs="微软雅黑"/>
                <w:i w:val="0"/>
                <w:iCs w:val="0"/>
                <w:color w:val="000000"/>
                <w:sz w:val="18"/>
                <w:szCs w:val="18"/>
                <w:u w:val="none"/>
              </w:rPr>
            </w:pPr>
          </w:p>
        </w:tc>
      </w:tr>
      <w:tr w14:paraId="30FA6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8E35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2C5A3">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95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5AD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内控管理制度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5E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87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2197">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B1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健全</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1E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92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40C1">
            <w:pPr>
              <w:jc w:val="center"/>
              <w:rPr>
                <w:rFonts w:hint="eastAsia" w:ascii="微软雅黑" w:hAnsi="微软雅黑" w:eastAsia="微软雅黑" w:cs="微软雅黑"/>
                <w:i w:val="0"/>
                <w:iCs w:val="0"/>
                <w:color w:val="000000"/>
                <w:sz w:val="18"/>
                <w:szCs w:val="18"/>
                <w:u w:val="none"/>
              </w:rPr>
            </w:pPr>
          </w:p>
        </w:tc>
      </w:tr>
      <w:tr w14:paraId="7B87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BBE30">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92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B8C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896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业主满意度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97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732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6D8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9A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5D7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00B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D529">
            <w:pPr>
              <w:jc w:val="center"/>
              <w:rPr>
                <w:rFonts w:hint="eastAsia" w:ascii="微软雅黑" w:hAnsi="微软雅黑" w:eastAsia="微软雅黑" w:cs="微软雅黑"/>
                <w:i w:val="0"/>
                <w:iCs w:val="0"/>
                <w:color w:val="000000"/>
                <w:sz w:val="18"/>
                <w:szCs w:val="18"/>
                <w:u w:val="none"/>
              </w:rPr>
            </w:pPr>
          </w:p>
        </w:tc>
      </w:tr>
      <w:tr w14:paraId="605D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6104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9ED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190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838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按照招标合同约定支付质保金</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561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BA9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27096.3</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2C0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EC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27096.3</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0EC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00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4663">
            <w:pPr>
              <w:jc w:val="center"/>
              <w:rPr>
                <w:rFonts w:hint="eastAsia" w:ascii="微软雅黑" w:hAnsi="微软雅黑" w:eastAsia="微软雅黑" w:cs="微软雅黑"/>
                <w:i w:val="0"/>
                <w:iCs w:val="0"/>
                <w:color w:val="000000"/>
                <w:sz w:val="18"/>
                <w:szCs w:val="18"/>
                <w:u w:val="none"/>
              </w:rPr>
            </w:pPr>
          </w:p>
        </w:tc>
      </w:tr>
      <w:tr w14:paraId="131B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E8551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04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71C6">
            <w:pPr>
              <w:keepNext w:val="0"/>
              <w:keepLines w:val="0"/>
              <w:widowControl/>
              <w:suppressLineNumbers w:val="0"/>
              <w:jc w:val="righ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D318">
            <w:pPr>
              <w:rPr>
                <w:rFonts w:hint="eastAsia" w:ascii="宋体" w:hAnsi="宋体" w:eastAsia="宋体" w:cs="宋体"/>
                <w:i w:val="0"/>
                <w:iCs w:val="0"/>
                <w:color w:val="000000"/>
                <w:sz w:val="20"/>
                <w:szCs w:val="20"/>
                <w:u w:val="none"/>
              </w:rPr>
            </w:pPr>
          </w:p>
        </w:tc>
      </w:tr>
      <w:tr w14:paraId="579DB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0FB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C42A0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项目支付准确率，拨付时间，业主满意率均达到绩效要求。</w:t>
            </w:r>
          </w:p>
        </w:tc>
      </w:tr>
      <w:tr w14:paraId="47552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78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ABF0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692AF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2AC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9FB3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14:paraId="58D2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5CCF62">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项目负责人：梁婉茹</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E6B144">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r w14:paraId="33729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tcBorders>
              <w:top w:val="nil"/>
              <w:left w:val="nil"/>
              <w:bottom w:val="nil"/>
              <w:right w:val="nil"/>
            </w:tcBorders>
            <w:shd w:val="clear" w:color="auto" w:fill="auto"/>
            <w:vAlign w:val="center"/>
          </w:tcPr>
          <w:p w14:paraId="23BD0C55">
            <w:pPr>
              <w:rPr>
                <w:rFonts w:hint="eastAsia" w:ascii="宋体" w:hAnsi="宋体" w:eastAsia="宋体" w:cs="宋体"/>
                <w:i w:val="0"/>
                <w:iCs w:val="0"/>
                <w:color w:val="000000"/>
                <w:sz w:val="20"/>
                <w:szCs w:val="20"/>
                <w:u w:val="none"/>
              </w:rPr>
            </w:pPr>
          </w:p>
        </w:tc>
        <w:tc>
          <w:tcPr>
            <w:tcW w:w="2011" w:type="dxa"/>
            <w:tcBorders>
              <w:top w:val="nil"/>
              <w:left w:val="nil"/>
              <w:bottom w:val="nil"/>
              <w:right w:val="nil"/>
            </w:tcBorders>
            <w:shd w:val="clear" w:color="auto" w:fill="auto"/>
            <w:vAlign w:val="center"/>
          </w:tcPr>
          <w:p w14:paraId="79BDBE90">
            <w:pPr>
              <w:rPr>
                <w:rFonts w:hint="eastAsia" w:ascii="宋体" w:hAnsi="宋体" w:eastAsia="宋体" w:cs="宋体"/>
                <w:i w:val="0"/>
                <w:iCs w:val="0"/>
                <w:color w:val="000000"/>
                <w:sz w:val="20"/>
                <w:szCs w:val="20"/>
                <w:u w:val="none"/>
              </w:rPr>
            </w:pPr>
          </w:p>
          <w:p w14:paraId="5229822D">
            <w:pPr>
              <w:pStyle w:val="15"/>
              <w:rPr>
                <w:rFonts w:hint="eastAsia" w:ascii="宋体" w:hAnsi="宋体" w:eastAsia="宋体" w:cs="宋体"/>
                <w:i w:val="0"/>
                <w:iCs w:val="0"/>
                <w:color w:val="000000"/>
                <w:sz w:val="20"/>
                <w:szCs w:val="20"/>
                <w:u w:val="none"/>
              </w:rPr>
            </w:pPr>
          </w:p>
          <w:p w14:paraId="180FFCC0">
            <w:pPr>
              <w:rPr>
                <w:rFonts w:hint="eastAsia" w:ascii="宋体" w:hAnsi="宋体" w:eastAsia="宋体" w:cs="宋体"/>
                <w:i w:val="0"/>
                <w:iCs w:val="0"/>
                <w:color w:val="000000"/>
                <w:sz w:val="20"/>
                <w:szCs w:val="20"/>
                <w:u w:val="none"/>
              </w:rPr>
            </w:pPr>
          </w:p>
          <w:p w14:paraId="4D22D5EE">
            <w:pPr>
              <w:pStyle w:val="15"/>
              <w:rPr>
                <w:rFonts w:hint="eastAsia"/>
              </w:rPr>
            </w:pPr>
          </w:p>
        </w:tc>
        <w:tc>
          <w:tcPr>
            <w:tcW w:w="1746" w:type="dxa"/>
            <w:tcBorders>
              <w:top w:val="nil"/>
              <w:left w:val="nil"/>
              <w:bottom w:val="nil"/>
              <w:right w:val="nil"/>
            </w:tcBorders>
            <w:shd w:val="clear" w:color="auto" w:fill="auto"/>
            <w:vAlign w:val="center"/>
          </w:tcPr>
          <w:p w14:paraId="768B92CC">
            <w:pPr>
              <w:rPr>
                <w:rFonts w:hint="eastAsia" w:ascii="宋体" w:hAnsi="宋体" w:eastAsia="宋体" w:cs="宋体"/>
                <w:i w:val="0"/>
                <w:iCs w:val="0"/>
                <w:color w:val="000000"/>
                <w:sz w:val="20"/>
                <w:szCs w:val="20"/>
                <w:u w:val="none"/>
              </w:rPr>
            </w:pPr>
          </w:p>
        </w:tc>
        <w:tc>
          <w:tcPr>
            <w:tcW w:w="2835" w:type="dxa"/>
            <w:tcBorders>
              <w:top w:val="nil"/>
              <w:left w:val="nil"/>
              <w:bottom w:val="nil"/>
              <w:right w:val="nil"/>
            </w:tcBorders>
            <w:shd w:val="clear" w:color="auto" w:fill="auto"/>
            <w:vAlign w:val="center"/>
          </w:tcPr>
          <w:p w14:paraId="7CF4F721">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4D08646C">
            <w:pPr>
              <w:rPr>
                <w:rFonts w:hint="eastAsia" w:ascii="宋体" w:hAnsi="宋体" w:eastAsia="宋体" w:cs="宋体"/>
                <w:i w:val="0"/>
                <w:iCs w:val="0"/>
                <w:color w:val="000000"/>
                <w:sz w:val="20"/>
                <w:szCs w:val="20"/>
                <w:u w:val="none"/>
              </w:rPr>
            </w:pPr>
          </w:p>
        </w:tc>
        <w:tc>
          <w:tcPr>
            <w:tcW w:w="1654" w:type="dxa"/>
            <w:tcBorders>
              <w:top w:val="nil"/>
              <w:left w:val="nil"/>
              <w:bottom w:val="nil"/>
              <w:right w:val="nil"/>
            </w:tcBorders>
            <w:shd w:val="clear" w:color="auto" w:fill="auto"/>
            <w:vAlign w:val="center"/>
          </w:tcPr>
          <w:p w14:paraId="400046C7">
            <w:pPr>
              <w:rPr>
                <w:rFonts w:hint="eastAsia" w:ascii="宋体" w:hAnsi="宋体" w:eastAsia="宋体" w:cs="宋体"/>
                <w:i w:val="0"/>
                <w:iCs w:val="0"/>
                <w:color w:val="000000"/>
                <w:sz w:val="20"/>
                <w:szCs w:val="20"/>
                <w:u w:val="none"/>
              </w:rPr>
            </w:pPr>
          </w:p>
        </w:tc>
        <w:tc>
          <w:tcPr>
            <w:tcW w:w="517" w:type="dxa"/>
            <w:tcBorders>
              <w:top w:val="nil"/>
              <w:left w:val="nil"/>
              <w:bottom w:val="nil"/>
              <w:right w:val="nil"/>
            </w:tcBorders>
            <w:shd w:val="clear" w:color="auto" w:fill="auto"/>
            <w:vAlign w:val="center"/>
          </w:tcPr>
          <w:p w14:paraId="35BCF022">
            <w:pPr>
              <w:rPr>
                <w:rFonts w:hint="eastAsia" w:ascii="宋体" w:hAnsi="宋体" w:eastAsia="宋体" w:cs="宋体"/>
                <w:i w:val="0"/>
                <w:iCs w:val="0"/>
                <w:color w:val="000000"/>
                <w:sz w:val="20"/>
                <w:szCs w:val="20"/>
                <w:u w:val="none"/>
              </w:rPr>
            </w:pPr>
          </w:p>
        </w:tc>
        <w:tc>
          <w:tcPr>
            <w:tcW w:w="1089" w:type="dxa"/>
            <w:tcBorders>
              <w:top w:val="nil"/>
              <w:left w:val="nil"/>
              <w:bottom w:val="nil"/>
              <w:right w:val="nil"/>
            </w:tcBorders>
            <w:shd w:val="clear" w:color="auto" w:fill="auto"/>
            <w:vAlign w:val="center"/>
          </w:tcPr>
          <w:p w14:paraId="025B195B">
            <w:pPr>
              <w:rPr>
                <w:rFonts w:hint="eastAsia" w:ascii="宋体" w:hAnsi="宋体" w:eastAsia="宋体" w:cs="宋体"/>
                <w:i w:val="0"/>
                <w:iCs w:val="0"/>
                <w:color w:val="000000"/>
                <w:sz w:val="20"/>
                <w:szCs w:val="20"/>
                <w:u w:val="none"/>
              </w:rPr>
            </w:pPr>
          </w:p>
        </w:tc>
        <w:tc>
          <w:tcPr>
            <w:tcW w:w="504" w:type="dxa"/>
            <w:tcBorders>
              <w:top w:val="nil"/>
              <w:left w:val="nil"/>
              <w:bottom w:val="nil"/>
              <w:right w:val="nil"/>
            </w:tcBorders>
            <w:shd w:val="clear" w:color="auto" w:fill="auto"/>
            <w:vAlign w:val="center"/>
          </w:tcPr>
          <w:p w14:paraId="6C1A3A24">
            <w:pPr>
              <w:rPr>
                <w:rFonts w:hint="eastAsia" w:ascii="宋体" w:hAnsi="宋体" w:eastAsia="宋体" w:cs="宋体"/>
                <w:i w:val="0"/>
                <w:iCs w:val="0"/>
                <w:color w:val="000000"/>
                <w:sz w:val="20"/>
                <w:szCs w:val="20"/>
                <w:u w:val="none"/>
              </w:rPr>
            </w:pPr>
          </w:p>
        </w:tc>
        <w:tc>
          <w:tcPr>
            <w:tcW w:w="666" w:type="dxa"/>
            <w:tcBorders>
              <w:top w:val="nil"/>
              <w:left w:val="nil"/>
              <w:bottom w:val="nil"/>
              <w:right w:val="nil"/>
            </w:tcBorders>
            <w:shd w:val="clear" w:color="auto" w:fill="auto"/>
            <w:vAlign w:val="center"/>
          </w:tcPr>
          <w:p w14:paraId="0E1FA112">
            <w:pPr>
              <w:rPr>
                <w:rFonts w:hint="eastAsia" w:ascii="宋体" w:hAnsi="宋体" w:eastAsia="宋体" w:cs="宋体"/>
                <w:i w:val="0"/>
                <w:iCs w:val="0"/>
                <w:color w:val="000000"/>
                <w:sz w:val="20"/>
                <w:szCs w:val="20"/>
                <w:u w:val="none"/>
              </w:rPr>
            </w:pPr>
          </w:p>
        </w:tc>
        <w:tc>
          <w:tcPr>
            <w:tcW w:w="2780" w:type="dxa"/>
            <w:tcBorders>
              <w:top w:val="nil"/>
              <w:left w:val="nil"/>
              <w:bottom w:val="nil"/>
              <w:right w:val="nil"/>
            </w:tcBorders>
            <w:shd w:val="clear" w:color="auto" w:fill="auto"/>
            <w:vAlign w:val="center"/>
          </w:tcPr>
          <w:p w14:paraId="1A401424">
            <w:pPr>
              <w:rPr>
                <w:rFonts w:hint="eastAsia" w:ascii="宋体" w:hAnsi="宋体" w:eastAsia="宋体" w:cs="宋体"/>
                <w:i w:val="0"/>
                <w:iCs w:val="0"/>
                <w:color w:val="000000"/>
                <w:sz w:val="20"/>
                <w:szCs w:val="20"/>
                <w:u w:val="none"/>
              </w:rPr>
            </w:pPr>
          </w:p>
        </w:tc>
      </w:tr>
      <w:tr w14:paraId="0B52B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1500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17AC11">
            <w:pPr>
              <w:keepNext w:val="0"/>
              <w:keepLines w:val="0"/>
              <w:widowControl/>
              <w:suppressLineNumbers w:val="0"/>
              <w:jc w:val="center"/>
              <w:textAlignment w:val="center"/>
              <w:rPr>
                <w:rFonts w:hint="eastAsia"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部门预算项目支出绩效自评表（2023年度）</w:t>
            </w:r>
          </w:p>
        </w:tc>
      </w:tr>
      <w:tr w14:paraId="64CF3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B544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项目名称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F8EBC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51090323T000009900477-文化馆展厅改造</w:t>
            </w:r>
          </w:p>
        </w:tc>
      </w:tr>
      <w:tr w14:paraId="13155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26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8BE3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主管部门</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BA9D7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四川省遂宁市船山区文化广播电视和旅游局部门</w:t>
            </w:r>
          </w:p>
        </w:tc>
        <w:tc>
          <w:tcPr>
            <w:tcW w:w="1089" w:type="dxa"/>
            <w:tcBorders>
              <w:top w:val="nil"/>
              <w:left w:val="nil"/>
              <w:bottom w:val="nil"/>
              <w:right w:val="nil"/>
            </w:tcBorders>
            <w:shd w:val="clear" w:color="auto" w:fill="auto"/>
            <w:vAlign w:val="center"/>
          </w:tcPr>
          <w:p w14:paraId="33C35C09">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实施单位 （盖章）</w:t>
            </w:r>
          </w:p>
        </w:tc>
        <w:tc>
          <w:tcPr>
            <w:tcW w:w="39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0237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四川省遂宁市船山区文化广播电视和旅游局</w:t>
            </w:r>
          </w:p>
        </w:tc>
      </w:tr>
      <w:tr w14:paraId="4B3EE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EBF19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项目基本情况</w:t>
            </w: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9023E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1.项目年度目标完成情况</w:t>
            </w: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BBA51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项目年度目标</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561A48">
            <w:pPr>
              <w:keepNext w:val="0"/>
              <w:keepLines w:val="0"/>
              <w:widowControl/>
              <w:suppressLineNumbers w:val="0"/>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年度目标完成情况</w:t>
            </w:r>
          </w:p>
        </w:tc>
      </w:tr>
      <w:tr w14:paraId="5A7C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2F59F">
            <w:pP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BF4B4">
            <w:pPr>
              <w:rPr>
                <w:rFonts w:hint="eastAsia" w:ascii="宋体" w:hAnsi="宋体" w:eastAsia="宋体" w:cs="宋体"/>
                <w:i w:val="0"/>
                <w:iCs w:val="0"/>
                <w:color w:val="000000"/>
                <w:sz w:val="20"/>
                <w:szCs w:val="20"/>
                <w:u w:val="none"/>
              </w:rPr>
            </w:pPr>
          </w:p>
        </w:tc>
        <w:tc>
          <w:tcPr>
            <w:tcW w:w="72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D2A5D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改造成非物质文化遗产和书画艺术展厅，打造成船山区首个非遗传统文化展览中心。</w:t>
            </w:r>
          </w:p>
        </w:tc>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240A6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完成非物质文化遗产和书画艺术展厅，成功打造出船山区首个非遗传统文化展览中心，满足了群众的精神文化需求。</w:t>
            </w:r>
          </w:p>
        </w:tc>
      </w:tr>
      <w:tr w14:paraId="6E48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880F0">
            <w:pP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651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2.项目实施内容及过程概述</w:t>
            </w:r>
          </w:p>
        </w:tc>
        <w:tc>
          <w:tcPr>
            <w:tcW w:w="1230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5294FA">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该项目建设文化志愿服务站1个、非遗展厅2个、书画展厅2个、艺术庭院及书画走廊等公共环境大幅提升，成为船山区首个非遗展览中心，集中展示我区20余项省、市、区级非遗项目和本土优秀书画艺术精品。</w:t>
            </w:r>
          </w:p>
        </w:tc>
      </w:tr>
      <w:tr w14:paraId="7DCE0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D68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预算执行情况（10分）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B9C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年度预算数（万元）</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C4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年初预算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5B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调整后预算数</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DF4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49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预算执行率</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300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3E8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05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原因</w:t>
            </w:r>
          </w:p>
        </w:tc>
      </w:tr>
      <w:tr w14:paraId="6D132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5C669">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D39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总额</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89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A90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2553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3FD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945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128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D6565">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5AA2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3CEFC">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753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其中：财政资金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A52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C42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E83DE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D3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8BA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957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91EE7">
            <w:pPr>
              <w:rPr>
                <w:rFonts w:hint="eastAsia" w:ascii="黑体" w:hAnsi="黑体" w:eastAsia="黑体" w:cs="黑体"/>
                <w:i w:val="0"/>
                <w:iCs w:val="0"/>
                <w:color w:val="000000"/>
                <w:sz w:val="20"/>
                <w:szCs w:val="20"/>
                <w:u w:val="none"/>
              </w:rPr>
            </w:pPr>
          </w:p>
        </w:tc>
      </w:tr>
      <w:tr w14:paraId="73377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EF91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C85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财政专户管理资金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288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387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695A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09B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C60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8D1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E8D00">
            <w:pPr>
              <w:rPr>
                <w:rFonts w:hint="eastAsia" w:ascii="黑体" w:hAnsi="黑体" w:eastAsia="黑体" w:cs="黑体"/>
                <w:i w:val="0"/>
                <w:iCs w:val="0"/>
                <w:color w:val="000000"/>
                <w:sz w:val="20"/>
                <w:szCs w:val="20"/>
                <w:u w:val="none"/>
              </w:rPr>
            </w:pPr>
          </w:p>
        </w:tc>
      </w:tr>
      <w:tr w14:paraId="4EEB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BE448">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DB1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单位资金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3D0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FBF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AB3C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FAF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392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102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FDDCA">
            <w:pPr>
              <w:rPr>
                <w:rFonts w:hint="eastAsia" w:ascii="黑体" w:hAnsi="黑体" w:eastAsia="黑体" w:cs="黑体"/>
                <w:i w:val="0"/>
                <w:iCs w:val="0"/>
                <w:color w:val="000000"/>
                <w:sz w:val="20"/>
                <w:szCs w:val="20"/>
                <w:u w:val="none"/>
              </w:rPr>
            </w:pPr>
          </w:p>
        </w:tc>
      </w:tr>
      <w:tr w14:paraId="3163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2CCB5">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3FC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其他资金</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5162">
            <w:pPr>
              <w:jc w:val="center"/>
              <w:rPr>
                <w:rFonts w:hint="eastAsia" w:ascii="微软雅黑" w:hAnsi="微软雅黑" w:eastAsia="微软雅黑" w:cs="微软雅黑"/>
                <w:i w:val="0"/>
                <w:iCs w:val="0"/>
                <w:color w:val="000000"/>
                <w:sz w:val="18"/>
                <w:szCs w:val="18"/>
                <w:u w:val="none"/>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D171">
            <w:pPr>
              <w:jc w:val="center"/>
              <w:rPr>
                <w:rFonts w:hint="eastAsia" w:ascii="微软雅黑" w:hAnsi="微软雅黑" w:eastAsia="微软雅黑" w:cs="微软雅黑"/>
                <w:i w:val="0"/>
                <w:iCs w:val="0"/>
                <w:color w:val="000000"/>
                <w:sz w:val="18"/>
                <w:szCs w:val="18"/>
                <w:u w:val="none"/>
              </w:rPr>
            </w:pPr>
          </w:p>
        </w:tc>
        <w:tc>
          <w:tcPr>
            <w:tcW w:w="2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3C69A">
            <w:pPr>
              <w:jc w:val="center"/>
              <w:rPr>
                <w:rFonts w:hint="eastAsia" w:ascii="微软雅黑" w:hAnsi="微软雅黑" w:eastAsia="微软雅黑" w:cs="微软雅黑"/>
                <w:i w:val="0"/>
                <w:iCs w:val="0"/>
                <w:color w:val="000000"/>
                <w:sz w:val="18"/>
                <w:szCs w:val="18"/>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4067">
            <w:pPr>
              <w:jc w:val="center"/>
              <w:rPr>
                <w:rFonts w:hint="eastAsia" w:ascii="微软雅黑" w:hAnsi="微软雅黑" w:eastAsia="微软雅黑" w:cs="微软雅黑"/>
                <w:i w:val="0"/>
                <w:iCs w:val="0"/>
                <w:color w:val="000000"/>
                <w:sz w:val="18"/>
                <w:szCs w:val="18"/>
                <w:u w:val="none"/>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AE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EA3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2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D330B">
            <w:pPr>
              <w:rPr>
                <w:rFonts w:hint="eastAsia" w:ascii="黑体" w:hAnsi="黑体" w:eastAsia="黑体" w:cs="黑体"/>
                <w:i w:val="0"/>
                <w:iCs w:val="0"/>
                <w:color w:val="000000"/>
                <w:sz w:val="20"/>
                <w:szCs w:val="20"/>
                <w:u w:val="none"/>
              </w:rPr>
            </w:pPr>
          </w:p>
        </w:tc>
      </w:tr>
      <w:tr w14:paraId="6E0CF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8CC9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绩效指标（90分）</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5AC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一级指标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0BE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二级指标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6D6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三级指标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94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指标性质</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983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指标值</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C37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度量单位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E8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完成值</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362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权重</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AE6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得分</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F1F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未完成原因分析</w:t>
            </w:r>
          </w:p>
        </w:tc>
      </w:tr>
      <w:tr w14:paraId="5983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09002">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812F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产出指标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FA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数量指标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8F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建设文化志愿者服务站、非遗展厅、书画展厅</w:t>
            </w:r>
            <w:r>
              <w:rPr>
                <w:rFonts w:hint="eastAsia" w:ascii="宋体" w:hAnsi="宋体" w:cs="宋体"/>
                <w:i w:val="0"/>
                <w:iCs w:val="0"/>
                <w:color w:val="000000"/>
                <w:kern w:val="0"/>
                <w:sz w:val="20"/>
                <w:szCs w:val="20"/>
                <w:u w:val="none"/>
                <w:lang w:val="en-US" w:eastAsia="zh-CN" w:bidi="ar"/>
              </w:rPr>
              <w:t>、</w:t>
            </w:r>
            <w:r>
              <w:rPr>
                <w:rFonts w:ascii="宋体" w:hAnsi="宋体" w:eastAsia="宋体" w:cs="宋体"/>
                <w:i w:val="0"/>
                <w:iCs w:val="0"/>
                <w:color w:val="000000"/>
                <w:kern w:val="0"/>
                <w:sz w:val="20"/>
                <w:szCs w:val="20"/>
                <w:u w:val="none"/>
                <w:lang w:val="en-US" w:eastAsia="zh-CN" w:bidi="ar"/>
              </w:rPr>
              <w:t>艺术庭院及书画走廊</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D0D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962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347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262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7个</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8E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846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5E9E">
            <w:pPr>
              <w:jc w:val="center"/>
              <w:rPr>
                <w:rFonts w:hint="eastAsia" w:ascii="微软雅黑" w:hAnsi="微软雅黑" w:eastAsia="微软雅黑" w:cs="微软雅黑"/>
                <w:i w:val="0"/>
                <w:iCs w:val="0"/>
                <w:color w:val="000000"/>
                <w:sz w:val="18"/>
                <w:szCs w:val="18"/>
                <w:u w:val="none"/>
              </w:rPr>
            </w:pPr>
          </w:p>
        </w:tc>
      </w:tr>
      <w:tr w14:paraId="270C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A43B4">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5C2FD">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070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质量指标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1A2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全面完成建设目标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9E3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821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17D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5AC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9D4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174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BF3C">
            <w:pPr>
              <w:jc w:val="center"/>
              <w:rPr>
                <w:rFonts w:hint="eastAsia" w:ascii="微软雅黑" w:hAnsi="微软雅黑" w:eastAsia="微软雅黑" w:cs="微软雅黑"/>
                <w:i w:val="0"/>
                <w:iCs w:val="0"/>
                <w:color w:val="000000"/>
                <w:sz w:val="18"/>
                <w:szCs w:val="18"/>
                <w:u w:val="none"/>
              </w:rPr>
            </w:pPr>
          </w:p>
        </w:tc>
      </w:tr>
      <w:tr w14:paraId="50D7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BE1A9">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9DBBC">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DEB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时效指标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43E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非遗项目展示率</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DF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5B1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70E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FD2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95%</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415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159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A337">
            <w:pPr>
              <w:jc w:val="center"/>
              <w:rPr>
                <w:rFonts w:hint="eastAsia" w:ascii="微软雅黑" w:hAnsi="微软雅黑" w:eastAsia="微软雅黑" w:cs="微软雅黑"/>
                <w:i w:val="0"/>
                <w:iCs w:val="0"/>
                <w:color w:val="000000"/>
                <w:sz w:val="18"/>
                <w:szCs w:val="18"/>
                <w:u w:val="none"/>
              </w:rPr>
            </w:pPr>
          </w:p>
        </w:tc>
      </w:tr>
      <w:tr w14:paraId="10087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04774">
            <w:pPr>
              <w:jc w:val="center"/>
              <w:rPr>
                <w:rFonts w:hint="eastAsia" w:ascii="宋体" w:hAnsi="宋体" w:eastAsia="宋体" w:cs="宋体"/>
                <w:i w:val="0"/>
                <w:iCs w:val="0"/>
                <w:color w:val="000000"/>
                <w:sz w:val="20"/>
                <w:szCs w:val="20"/>
                <w:u w:val="none"/>
              </w:rPr>
            </w:pPr>
          </w:p>
        </w:tc>
        <w:tc>
          <w:tcPr>
            <w:tcW w:w="20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E922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效益指标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8D6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社会效益指标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95E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文化展厅全年正常开放天数</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891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195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350</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7C4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天</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56B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350天</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C6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67B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75DD">
            <w:pPr>
              <w:jc w:val="center"/>
              <w:rPr>
                <w:rFonts w:hint="eastAsia" w:ascii="微软雅黑" w:hAnsi="微软雅黑" w:eastAsia="微软雅黑" w:cs="微软雅黑"/>
                <w:i w:val="0"/>
                <w:iCs w:val="0"/>
                <w:color w:val="000000"/>
                <w:sz w:val="18"/>
                <w:szCs w:val="18"/>
                <w:u w:val="none"/>
              </w:rPr>
            </w:pPr>
          </w:p>
        </w:tc>
      </w:tr>
      <w:tr w14:paraId="794C1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8F2E2">
            <w:pPr>
              <w:jc w:val="center"/>
              <w:rPr>
                <w:rFonts w:hint="eastAsia" w:ascii="宋体" w:hAnsi="宋体" w:eastAsia="宋体" w:cs="宋体"/>
                <w:i w:val="0"/>
                <w:iCs w:val="0"/>
                <w:color w:val="000000"/>
                <w:sz w:val="20"/>
                <w:szCs w:val="20"/>
                <w:u w:val="none"/>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793FD">
            <w:pPr>
              <w:jc w:val="center"/>
              <w:rPr>
                <w:rFonts w:hint="eastAsia" w:ascii="宋体" w:hAnsi="宋体" w:eastAsia="宋体" w:cs="宋体"/>
                <w:i w:val="0"/>
                <w:iCs w:val="0"/>
                <w:color w:val="000000"/>
                <w:sz w:val="20"/>
                <w:szCs w:val="20"/>
                <w:u w:val="none"/>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04B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可持续影响指标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A55B">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项目管理制度健全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0AC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定性</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F77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健全</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EF7D">
            <w:pPr>
              <w:jc w:val="center"/>
              <w:rPr>
                <w:rFonts w:hint="eastAsia" w:ascii="宋体" w:hAnsi="宋体" w:eastAsia="宋体" w:cs="宋体"/>
                <w:i w:val="0"/>
                <w:iCs w:val="0"/>
                <w:color w:val="000000"/>
                <w:sz w:val="20"/>
                <w:szCs w:val="20"/>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EB3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健全</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C48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8153">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C1ED">
            <w:pPr>
              <w:jc w:val="center"/>
              <w:rPr>
                <w:rFonts w:hint="eastAsia" w:ascii="微软雅黑" w:hAnsi="微软雅黑" w:eastAsia="微软雅黑" w:cs="微软雅黑"/>
                <w:i w:val="0"/>
                <w:iCs w:val="0"/>
                <w:color w:val="000000"/>
                <w:sz w:val="18"/>
                <w:szCs w:val="18"/>
                <w:u w:val="none"/>
              </w:rPr>
            </w:pPr>
          </w:p>
        </w:tc>
      </w:tr>
      <w:tr w14:paraId="6F17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8445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84B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满意度指标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3BF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服务对象满意度指标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8C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受惠群众满意度</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EF7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ECD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B48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681C">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98%</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CDE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4D30">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C448">
            <w:pPr>
              <w:jc w:val="center"/>
              <w:rPr>
                <w:rFonts w:hint="eastAsia" w:ascii="微软雅黑" w:hAnsi="微软雅黑" w:eastAsia="微软雅黑" w:cs="微软雅黑"/>
                <w:i w:val="0"/>
                <w:iCs w:val="0"/>
                <w:color w:val="000000"/>
                <w:sz w:val="18"/>
                <w:szCs w:val="18"/>
                <w:u w:val="none"/>
              </w:rPr>
            </w:pPr>
          </w:p>
        </w:tc>
      </w:tr>
      <w:tr w14:paraId="21032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963E">
            <w:pPr>
              <w:jc w:val="center"/>
              <w:rPr>
                <w:rFonts w:hint="eastAsia" w:ascii="宋体" w:hAnsi="宋体" w:eastAsia="宋体" w:cs="宋体"/>
                <w:i w:val="0"/>
                <w:iCs w:val="0"/>
                <w:color w:val="000000"/>
                <w:sz w:val="20"/>
                <w:szCs w:val="20"/>
                <w:u w:val="none"/>
              </w:rPr>
            </w:pP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F95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成本指标</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D98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经济成本指标</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C36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项目总成本</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38F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1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41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59.8</w:t>
            </w:r>
          </w:p>
        </w:tc>
        <w:tc>
          <w:tcPr>
            <w:tcW w:w="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1089">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万元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DA17">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59.8万元</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27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486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C03D">
            <w:pPr>
              <w:jc w:val="center"/>
              <w:rPr>
                <w:rFonts w:hint="eastAsia" w:ascii="微软雅黑" w:hAnsi="微软雅黑" w:eastAsia="微软雅黑" w:cs="微软雅黑"/>
                <w:i w:val="0"/>
                <w:iCs w:val="0"/>
                <w:color w:val="000000"/>
                <w:sz w:val="18"/>
                <w:szCs w:val="18"/>
                <w:u w:val="none"/>
              </w:rPr>
            </w:pPr>
          </w:p>
        </w:tc>
      </w:tr>
      <w:tr w14:paraId="0F51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110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7560CF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合计</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28AD">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19D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100</w:t>
            </w:r>
          </w:p>
        </w:tc>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3E4E">
            <w:pPr>
              <w:rPr>
                <w:rFonts w:hint="eastAsia" w:ascii="宋体" w:hAnsi="宋体" w:eastAsia="宋体" w:cs="宋体"/>
                <w:i w:val="0"/>
                <w:iCs w:val="0"/>
                <w:color w:val="000000"/>
                <w:sz w:val="20"/>
                <w:szCs w:val="20"/>
                <w:u w:val="none"/>
              </w:rPr>
            </w:pPr>
          </w:p>
        </w:tc>
      </w:tr>
      <w:tr w14:paraId="36955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6172">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评价结论</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0D07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船山区文化馆全年对外免费开放超过350天，每周对外免费开放超过56小时，并结合群众需求和工作实施，实行延时措施开放资金到位率，使用率均达100%。接待社会群众10万人次，社会群众满意度大于95%。切实保障人民群众基本文化权益，增强人民群众获得感、幸福感。综合评价得分100分。</w:t>
            </w:r>
          </w:p>
        </w:tc>
      </w:tr>
      <w:tr w14:paraId="11141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C0A1">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存在问题</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A0C5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w:t>
            </w:r>
          </w:p>
        </w:tc>
      </w:tr>
      <w:tr w14:paraId="033E8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ADA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改进措施</w:t>
            </w:r>
          </w:p>
        </w:tc>
        <w:tc>
          <w:tcPr>
            <w:tcW w:w="1431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BBDC9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w:t>
            </w:r>
          </w:p>
        </w:tc>
      </w:tr>
      <w:tr w14:paraId="6DAE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7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13884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项目负责人：陈凤艳</w:t>
            </w:r>
          </w:p>
        </w:tc>
        <w:tc>
          <w:tcPr>
            <w:tcW w:w="721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2D978CD">
            <w:pPr>
              <w:keepNext w:val="0"/>
              <w:keepLines w:val="0"/>
              <w:widowControl/>
              <w:suppressLineNumbers w:val="0"/>
              <w:jc w:val="left"/>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bidi="ar"/>
              </w:rPr>
              <w:t>财务负责人：秦勇</w:t>
            </w:r>
          </w:p>
        </w:tc>
      </w:tr>
    </w:tbl>
    <w:p w14:paraId="6DBBCC74"/>
    <w:p w14:paraId="069AEF35">
      <w:pPr>
        <w:pStyle w:val="15"/>
        <w:sectPr>
          <w:pgSz w:w="16838" w:h="11906" w:orient="landscape"/>
          <w:pgMar w:top="1803" w:right="1440" w:bottom="1803" w:left="1440" w:header="851" w:footer="992" w:gutter="0"/>
          <w:pgNumType w:fmt="decimal"/>
          <w:cols w:space="0" w:num="1"/>
          <w:rtlGutter w:val="0"/>
          <w:docGrid w:type="lines" w:linePitch="319" w:charSpace="0"/>
        </w:sectPr>
      </w:pPr>
    </w:p>
    <w:p w14:paraId="2912DC68">
      <w:pPr>
        <w:pStyle w:val="2"/>
        <w:rPr>
          <w:rFonts w:hint="eastAsia" w:ascii="黑体" w:hAnsi="黑体" w:eastAsia="黑体" w:cs="黑体"/>
          <w:color w:val="auto"/>
          <w:kern w:val="0"/>
          <w:sz w:val="32"/>
          <w:szCs w:val="32"/>
          <w:highlight w:val="none"/>
          <w:shd w:val="clear" w:color="auto" w:fill="FFFFFF"/>
          <w:lang w:val="en-US" w:eastAsia="zh-CN"/>
        </w:rPr>
      </w:pPr>
      <w:r>
        <w:rPr>
          <w:rFonts w:hint="eastAsia" w:ascii="黑体" w:hAnsi="黑体" w:eastAsia="黑体" w:cs="黑体"/>
          <w:color w:val="auto"/>
          <w:kern w:val="0"/>
          <w:sz w:val="32"/>
          <w:szCs w:val="32"/>
          <w:highlight w:val="none"/>
          <w:shd w:val="clear" w:color="auto" w:fill="FFFFFF"/>
          <w:lang w:val="zh-CN"/>
        </w:rPr>
        <w:t>附件</w:t>
      </w:r>
      <w:r>
        <w:rPr>
          <w:rFonts w:hint="eastAsia" w:ascii="黑体" w:hAnsi="黑体" w:eastAsia="黑体" w:cs="黑体"/>
          <w:color w:val="auto"/>
          <w:kern w:val="0"/>
          <w:sz w:val="32"/>
          <w:szCs w:val="32"/>
          <w:highlight w:val="none"/>
          <w:shd w:val="clear" w:color="auto" w:fill="FFFFFF"/>
          <w:lang w:val="en-US" w:eastAsia="zh-CN"/>
        </w:rPr>
        <w:t>2</w:t>
      </w:r>
    </w:p>
    <w:p w14:paraId="2752331A">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遂宁市船山区文化广播电视和旅游局</w:t>
      </w:r>
    </w:p>
    <w:p w14:paraId="7DA6E949">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方正小标宋简体" w:cs="Times New Roman"/>
          <w:color w:val="auto"/>
          <w:kern w:val="0"/>
          <w:sz w:val="44"/>
          <w:szCs w:val="44"/>
          <w:shd w:val="clear" w:color="auto" w:fill="FFFFFF"/>
        </w:rPr>
        <w:t>专项</w:t>
      </w:r>
      <w:r>
        <w:rPr>
          <w:rFonts w:hint="eastAsia" w:ascii="方正小标宋简体" w:hAnsi="方正小标宋简体" w:eastAsia="方正小标宋简体" w:cs="方正小标宋简体"/>
          <w:sz w:val="44"/>
          <w:szCs w:val="44"/>
        </w:rPr>
        <w:t>预算项目支出绩效自评报告</w:t>
      </w:r>
    </w:p>
    <w:p w14:paraId="1DCC53DB">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广播电视户户通运行维护</w:t>
      </w:r>
      <w:r>
        <w:rPr>
          <w:rFonts w:hint="eastAsia" w:ascii="方正小标宋简体" w:hAnsi="方正小标宋简体" w:eastAsia="方正小标宋简体" w:cs="方正小标宋简体"/>
          <w:sz w:val="44"/>
          <w:szCs w:val="44"/>
          <w:lang w:eastAsia="zh-CN"/>
        </w:rPr>
        <w:t>）</w:t>
      </w:r>
    </w:p>
    <w:p w14:paraId="2A6AB008">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rPr>
      </w:pPr>
    </w:p>
    <w:p w14:paraId="5C888C11">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lang w:val="zh-CN"/>
        </w:rPr>
      </w:pPr>
      <w:r>
        <w:rPr>
          <w:rFonts w:hint="default" w:ascii="Times New Roman" w:hAnsi="Times New Roman" w:eastAsia="黑体"/>
          <w:sz w:val="32"/>
          <w:szCs w:val="32"/>
        </w:rPr>
        <w:t>一、</w:t>
      </w:r>
      <w:r>
        <w:rPr>
          <w:rFonts w:hint="default" w:ascii="Times New Roman" w:hAnsi="Times New Roman" w:eastAsia="黑体"/>
          <w:sz w:val="32"/>
          <w:szCs w:val="32"/>
          <w:lang w:val="zh-CN"/>
        </w:rPr>
        <w:t>项目概况</w:t>
      </w:r>
    </w:p>
    <w:p w14:paraId="7DA32180">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default" w:ascii="Times New Roman" w:hAnsi="Times New Roman" w:eastAsia="楷体_GB2312"/>
          <w:b/>
          <w:bCs/>
          <w:sz w:val="32"/>
          <w:szCs w:val="32"/>
          <w:lang w:val="zh-CN"/>
        </w:rPr>
        <w:t>（一）项目基本情况</w:t>
      </w:r>
    </w:p>
    <w:p w14:paraId="12D2F2C8">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b/>
          <w:bCs/>
          <w:sz w:val="32"/>
          <w:szCs w:val="32"/>
          <w:lang w:val="zh-CN"/>
        </w:rPr>
      </w:pPr>
      <w:r>
        <w:rPr>
          <w:rFonts w:hint="eastAsia" w:ascii="仿宋_GB2312" w:hAnsi="仿宋_GB2312" w:eastAsia="仿宋_GB2312" w:cs="仿宋_GB2312"/>
          <w:sz w:val="32"/>
          <w:szCs w:val="32"/>
        </w:rPr>
        <w:t>“两项改革”后，船山区辖7个乡镇5个街道，</w:t>
      </w:r>
      <w:r>
        <w:rPr>
          <w:rFonts w:hint="eastAsia" w:ascii="仿宋_GB2312" w:hAnsi="仿宋_GB2312" w:eastAsia="仿宋_GB2312" w:cs="仿宋_GB2312"/>
          <w:sz w:val="32"/>
          <w:szCs w:val="32"/>
          <w:lang w:val="en-US" w:eastAsia="zh-CN"/>
        </w:rPr>
        <w:t>69</w:t>
      </w:r>
      <w:r>
        <w:rPr>
          <w:rFonts w:hint="eastAsia" w:ascii="仿宋_GB2312" w:hAnsi="仿宋_GB2312" w:eastAsia="仿宋_GB2312" w:cs="仿宋_GB2312"/>
          <w:sz w:val="32"/>
          <w:szCs w:val="32"/>
        </w:rPr>
        <w:t>个行政村和48个社区（含12个农村社区），已通过有线联网、地面数字电视、直播卫星等方式建设完成</w:t>
      </w:r>
      <w:r>
        <w:rPr>
          <w:rFonts w:hint="eastAsia" w:ascii="仿宋_GB2312" w:hAnsi="仿宋_GB2312" w:eastAsia="仿宋_GB2312" w:cs="仿宋_GB2312"/>
          <w:b w:val="0"/>
          <w:bCs w:val="0"/>
          <w:kern w:val="2"/>
          <w:sz w:val="32"/>
          <w:szCs w:val="32"/>
          <w:lang w:val="en-US" w:eastAsia="zh-CN"/>
        </w:rPr>
        <w:t>931</w:t>
      </w:r>
      <w:r>
        <w:rPr>
          <w:rFonts w:hint="eastAsia" w:ascii="仿宋_GB2312" w:hAnsi="仿宋_GB2312" w:eastAsia="仿宋_GB2312" w:cs="仿宋_GB2312"/>
          <w:sz w:val="32"/>
          <w:szCs w:val="32"/>
        </w:rPr>
        <w:t>个自然村的广播电视信号，现有线数字电视用户4万余户，地面数字电视覆盖受益用户8000余户，建设村级广播室和村应急广播前端</w:t>
      </w:r>
      <w:r>
        <w:rPr>
          <w:rFonts w:hint="eastAsia" w:ascii="仿宋_GB2312" w:hAnsi="仿宋_GB2312" w:eastAsia="仿宋_GB2312" w:cs="仿宋_GB2312"/>
          <w:sz w:val="32"/>
          <w:szCs w:val="32"/>
          <w:lang w:val="en-US" w:eastAsia="zh-CN"/>
        </w:rPr>
        <w:t>81</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en-US" w:eastAsia="zh-CN"/>
        </w:rPr>
        <w:t>数字</w:t>
      </w:r>
      <w:r>
        <w:rPr>
          <w:rFonts w:hint="eastAsia" w:ascii="仿宋_GB2312" w:hAnsi="仿宋_GB2312" w:eastAsia="仿宋_GB2312" w:cs="仿宋_GB2312"/>
          <w:sz w:val="32"/>
          <w:szCs w:val="32"/>
        </w:rPr>
        <w:t>广播终端</w:t>
      </w:r>
      <w:r>
        <w:rPr>
          <w:rFonts w:hint="eastAsia" w:ascii="仿宋_GB2312" w:hAnsi="仿宋_GB2312" w:eastAsia="仿宋_GB2312" w:cs="仿宋_GB2312"/>
          <w:sz w:val="32"/>
          <w:szCs w:val="32"/>
          <w:lang w:val="en-US" w:eastAsia="zh-CN"/>
        </w:rPr>
        <w:t>1260</w:t>
      </w:r>
      <w:r>
        <w:rPr>
          <w:rFonts w:hint="eastAsia" w:ascii="仿宋_GB2312" w:hAnsi="仿宋_GB2312" w:eastAsia="仿宋_GB2312" w:cs="仿宋_GB2312"/>
          <w:sz w:val="32"/>
          <w:szCs w:val="32"/>
        </w:rPr>
        <w:t>台套，常年通响率在95%以上。全区农村广播电视户户通运行维护持续向好，实现了长期响、优质响、安全响，广大人民群众获得感、幸福感和安全感有效提升。</w:t>
      </w:r>
    </w:p>
    <w:p w14:paraId="07BCE006">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（二）项目绩效目标</w:t>
      </w:r>
    </w:p>
    <w:p w14:paraId="3B149DE4">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全区有线广播电视信号传输维护自然村数量</w:t>
      </w:r>
      <w:r>
        <w:rPr>
          <w:rFonts w:hint="eastAsia" w:ascii="仿宋_GB2312" w:hAnsi="仿宋_GB2312" w:eastAsia="仿宋_GB2312" w:cs="仿宋_GB2312"/>
          <w:sz w:val="32"/>
          <w:szCs w:val="32"/>
          <w:lang w:val="en-US" w:eastAsia="zh-CN"/>
        </w:rPr>
        <w:t>为931个，运维成本</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44.68万元</w:t>
      </w:r>
      <w:r>
        <w:rPr>
          <w:rFonts w:hint="eastAsia" w:ascii="仿宋_GB2312" w:hAnsi="仿宋_GB2312" w:eastAsia="仿宋_GB2312" w:cs="仿宋_GB2312"/>
          <w:sz w:val="32"/>
          <w:szCs w:val="32"/>
        </w:rPr>
        <w:t>，维护工作达标率≥95%，运维工作开展及时率100%，维护范围覆盖率100%，传输故障率≤5%，社会公众满意度大于95%，受惠群众满意度大于98%</w:t>
      </w:r>
      <w:r>
        <w:rPr>
          <w:rFonts w:hint="eastAsia" w:ascii="仿宋_GB2312" w:hAnsi="仿宋_GB2312" w:eastAsia="仿宋_GB2312" w:cs="仿宋_GB2312"/>
          <w:b w:val="0"/>
          <w:bCs w:val="0"/>
          <w:kern w:val="0"/>
          <w:sz w:val="32"/>
          <w:szCs w:val="32"/>
          <w:lang w:val="en-US" w:eastAsia="zh-CN"/>
        </w:rPr>
        <w:t>。</w:t>
      </w:r>
    </w:p>
    <w:p w14:paraId="01126D03">
      <w:pPr>
        <w:keepNext w:val="0"/>
        <w:keepLines w:val="0"/>
        <w:pageBreakBefore w:val="0"/>
        <w:widowControl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kern w:val="0"/>
          <w:sz w:val="32"/>
          <w:szCs w:val="32"/>
          <w:lang w:val="zh-CN" w:eastAsia="zh-CN"/>
        </w:rPr>
      </w:pPr>
      <w:r>
        <w:rPr>
          <w:rFonts w:hint="default" w:ascii="楷体_GB2312" w:hAnsi="楷体_GB2312" w:eastAsia="楷体_GB2312" w:cs="楷体_GB2312"/>
          <w:b/>
          <w:bCs/>
          <w:kern w:val="0"/>
          <w:sz w:val="32"/>
          <w:szCs w:val="32"/>
          <w:lang w:val="zh-CN" w:eastAsia="zh-CN"/>
        </w:rPr>
        <w:t>（三）项目自评步骤及方法</w:t>
      </w:r>
    </w:p>
    <w:p w14:paraId="68E8FEFC">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1.建立了自评工作组，以分管领导为组长，办公室负责人为副组长，办公室和财务等有关人员组成自评工作小组。</w:t>
      </w:r>
    </w:p>
    <w:p w14:paraId="0775B618">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2.组织开展项目自评工作。一是深入调查，收集资料。根据自评评价的工作计划及安排制订详细的调查提纲，并开展实际调查工作，收集评估所需的各种资料和数据。二是分析研究。采用定量和定性分析方法，针对问题进行深入分析研究。三是编制评估报告。将分析研究的结果进行汇总、整理，根据年初预算下达的项目绩效目标，逐项对标对表检查。</w:t>
      </w:r>
    </w:p>
    <w:p w14:paraId="05723DF9">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sz w:val="32"/>
          <w:szCs w:val="32"/>
          <w:lang w:val="zh-CN"/>
        </w:rPr>
      </w:pPr>
      <w:r>
        <w:rPr>
          <w:rFonts w:hint="default" w:ascii="Times New Roman" w:hAnsi="Times New Roman" w:eastAsia="黑体"/>
          <w:sz w:val="32"/>
          <w:szCs w:val="32"/>
        </w:rPr>
        <w:t>二、项目资金使用情况</w:t>
      </w:r>
    </w:p>
    <w:p w14:paraId="708433B0">
      <w:pPr>
        <w:keepNext w:val="0"/>
        <w:keepLines w:val="0"/>
        <w:pageBreakBefore w:val="0"/>
        <w:widowControl/>
        <w:numPr>
          <w:ilvl w:val="0"/>
          <w:numId w:val="0"/>
        </w:numPr>
        <w:kinsoku/>
        <w:wordWrap/>
        <w:overflowPunct w:val="0"/>
        <w:topLinePunct w:val="0"/>
        <w:autoSpaceDE/>
        <w:autoSpaceDN/>
        <w:bidi w:val="0"/>
        <w:adjustRightInd/>
        <w:snapToGrid w:val="0"/>
        <w:spacing w:line="560" w:lineRule="exact"/>
        <w:ind w:firstLine="643" w:firstLineChars="200"/>
        <w:jc w:val="both"/>
        <w:textAlignment w:val="auto"/>
        <w:rPr>
          <w:rFonts w:hint="default" w:ascii="仿宋_GB2312" w:hAnsi="仿宋_GB2312" w:eastAsia="楷体_GB2312" w:cs="仿宋_GB2312"/>
          <w:b/>
          <w:bCs w:val="0"/>
          <w:color w:val="auto"/>
          <w:sz w:val="32"/>
          <w:szCs w:val="32"/>
          <w:lang w:val="en-US" w:eastAsia="zh-CN"/>
        </w:rPr>
      </w:pPr>
      <w:r>
        <w:rPr>
          <w:rFonts w:hint="eastAsia" w:ascii="Times New Roman" w:hAnsi="Times New Roman" w:eastAsia="楷体_GB2312"/>
          <w:b/>
          <w:bCs/>
          <w:sz w:val="32"/>
          <w:szCs w:val="32"/>
          <w:lang w:val="en-US" w:eastAsia="zh-CN"/>
        </w:rPr>
        <w:t>（一）项目</w:t>
      </w:r>
      <w:r>
        <w:rPr>
          <w:rFonts w:hint="default" w:ascii="Times New Roman" w:hAnsi="Times New Roman" w:eastAsia="楷体_GB2312"/>
          <w:b/>
          <w:bCs/>
          <w:sz w:val="32"/>
          <w:szCs w:val="32"/>
          <w:lang w:val="zh-CN" w:eastAsia="zh-CN"/>
        </w:rPr>
        <w:t>资金</w:t>
      </w:r>
      <w:r>
        <w:rPr>
          <w:rFonts w:hint="eastAsia" w:ascii="Times New Roman" w:hAnsi="Times New Roman" w:eastAsia="楷体_GB2312"/>
          <w:b/>
          <w:bCs/>
          <w:sz w:val="32"/>
          <w:szCs w:val="32"/>
          <w:lang w:val="en-US" w:eastAsia="zh-CN"/>
        </w:rPr>
        <w:t>申报及批复情况</w:t>
      </w:r>
    </w:p>
    <w:p w14:paraId="140999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遂宁市船山区财政局《关于下达202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年区级</w:t>
      </w:r>
      <w:r>
        <w:rPr>
          <w:rFonts w:hint="eastAsia" w:ascii="仿宋_GB2312" w:hAnsi="仿宋_GB2312" w:eastAsia="仿宋_GB2312" w:cs="仿宋_GB2312"/>
          <w:sz w:val="32"/>
          <w:szCs w:val="32"/>
          <w:lang w:eastAsia="zh-CN"/>
        </w:rPr>
        <w:t>巩固拓展脱贫攻坚成果</w:t>
      </w:r>
      <w:r>
        <w:rPr>
          <w:rFonts w:hint="eastAsia" w:ascii="仿宋_GB2312" w:hAnsi="仿宋_GB2312" w:eastAsia="仿宋_GB2312" w:cs="仿宋_GB2312"/>
          <w:sz w:val="32"/>
          <w:szCs w:val="32"/>
        </w:rPr>
        <w:t>衔接推进乡村振兴专项资金的通知》下达区级资金44.688万元</w:t>
      </w:r>
      <w:r>
        <w:rPr>
          <w:rFonts w:hint="eastAsia" w:ascii="仿宋_GB2312" w:hAnsi="仿宋_GB2312" w:eastAsia="仿宋_GB2312" w:cs="仿宋_GB2312"/>
          <w:sz w:val="32"/>
          <w:szCs w:val="32"/>
          <w:lang w:eastAsia="zh-CN"/>
        </w:rPr>
        <w:t>，遂宁市财政局、遂宁市文化广播电视和旅游局《关于下达2023年省市级公共文化服务体系建设专项资金（广电项目）预算的通知》</w:t>
      </w:r>
      <w:r>
        <w:rPr>
          <w:rFonts w:hint="eastAsia" w:ascii="仿宋_GB2312" w:hAnsi="仿宋_GB2312" w:eastAsia="仿宋_GB2312" w:cs="仿宋_GB2312"/>
          <w:sz w:val="32"/>
          <w:szCs w:val="32"/>
          <w:lang w:val="en-US" w:eastAsia="zh-CN"/>
        </w:rPr>
        <w:t>下达省市资金共计48.23万元，其中8.1万元分配至乡镇</w:t>
      </w:r>
      <w:r>
        <w:rPr>
          <w:rFonts w:hint="eastAsia" w:ascii="仿宋_GB2312" w:hAnsi="仿宋_GB2312" w:eastAsia="仿宋_GB2312" w:cs="仿宋_GB2312"/>
          <w:sz w:val="32"/>
          <w:szCs w:val="32"/>
        </w:rPr>
        <w:t>。</w:t>
      </w:r>
    </w:p>
    <w:p w14:paraId="3778600B">
      <w:pPr>
        <w:keepNext w:val="0"/>
        <w:keepLines w:val="0"/>
        <w:pageBreakBefore w:val="0"/>
        <w:widowControl/>
        <w:numPr>
          <w:ilvl w:val="0"/>
          <w:numId w:val="0"/>
        </w:numPr>
        <w:kinsoku/>
        <w:wordWrap/>
        <w:overflowPunct w:val="0"/>
        <w:topLinePunct w:val="0"/>
        <w:autoSpaceDE/>
        <w:autoSpaceDN/>
        <w:bidi w:val="0"/>
        <w:adjustRightInd/>
        <w:snapToGrid w:val="0"/>
        <w:spacing w:line="560" w:lineRule="exact"/>
        <w:ind w:firstLine="643" w:firstLineChars="200"/>
        <w:jc w:val="both"/>
        <w:textAlignment w:val="auto"/>
        <w:rPr>
          <w:rFonts w:hint="eastAsia" w:ascii="Times New Roman" w:hAnsi="Times New Roman" w:eastAsia="楷体_GB2312"/>
          <w:b/>
          <w:bCs/>
          <w:sz w:val="32"/>
          <w:szCs w:val="32"/>
          <w:lang w:val="en-US" w:eastAsia="zh-CN"/>
        </w:rPr>
      </w:pPr>
      <w:r>
        <w:rPr>
          <w:rFonts w:hint="eastAsia" w:ascii="Times New Roman" w:hAnsi="Times New Roman" w:eastAsia="楷体_GB2312"/>
          <w:b/>
          <w:bCs/>
          <w:sz w:val="32"/>
          <w:szCs w:val="32"/>
          <w:lang w:val="en-US" w:eastAsia="zh-CN"/>
        </w:rPr>
        <w:t>（二）资金计划、到位及使用情况</w:t>
      </w:r>
      <w:r>
        <w:rPr>
          <w:rFonts w:hint="default" w:ascii="Times New Roman" w:hAnsi="Times New Roman" w:eastAsia="楷体_GB2312"/>
          <w:b/>
          <w:bCs/>
          <w:sz w:val="32"/>
          <w:szCs w:val="32"/>
          <w:lang w:val="zh-CN" w:eastAsia="zh-CN"/>
        </w:rPr>
        <w:t>。</w:t>
      </w:r>
    </w:p>
    <w:p w14:paraId="33B3F19F">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资金计划。</w:t>
      </w:r>
      <w:r>
        <w:rPr>
          <w:rFonts w:hint="eastAsia" w:ascii="仿宋_GB2312" w:hAnsi="仿宋_GB2312" w:eastAsia="仿宋_GB2312" w:cs="仿宋_GB2312"/>
          <w:sz w:val="32"/>
          <w:szCs w:val="32"/>
        </w:rPr>
        <w:t>计划到位广播电视户户通运行维护专项资金</w:t>
      </w:r>
      <w:r>
        <w:rPr>
          <w:rFonts w:hint="eastAsia" w:ascii="仿宋_GB2312" w:hAnsi="仿宋_GB2312" w:eastAsia="仿宋_GB2312" w:cs="仿宋_GB2312"/>
          <w:sz w:val="32"/>
          <w:szCs w:val="32"/>
          <w:lang w:val="en-US" w:eastAsia="zh-CN"/>
        </w:rPr>
        <w:t>84.818</w:t>
      </w:r>
      <w:r>
        <w:rPr>
          <w:rFonts w:hint="eastAsia" w:ascii="仿宋_GB2312" w:hAnsi="仿宋_GB2312" w:eastAsia="仿宋_GB2312" w:cs="仿宋_GB2312"/>
          <w:sz w:val="32"/>
          <w:szCs w:val="32"/>
        </w:rPr>
        <w:t>万元。</w:t>
      </w:r>
    </w:p>
    <w:p w14:paraId="6EBAF3C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2、资金到位情况。</w:t>
      </w:r>
      <w:r>
        <w:rPr>
          <w:rFonts w:hint="eastAsia" w:ascii="仿宋_GB2312" w:hAnsi="仿宋_GB2312" w:eastAsia="仿宋_GB2312" w:cs="仿宋_GB2312"/>
          <w:sz w:val="32"/>
          <w:szCs w:val="32"/>
        </w:rPr>
        <w:t>到位广播电视户户通运行维护专项资金</w:t>
      </w:r>
      <w:r>
        <w:rPr>
          <w:rFonts w:hint="eastAsia" w:ascii="仿宋_GB2312" w:hAnsi="仿宋_GB2312" w:eastAsia="仿宋_GB2312" w:cs="仿宋_GB2312"/>
          <w:sz w:val="32"/>
          <w:szCs w:val="32"/>
          <w:lang w:val="en-US" w:eastAsia="zh-CN"/>
        </w:rPr>
        <w:t>84.818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资金到位率100%</w:t>
      </w:r>
      <w:r>
        <w:rPr>
          <w:rFonts w:hint="eastAsia" w:ascii="仿宋_GB2312" w:hAnsi="仿宋_GB2312" w:eastAsia="仿宋_GB2312" w:cs="仿宋_GB2312"/>
          <w:sz w:val="32"/>
          <w:szCs w:val="32"/>
        </w:rPr>
        <w:t>。</w:t>
      </w:r>
    </w:p>
    <w:p w14:paraId="309BE52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3、资金使用情况。</w:t>
      </w:r>
      <w:r>
        <w:rPr>
          <w:rFonts w:hint="eastAsia" w:ascii="仿宋_GB2312" w:hAnsi="仿宋_GB2312" w:eastAsia="仿宋_GB2312" w:cs="仿宋_GB2312"/>
          <w:b/>
          <w:bCs/>
          <w:sz w:val="32"/>
          <w:szCs w:val="32"/>
          <w:lang w:eastAsia="zh-CN"/>
        </w:rPr>
        <w:t>截至2023年</w:t>
      </w:r>
      <w:r>
        <w:rPr>
          <w:rFonts w:hint="eastAsia" w:ascii="仿宋_GB2312" w:hAnsi="仿宋_GB2312" w:eastAsia="仿宋_GB2312" w:cs="仿宋_GB2312"/>
          <w:sz w:val="32"/>
          <w:szCs w:val="32"/>
        </w:rPr>
        <w:t>12月，</w:t>
      </w:r>
      <w:r>
        <w:rPr>
          <w:rFonts w:hint="eastAsia" w:ascii="仿宋_GB2312" w:hAnsi="仿宋_GB2312" w:eastAsia="仿宋_GB2312" w:cs="仿宋_GB2312"/>
          <w:sz w:val="32"/>
          <w:szCs w:val="32"/>
          <w:lang w:eastAsia="zh-CN"/>
        </w:rPr>
        <w:t>区文化广电旅游局</w:t>
      </w:r>
      <w:r>
        <w:rPr>
          <w:rFonts w:hint="eastAsia" w:ascii="仿宋_GB2312" w:hAnsi="仿宋_GB2312" w:eastAsia="仿宋_GB2312" w:cs="仿宋_GB2312"/>
          <w:sz w:val="32"/>
          <w:szCs w:val="32"/>
        </w:rPr>
        <w:t>支出</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lang w:val="en-US" w:eastAsia="zh-CN"/>
        </w:rPr>
        <w:t>84.818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资金使用率100%</w:t>
      </w:r>
      <w:r>
        <w:rPr>
          <w:rFonts w:hint="eastAsia" w:ascii="仿宋_GB2312" w:hAnsi="仿宋_GB2312" w:eastAsia="仿宋_GB2312" w:cs="仿宋_GB2312"/>
          <w:sz w:val="32"/>
          <w:szCs w:val="32"/>
        </w:rPr>
        <w:t>。</w:t>
      </w:r>
    </w:p>
    <w:p w14:paraId="53794C73">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w:t>
      </w:r>
      <w:r>
        <w:rPr>
          <w:rFonts w:hint="eastAsia" w:ascii="Times New Roman" w:hAnsi="Times New Roman" w:eastAsia="楷体_GB2312"/>
          <w:b/>
          <w:bCs/>
          <w:sz w:val="32"/>
          <w:szCs w:val="32"/>
          <w:lang w:val="en-US" w:eastAsia="zh-CN"/>
        </w:rPr>
        <w:t>三</w:t>
      </w:r>
      <w:r>
        <w:rPr>
          <w:rFonts w:hint="default" w:ascii="Times New Roman" w:hAnsi="Times New Roman" w:eastAsia="楷体_GB2312"/>
          <w:b/>
          <w:bCs/>
          <w:sz w:val="32"/>
          <w:szCs w:val="32"/>
          <w:lang w:val="zh-CN"/>
        </w:rPr>
        <w:t>）项目财务管理情况</w:t>
      </w:r>
    </w:p>
    <w:p w14:paraId="5BCECFBA">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rPr>
      </w:pPr>
      <w:r>
        <w:rPr>
          <w:rFonts w:hint="eastAsia" w:ascii="仿宋_GB2312" w:hAnsi="仿宋_GB2312" w:eastAsia="仿宋_GB2312" w:cs="仿宋_GB2312"/>
          <w:b w:val="0"/>
          <w:bCs w:val="0"/>
          <w:kern w:val="0"/>
          <w:sz w:val="32"/>
          <w:szCs w:val="32"/>
          <w:lang w:val="en-US" w:eastAsia="zh-CN"/>
        </w:rPr>
        <w:t>项目严格执行事业单位财务管理制度，项目资金按规定实行了项目单独核算，账务处理及时，会计核算规范，支出符合规定。</w:t>
      </w:r>
    </w:p>
    <w:p w14:paraId="0D5B9390">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sz w:val="32"/>
          <w:szCs w:val="32"/>
          <w:lang w:val="zh-CN"/>
        </w:rPr>
      </w:pPr>
      <w:r>
        <w:rPr>
          <w:rFonts w:hint="default" w:ascii="Times New Roman" w:hAnsi="Times New Roman" w:eastAsia="黑体"/>
          <w:sz w:val="32"/>
          <w:szCs w:val="32"/>
        </w:rPr>
        <w:t>三、项目实施及管理情况</w:t>
      </w:r>
    </w:p>
    <w:p w14:paraId="34F5A42C">
      <w:pPr>
        <w:keepNext w:val="0"/>
        <w:keepLines w:val="0"/>
        <w:pageBreakBefore w:val="0"/>
        <w:numPr>
          <w:ilvl w:val="0"/>
          <w:numId w:val="11"/>
        </w:numPr>
        <w:kinsoku/>
        <w:wordWrap/>
        <w:overflowPunct w:val="0"/>
        <w:topLinePunct w:val="0"/>
        <w:autoSpaceDE/>
        <w:autoSpaceDN/>
        <w:bidi w:val="0"/>
        <w:adjustRightInd/>
        <w:snapToGrid w:val="0"/>
        <w:spacing w:line="560" w:lineRule="exact"/>
        <w:ind w:firstLine="643"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eastAsia" w:ascii="楷体_GB2312" w:hAnsi="楷体_GB2312" w:eastAsia="楷体_GB2312" w:cs="楷体_GB2312"/>
          <w:b/>
          <w:bCs/>
          <w:kern w:val="0"/>
          <w:sz w:val="32"/>
          <w:szCs w:val="32"/>
          <w:lang w:val="en-US" w:eastAsia="zh-CN"/>
        </w:rPr>
        <w:t>项目组织构架及实施流程</w:t>
      </w:r>
    </w:p>
    <w:p w14:paraId="40B167F4">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lang w:val="en-US" w:eastAsia="zh-CN"/>
        </w:rPr>
      </w:pP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rPr>
        <w:t>《遂宁市船山区202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年广播电视民生实事实施方案》</w:t>
      </w:r>
      <w:r>
        <w:rPr>
          <w:rFonts w:hint="eastAsia" w:ascii="仿宋_GB2312" w:hAnsi="仿宋_GB2312" w:eastAsia="仿宋_GB2312" w:cs="仿宋_GB2312"/>
          <w:sz w:val="32"/>
          <w:szCs w:val="32"/>
          <w:lang w:eastAsia="zh-CN"/>
        </w:rPr>
        <w:t>，</w:t>
      </w:r>
      <w:r>
        <w:rPr>
          <w:rFonts w:hint="eastAsia" w:ascii="仿宋_GB2312" w:hAnsi="仿宋" w:eastAsia="仿宋_GB2312"/>
          <w:sz w:val="32"/>
          <w:szCs w:val="32"/>
          <w:lang w:eastAsia="zh-CN"/>
        </w:rPr>
        <w:t>成立了以局长为组长，分管领导为副组长，局办公室、公共服务股以及各乡镇宣传文化服务中心负责同志为成员的船山区202</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年广播电视户户通运行维护工作领导小组，领导小组下设办公室在局公共服务股，由公共服务股股长兼任办公室主任。</w:t>
      </w:r>
      <w:r>
        <w:rPr>
          <w:rFonts w:hint="eastAsia" w:ascii="仿宋_GB2312" w:hAnsi="华文仿宋" w:eastAsia="仿宋_GB2312" w:cs="华文仿宋"/>
          <w:sz w:val="32"/>
          <w:szCs w:val="32"/>
          <w:lang w:eastAsia="zh-CN"/>
        </w:rPr>
        <w:t>领导小组办公室具体负责广播电视民生实事工作中的方案制定、进度推进、质量检查、考核评估、项目验收、工作总结等工作。</w:t>
      </w:r>
      <w:r>
        <w:rPr>
          <w:rFonts w:hint="eastAsia" w:ascii="仿宋_GB2312" w:hAnsi="仿宋" w:eastAsia="仿宋_GB2312"/>
          <w:sz w:val="32"/>
          <w:szCs w:val="32"/>
          <w:lang w:eastAsia="zh-CN"/>
        </w:rPr>
        <w:t>各乡镇宣传文化服务中心作为实施主体、责任主体，要认真履职尽责，把广播电视运行维护工作落到实处。</w:t>
      </w:r>
    </w:p>
    <w:p w14:paraId="48170A3B">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eastAsia"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（二）项目管理情况</w:t>
      </w:r>
    </w:p>
    <w:p w14:paraId="08247F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区文化广电旅游局负责组织全区的广播村村响运行维护管理工作，统筹</w:t>
      </w:r>
      <w:r>
        <w:rPr>
          <w:rFonts w:hint="eastAsia" w:ascii="仿宋_GB2312" w:hAnsi="仿宋_GB2312" w:eastAsia="仿宋_GB2312" w:cs="仿宋_GB2312"/>
          <w:sz w:val="32"/>
          <w:szCs w:val="32"/>
          <w:lang w:eastAsia="zh-CN"/>
        </w:rPr>
        <w:t>做好</w:t>
      </w:r>
      <w:r>
        <w:rPr>
          <w:rFonts w:hint="eastAsia" w:ascii="仿宋_GB2312" w:hAnsi="仿宋_GB2312" w:eastAsia="仿宋_GB2312" w:cs="仿宋_GB2312"/>
          <w:sz w:val="32"/>
          <w:szCs w:val="32"/>
        </w:rPr>
        <w:t>全区的业务指导、技术支持和统筹管理工作。各乡镇严格落实属地维护管理责任，督促宣传文化服务中心、各行政村抓好广播村村响运行维护管理工作，确保设备正常运行。各行政村加强对广播设施设备维护的宣传，确定本村广播终端设备责任人，加强广播巡查，发现广播不响、人为损坏、自然灾害毁损等情况要及时向各乡镇宣传文化服务中心报告。代维机构要认真做好设备日常巡检和技术维护工作，定期组织设备管理、操作人员培训并及时解决各地设备故障的报修，切实做好设备日常维护工作，保证广播终端正常通响，镇、村两级广播播出设备正常运转和使用。</w:t>
      </w:r>
    </w:p>
    <w:p w14:paraId="5B22756B">
      <w:pPr>
        <w:keepNext w:val="0"/>
        <w:keepLines w:val="0"/>
        <w:pageBreakBefore w:val="0"/>
        <w:numPr>
          <w:ilvl w:val="0"/>
          <w:numId w:val="12"/>
        </w:numPr>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项目监管情况</w:t>
      </w:r>
    </w:p>
    <w:p w14:paraId="6BFE26F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项目按照《遂宁市船山区广播村村响运行维护考核实施细则》，由各乡镇进行督查考核，区文化广电旅游局汇总乡镇考核意见后进行资金拨付。</w:t>
      </w:r>
    </w:p>
    <w:p w14:paraId="7FF03B52">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lang w:val="zh-CN"/>
        </w:rPr>
      </w:pPr>
      <w:r>
        <w:rPr>
          <w:rFonts w:hint="default" w:ascii="Times New Roman" w:hAnsi="Times New Roman" w:eastAsia="黑体"/>
          <w:sz w:val="32"/>
          <w:szCs w:val="32"/>
        </w:rPr>
        <w:t>四、项目绩效情况</w:t>
      </w:r>
      <w:r>
        <w:rPr>
          <w:rFonts w:hint="default" w:ascii="Times New Roman" w:hAnsi="Times New Roman" w:eastAsia="黑体"/>
          <w:sz w:val="32"/>
          <w:szCs w:val="32"/>
          <w:lang w:val="zh-CN"/>
        </w:rPr>
        <w:tab/>
      </w:r>
    </w:p>
    <w:p w14:paraId="3012DCFE">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（一）项目</w:t>
      </w:r>
      <w:r>
        <w:rPr>
          <w:rFonts w:hint="eastAsia" w:ascii="楷体_GB2312" w:hAnsi="楷体_GB2312" w:eastAsia="楷体_GB2312" w:cs="楷体_GB2312"/>
          <w:b/>
          <w:bCs/>
          <w:sz w:val="32"/>
          <w:szCs w:val="32"/>
          <w:lang w:val="en-US" w:eastAsia="zh-CN"/>
        </w:rPr>
        <w:t>完成</w:t>
      </w:r>
      <w:r>
        <w:rPr>
          <w:rFonts w:hint="default" w:ascii="楷体_GB2312" w:hAnsi="楷体_GB2312" w:eastAsia="楷体_GB2312" w:cs="楷体_GB2312"/>
          <w:b/>
          <w:bCs/>
          <w:sz w:val="32"/>
          <w:szCs w:val="32"/>
          <w:lang w:val="en-US"/>
        </w:rPr>
        <w:t>情况</w:t>
      </w:r>
    </w:p>
    <w:p w14:paraId="6D451C5C">
      <w:pPr>
        <w:keepNext w:val="0"/>
        <w:keepLines w:val="0"/>
        <w:pageBreakBefore w:val="0"/>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全区有线广播电视信号传输维护自然村数量</w:t>
      </w:r>
      <w:r>
        <w:rPr>
          <w:rFonts w:hint="eastAsia" w:ascii="仿宋_GB2312" w:hAnsi="仿宋_GB2312" w:eastAsia="仿宋_GB2312" w:cs="仿宋_GB2312"/>
          <w:sz w:val="32"/>
          <w:szCs w:val="32"/>
          <w:lang w:val="en-US" w:eastAsia="zh-CN"/>
        </w:rPr>
        <w:t>为931个，运维成本为84.818万元</w:t>
      </w:r>
      <w:r>
        <w:rPr>
          <w:rFonts w:hint="eastAsia" w:ascii="仿宋_GB2312" w:hAnsi="仿宋_GB2312" w:eastAsia="仿宋_GB2312" w:cs="仿宋_GB2312"/>
          <w:sz w:val="32"/>
          <w:szCs w:val="32"/>
        </w:rPr>
        <w:t>，维护工作达标率</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%，运维工作开展及时率100%，维护范围覆盖率100%，传输故障率</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%，社会公众满意度</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%，受惠群众满意度大于9</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b w:val="0"/>
          <w:bCs w:val="0"/>
          <w:kern w:val="0"/>
          <w:sz w:val="32"/>
          <w:szCs w:val="32"/>
          <w:lang w:val="en-US" w:eastAsia="zh-CN"/>
        </w:rPr>
        <w:t>。</w:t>
      </w:r>
    </w:p>
    <w:p w14:paraId="1C23CF93">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（二）项目效益情况</w:t>
      </w:r>
    </w:p>
    <w:p w14:paraId="5F36F035">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的实施，推进了广播电视信号全覆盖，改善了广播电视服务传输网络和服务质量，提升了镇村“两项改革”后广播电视服务效能，逐步建立和完善“区建、镇管、村用”的长效运行机制，解决老百姓“看电视难”“听广播难”的问题，增强人民群众获得感、幸福感、安全感，取得良好的社会效益。</w:t>
      </w:r>
    </w:p>
    <w:p w14:paraId="30AAB7F5">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rPr>
      </w:pPr>
      <w:r>
        <w:rPr>
          <w:rFonts w:hint="default" w:ascii="Times New Roman" w:hAnsi="Times New Roman" w:eastAsia="黑体"/>
          <w:sz w:val="32"/>
          <w:szCs w:val="32"/>
        </w:rPr>
        <w:t>五、评价结论及建议</w:t>
      </w:r>
    </w:p>
    <w:p w14:paraId="52D350D9">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（一）评价结论</w:t>
      </w:r>
    </w:p>
    <w:p w14:paraId="46A6136E">
      <w:pPr>
        <w:keepNext w:val="0"/>
        <w:keepLines w:val="0"/>
        <w:pageBreakBefore w:val="0"/>
        <w:tabs>
          <w:tab w:val="left" w:pos="3885"/>
        </w:tab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Times New Roman" w:hAnsi="Times New Roman" w:eastAsia="仿宋_GB2312" w:cs="Times New Roman"/>
          <w:szCs w:val="32"/>
          <w:lang w:val="en-US" w:eastAsia="zh-CN"/>
        </w:rPr>
      </w:pPr>
      <w:r>
        <w:rPr>
          <w:rFonts w:hint="eastAsia" w:ascii="仿宋_GB2312" w:eastAsia="仿宋_GB2312"/>
          <w:kern w:val="2"/>
          <w:sz w:val="32"/>
          <w:szCs w:val="32"/>
          <w:lang w:val="zh-CN"/>
        </w:rPr>
        <w:t>项目实施</w:t>
      </w:r>
      <w:r>
        <w:rPr>
          <w:rFonts w:hint="default" w:ascii="仿宋_GB2312" w:hAnsi="仿宋_GB2312" w:eastAsia="仿宋_GB2312" w:cs="仿宋_GB2312"/>
          <w:sz w:val="32"/>
          <w:szCs w:val="32"/>
        </w:rPr>
        <w:t>符合中省市区政策部署，有</w:t>
      </w:r>
      <w:r>
        <w:rPr>
          <w:rFonts w:hint="default" w:ascii="仿宋_GB2312" w:hAnsi="仿宋_GB2312" w:eastAsia="仿宋_GB2312" w:cs="仿宋_GB2312"/>
          <w:sz w:val="32"/>
          <w:szCs w:val="32"/>
          <w:lang w:eastAsia="zh-CN"/>
        </w:rPr>
        <w:t>相关法律法规</w:t>
      </w:r>
      <w:r>
        <w:rPr>
          <w:rFonts w:hint="default" w:ascii="仿宋_GB2312" w:hAnsi="仿宋_GB2312" w:eastAsia="仿宋_GB2312" w:cs="仿宋_GB2312"/>
          <w:sz w:val="32"/>
          <w:szCs w:val="32"/>
        </w:rPr>
        <w:t>作支撑，是满足</w:t>
      </w:r>
      <w:r>
        <w:rPr>
          <w:rFonts w:hint="eastAsia" w:ascii="仿宋_GB2312" w:hAnsi="仿宋_GB2312" w:eastAsia="仿宋_GB2312" w:cs="仿宋_GB2312"/>
          <w:sz w:val="32"/>
          <w:szCs w:val="32"/>
          <w:lang w:eastAsia="zh-CN"/>
        </w:rPr>
        <w:t>区域文化</w:t>
      </w:r>
      <w:r>
        <w:rPr>
          <w:rFonts w:hint="eastAsia" w:ascii="仿宋_GB2312" w:hAnsi="仿宋_GB2312" w:eastAsia="仿宋_GB2312" w:cs="仿宋_GB2312"/>
          <w:sz w:val="32"/>
          <w:szCs w:val="32"/>
          <w:shd w:val="clear" w:color="auto" w:fill="FFFFFF"/>
        </w:rPr>
        <w:t>发展</w:t>
      </w:r>
      <w:r>
        <w:rPr>
          <w:rFonts w:hint="eastAsia" w:ascii="仿宋_GB2312" w:hAnsi="仿宋_GB2312" w:eastAsia="仿宋_GB2312" w:cs="仿宋_GB2312"/>
          <w:sz w:val="32"/>
          <w:szCs w:val="32"/>
          <w:shd w:val="clear" w:color="auto" w:fill="FFFFFF"/>
          <w:lang w:eastAsia="zh-CN"/>
        </w:rPr>
        <w:t>的</w:t>
      </w:r>
      <w:r>
        <w:rPr>
          <w:rFonts w:hint="default" w:ascii="仿宋_GB2312" w:hAnsi="仿宋_GB2312" w:eastAsia="仿宋_GB2312" w:cs="仿宋_GB2312"/>
          <w:sz w:val="32"/>
          <w:szCs w:val="32"/>
        </w:rPr>
        <w:t>项目，</w:t>
      </w:r>
      <w:r>
        <w:rPr>
          <w:rFonts w:hint="default" w:ascii="仿宋_GB2312" w:hAnsi="仿宋_GB2312" w:eastAsia="仿宋_GB2312" w:cs="仿宋_GB2312"/>
          <w:sz w:val="32"/>
          <w:szCs w:val="32"/>
          <w:lang w:eastAsia="zh-CN"/>
        </w:rPr>
        <w:t>资金</w:t>
      </w:r>
      <w:r>
        <w:rPr>
          <w:rFonts w:hint="default" w:ascii="仿宋_GB2312" w:hAnsi="仿宋_GB2312" w:eastAsia="仿宋_GB2312" w:cs="仿宋_GB2312"/>
          <w:sz w:val="32"/>
          <w:szCs w:val="32"/>
        </w:rPr>
        <w:t>严格按照中央文件精神执行，保障</w:t>
      </w:r>
      <w:r>
        <w:rPr>
          <w:rFonts w:hint="default" w:ascii="仿宋_GB2312" w:hAnsi="仿宋_GB2312" w:eastAsia="仿宋_GB2312" w:cs="仿宋_GB2312"/>
          <w:sz w:val="32"/>
          <w:szCs w:val="32"/>
          <w:lang w:eastAsia="zh-CN"/>
        </w:rPr>
        <w:t>项目</w:t>
      </w:r>
      <w:r>
        <w:rPr>
          <w:rFonts w:hint="default" w:ascii="仿宋_GB2312" w:hAnsi="仿宋_GB2312" w:eastAsia="仿宋_GB2312" w:cs="仿宋_GB2312"/>
          <w:sz w:val="32"/>
          <w:szCs w:val="32"/>
        </w:rPr>
        <w:t>内容全部实现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b w:val="0"/>
          <w:bCs w:val="0"/>
          <w:kern w:val="2"/>
          <w:sz w:val="32"/>
          <w:szCs w:val="32"/>
          <w:lang w:val="en-US" w:eastAsia="zh-CN"/>
        </w:rPr>
        <w:t>项目建设完成后</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数量、质量、成本、社会效益、可持续影响、满意度等指标完成均达标。</w:t>
      </w:r>
      <w:r>
        <w:rPr>
          <w:rFonts w:hint="default" w:ascii="仿宋_GB2312" w:hAnsi="仿宋_GB2312" w:eastAsia="仿宋_GB2312" w:cs="仿宋_GB2312"/>
          <w:sz w:val="32"/>
          <w:szCs w:val="32"/>
          <w:lang w:val="en-US" w:eastAsia="zh-CN"/>
        </w:rPr>
        <w:t>该项目综合</w:t>
      </w:r>
      <w:r>
        <w:rPr>
          <w:rFonts w:hint="default" w:ascii="仿宋_GB2312" w:hAnsi="仿宋_GB2312" w:eastAsia="仿宋_GB2312" w:cs="仿宋_GB2312"/>
          <w:sz w:val="32"/>
          <w:szCs w:val="32"/>
        </w:rPr>
        <w:t>评估等级为优秀。</w:t>
      </w:r>
    </w:p>
    <w:p w14:paraId="4BD928D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项目决策</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目标决策程序严密管理制度健全完善</w:t>
      </w:r>
      <w:r>
        <w:rPr>
          <w:rFonts w:hint="eastAsia" w:ascii="Times New Roman" w:hAnsi="Times New Roman" w:eastAsia="仿宋_GB2312" w:cs="Times New Roman"/>
          <w:sz w:val="32"/>
          <w:szCs w:val="32"/>
          <w:lang w:val="en-US" w:eastAsia="zh-CN"/>
        </w:rPr>
        <w:t>、规划合理符合省市主管部门及区委、区政府重大决策部署，项目实施结果与项目年度目标一致、</w:t>
      </w:r>
      <w:r>
        <w:rPr>
          <w:rFonts w:hint="default" w:ascii="Times New Roman" w:hAnsi="Times New Roman" w:eastAsia="仿宋_GB2312" w:cs="Times New Roman"/>
          <w:sz w:val="32"/>
          <w:szCs w:val="32"/>
          <w:lang w:val="en-US" w:eastAsia="zh-CN"/>
        </w:rPr>
        <w:t>与规划计划一致</w:t>
      </w:r>
      <w:r>
        <w:rPr>
          <w:rFonts w:hint="eastAsia" w:ascii="Times New Roman" w:hAnsi="Times New Roman" w:eastAsia="仿宋_GB2312" w:cs="Times New Roman"/>
          <w:sz w:val="32"/>
          <w:szCs w:val="32"/>
          <w:lang w:val="en-US" w:eastAsia="zh-CN"/>
        </w:rPr>
        <w:t>。自评得分</w:t>
      </w:r>
      <w:r>
        <w:rPr>
          <w:rFonts w:hint="eastAsia" w:ascii="仿宋_GB2312" w:hAnsi="仿宋_GB2312" w:eastAsia="仿宋_GB2312" w:cs="仿宋_GB2312"/>
          <w:sz w:val="32"/>
          <w:szCs w:val="32"/>
          <w:lang w:val="en-US" w:eastAsia="zh-CN"/>
        </w:rPr>
        <w:t>：6分。</w:t>
      </w:r>
    </w:p>
    <w:p w14:paraId="7F0AEEE6">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宋体" w:cs="Times New Roman"/>
          <w:sz w:val="32"/>
          <w:szCs w:val="32"/>
          <w:lang w:val="en-US" w:eastAsia="zh-CN"/>
        </w:rPr>
      </w:pPr>
      <w:r>
        <w:rPr>
          <w:rFonts w:hint="eastAsia" w:ascii="Times New Roman" w:hAnsi="Times New Roman" w:eastAsia="仿宋_GB2312" w:cs="Times New Roman"/>
          <w:sz w:val="32"/>
          <w:szCs w:val="32"/>
          <w:lang w:val="en-US" w:eastAsia="zh-CN"/>
        </w:rPr>
        <w:t>项目实施：项目实施符合相关管理制度规定，项目实施人员、场地等落实到位，项目手续完备，有项目合同、验收报告等资料，并归纳建档；项目资金使用符合相关的财务管理制度规定，资金拨付程序手续完整资金拨付程序、手续完整，符合项目预算批复，无挤占、挪用等情况。自评得分</w:t>
      </w:r>
      <w:r>
        <w:rPr>
          <w:rFonts w:hint="eastAsia" w:ascii="仿宋_GB2312" w:hAnsi="仿宋_GB2312" w:eastAsia="仿宋_GB2312" w:cs="仿宋_GB2312"/>
          <w:sz w:val="32"/>
          <w:szCs w:val="32"/>
          <w:lang w:val="en-US" w:eastAsia="zh-CN"/>
        </w:rPr>
        <w:t>：8分。</w:t>
      </w:r>
    </w:p>
    <w:p w14:paraId="6211B24A">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项目预算：完成年初预算，预算执行率100%。自评得分：6分。</w:t>
      </w:r>
    </w:p>
    <w:p w14:paraId="7C5CC754">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数量指标：</w:t>
      </w:r>
      <w:r>
        <w:rPr>
          <w:rFonts w:hint="eastAsia" w:ascii="仿宋_GB2312" w:hAnsi="仿宋_GB2312" w:eastAsia="仿宋_GB2312" w:cs="仿宋_GB2312"/>
          <w:sz w:val="32"/>
          <w:szCs w:val="32"/>
        </w:rPr>
        <w:t>全区有线广播电视信号传输维护自然村数量</w:t>
      </w:r>
      <w:r>
        <w:rPr>
          <w:rFonts w:hint="eastAsia" w:ascii="仿宋_GB2312" w:hAnsi="仿宋_GB2312" w:eastAsia="仿宋_GB2312" w:cs="仿宋_GB2312"/>
          <w:sz w:val="32"/>
          <w:szCs w:val="32"/>
          <w:lang w:val="en-US" w:eastAsia="zh-CN"/>
        </w:rPr>
        <w:t>为931个。自评得分：5分。</w:t>
      </w:r>
    </w:p>
    <w:p w14:paraId="1F4CFA6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质量</w:t>
      </w:r>
      <w:r>
        <w:rPr>
          <w:rFonts w:hint="eastAsia" w:ascii="Times New Roman" w:hAnsi="Times New Roman" w:eastAsia="仿宋_GB2312" w:cs="Times New Roman"/>
          <w:sz w:val="32"/>
          <w:szCs w:val="32"/>
          <w:lang w:val="en-US" w:eastAsia="zh-CN"/>
        </w:rPr>
        <w:t>指标</w:t>
      </w:r>
      <w:r>
        <w:rPr>
          <w:rFonts w:hint="default"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rPr>
        <w:t>维护工作达标率</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。自评得分：5分。</w:t>
      </w:r>
    </w:p>
    <w:p w14:paraId="2FF7BA06">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时效指标：</w:t>
      </w:r>
      <w:r>
        <w:rPr>
          <w:rFonts w:hint="eastAsia" w:ascii="仿宋_GB2312" w:hAnsi="仿宋_GB2312" w:eastAsia="仿宋_GB2312" w:cs="仿宋_GB2312"/>
          <w:sz w:val="32"/>
          <w:szCs w:val="32"/>
        </w:rPr>
        <w:t>运维工作开展及时率100%</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sz w:val="32"/>
          <w:szCs w:val="32"/>
          <w:lang w:val="en-US" w:eastAsia="zh-CN"/>
        </w:rPr>
        <w:t>自评得分：5分。</w:t>
      </w:r>
    </w:p>
    <w:p w14:paraId="10CF40B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sz w:val="32"/>
          <w:szCs w:val="32"/>
          <w:lang w:val="en-US" w:eastAsia="zh-CN"/>
        </w:rPr>
        <w:t>运维成本为44.68万元</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b w:val="0"/>
          <w:bCs w:val="0"/>
          <w:kern w:val="0"/>
          <w:sz w:val="32"/>
          <w:szCs w:val="32"/>
          <w:lang w:val="en-US" w:eastAsia="zh-CN"/>
        </w:rPr>
        <w:t>完成年初预算。</w:t>
      </w:r>
      <w:r>
        <w:rPr>
          <w:rFonts w:hint="eastAsia" w:ascii="仿宋_GB2312" w:hAnsi="仿宋_GB2312" w:eastAsia="仿宋_GB2312" w:cs="仿宋_GB2312"/>
          <w:sz w:val="32"/>
          <w:szCs w:val="32"/>
          <w:lang w:val="en-US" w:eastAsia="zh-CN"/>
        </w:rPr>
        <w:t>自评得分：5分。</w:t>
      </w:r>
    </w:p>
    <w:p w14:paraId="3A4E5D21">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社会效益指标：传输故障率3%，维护范围覆盖率100%。</w:t>
      </w:r>
      <w:r>
        <w:rPr>
          <w:rFonts w:hint="eastAsia" w:ascii="仿宋_GB2312" w:hAnsi="仿宋_GB2312" w:eastAsia="仿宋_GB2312" w:cs="仿宋_GB2312"/>
          <w:sz w:val="32"/>
          <w:szCs w:val="32"/>
          <w:lang w:val="en-US" w:eastAsia="zh-CN"/>
        </w:rPr>
        <w:t>自评得分：25分。</w:t>
      </w:r>
    </w:p>
    <w:p w14:paraId="340CBA36">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w:t>
      </w:r>
      <w:r>
        <w:rPr>
          <w:rFonts w:hint="eastAsia" w:ascii="仿宋_GB2312" w:hAnsi="仿宋_GB2312" w:eastAsia="仿宋_GB2312" w:cs="仿宋_GB2312"/>
          <w:b w:val="0"/>
          <w:bCs w:val="0"/>
          <w:kern w:val="2"/>
          <w:sz w:val="32"/>
          <w:szCs w:val="32"/>
          <w:lang w:val="en-US" w:eastAsia="zh-CN"/>
        </w:rPr>
        <w:t>项目管理制度健全完善</w:t>
      </w:r>
      <w:r>
        <w:rPr>
          <w:rFonts w:hint="eastAsia"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sz w:val="32"/>
          <w:szCs w:val="32"/>
          <w:lang w:val="en-US" w:eastAsia="zh-CN"/>
        </w:rPr>
        <w:t>自评得分：25分。</w:t>
      </w:r>
    </w:p>
    <w:p w14:paraId="4F2962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0"/>
          <w:sz w:val="32"/>
          <w:szCs w:val="32"/>
          <w:lang w:val="en-US" w:eastAsia="zh-CN"/>
        </w:rPr>
        <w:t>满意度：</w:t>
      </w:r>
      <w:r>
        <w:rPr>
          <w:rFonts w:hint="eastAsia" w:ascii="仿宋_GB2312" w:hAnsi="仿宋_GB2312" w:eastAsia="仿宋_GB2312" w:cs="仿宋_GB2312"/>
          <w:b w:val="0"/>
          <w:bCs w:val="0"/>
          <w:kern w:val="2"/>
          <w:sz w:val="32"/>
          <w:szCs w:val="32"/>
          <w:lang w:val="en-US" w:eastAsia="zh-CN"/>
        </w:rPr>
        <w:t>受惠群众满意度99%</w:t>
      </w:r>
      <w:r>
        <w:rPr>
          <w:rFonts w:hint="eastAsia" w:ascii="仿宋_GB2312" w:hAnsi="仿宋_GB2312" w:eastAsia="仿宋_GB2312" w:cs="仿宋_GB2312"/>
          <w:b w:val="0"/>
          <w:bCs w:val="0"/>
          <w:kern w:val="2"/>
          <w:sz w:val="32"/>
          <w:szCs w:val="32"/>
          <w:lang w:val="en-GB" w:eastAsia="zh-CN"/>
        </w:rPr>
        <w:t>。</w:t>
      </w:r>
      <w:r>
        <w:rPr>
          <w:rFonts w:hint="eastAsia" w:ascii="仿宋_GB2312" w:hAnsi="仿宋_GB2312" w:eastAsia="仿宋_GB2312" w:cs="仿宋_GB2312"/>
          <w:sz w:val="32"/>
          <w:szCs w:val="32"/>
          <w:lang w:val="en-US" w:eastAsia="zh-CN"/>
        </w:rPr>
        <w:t>自评得分：10分。</w:t>
      </w:r>
    </w:p>
    <w:p w14:paraId="49A6EEB3">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（二）存在的问题</w:t>
      </w:r>
    </w:p>
    <w:p w14:paraId="0B2B3FE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一是船山区广播电视网络建设完成时间较早，整体网络质量比较差，全区广播终端急需实施全面数字化升级改造，需要大量资金投入，资金缺口较大。二是农村农电网络改造、市政建设、村级道路</w:t>
      </w:r>
      <w:r>
        <w:rPr>
          <w:rFonts w:hint="eastAsia" w:ascii="仿宋_GB2312" w:hAnsi="仿宋_GB2312" w:eastAsia="仿宋_GB2312" w:cs="仿宋_GB2312"/>
          <w:sz w:val="32"/>
          <w:szCs w:val="32"/>
          <w:lang w:eastAsia="zh-CN"/>
        </w:rPr>
        <w:t>修建</w:t>
      </w:r>
      <w:r>
        <w:rPr>
          <w:rFonts w:hint="eastAsia" w:ascii="仿宋_GB2312" w:hAnsi="仿宋_GB2312" w:eastAsia="仿宋_GB2312" w:cs="仿宋_GB2312"/>
          <w:sz w:val="32"/>
          <w:szCs w:val="32"/>
        </w:rPr>
        <w:t>等工程实施，对网络的传输有很大的影响，常常给广播电视网络运行维护增加极大</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人力和物力投入。三是专业管理人员缺乏。目前全区广播电视从业人员技术水平较低，年龄较大，无专人专岗现象较为突出。</w:t>
      </w:r>
    </w:p>
    <w:p w14:paraId="1F2B9807">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（三）相关建议</w:t>
      </w:r>
    </w:p>
    <w:p w14:paraId="4ABB6C1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一是进一步建立健全机制，明确职能职责，落实巡查发现机制、问题报告机制、问题处理限时机制、巡访回访机制，确保现有用户、现有设备的运行维护管理到位，为用户提</w:t>
      </w:r>
      <w:r>
        <w:rPr>
          <w:rFonts w:hint="eastAsia" w:ascii="仿宋_GB2312" w:hAnsi="仿宋_GB2312" w:eastAsia="仿宋_GB2312" w:cs="仿宋_GB2312"/>
          <w:sz w:val="32"/>
          <w:szCs w:val="32"/>
          <w:lang w:eastAsia="zh-CN"/>
        </w:rPr>
        <w:t>供优</w:t>
      </w:r>
      <w:r>
        <w:rPr>
          <w:rFonts w:hint="eastAsia" w:ascii="仿宋_GB2312" w:hAnsi="仿宋_GB2312" w:eastAsia="仿宋_GB2312" w:cs="仿宋_GB2312"/>
          <w:sz w:val="32"/>
          <w:szCs w:val="32"/>
        </w:rPr>
        <w:t>质、稳定的广播电视信号；二是做好网络提升改建工作，加快推进全区数字智能应急广播的建设进度，提升网络数字化程度三是做好统筹协调工作，持续加大对广播电视户户通建设的</w:t>
      </w:r>
      <w:r>
        <w:rPr>
          <w:rFonts w:hint="eastAsia" w:ascii="仿宋_GB2312" w:hAnsi="仿宋_GB2312" w:eastAsia="仿宋_GB2312" w:cs="仿宋_GB2312"/>
          <w:sz w:val="32"/>
          <w:szCs w:val="32"/>
          <w:lang w:eastAsia="zh-CN"/>
        </w:rPr>
        <w:t>资源</w:t>
      </w:r>
      <w:r>
        <w:rPr>
          <w:rFonts w:hint="eastAsia" w:ascii="仿宋_GB2312" w:hAnsi="仿宋_GB2312" w:eastAsia="仿宋_GB2312" w:cs="仿宋_GB2312"/>
          <w:sz w:val="32"/>
          <w:szCs w:val="32"/>
        </w:rPr>
        <w:t>、人力投入。</w:t>
      </w:r>
    </w:p>
    <w:p w14:paraId="1B94D235">
      <w:pPr>
        <w:pStyle w:val="16"/>
        <w:rPr>
          <w:rFonts w:hint="eastAsia" w:ascii="仿宋_GB2312" w:hAnsi="仿宋_GB2312" w:eastAsia="仿宋_GB2312" w:cs="仿宋_GB2312"/>
          <w:b w:val="0"/>
          <w:bCs w:val="0"/>
          <w:kern w:val="0"/>
          <w:sz w:val="32"/>
          <w:szCs w:val="32"/>
          <w:lang w:val="en-US" w:eastAsia="zh-CN"/>
        </w:rPr>
      </w:pPr>
    </w:p>
    <w:p w14:paraId="1544995E">
      <w:pPr>
        <w:rPr>
          <w:rFonts w:hint="eastAsia"/>
          <w:lang w:val="en-US" w:eastAsia="zh-CN"/>
        </w:rPr>
      </w:pPr>
      <w:r>
        <w:rPr>
          <w:rFonts w:hint="eastAsia"/>
          <w:lang w:val="en-US" w:eastAsia="zh-CN"/>
        </w:rPr>
        <w:t xml:space="preserve">       </w:t>
      </w:r>
      <w:r>
        <w:rPr>
          <w:rFonts w:hint="eastAsia" w:ascii="仿宋_GB2312" w:hAnsi="仿宋_GB2312" w:eastAsia="仿宋_GB2312" w:cs="仿宋_GB2312"/>
          <w:sz w:val="32"/>
          <w:szCs w:val="32"/>
          <w:lang w:val="en-US" w:eastAsia="zh-CN"/>
        </w:rPr>
        <w:t>附表：广播电视户户通运行维护项目支出绩效评价指标体系</w:t>
      </w:r>
    </w:p>
    <w:p w14:paraId="29232233">
      <w:pPr>
        <w:rPr>
          <w:rFonts w:hint="default"/>
          <w:lang w:val="en-US" w:eastAsia="zh-CN"/>
        </w:rPr>
      </w:pPr>
    </w:p>
    <w:p w14:paraId="69480E17">
      <w:pPr>
        <w:pStyle w:val="15"/>
        <w:rPr>
          <w:rFonts w:hint="eastAsia"/>
          <w:lang w:val="en-US" w:eastAsia="zh-CN"/>
        </w:rPr>
      </w:pPr>
      <w:r>
        <w:rPr>
          <w:rFonts w:hint="eastAsia"/>
          <w:lang w:val="en-US" w:eastAsia="zh-CN"/>
        </w:rPr>
        <w:t xml:space="preserve"> </w:t>
      </w:r>
    </w:p>
    <w:p w14:paraId="37517640">
      <w:pPr>
        <w:rPr>
          <w:rFonts w:hint="eastAsia"/>
          <w:lang w:val="en-US" w:eastAsia="zh-CN"/>
        </w:rPr>
      </w:pPr>
    </w:p>
    <w:p w14:paraId="5315F869">
      <w:pPr>
        <w:pStyle w:val="16"/>
        <w:rPr>
          <w:rFonts w:hint="eastAsia"/>
          <w:lang w:val="en-US" w:eastAsia="zh-CN"/>
        </w:rPr>
      </w:pPr>
    </w:p>
    <w:p w14:paraId="315DC553">
      <w:pPr>
        <w:pStyle w:val="16"/>
        <w:rPr>
          <w:rFonts w:hint="eastAsia"/>
          <w:lang w:val="en-US" w:eastAsia="zh-CN"/>
        </w:rPr>
      </w:pPr>
    </w:p>
    <w:p w14:paraId="676629B6">
      <w:pPr>
        <w:pStyle w:val="16"/>
        <w:rPr>
          <w:rFonts w:hint="eastAsia"/>
          <w:lang w:val="en-US" w:eastAsia="zh-CN"/>
        </w:rPr>
      </w:pPr>
    </w:p>
    <w:p w14:paraId="64FE6C86">
      <w:pPr>
        <w:pStyle w:val="16"/>
        <w:rPr>
          <w:rFonts w:hint="eastAsia"/>
          <w:lang w:val="en-US" w:eastAsia="zh-CN"/>
        </w:rPr>
      </w:pPr>
    </w:p>
    <w:p w14:paraId="0BE373C9">
      <w:pPr>
        <w:pStyle w:val="16"/>
        <w:rPr>
          <w:rFonts w:hint="eastAsia"/>
          <w:lang w:val="en-US" w:eastAsia="zh-CN"/>
        </w:rPr>
      </w:pPr>
    </w:p>
    <w:p w14:paraId="5163AD4C">
      <w:pPr>
        <w:pStyle w:val="16"/>
        <w:rPr>
          <w:rFonts w:hint="eastAsia"/>
          <w:lang w:val="en-US" w:eastAsia="zh-CN"/>
        </w:rPr>
      </w:pPr>
    </w:p>
    <w:p w14:paraId="0CA2D248">
      <w:pPr>
        <w:pStyle w:val="16"/>
        <w:rPr>
          <w:rFonts w:hint="eastAsia"/>
          <w:lang w:val="en-US" w:eastAsia="zh-CN"/>
        </w:rPr>
      </w:pPr>
    </w:p>
    <w:p w14:paraId="72F2F86F">
      <w:pPr>
        <w:pStyle w:val="16"/>
        <w:rPr>
          <w:rFonts w:hint="eastAsia"/>
          <w:lang w:val="en-US" w:eastAsia="zh-CN"/>
        </w:rPr>
      </w:pPr>
    </w:p>
    <w:p w14:paraId="1058F7E9">
      <w:pPr>
        <w:pStyle w:val="16"/>
        <w:rPr>
          <w:rFonts w:hint="eastAsia"/>
          <w:lang w:val="en-US" w:eastAsia="zh-CN"/>
        </w:rPr>
      </w:pPr>
    </w:p>
    <w:p w14:paraId="5A1D316D">
      <w:pPr>
        <w:pStyle w:val="16"/>
        <w:jc w:val="center"/>
        <w:rPr>
          <w:rFonts w:hint="eastAsia"/>
          <w:lang w:val="en-US" w:eastAsia="zh-CN"/>
        </w:rPr>
        <w:sectPr>
          <w:pgSz w:w="11906" w:h="16838"/>
          <w:pgMar w:top="1440" w:right="1803" w:bottom="1440" w:left="1803" w:header="851" w:footer="992" w:gutter="0"/>
          <w:pgNumType w:fmt="decimal"/>
          <w:cols w:space="0" w:num="1"/>
          <w:rtlGutter w:val="0"/>
          <w:docGrid w:type="lines" w:linePitch="319" w:charSpace="0"/>
        </w:sectPr>
      </w:pPr>
    </w:p>
    <w:p w14:paraId="11F7A986">
      <w:pPr>
        <w:widowControl/>
        <w:tabs>
          <w:tab w:val="left" w:pos="3885"/>
        </w:tabs>
        <w:overflowPunct w:val="0"/>
        <w:autoSpaceDE/>
        <w:autoSpaceDN/>
        <w:adjustRightInd w:val="0"/>
        <w:snapToGrid w:val="0"/>
        <w:spacing w:line="560" w:lineRule="atLeast"/>
        <w:jc w:val="center"/>
        <w:rPr>
          <w:rFonts w:hint="eastAsia" w:ascii="仿宋_GB2312" w:hAnsi="仿宋_GB2312" w:eastAsia="仿宋_GB2312" w:cs="仿宋_GB2312"/>
          <w:kern w:val="0"/>
          <w:sz w:val="32"/>
          <w:szCs w:val="32"/>
          <w:lang w:val="en-US" w:eastAsia="zh-CN" w:bidi="ar-SA"/>
        </w:rPr>
      </w:pPr>
      <w:r>
        <w:rPr>
          <w:rFonts w:hint="default" w:ascii="Times New Roman" w:hAnsi="Times New Roman" w:eastAsia="方正小标宋简体" w:cs="Times New Roman"/>
          <w:color w:val="000000"/>
          <w:sz w:val="44"/>
          <w:szCs w:val="44"/>
          <w:lang w:val="en-US" w:eastAsia="zh-CN" w:bidi="ar"/>
        </w:rPr>
        <w:t>广播电视户户通运行维护</w:t>
      </w:r>
      <w:r>
        <w:rPr>
          <w:rFonts w:hint="default" w:ascii="Times New Roman" w:hAnsi="Times New Roman" w:eastAsia="方正小标宋简体" w:cs="Times New Roman"/>
          <w:color w:val="000000"/>
          <w:sz w:val="44"/>
          <w:szCs w:val="44"/>
          <w:lang w:bidi="ar"/>
        </w:rPr>
        <w:t>项目支出绩效评价指标体系</w:t>
      </w:r>
    </w:p>
    <w:p w14:paraId="373DEFE0">
      <w:pPr>
        <w:bidi w:val="0"/>
        <w:rPr>
          <w:rFonts w:hint="eastAsia"/>
          <w:lang w:val="en-US" w:eastAsia="zh-CN"/>
        </w:rPr>
      </w:pPr>
    </w:p>
    <w:tbl>
      <w:tblPr>
        <w:tblStyle w:val="11"/>
        <w:tblW w:w="14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0"/>
        <w:gridCol w:w="654"/>
        <w:gridCol w:w="1803"/>
        <w:gridCol w:w="607"/>
        <w:gridCol w:w="724"/>
        <w:gridCol w:w="691"/>
        <w:gridCol w:w="894"/>
        <w:gridCol w:w="404"/>
        <w:gridCol w:w="489"/>
        <w:gridCol w:w="489"/>
        <w:gridCol w:w="455"/>
        <w:gridCol w:w="404"/>
        <w:gridCol w:w="388"/>
        <w:gridCol w:w="1483"/>
        <w:gridCol w:w="404"/>
        <w:gridCol w:w="371"/>
        <w:gridCol w:w="388"/>
        <w:gridCol w:w="354"/>
        <w:gridCol w:w="438"/>
        <w:gridCol w:w="455"/>
        <w:gridCol w:w="657"/>
        <w:gridCol w:w="840"/>
      </w:tblGrid>
      <w:tr w14:paraId="5EB8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523" w:type="dxa"/>
            <w:gridSpan w:val="4"/>
            <w:noWrap w:val="0"/>
            <w:vAlign w:val="center"/>
          </w:tcPr>
          <w:p w14:paraId="4DAFCF7C">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分层分类指标</w:t>
            </w:r>
          </w:p>
        </w:tc>
        <w:tc>
          <w:tcPr>
            <w:tcW w:w="607" w:type="dxa"/>
            <w:vMerge w:val="restart"/>
            <w:noWrap w:val="0"/>
            <w:vAlign w:val="center"/>
          </w:tcPr>
          <w:p w14:paraId="3BC51EED">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分值</w:t>
            </w:r>
          </w:p>
        </w:tc>
        <w:tc>
          <w:tcPr>
            <w:tcW w:w="724" w:type="dxa"/>
            <w:vMerge w:val="restart"/>
            <w:noWrap w:val="0"/>
            <w:vAlign w:val="center"/>
          </w:tcPr>
          <w:p w14:paraId="070D9D98">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目标值</w:t>
            </w:r>
          </w:p>
        </w:tc>
        <w:tc>
          <w:tcPr>
            <w:tcW w:w="691" w:type="dxa"/>
            <w:vMerge w:val="restart"/>
            <w:noWrap w:val="0"/>
            <w:vAlign w:val="center"/>
          </w:tcPr>
          <w:p w14:paraId="06766BF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完成值</w:t>
            </w:r>
          </w:p>
        </w:tc>
        <w:tc>
          <w:tcPr>
            <w:tcW w:w="894" w:type="dxa"/>
            <w:vMerge w:val="restart"/>
            <w:noWrap w:val="0"/>
            <w:vAlign w:val="center"/>
          </w:tcPr>
          <w:p w14:paraId="19615AC3">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指标解释</w:t>
            </w:r>
          </w:p>
        </w:tc>
        <w:tc>
          <w:tcPr>
            <w:tcW w:w="2629" w:type="dxa"/>
            <w:gridSpan w:val="6"/>
            <w:noWrap w:val="0"/>
            <w:vAlign w:val="center"/>
          </w:tcPr>
          <w:p w14:paraId="299C5E35">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评分方法</w:t>
            </w:r>
          </w:p>
        </w:tc>
        <w:tc>
          <w:tcPr>
            <w:tcW w:w="1483" w:type="dxa"/>
            <w:vMerge w:val="restart"/>
            <w:noWrap w:val="0"/>
            <w:vAlign w:val="center"/>
          </w:tcPr>
          <w:p w14:paraId="5BB6BA4C">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评价要点及说明</w:t>
            </w:r>
          </w:p>
        </w:tc>
        <w:tc>
          <w:tcPr>
            <w:tcW w:w="404" w:type="dxa"/>
            <w:noWrap w:val="0"/>
            <w:vAlign w:val="center"/>
          </w:tcPr>
          <w:p w14:paraId="02CFD6E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评价属性</w:t>
            </w:r>
          </w:p>
        </w:tc>
        <w:tc>
          <w:tcPr>
            <w:tcW w:w="2006" w:type="dxa"/>
            <w:gridSpan w:val="5"/>
            <w:noWrap/>
            <w:vAlign w:val="center"/>
          </w:tcPr>
          <w:p w14:paraId="6198B2F4">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定量评价标准</w:t>
            </w:r>
          </w:p>
        </w:tc>
        <w:tc>
          <w:tcPr>
            <w:tcW w:w="657" w:type="dxa"/>
            <w:vMerge w:val="restart"/>
            <w:noWrap/>
            <w:vAlign w:val="center"/>
          </w:tcPr>
          <w:p w14:paraId="39A51E9E">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评价过程（只写扣分项的原因）</w:t>
            </w:r>
          </w:p>
        </w:tc>
        <w:tc>
          <w:tcPr>
            <w:tcW w:w="840" w:type="dxa"/>
            <w:vMerge w:val="restart"/>
            <w:noWrap/>
            <w:vAlign w:val="center"/>
          </w:tcPr>
          <w:p w14:paraId="327A5672">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自评得分</w:t>
            </w:r>
          </w:p>
        </w:tc>
      </w:tr>
      <w:tr w14:paraId="7BBC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restart"/>
            <w:noWrap w:val="0"/>
            <w:vAlign w:val="center"/>
          </w:tcPr>
          <w:p w14:paraId="513F26B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分层指标</w:t>
            </w:r>
          </w:p>
        </w:tc>
        <w:tc>
          <w:tcPr>
            <w:tcW w:w="350" w:type="dxa"/>
            <w:vMerge w:val="restart"/>
            <w:noWrap w:val="0"/>
            <w:vAlign w:val="center"/>
          </w:tcPr>
          <w:p w14:paraId="377259A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适用范围</w:t>
            </w:r>
          </w:p>
        </w:tc>
        <w:tc>
          <w:tcPr>
            <w:tcW w:w="654" w:type="dxa"/>
            <w:vMerge w:val="restart"/>
            <w:noWrap w:val="0"/>
            <w:vAlign w:val="center"/>
          </w:tcPr>
          <w:p w14:paraId="4404F6B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一级指标</w:t>
            </w:r>
          </w:p>
        </w:tc>
        <w:tc>
          <w:tcPr>
            <w:tcW w:w="1803" w:type="dxa"/>
            <w:vMerge w:val="restart"/>
            <w:noWrap w:val="0"/>
            <w:vAlign w:val="center"/>
          </w:tcPr>
          <w:p w14:paraId="102C2D24">
            <w:pPr>
              <w:widowControl/>
              <w:tabs>
                <w:tab w:val="left" w:pos="3885"/>
              </w:tabs>
              <w:overflowPunct w:val="0"/>
              <w:autoSpaceDE/>
              <w:autoSpaceDN/>
              <w:adjustRightInd w:val="0"/>
              <w:snapToGrid w:val="0"/>
              <w:spacing w:line="560" w:lineRule="atLeast"/>
              <w:jc w:val="center"/>
              <w:rPr>
                <w:rFonts w:hint="eastAsia" w:ascii="Times New Roman" w:hAnsi="Times New Roman" w:eastAsia="黑体" w:cs="Times New Roman"/>
                <w:b w:val="0"/>
                <w:bCs w:val="0"/>
                <w:color w:val="000000"/>
                <w:sz w:val="21"/>
                <w:szCs w:val="21"/>
                <w:lang w:eastAsia="zh-CN" w:bidi="ar"/>
              </w:rPr>
            </w:pPr>
            <w:r>
              <w:rPr>
                <w:rFonts w:hint="default" w:ascii="Times New Roman" w:hAnsi="Times New Roman" w:eastAsia="黑体" w:cs="Times New Roman"/>
                <w:b w:val="0"/>
                <w:bCs w:val="0"/>
                <w:color w:val="000000"/>
                <w:sz w:val="21"/>
                <w:szCs w:val="21"/>
                <w:lang w:bidi="ar"/>
              </w:rPr>
              <w:t>二级指标</w:t>
            </w:r>
          </w:p>
          <w:p w14:paraId="170144B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p>
        </w:tc>
        <w:tc>
          <w:tcPr>
            <w:tcW w:w="607" w:type="dxa"/>
            <w:vMerge w:val="continue"/>
            <w:noWrap w:val="0"/>
            <w:vAlign w:val="center"/>
          </w:tcPr>
          <w:p w14:paraId="1BCE7D22">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22BB6AF3">
            <w:pPr>
              <w:snapToGrid w:val="0"/>
              <w:spacing w:line="240" w:lineRule="atLeast"/>
              <w:jc w:val="center"/>
              <w:rPr>
                <w:rFonts w:hint="default" w:ascii="Times New Roman" w:hAnsi="Times New Roman" w:eastAsia="黑体" w:cs="Times New Roman"/>
                <w:b w:val="0"/>
                <w:bCs w:val="0"/>
                <w:color w:val="000000"/>
                <w:sz w:val="21"/>
                <w:szCs w:val="21"/>
              </w:rPr>
            </w:pPr>
          </w:p>
        </w:tc>
        <w:tc>
          <w:tcPr>
            <w:tcW w:w="691" w:type="dxa"/>
            <w:vMerge w:val="continue"/>
            <w:noWrap w:val="0"/>
            <w:vAlign w:val="center"/>
          </w:tcPr>
          <w:p w14:paraId="43917A61">
            <w:pPr>
              <w:snapToGrid w:val="0"/>
              <w:spacing w:line="240" w:lineRule="atLeast"/>
              <w:jc w:val="center"/>
              <w:rPr>
                <w:rFonts w:hint="default" w:ascii="Times New Roman" w:hAnsi="Times New Roman" w:eastAsia="黑体" w:cs="Times New Roman"/>
                <w:b w:val="0"/>
                <w:bCs w:val="0"/>
                <w:color w:val="000000"/>
                <w:sz w:val="21"/>
                <w:szCs w:val="21"/>
              </w:rPr>
            </w:pPr>
          </w:p>
        </w:tc>
        <w:tc>
          <w:tcPr>
            <w:tcW w:w="894" w:type="dxa"/>
            <w:vMerge w:val="continue"/>
            <w:noWrap w:val="0"/>
            <w:vAlign w:val="center"/>
          </w:tcPr>
          <w:p w14:paraId="045B11D8">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09165B9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方法归类</w:t>
            </w:r>
          </w:p>
        </w:tc>
        <w:tc>
          <w:tcPr>
            <w:tcW w:w="2225" w:type="dxa"/>
            <w:gridSpan w:val="5"/>
            <w:noWrap w:val="0"/>
            <w:vAlign w:val="center"/>
          </w:tcPr>
          <w:p w14:paraId="7E05E2E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计算公式</w:t>
            </w:r>
          </w:p>
        </w:tc>
        <w:tc>
          <w:tcPr>
            <w:tcW w:w="1483" w:type="dxa"/>
            <w:vMerge w:val="continue"/>
            <w:noWrap w:val="0"/>
            <w:vAlign w:val="center"/>
          </w:tcPr>
          <w:p w14:paraId="0724CDDB">
            <w:pPr>
              <w:snapToGrid w:val="0"/>
              <w:spacing w:line="240" w:lineRule="atLeast"/>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1F73976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w:t>
            </w:r>
          </w:p>
        </w:tc>
        <w:tc>
          <w:tcPr>
            <w:tcW w:w="371" w:type="dxa"/>
            <w:vMerge w:val="restart"/>
            <w:noWrap w:val="0"/>
            <w:vAlign w:val="center"/>
          </w:tcPr>
          <w:p w14:paraId="572B4F70">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国家标准</w:t>
            </w:r>
          </w:p>
        </w:tc>
        <w:tc>
          <w:tcPr>
            <w:tcW w:w="388" w:type="dxa"/>
            <w:vMerge w:val="restart"/>
            <w:noWrap w:val="0"/>
            <w:vAlign w:val="center"/>
          </w:tcPr>
          <w:p w14:paraId="7A578752">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行业标准</w:t>
            </w:r>
          </w:p>
        </w:tc>
        <w:tc>
          <w:tcPr>
            <w:tcW w:w="354" w:type="dxa"/>
            <w:vMerge w:val="restart"/>
            <w:noWrap w:val="0"/>
            <w:vAlign w:val="center"/>
          </w:tcPr>
          <w:p w14:paraId="246F6B8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地方标准</w:t>
            </w:r>
          </w:p>
        </w:tc>
        <w:tc>
          <w:tcPr>
            <w:tcW w:w="438" w:type="dxa"/>
            <w:vMerge w:val="restart"/>
            <w:noWrap w:val="0"/>
            <w:vAlign w:val="center"/>
          </w:tcPr>
          <w:p w14:paraId="3EE4D47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申报标准</w:t>
            </w:r>
          </w:p>
        </w:tc>
        <w:tc>
          <w:tcPr>
            <w:tcW w:w="455" w:type="dxa"/>
            <w:vMerge w:val="restart"/>
            <w:noWrap w:val="0"/>
            <w:vAlign w:val="center"/>
          </w:tcPr>
          <w:p w14:paraId="02C3F6A8">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历史均值</w:t>
            </w:r>
          </w:p>
        </w:tc>
        <w:tc>
          <w:tcPr>
            <w:tcW w:w="657" w:type="dxa"/>
            <w:vMerge w:val="continue"/>
            <w:noWrap/>
            <w:vAlign w:val="center"/>
          </w:tcPr>
          <w:p w14:paraId="6696672A">
            <w:pPr>
              <w:snapToGrid w:val="0"/>
              <w:spacing w:line="240" w:lineRule="atLeast"/>
              <w:jc w:val="center"/>
              <w:rPr>
                <w:rFonts w:hint="default" w:ascii="Times New Roman" w:hAnsi="Times New Roman" w:cs="Times New Roman"/>
                <w:b w:val="0"/>
                <w:bCs w:val="0"/>
                <w:color w:val="000000"/>
                <w:sz w:val="21"/>
                <w:szCs w:val="21"/>
              </w:rPr>
            </w:pPr>
          </w:p>
        </w:tc>
        <w:tc>
          <w:tcPr>
            <w:tcW w:w="840" w:type="dxa"/>
            <w:vMerge w:val="continue"/>
            <w:noWrap/>
            <w:vAlign w:val="center"/>
          </w:tcPr>
          <w:p w14:paraId="2606D89A">
            <w:pPr>
              <w:snapToGrid w:val="0"/>
              <w:spacing w:line="240" w:lineRule="atLeast"/>
              <w:jc w:val="center"/>
              <w:rPr>
                <w:rFonts w:hint="default" w:ascii="Times New Roman" w:hAnsi="Times New Roman" w:cs="Times New Roman"/>
                <w:b w:val="0"/>
                <w:bCs w:val="0"/>
                <w:color w:val="000000"/>
                <w:sz w:val="21"/>
                <w:szCs w:val="21"/>
              </w:rPr>
            </w:pPr>
          </w:p>
        </w:tc>
      </w:tr>
      <w:tr w14:paraId="3238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continue"/>
            <w:noWrap w:val="0"/>
            <w:vAlign w:val="center"/>
          </w:tcPr>
          <w:p w14:paraId="7A69A5B0">
            <w:pPr>
              <w:snapToGrid w:val="0"/>
              <w:spacing w:line="240" w:lineRule="atLeast"/>
              <w:jc w:val="center"/>
              <w:rPr>
                <w:rFonts w:hint="default" w:ascii="Times New Roman" w:hAnsi="Times New Roman" w:eastAsia="黑体" w:cs="Times New Roman"/>
                <w:b w:val="0"/>
                <w:bCs w:val="0"/>
                <w:color w:val="000000"/>
                <w:sz w:val="21"/>
                <w:szCs w:val="21"/>
              </w:rPr>
            </w:pPr>
          </w:p>
        </w:tc>
        <w:tc>
          <w:tcPr>
            <w:tcW w:w="350" w:type="dxa"/>
            <w:vMerge w:val="continue"/>
            <w:noWrap w:val="0"/>
            <w:vAlign w:val="center"/>
          </w:tcPr>
          <w:p w14:paraId="48F823BC">
            <w:pPr>
              <w:snapToGrid w:val="0"/>
              <w:spacing w:line="240" w:lineRule="atLeast"/>
              <w:jc w:val="center"/>
              <w:rPr>
                <w:rFonts w:hint="default" w:ascii="Times New Roman" w:hAnsi="Times New Roman" w:eastAsia="黑体" w:cs="Times New Roman"/>
                <w:b w:val="0"/>
                <w:bCs w:val="0"/>
                <w:color w:val="000000"/>
                <w:sz w:val="21"/>
                <w:szCs w:val="21"/>
              </w:rPr>
            </w:pPr>
          </w:p>
        </w:tc>
        <w:tc>
          <w:tcPr>
            <w:tcW w:w="654" w:type="dxa"/>
            <w:vMerge w:val="continue"/>
            <w:noWrap w:val="0"/>
            <w:vAlign w:val="center"/>
          </w:tcPr>
          <w:p w14:paraId="6C2C5AC3">
            <w:pPr>
              <w:snapToGrid w:val="0"/>
              <w:spacing w:line="240" w:lineRule="atLeast"/>
              <w:jc w:val="center"/>
              <w:rPr>
                <w:rFonts w:hint="default" w:ascii="Times New Roman" w:hAnsi="Times New Roman" w:eastAsia="黑体" w:cs="Times New Roman"/>
                <w:b w:val="0"/>
                <w:bCs w:val="0"/>
                <w:color w:val="000000"/>
                <w:sz w:val="21"/>
                <w:szCs w:val="21"/>
              </w:rPr>
            </w:pPr>
          </w:p>
        </w:tc>
        <w:tc>
          <w:tcPr>
            <w:tcW w:w="1803" w:type="dxa"/>
            <w:vMerge w:val="continue"/>
            <w:noWrap w:val="0"/>
            <w:vAlign w:val="center"/>
          </w:tcPr>
          <w:p w14:paraId="3F71FB06">
            <w:pPr>
              <w:snapToGrid w:val="0"/>
              <w:spacing w:line="240" w:lineRule="atLeast"/>
              <w:jc w:val="center"/>
              <w:rPr>
                <w:rFonts w:hint="default" w:ascii="Times New Roman" w:hAnsi="Times New Roman" w:eastAsia="黑体" w:cs="Times New Roman"/>
                <w:b w:val="0"/>
                <w:bCs w:val="0"/>
                <w:color w:val="000000"/>
                <w:sz w:val="21"/>
                <w:szCs w:val="21"/>
              </w:rPr>
            </w:pPr>
          </w:p>
        </w:tc>
        <w:tc>
          <w:tcPr>
            <w:tcW w:w="607" w:type="dxa"/>
            <w:vMerge w:val="continue"/>
            <w:noWrap w:val="0"/>
            <w:vAlign w:val="center"/>
          </w:tcPr>
          <w:p w14:paraId="7BB048C7">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3A2F7769">
            <w:pPr>
              <w:snapToGrid w:val="0"/>
              <w:spacing w:line="240" w:lineRule="atLeast"/>
              <w:jc w:val="center"/>
              <w:rPr>
                <w:rFonts w:hint="default" w:ascii="Times New Roman" w:hAnsi="Times New Roman" w:eastAsia="黑体" w:cs="Times New Roman"/>
                <w:b w:val="0"/>
                <w:bCs w:val="0"/>
                <w:color w:val="000000"/>
                <w:sz w:val="21"/>
                <w:szCs w:val="21"/>
              </w:rPr>
            </w:pPr>
          </w:p>
        </w:tc>
        <w:tc>
          <w:tcPr>
            <w:tcW w:w="691" w:type="dxa"/>
            <w:vMerge w:val="continue"/>
            <w:noWrap w:val="0"/>
            <w:vAlign w:val="center"/>
          </w:tcPr>
          <w:p w14:paraId="3EAC00DE">
            <w:pPr>
              <w:snapToGrid w:val="0"/>
              <w:spacing w:line="240" w:lineRule="atLeast"/>
              <w:jc w:val="center"/>
              <w:rPr>
                <w:rFonts w:hint="default" w:ascii="Times New Roman" w:hAnsi="Times New Roman" w:eastAsia="黑体" w:cs="Times New Roman"/>
                <w:b w:val="0"/>
                <w:bCs w:val="0"/>
                <w:color w:val="000000"/>
                <w:sz w:val="21"/>
                <w:szCs w:val="21"/>
              </w:rPr>
            </w:pPr>
          </w:p>
        </w:tc>
        <w:tc>
          <w:tcPr>
            <w:tcW w:w="894" w:type="dxa"/>
            <w:vMerge w:val="continue"/>
            <w:noWrap w:val="0"/>
            <w:vAlign w:val="center"/>
          </w:tcPr>
          <w:p w14:paraId="459344B4">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continue"/>
            <w:noWrap w:val="0"/>
            <w:vAlign w:val="center"/>
          </w:tcPr>
          <w:p w14:paraId="78E8D597">
            <w:pPr>
              <w:snapToGrid w:val="0"/>
              <w:spacing w:line="240" w:lineRule="atLeast"/>
              <w:jc w:val="center"/>
              <w:rPr>
                <w:rFonts w:hint="default" w:ascii="Times New Roman" w:hAnsi="Times New Roman" w:eastAsia="黑体" w:cs="Times New Roman"/>
                <w:b w:val="0"/>
                <w:bCs w:val="0"/>
                <w:color w:val="000000"/>
                <w:sz w:val="21"/>
                <w:szCs w:val="21"/>
              </w:rPr>
            </w:pPr>
          </w:p>
        </w:tc>
        <w:tc>
          <w:tcPr>
            <w:tcW w:w="489" w:type="dxa"/>
            <w:noWrap w:val="0"/>
            <w:vAlign w:val="center"/>
          </w:tcPr>
          <w:p w14:paraId="4C4703D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w:t>
            </w:r>
          </w:p>
        </w:tc>
        <w:tc>
          <w:tcPr>
            <w:tcW w:w="489" w:type="dxa"/>
            <w:noWrap w:val="0"/>
            <w:vAlign w:val="center"/>
          </w:tcPr>
          <w:p w14:paraId="5A9423E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0.3</w:t>
            </w:r>
          </w:p>
        </w:tc>
        <w:tc>
          <w:tcPr>
            <w:tcW w:w="455" w:type="dxa"/>
            <w:noWrap w:val="0"/>
            <w:vAlign w:val="center"/>
          </w:tcPr>
          <w:p w14:paraId="3466A19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0.6</w:t>
            </w:r>
          </w:p>
        </w:tc>
        <w:tc>
          <w:tcPr>
            <w:tcW w:w="404" w:type="dxa"/>
            <w:noWrap w:val="0"/>
            <w:vAlign w:val="center"/>
          </w:tcPr>
          <w:p w14:paraId="0622DDC8">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0.8</w:t>
            </w:r>
          </w:p>
        </w:tc>
        <w:tc>
          <w:tcPr>
            <w:tcW w:w="388" w:type="dxa"/>
            <w:noWrap w:val="0"/>
            <w:vAlign w:val="center"/>
          </w:tcPr>
          <w:p w14:paraId="4839B743">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1</w:t>
            </w:r>
          </w:p>
        </w:tc>
        <w:tc>
          <w:tcPr>
            <w:tcW w:w="1483" w:type="dxa"/>
            <w:vMerge w:val="continue"/>
            <w:noWrap w:val="0"/>
            <w:vAlign w:val="center"/>
          </w:tcPr>
          <w:p w14:paraId="27EA3ED0">
            <w:pPr>
              <w:snapToGrid w:val="0"/>
              <w:spacing w:line="240" w:lineRule="atLeast"/>
              <w:jc w:val="center"/>
              <w:rPr>
                <w:rFonts w:hint="default" w:ascii="Times New Roman" w:hAnsi="Times New Roman" w:cs="Times New Roman"/>
                <w:b w:val="0"/>
                <w:bCs w:val="0"/>
                <w:color w:val="000000"/>
                <w:sz w:val="21"/>
                <w:szCs w:val="21"/>
              </w:rPr>
            </w:pPr>
          </w:p>
        </w:tc>
        <w:tc>
          <w:tcPr>
            <w:tcW w:w="404" w:type="dxa"/>
            <w:vMerge w:val="continue"/>
            <w:noWrap w:val="0"/>
            <w:vAlign w:val="center"/>
          </w:tcPr>
          <w:p w14:paraId="73C800B4">
            <w:pPr>
              <w:snapToGrid w:val="0"/>
              <w:spacing w:line="240" w:lineRule="atLeast"/>
              <w:jc w:val="center"/>
              <w:rPr>
                <w:rFonts w:hint="default" w:ascii="Times New Roman" w:hAnsi="Times New Roman" w:cs="Times New Roman"/>
                <w:b w:val="0"/>
                <w:bCs w:val="0"/>
                <w:color w:val="000000"/>
                <w:sz w:val="21"/>
                <w:szCs w:val="21"/>
              </w:rPr>
            </w:pPr>
          </w:p>
        </w:tc>
        <w:tc>
          <w:tcPr>
            <w:tcW w:w="371" w:type="dxa"/>
            <w:vMerge w:val="continue"/>
            <w:noWrap w:val="0"/>
            <w:vAlign w:val="center"/>
          </w:tcPr>
          <w:p w14:paraId="181ED1D7">
            <w:pPr>
              <w:snapToGrid w:val="0"/>
              <w:spacing w:line="240" w:lineRule="atLeast"/>
              <w:jc w:val="center"/>
              <w:rPr>
                <w:rFonts w:hint="default" w:ascii="Times New Roman" w:hAnsi="Times New Roman" w:cs="Times New Roman"/>
                <w:b w:val="0"/>
                <w:bCs w:val="0"/>
                <w:color w:val="000000"/>
                <w:sz w:val="21"/>
                <w:szCs w:val="21"/>
              </w:rPr>
            </w:pPr>
          </w:p>
        </w:tc>
        <w:tc>
          <w:tcPr>
            <w:tcW w:w="388" w:type="dxa"/>
            <w:vMerge w:val="continue"/>
            <w:noWrap w:val="0"/>
            <w:vAlign w:val="center"/>
          </w:tcPr>
          <w:p w14:paraId="6E11CE27">
            <w:pPr>
              <w:snapToGrid w:val="0"/>
              <w:spacing w:line="240" w:lineRule="atLeast"/>
              <w:jc w:val="center"/>
              <w:rPr>
                <w:rFonts w:hint="default" w:ascii="Times New Roman" w:hAnsi="Times New Roman" w:cs="Times New Roman"/>
                <w:b w:val="0"/>
                <w:bCs w:val="0"/>
                <w:color w:val="000000"/>
                <w:sz w:val="21"/>
                <w:szCs w:val="21"/>
              </w:rPr>
            </w:pPr>
          </w:p>
        </w:tc>
        <w:tc>
          <w:tcPr>
            <w:tcW w:w="354" w:type="dxa"/>
            <w:vMerge w:val="continue"/>
            <w:noWrap w:val="0"/>
            <w:vAlign w:val="center"/>
          </w:tcPr>
          <w:p w14:paraId="16D3D82A">
            <w:pPr>
              <w:snapToGrid w:val="0"/>
              <w:spacing w:line="240" w:lineRule="atLeast"/>
              <w:jc w:val="center"/>
              <w:rPr>
                <w:rFonts w:hint="default" w:ascii="Times New Roman" w:hAnsi="Times New Roman" w:cs="Times New Roman"/>
                <w:b w:val="0"/>
                <w:bCs w:val="0"/>
                <w:color w:val="000000"/>
                <w:sz w:val="21"/>
                <w:szCs w:val="21"/>
              </w:rPr>
            </w:pPr>
          </w:p>
        </w:tc>
        <w:tc>
          <w:tcPr>
            <w:tcW w:w="438" w:type="dxa"/>
            <w:vMerge w:val="continue"/>
            <w:noWrap w:val="0"/>
            <w:vAlign w:val="center"/>
          </w:tcPr>
          <w:p w14:paraId="00A0996E">
            <w:pPr>
              <w:snapToGrid w:val="0"/>
              <w:spacing w:line="240" w:lineRule="atLeast"/>
              <w:jc w:val="center"/>
              <w:rPr>
                <w:rFonts w:hint="default" w:ascii="Times New Roman" w:hAnsi="Times New Roman" w:cs="Times New Roman"/>
                <w:b w:val="0"/>
                <w:bCs w:val="0"/>
                <w:color w:val="000000"/>
                <w:sz w:val="21"/>
                <w:szCs w:val="21"/>
              </w:rPr>
            </w:pPr>
          </w:p>
        </w:tc>
        <w:tc>
          <w:tcPr>
            <w:tcW w:w="455" w:type="dxa"/>
            <w:vMerge w:val="continue"/>
            <w:noWrap w:val="0"/>
            <w:vAlign w:val="center"/>
          </w:tcPr>
          <w:p w14:paraId="747A62BB">
            <w:pPr>
              <w:snapToGrid w:val="0"/>
              <w:spacing w:line="240" w:lineRule="atLeast"/>
              <w:jc w:val="center"/>
              <w:rPr>
                <w:rFonts w:hint="default" w:ascii="Times New Roman" w:hAnsi="Times New Roman" w:cs="Times New Roman"/>
                <w:b w:val="0"/>
                <w:bCs w:val="0"/>
                <w:color w:val="000000"/>
                <w:sz w:val="21"/>
                <w:szCs w:val="21"/>
              </w:rPr>
            </w:pPr>
          </w:p>
        </w:tc>
        <w:tc>
          <w:tcPr>
            <w:tcW w:w="657" w:type="dxa"/>
            <w:vMerge w:val="continue"/>
            <w:noWrap/>
            <w:vAlign w:val="center"/>
          </w:tcPr>
          <w:p w14:paraId="50C0A80C">
            <w:pPr>
              <w:snapToGrid w:val="0"/>
              <w:spacing w:line="240" w:lineRule="atLeast"/>
              <w:jc w:val="center"/>
              <w:rPr>
                <w:rFonts w:hint="default" w:ascii="Times New Roman" w:hAnsi="Times New Roman" w:cs="Times New Roman"/>
                <w:b w:val="0"/>
                <w:bCs w:val="0"/>
                <w:color w:val="000000"/>
                <w:sz w:val="21"/>
                <w:szCs w:val="21"/>
              </w:rPr>
            </w:pPr>
          </w:p>
        </w:tc>
        <w:tc>
          <w:tcPr>
            <w:tcW w:w="840" w:type="dxa"/>
            <w:vMerge w:val="continue"/>
            <w:noWrap/>
            <w:vAlign w:val="center"/>
          </w:tcPr>
          <w:p w14:paraId="13371517">
            <w:pPr>
              <w:snapToGrid w:val="0"/>
              <w:spacing w:line="240" w:lineRule="atLeast"/>
              <w:jc w:val="center"/>
              <w:rPr>
                <w:rFonts w:hint="default" w:ascii="Times New Roman" w:hAnsi="Times New Roman" w:cs="Times New Roman"/>
                <w:b w:val="0"/>
                <w:bCs w:val="0"/>
                <w:color w:val="000000"/>
                <w:sz w:val="21"/>
                <w:szCs w:val="21"/>
              </w:rPr>
            </w:pPr>
          </w:p>
        </w:tc>
      </w:tr>
      <w:tr w14:paraId="2A41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16" w:type="dxa"/>
            <w:vMerge w:val="restart"/>
            <w:noWrap w:val="0"/>
            <w:vAlign w:val="center"/>
          </w:tcPr>
          <w:p w14:paraId="1AF1E22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32D2E82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restart"/>
            <w:noWrap w:val="0"/>
            <w:vAlign w:val="center"/>
          </w:tcPr>
          <w:p w14:paraId="4DE5010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项目决策</w:t>
            </w:r>
          </w:p>
        </w:tc>
        <w:tc>
          <w:tcPr>
            <w:tcW w:w="1803" w:type="dxa"/>
            <w:noWrap w:val="0"/>
            <w:vAlign w:val="center"/>
          </w:tcPr>
          <w:p w14:paraId="7B950E0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程序严密</w:t>
            </w:r>
          </w:p>
        </w:tc>
        <w:tc>
          <w:tcPr>
            <w:tcW w:w="607" w:type="dxa"/>
            <w:noWrap w:val="0"/>
            <w:vAlign w:val="center"/>
          </w:tcPr>
          <w:p w14:paraId="41F9C50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48EEB54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691" w:type="dxa"/>
            <w:noWrap w:val="0"/>
            <w:vAlign w:val="center"/>
          </w:tcPr>
          <w:p w14:paraId="4D3CE8D3">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894" w:type="dxa"/>
            <w:noWrap w:val="0"/>
            <w:vAlign w:val="center"/>
          </w:tcPr>
          <w:p w14:paraId="1A33734C">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项目设立是否经过严格评估论证，管理制度是否健全完善</w:t>
            </w:r>
          </w:p>
        </w:tc>
        <w:tc>
          <w:tcPr>
            <w:tcW w:w="404" w:type="dxa"/>
            <w:noWrap w:val="0"/>
            <w:vAlign w:val="center"/>
          </w:tcPr>
          <w:p w14:paraId="135752D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73E2DF7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不严密</w:t>
            </w:r>
          </w:p>
        </w:tc>
        <w:tc>
          <w:tcPr>
            <w:tcW w:w="489" w:type="dxa"/>
            <w:noWrap w:val="0"/>
            <w:vAlign w:val="center"/>
          </w:tcPr>
          <w:p w14:paraId="1B63B55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3处及以上不严密</w:t>
            </w:r>
          </w:p>
        </w:tc>
        <w:tc>
          <w:tcPr>
            <w:tcW w:w="455" w:type="dxa"/>
            <w:noWrap w:val="0"/>
            <w:vAlign w:val="center"/>
          </w:tcPr>
          <w:p w14:paraId="0E6ED0A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2处不严密</w:t>
            </w:r>
          </w:p>
        </w:tc>
        <w:tc>
          <w:tcPr>
            <w:tcW w:w="404" w:type="dxa"/>
            <w:noWrap w:val="0"/>
            <w:vAlign w:val="center"/>
          </w:tcPr>
          <w:p w14:paraId="573F22B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1处不严密</w:t>
            </w:r>
          </w:p>
        </w:tc>
        <w:tc>
          <w:tcPr>
            <w:tcW w:w="388" w:type="dxa"/>
            <w:noWrap w:val="0"/>
            <w:vAlign w:val="center"/>
          </w:tcPr>
          <w:p w14:paraId="3D60E81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1483" w:type="dxa"/>
            <w:noWrap w:val="0"/>
            <w:vAlign w:val="center"/>
          </w:tcPr>
          <w:p w14:paraId="75AC1897">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主要查看项目设立时是否经过事前评估或可行性论证，专项资金管理办法是否健全完善</w:t>
            </w:r>
          </w:p>
        </w:tc>
        <w:tc>
          <w:tcPr>
            <w:tcW w:w="404" w:type="dxa"/>
            <w:noWrap w:val="0"/>
            <w:vAlign w:val="center"/>
          </w:tcPr>
          <w:p w14:paraId="74D3A7A2">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6053BE28">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44395822">
            <w:pPr>
              <w:snapToGrid w:val="0"/>
              <w:spacing w:line="240" w:lineRule="atLeast"/>
              <w:rPr>
                <w:rFonts w:hint="default" w:ascii="Times New Roman" w:hAnsi="Times New Roman" w:cs="Times New Roman"/>
                <w:b w:val="0"/>
                <w:bCs w:val="0"/>
                <w:color w:val="000000"/>
                <w:sz w:val="21"/>
                <w:szCs w:val="21"/>
              </w:rPr>
            </w:pPr>
          </w:p>
        </w:tc>
        <w:tc>
          <w:tcPr>
            <w:tcW w:w="354" w:type="dxa"/>
            <w:noWrap w:val="0"/>
            <w:vAlign w:val="center"/>
          </w:tcPr>
          <w:p w14:paraId="1A3ECFD1">
            <w:pPr>
              <w:snapToGrid w:val="0"/>
              <w:spacing w:line="240" w:lineRule="atLeast"/>
              <w:jc w:val="center"/>
              <w:rPr>
                <w:rFonts w:hint="default" w:ascii="Times New Roman" w:hAnsi="Times New Roman" w:cs="Times New Roman"/>
                <w:b w:val="0"/>
                <w:bCs w:val="0"/>
                <w:color w:val="000000"/>
                <w:sz w:val="21"/>
                <w:szCs w:val="21"/>
              </w:rPr>
            </w:pPr>
          </w:p>
        </w:tc>
        <w:tc>
          <w:tcPr>
            <w:tcW w:w="438" w:type="dxa"/>
            <w:noWrap w:val="0"/>
            <w:vAlign w:val="center"/>
          </w:tcPr>
          <w:p w14:paraId="41F33634">
            <w:pPr>
              <w:snapToGrid w:val="0"/>
              <w:spacing w:line="240" w:lineRule="atLeast"/>
              <w:jc w:val="center"/>
              <w:rPr>
                <w:rFonts w:hint="default" w:ascii="Times New Roman" w:hAnsi="Times New Roman" w:cs="Times New Roman"/>
                <w:b w:val="0"/>
                <w:bCs w:val="0"/>
                <w:color w:val="000000"/>
                <w:sz w:val="21"/>
                <w:szCs w:val="21"/>
              </w:rPr>
            </w:pPr>
          </w:p>
        </w:tc>
        <w:tc>
          <w:tcPr>
            <w:tcW w:w="455" w:type="dxa"/>
            <w:noWrap/>
            <w:vAlign w:val="center"/>
          </w:tcPr>
          <w:p w14:paraId="5DF5BFC9">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090B4580">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44272F6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r>
      <w:tr w14:paraId="4AA8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16" w:type="dxa"/>
            <w:vMerge w:val="continue"/>
            <w:noWrap w:val="0"/>
            <w:vAlign w:val="center"/>
          </w:tcPr>
          <w:p w14:paraId="15A4916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5847740">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01D75A05">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4B0B7CC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规划合理</w:t>
            </w:r>
          </w:p>
        </w:tc>
        <w:tc>
          <w:tcPr>
            <w:tcW w:w="607" w:type="dxa"/>
            <w:noWrap w:val="0"/>
            <w:vAlign w:val="center"/>
          </w:tcPr>
          <w:p w14:paraId="3BFD050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65C21AD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691" w:type="dxa"/>
            <w:noWrap w:val="0"/>
            <w:vAlign w:val="center"/>
          </w:tcPr>
          <w:p w14:paraId="7C385603">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894" w:type="dxa"/>
            <w:noWrap w:val="0"/>
            <w:vAlign w:val="center"/>
          </w:tcPr>
          <w:p w14:paraId="2F75FA04">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项目规划是否符合市委、市政府重大决策部署，是否与项目年度目标一致</w:t>
            </w:r>
          </w:p>
        </w:tc>
        <w:tc>
          <w:tcPr>
            <w:tcW w:w="404" w:type="dxa"/>
            <w:noWrap w:val="0"/>
            <w:vAlign w:val="center"/>
          </w:tcPr>
          <w:p w14:paraId="1E293AA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56CEB1C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不合理</w:t>
            </w:r>
          </w:p>
        </w:tc>
        <w:tc>
          <w:tcPr>
            <w:tcW w:w="489" w:type="dxa"/>
            <w:noWrap w:val="0"/>
            <w:vAlign w:val="center"/>
          </w:tcPr>
          <w:p w14:paraId="6C88BC1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3处及以上不合理</w:t>
            </w:r>
          </w:p>
        </w:tc>
        <w:tc>
          <w:tcPr>
            <w:tcW w:w="455" w:type="dxa"/>
            <w:noWrap w:val="0"/>
            <w:vAlign w:val="center"/>
          </w:tcPr>
          <w:p w14:paraId="3E7B650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2处不合理</w:t>
            </w:r>
          </w:p>
        </w:tc>
        <w:tc>
          <w:tcPr>
            <w:tcW w:w="404" w:type="dxa"/>
            <w:noWrap w:val="0"/>
            <w:vAlign w:val="center"/>
          </w:tcPr>
          <w:p w14:paraId="12E7CD9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1处不合理</w:t>
            </w:r>
          </w:p>
        </w:tc>
        <w:tc>
          <w:tcPr>
            <w:tcW w:w="388" w:type="dxa"/>
            <w:noWrap w:val="0"/>
            <w:vAlign w:val="center"/>
          </w:tcPr>
          <w:p w14:paraId="0812AD8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1483" w:type="dxa"/>
            <w:noWrap w:val="0"/>
            <w:vAlign w:val="center"/>
          </w:tcPr>
          <w:p w14:paraId="4D3423C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主要查看项目设立依据是否充分，符合市委、市政府重大决策部署和宏观政策规划，项目年度绩效目标与中长期规划是否一致</w:t>
            </w:r>
          </w:p>
        </w:tc>
        <w:tc>
          <w:tcPr>
            <w:tcW w:w="404" w:type="dxa"/>
            <w:noWrap w:val="0"/>
            <w:vAlign w:val="center"/>
          </w:tcPr>
          <w:p w14:paraId="56F0C7A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6B2F55B7">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0778BE0C">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46D58E17">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77F22C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55" w:type="dxa"/>
            <w:noWrap/>
            <w:vAlign w:val="center"/>
          </w:tcPr>
          <w:p w14:paraId="56C238B6">
            <w:pPr>
              <w:snapToGrid w:val="0"/>
              <w:spacing w:line="240" w:lineRule="atLeast"/>
              <w:rPr>
                <w:rFonts w:hint="default" w:ascii="Times New Roman" w:hAnsi="Times New Roman" w:cs="Times New Roman"/>
                <w:b w:val="0"/>
                <w:bCs w:val="0"/>
                <w:color w:val="000000"/>
                <w:sz w:val="21"/>
                <w:szCs w:val="21"/>
              </w:rPr>
            </w:pPr>
          </w:p>
        </w:tc>
        <w:tc>
          <w:tcPr>
            <w:tcW w:w="657" w:type="dxa"/>
            <w:noWrap w:val="0"/>
            <w:vAlign w:val="center"/>
          </w:tcPr>
          <w:p w14:paraId="11B9BBB3">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64EB7CB5">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0053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716" w:type="dxa"/>
            <w:vMerge w:val="restart"/>
            <w:noWrap w:val="0"/>
            <w:vAlign w:val="center"/>
          </w:tcPr>
          <w:p w14:paraId="1AFA8CA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0C917F4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5075DAFB">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768C219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结果符合</w:t>
            </w:r>
          </w:p>
        </w:tc>
        <w:tc>
          <w:tcPr>
            <w:tcW w:w="607" w:type="dxa"/>
            <w:noWrap w:val="0"/>
            <w:vAlign w:val="center"/>
          </w:tcPr>
          <w:p w14:paraId="1521DE1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5A36212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691" w:type="dxa"/>
            <w:noWrap w:val="0"/>
            <w:vAlign w:val="center"/>
          </w:tcPr>
          <w:p w14:paraId="5F71A6F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894" w:type="dxa"/>
            <w:noWrap w:val="0"/>
            <w:vAlign w:val="center"/>
          </w:tcPr>
          <w:p w14:paraId="116CF2D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项目实施结果是否与规划计划一致</w:t>
            </w:r>
          </w:p>
        </w:tc>
        <w:tc>
          <w:tcPr>
            <w:tcW w:w="404" w:type="dxa"/>
            <w:noWrap w:val="0"/>
            <w:vAlign w:val="center"/>
          </w:tcPr>
          <w:p w14:paraId="6372089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25" w:type="dxa"/>
            <w:gridSpan w:val="5"/>
            <w:noWrap w:val="0"/>
            <w:vAlign w:val="center"/>
          </w:tcPr>
          <w:p w14:paraId="1AF326D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指标得分=项目实施结果符合规划的金额/项目总金额×100%*指标分值</w:t>
            </w:r>
          </w:p>
        </w:tc>
        <w:tc>
          <w:tcPr>
            <w:tcW w:w="1483" w:type="dxa"/>
            <w:noWrap w:val="0"/>
            <w:vAlign w:val="center"/>
          </w:tcPr>
          <w:p w14:paraId="23F97DB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按项目法分配的项目，以所有项目点实施完成情况与规划计划情况进行对比。按因素法分配的项目和据实据效分配的项目，将资金分配方向与规划计划支持方向进行对比</w:t>
            </w:r>
          </w:p>
        </w:tc>
        <w:tc>
          <w:tcPr>
            <w:tcW w:w="404" w:type="dxa"/>
            <w:noWrap w:val="0"/>
            <w:vAlign w:val="center"/>
          </w:tcPr>
          <w:p w14:paraId="27BEDA6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01E28F76">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0E390453">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1D2A4CB7">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B6A32A4">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52E32E84">
            <w:pPr>
              <w:snapToGrid w:val="0"/>
              <w:spacing w:line="240" w:lineRule="atLeast"/>
              <w:rPr>
                <w:rFonts w:hint="default" w:ascii="Times New Roman" w:hAnsi="Times New Roman" w:cs="Times New Roman"/>
                <w:b w:val="0"/>
                <w:bCs w:val="0"/>
                <w:color w:val="000000"/>
                <w:sz w:val="21"/>
                <w:szCs w:val="21"/>
              </w:rPr>
            </w:pPr>
          </w:p>
        </w:tc>
        <w:tc>
          <w:tcPr>
            <w:tcW w:w="657" w:type="dxa"/>
            <w:noWrap w:val="0"/>
            <w:vAlign w:val="center"/>
          </w:tcPr>
          <w:p w14:paraId="5C0FA033">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48E137EB">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0B98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716" w:type="dxa"/>
            <w:vMerge w:val="continue"/>
            <w:noWrap w:val="0"/>
            <w:vAlign w:val="center"/>
          </w:tcPr>
          <w:p w14:paraId="0B7D38BC">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7FEEA800">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0F94DC5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w:t>
            </w:r>
          </w:p>
        </w:tc>
        <w:tc>
          <w:tcPr>
            <w:tcW w:w="1803" w:type="dxa"/>
            <w:noWrap w:val="0"/>
            <w:vAlign w:val="center"/>
          </w:tcPr>
          <w:p w14:paraId="24E331F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执行有效</w:t>
            </w:r>
          </w:p>
        </w:tc>
        <w:tc>
          <w:tcPr>
            <w:tcW w:w="607" w:type="dxa"/>
            <w:noWrap w:val="0"/>
            <w:vAlign w:val="center"/>
          </w:tcPr>
          <w:p w14:paraId="1EA8FFD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4B0C9D2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691" w:type="dxa"/>
            <w:noWrap w:val="0"/>
            <w:vAlign w:val="center"/>
          </w:tcPr>
          <w:p w14:paraId="6891CCEA">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894" w:type="dxa"/>
            <w:noWrap w:val="0"/>
            <w:vAlign w:val="center"/>
          </w:tcPr>
          <w:p w14:paraId="4E589E1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项目实施是否符合相关管理制度规定</w:t>
            </w:r>
          </w:p>
        </w:tc>
        <w:tc>
          <w:tcPr>
            <w:tcW w:w="404" w:type="dxa"/>
            <w:noWrap w:val="0"/>
            <w:vAlign w:val="center"/>
          </w:tcPr>
          <w:p w14:paraId="34109B3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25" w:type="dxa"/>
            <w:gridSpan w:val="5"/>
            <w:noWrap w:val="0"/>
            <w:vAlign w:val="center"/>
          </w:tcPr>
          <w:p w14:paraId="70DB7A1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483" w:type="dxa"/>
            <w:noWrap w:val="0"/>
            <w:vAlign w:val="center"/>
          </w:tcPr>
          <w:p w14:paraId="6479A91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项目实施是否遵守相关法律法规；项目调整手续是否完备；项目合同、验收报告、技术鉴定等资料是否齐全并及时归档；项目实施的人员条件、场地设备、信息支撑等是否落实到位</w:t>
            </w:r>
          </w:p>
        </w:tc>
        <w:tc>
          <w:tcPr>
            <w:tcW w:w="404" w:type="dxa"/>
            <w:noWrap w:val="0"/>
            <w:vAlign w:val="center"/>
          </w:tcPr>
          <w:p w14:paraId="6A87BBE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59301ED5">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3AEDBA4">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7EF78A34">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6050122">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403499FD">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228142A5">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3A7743B7">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7B56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jc w:val="center"/>
        </w:trPr>
        <w:tc>
          <w:tcPr>
            <w:tcW w:w="716" w:type="dxa"/>
            <w:vMerge w:val="restart"/>
            <w:noWrap w:val="0"/>
            <w:vAlign w:val="center"/>
          </w:tcPr>
          <w:p w14:paraId="1DB8293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138B4F0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041636E3">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77DE57A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使用合规</w:t>
            </w:r>
          </w:p>
        </w:tc>
        <w:tc>
          <w:tcPr>
            <w:tcW w:w="607" w:type="dxa"/>
            <w:noWrap w:val="0"/>
            <w:vAlign w:val="center"/>
          </w:tcPr>
          <w:p w14:paraId="559E5A7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4F2AB51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691" w:type="dxa"/>
            <w:noWrap w:val="0"/>
            <w:vAlign w:val="center"/>
          </w:tcPr>
          <w:p w14:paraId="3240991D">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894" w:type="dxa"/>
            <w:noWrap w:val="0"/>
            <w:vAlign w:val="center"/>
          </w:tcPr>
          <w:p w14:paraId="746B28AC">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项目资金使用是否符合相关的财务管理制度规定</w:t>
            </w:r>
          </w:p>
        </w:tc>
        <w:tc>
          <w:tcPr>
            <w:tcW w:w="404" w:type="dxa"/>
            <w:noWrap w:val="0"/>
            <w:vAlign w:val="center"/>
          </w:tcPr>
          <w:p w14:paraId="6C9E3A8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25" w:type="dxa"/>
            <w:gridSpan w:val="5"/>
            <w:noWrap w:val="0"/>
            <w:vAlign w:val="center"/>
          </w:tcPr>
          <w:p w14:paraId="6467091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483" w:type="dxa"/>
            <w:noWrap w:val="0"/>
            <w:vAlign w:val="center"/>
          </w:tcPr>
          <w:p w14:paraId="5B40126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04" w:type="dxa"/>
            <w:noWrap w:val="0"/>
            <w:vAlign w:val="center"/>
          </w:tcPr>
          <w:p w14:paraId="6FFDB61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1FBA7691">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336932FD">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64767FF1">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2496AFFE">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5062229A">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7846954A">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318150DB">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0E6B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716" w:type="dxa"/>
            <w:vMerge w:val="continue"/>
            <w:noWrap w:val="0"/>
            <w:vAlign w:val="center"/>
          </w:tcPr>
          <w:p w14:paraId="490EB1B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F021529">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1333BE4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w:t>
            </w:r>
          </w:p>
        </w:tc>
        <w:tc>
          <w:tcPr>
            <w:tcW w:w="1803" w:type="dxa"/>
            <w:noWrap w:val="0"/>
            <w:vAlign w:val="center"/>
          </w:tcPr>
          <w:p w14:paraId="75DA52F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预算执行率</w:t>
            </w:r>
          </w:p>
        </w:tc>
        <w:tc>
          <w:tcPr>
            <w:tcW w:w="607" w:type="dxa"/>
            <w:noWrap w:val="0"/>
            <w:vAlign w:val="center"/>
          </w:tcPr>
          <w:p w14:paraId="1C72F96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6</w:t>
            </w:r>
          </w:p>
        </w:tc>
        <w:tc>
          <w:tcPr>
            <w:tcW w:w="724" w:type="dxa"/>
            <w:noWrap w:val="0"/>
            <w:vAlign w:val="center"/>
          </w:tcPr>
          <w:p w14:paraId="49963CF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691" w:type="dxa"/>
            <w:noWrap w:val="0"/>
            <w:vAlign w:val="center"/>
          </w:tcPr>
          <w:p w14:paraId="5348CF63">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894" w:type="dxa"/>
            <w:noWrap w:val="0"/>
            <w:vAlign w:val="center"/>
          </w:tcPr>
          <w:p w14:paraId="7F23B2C5">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反映项目资金整体预算执行情况</w:t>
            </w:r>
          </w:p>
        </w:tc>
        <w:tc>
          <w:tcPr>
            <w:tcW w:w="404" w:type="dxa"/>
            <w:noWrap w:val="0"/>
            <w:vAlign w:val="center"/>
          </w:tcPr>
          <w:p w14:paraId="71E4547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25" w:type="dxa"/>
            <w:gridSpan w:val="5"/>
            <w:noWrap w:val="0"/>
            <w:vAlign w:val="center"/>
          </w:tcPr>
          <w:p w14:paraId="2F84C44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指标得分=实际拨付下达资金/预算安排资金总额×100%*指标分值（预算安排资金总额一般采用年初预算数，若存在政策变化等因素可采用调整预算数）</w:t>
            </w:r>
          </w:p>
        </w:tc>
        <w:tc>
          <w:tcPr>
            <w:tcW w:w="1483" w:type="dxa"/>
            <w:noWrap w:val="0"/>
            <w:vAlign w:val="center"/>
          </w:tcPr>
          <w:p w14:paraId="7E669C6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F0A91D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5201C1E7">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3BE81615">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C29CD9E">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2AEFFD73">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664A102">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D4CFEBE">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75AA07B0">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6</w:t>
            </w:r>
          </w:p>
        </w:tc>
      </w:tr>
      <w:tr w14:paraId="6BE1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noWrap w:val="0"/>
            <w:vAlign w:val="center"/>
          </w:tcPr>
          <w:p w14:paraId="56A5CA1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0FAC080">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0CF26160">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44A1645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资金使用率</w:t>
            </w:r>
          </w:p>
        </w:tc>
        <w:tc>
          <w:tcPr>
            <w:tcW w:w="607" w:type="dxa"/>
            <w:noWrap w:val="0"/>
            <w:vAlign w:val="center"/>
          </w:tcPr>
          <w:p w14:paraId="6FD5FBB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w:t>
            </w:r>
          </w:p>
        </w:tc>
        <w:tc>
          <w:tcPr>
            <w:tcW w:w="724" w:type="dxa"/>
            <w:noWrap w:val="0"/>
            <w:vAlign w:val="center"/>
          </w:tcPr>
          <w:p w14:paraId="775CB5C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691" w:type="dxa"/>
            <w:noWrap w:val="0"/>
            <w:vAlign w:val="center"/>
          </w:tcPr>
          <w:p w14:paraId="01BAC56D">
            <w:pPr>
              <w:snapToGrid w:val="0"/>
              <w:spacing w:line="240" w:lineRule="atLeast"/>
              <w:jc w:val="center"/>
              <w:rPr>
                <w:rFonts w:hint="default" w:ascii="Times New Roman" w:hAnsi="Times New Roman" w:cs="Times New Roman"/>
                <w:b w:val="0"/>
                <w:bCs w:val="0"/>
                <w:color w:val="000000"/>
                <w:sz w:val="21"/>
                <w:szCs w:val="21"/>
              </w:rPr>
            </w:pPr>
          </w:p>
        </w:tc>
        <w:tc>
          <w:tcPr>
            <w:tcW w:w="894" w:type="dxa"/>
            <w:noWrap w:val="0"/>
            <w:vAlign w:val="center"/>
          </w:tcPr>
          <w:p w14:paraId="0B4308D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反映项目点获得资金的使用情况</w:t>
            </w:r>
          </w:p>
        </w:tc>
        <w:tc>
          <w:tcPr>
            <w:tcW w:w="404" w:type="dxa"/>
            <w:noWrap w:val="0"/>
            <w:vAlign w:val="center"/>
          </w:tcPr>
          <w:p w14:paraId="3409F92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2225" w:type="dxa"/>
            <w:gridSpan w:val="5"/>
            <w:noWrap w:val="0"/>
            <w:vAlign w:val="center"/>
          </w:tcPr>
          <w:p w14:paraId="24A3D4C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9"/>
                <w:rFonts w:hint="default" w:ascii="Times New Roman" w:hAnsi="Times New Roman" w:cs="Times New Roman"/>
                <w:b w:val="0"/>
                <w:bCs w:val="0"/>
                <w:sz w:val="21"/>
                <w:szCs w:val="21"/>
                <w:lang w:bidi="ar"/>
              </w:rPr>
              <w:t>指标得分=项目点实际使用资金/获得补助资金总额×100%*指标分值</w:t>
            </w:r>
            <w:r>
              <w:rPr>
                <w:rStyle w:val="30"/>
                <w:rFonts w:hint="default" w:ascii="Times New Roman" w:hAnsi="Times New Roman" w:cs="Times New Roman"/>
                <w:b w:val="0"/>
                <w:bCs w:val="0"/>
                <w:color w:val="000000"/>
                <w:sz w:val="21"/>
                <w:szCs w:val="21"/>
                <w:lang w:bidi="ar"/>
              </w:rPr>
              <w:t>（后补助资金可不考核本指标）</w:t>
            </w:r>
          </w:p>
        </w:tc>
        <w:tc>
          <w:tcPr>
            <w:tcW w:w="1483" w:type="dxa"/>
            <w:noWrap w:val="0"/>
            <w:vAlign w:val="center"/>
          </w:tcPr>
          <w:p w14:paraId="3F8EAF0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不涉及的将分数调整到预算执行率内（6分）</w:t>
            </w:r>
          </w:p>
        </w:tc>
        <w:tc>
          <w:tcPr>
            <w:tcW w:w="404" w:type="dxa"/>
            <w:noWrap w:val="0"/>
            <w:vAlign w:val="center"/>
          </w:tcPr>
          <w:p w14:paraId="1DF3A94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14EC2930">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154C334B">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68DC809C">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DD7B045">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80866F7">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5FBFBB9F">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092AB2E2">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p>
        </w:tc>
      </w:tr>
      <w:tr w14:paraId="60AB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restart"/>
            <w:noWrap w:val="0"/>
            <w:vAlign w:val="center"/>
          </w:tcPr>
          <w:p w14:paraId="357D5AF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产出指标（20分）</w:t>
            </w:r>
          </w:p>
        </w:tc>
        <w:tc>
          <w:tcPr>
            <w:tcW w:w="350" w:type="dxa"/>
            <w:vMerge w:val="restart"/>
            <w:noWrap w:val="0"/>
            <w:vAlign w:val="center"/>
          </w:tcPr>
          <w:p w14:paraId="3ED32C5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所有项目</w:t>
            </w:r>
          </w:p>
        </w:tc>
        <w:tc>
          <w:tcPr>
            <w:tcW w:w="654" w:type="dxa"/>
            <w:noWrap w:val="0"/>
            <w:vAlign w:val="center"/>
          </w:tcPr>
          <w:p w14:paraId="3686D7C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数量指标</w:t>
            </w:r>
          </w:p>
          <w:p w14:paraId="20163CB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1803" w:type="dxa"/>
            <w:noWrap w:val="0"/>
            <w:vAlign w:val="center"/>
          </w:tcPr>
          <w:p w14:paraId="19F8E55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bidi="ar"/>
              </w:rPr>
              <w:t>全区有线广播电视信号传输维护自然村数量</w:t>
            </w:r>
          </w:p>
        </w:tc>
        <w:tc>
          <w:tcPr>
            <w:tcW w:w="607" w:type="dxa"/>
            <w:noWrap w:val="0"/>
            <w:vAlign w:val="center"/>
          </w:tcPr>
          <w:p w14:paraId="0E879CD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28B044D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=931个</w:t>
            </w:r>
          </w:p>
        </w:tc>
        <w:tc>
          <w:tcPr>
            <w:tcW w:w="691" w:type="dxa"/>
            <w:noWrap w:val="0"/>
            <w:vAlign w:val="center"/>
          </w:tcPr>
          <w:p w14:paraId="3CCF0DD2">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931</w:t>
            </w:r>
          </w:p>
        </w:tc>
        <w:tc>
          <w:tcPr>
            <w:tcW w:w="894" w:type="dxa"/>
            <w:noWrap w:val="0"/>
            <w:vAlign w:val="center"/>
          </w:tcPr>
          <w:p w14:paraId="2186676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vMerge w:val="restart"/>
            <w:noWrap w:val="0"/>
            <w:vAlign w:val="center"/>
          </w:tcPr>
          <w:p w14:paraId="31EF1A01">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61D18F97">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1E32B8D6">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2856ECB">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745FC6A2">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36DE5696">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36935945">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6986FC4">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781D4116">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171053EA">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70C4E095">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w:t>
            </w:r>
          </w:p>
        </w:tc>
      </w:tr>
      <w:tr w14:paraId="6C06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16" w:type="dxa"/>
            <w:vMerge w:val="continue"/>
            <w:noWrap w:val="0"/>
            <w:vAlign w:val="center"/>
          </w:tcPr>
          <w:p w14:paraId="3B2B65B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350" w:type="dxa"/>
            <w:vMerge w:val="continue"/>
            <w:noWrap w:val="0"/>
            <w:vAlign w:val="center"/>
          </w:tcPr>
          <w:p w14:paraId="4D7AF45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654" w:type="dxa"/>
            <w:noWrap w:val="0"/>
            <w:vAlign w:val="center"/>
          </w:tcPr>
          <w:p w14:paraId="4F39B1F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val="en-US" w:eastAsia="zh-CN" w:bidi="ar"/>
              </w:rPr>
              <w:t>时效指标</w:t>
            </w:r>
          </w:p>
        </w:tc>
        <w:tc>
          <w:tcPr>
            <w:tcW w:w="1803" w:type="dxa"/>
            <w:noWrap w:val="0"/>
            <w:vAlign w:val="center"/>
          </w:tcPr>
          <w:p w14:paraId="33B5B28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bidi="ar"/>
              </w:rPr>
              <w:t>运维工作开展及时率</w:t>
            </w:r>
          </w:p>
        </w:tc>
        <w:tc>
          <w:tcPr>
            <w:tcW w:w="607" w:type="dxa"/>
            <w:noWrap w:val="0"/>
            <w:vAlign w:val="center"/>
          </w:tcPr>
          <w:p w14:paraId="08A16C0E">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7E3ADD9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691" w:type="dxa"/>
            <w:noWrap w:val="0"/>
            <w:vAlign w:val="center"/>
          </w:tcPr>
          <w:p w14:paraId="7E347ADF">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894" w:type="dxa"/>
            <w:noWrap w:val="0"/>
            <w:vAlign w:val="center"/>
          </w:tcPr>
          <w:p w14:paraId="2A04005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vMerge w:val="continue"/>
            <w:noWrap w:val="0"/>
            <w:vAlign w:val="center"/>
          </w:tcPr>
          <w:p w14:paraId="553548E6">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181E715D">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0274942A">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301203C">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1D028B31">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1F0D27AC">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A0907E2">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FC2C788">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321D080F">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BB6ED20">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493FF28E">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w:t>
            </w:r>
          </w:p>
        </w:tc>
      </w:tr>
      <w:tr w14:paraId="24E6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16" w:type="dxa"/>
            <w:vMerge w:val="continue"/>
            <w:noWrap w:val="0"/>
            <w:vAlign w:val="center"/>
          </w:tcPr>
          <w:p w14:paraId="6201ACE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350" w:type="dxa"/>
            <w:vMerge w:val="restart"/>
            <w:noWrap w:val="0"/>
            <w:vAlign w:val="center"/>
          </w:tcPr>
          <w:p w14:paraId="61755C4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654" w:type="dxa"/>
            <w:noWrap w:val="0"/>
            <w:vAlign w:val="center"/>
          </w:tcPr>
          <w:p w14:paraId="33C02C2C">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质量指标</w:t>
            </w:r>
          </w:p>
        </w:tc>
        <w:tc>
          <w:tcPr>
            <w:tcW w:w="1803" w:type="dxa"/>
            <w:noWrap w:val="0"/>
            <w:vAlign w:val="center"/>
          </w:tcPr>
          <w:p w14:paraId="1A03510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bidi="ar"/>
              </w:rPr>
              <w:t>维护工作达标率</w:t>
            </w:r>
          </w:p>
        </w:tc>
        <w:tc>
          <w:tcPr>
            <w:tcW w:w="607" w:type="dxa"/>
            <w:noWrap w:val="0"/>
            <w:vAlign w:val="center"/>
          </w:tcPr>
          <w:p w14:paraId="04E1A7A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33C8389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bidi="ar"/>
              </w:rPr>
              <w:t>≥95%</w:t>
            </w:r>
          </w:p>
        </w:tc>
        <w:tc>
          <w:tcPr>
            <w:tcW w:w="691" w:type="dxa"/>
            <w:noWrap w:val="0"/>
            <w:vAlign w:val="center"/>
          </w:tcPr>
          <w:p w14:paraId="365E5D2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97%</w:t>
            </w:r>
          </w:p>
        </w:tc>
        <w:tc>
          <w:tcPr>
            <w:tcW w:w="894" w:type="dxa"/>
            <w:noWrap w:val="0"/>
            <w:vAlign w:val="center"/>
          </w:tcPr>
          <w:p w14:paraId="6793B47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noWrap w:val="0"/>
            <w:vAlign w:val="center"/>
          </w:tcPr>
          <w:p w14:paraId="0B81C705">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0BAF9C92">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4149E2F6">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42CD6E0B">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1D1C2C82">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50C4831E">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49F008DB">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562C087F">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01DA97D7">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7A0F1EC7">
            <w:pPr>
              <w:snapToGrid w:val="0"/>
              <w:spacing w:line="240" w:lineRule="atLeast"/>
              <w:rPr>
                <w:rFonts w:hint="default" w:ascii="Times New Roman" w:hAnsi="Times New Roman" w:cs="Times New Roman"/>
                <w:b w:val="0"/>
                <w:bCs w:val="0"/>
                <w:color w:val="000000"/>
                <w:sz w:val="21"/>
                <w:szCs w:val="21"/>
              </w:rPr>
            </w:pPr>
          </w:p>
        </w:tc>
        <w:tc>
          <w:tcPr>
            <w:tcW w:w="840" w:type="dxa"/>
            <w:vMerge w:val="restart"/>
            <w:noWrap/>
            <w:vAlign w:val="center"/>
          </w:tcPr>
          <w:p w14:paraId="579CF859">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w:t>
            </w:r>
          </w:p>
        </w:tc>
      </w:tr>
      <w:tr w14:paraId="6A97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716" w:type="dxa"/>
            <w:vMerge w:val="continue"/>
            <w:noWrap w:val="0"/>
            <w:vAlign w:val="center"/>
          </w:tcPr>
          <w:p w14:paraId="2ED8FEC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350" w:type="dxa"/>
            <w:vMerge w:val="continue"/>
            <w:noWrap w:val="0"/>
            <w:vAlign w:val="center"/>
          </w:tcPr>
          <w:p w14:paraId="0374518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654" w:type="dxa"/>
            <w:noWrap w:val="0"/>
            <w:vAlign w:val="center"/>
          </w:tcPr>
          <w:p w14:paraId="7459847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经济成本指标</w:t>
            </w:r>
          </w:p>
        </w:tc>
        <w:tc>
          <w:tcPr>
            <w:tcW w:w="1803" w:type="dxa"/>
            <w:noWrap w:val="0"/>
            <w:vAlign w:val="center"/>
          </w:tcPr>
          <w:p w14:paraId="30CC2A1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项目成本</w:t>
            </w:r>
          </w:p>
        </w:tc>
        <w:tc>
          <w:tcPr>
            <w:tcW w:w="607" w:type="dxa"/>
            <w:noWrap w:val="0"/>
            <w:vAlign w:val="center"/>
          </w:tcPr>
          <w:p w14:paraId="6AE59C0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3F766A94">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≤84.818万元</w:t>
            </w:r>
          </w:p>
        </w:tc>
        <w:tc>
          <w:tcPr>
            <w:tcW w:w="691" w:type="dxa"/>
            <w:noWrap w:val="0"/>
            <w:vAlign w:val="center"/>
          </w:tcPr>
          <w:p w14:paraId="77BA12DC">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84.818万元</w:t>
            </w:r>
          </w:p>
        </w:tc>
        <w:tc>
          <w:tcPr>
            <w:tcW w:w="894" w:type="dxa"/>
            <w:noWrap w:val="0"/>
            <w:vAlign w:val="center"/>
          </w:tcPr>
          <w:p w14:paraId="33F6CFC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noWrap w:val="0"/>
            <w:vAlign w:val="center"/>
          </w:tcPr>
          <w:p w14:paraId="4F5917F8">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39A513FE">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7C057E06">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0FC75CFC">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2E55ADC0">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285E520">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19EC0255">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F7F26F2">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4D30D1EF">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7FBB6F05">
            <w:pPr>
              <w:snapToGrid w:val="0"/>
              <w:spacing w:line="240" w:lineRule="atLeast"/>
              <w:rPr>
                <w:rFonts w:hint="eastAsia" w:ascii="Times New Roman" w:hAnsi="Times New Roman" w:eastAsia="宋体" w:cs="Times New Roman"/>
                <w:b w:val="0"/>
                <w:bCs w:val="0"/>
                <w:color w:val="000000"/>
                <w:sz w:val="21"/>
                <w:szCs w:val="21"/>
                <w:lang w:val="en-US" w:eastAsia="zh-CN"/>
              </w:rPr>
            </w:pPr>
          </w:p>
        </w:tc>
        <w:tc>
          <w:tcPr>
            <w:tcW w:w="840" w:type="dxa"/>
            <w:noWrap/>
            <w:vAlign w:val="center"/>
          </w:tcPr>
          <w:p w14:paraId="0729F9AC">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w:t>
            </w:r>
          </w:p>
        </w:tc>
      </w:tr>
      <w:tr w14:paraId="0326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16" w:type="dxa"/>
            <w:vMerge w:val="restart"/>
            <w:noWrap w:val="0"/>
            <w:vAlign w:val="center"/>
          </w:tcPr>
          <w:p w14:paraId="62C52359">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效益指标（50分）</w:t>
            </w:r>
          </w:p>
        </w:tc>
        <w:tc>
          <w:tcPr>
            <w:tcW w:w="350" w:type="dxa"/>
            <w:vMerge w:val="restart"/>
            <w:noWrap w:val="0"/>
            <w:vAlign w:val="center"/>
          </w:tcPr>
          <w:p w14:paraId="1211140C">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至少填写一栏效益</w:t>
            </w:r>
          </w:p>
        </w:tc>
        <w:tc>
          <w:tcPr>
            <w:tcW w:w="654" w:type="dxa"/>
            <w:vMerge w:val="restart"/>
            <w:noWrap w:val="0"/>
            <w:vAlign w:val="center"/>
          </w:tcPr>
          <w:p w14:paraId="490D4D1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val="en-US" w:eastAsia="zh-CN" w:bidi="ar"/>
              </w:rPr>
              <w:t>社会效益指标</w:t>
            </w:r>
          </w:p>
        </w:tc>
        <w:tc>
          <w:tcPr>
            <w:tcW w:w="1803" w:type="dxa"/>
            <w:noWrap w:val="0"/>
            <w:vAlign w:val="center"/>
          </w:tcPr>
          <w:p w14:paraId="1F9EF52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传输故障率3%</w:t>
            </w:r>
          </w:p>
        </w:tc>
        <w:tc>
          <w:tcPr>
            <w:tcW w:w="607" w:type="dxa"/>
            <w:vMerge w:val="restart"/>
            <w:noWrap w:val="0"/>
            <w:vAlign w:val="center"/>
          </w:tcPr>
          <w:p w14:paraId="13206A1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25</w:t>
            </w:r>
          </w:p>
        </w:tc>
        <w:tc>
          <w:tcPr>
            <w:tcW w:w="724" w:type="dxa"/>
            <w:noWrap w:val="0"/>
            <w:vAlign w:val="center"/>
          </w:tcPr>
          <w:p w14:paraId="6BBB486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691" w:type="dxa"/>
            <w:noWrap w:val="0"/>
            <w:vAlign w:val="center"/>
          </w:tcPr>
          <w:p w14:paraId="3A77AC2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3%</w:t>
            </w:r>
          </w:p>
        </w:tc>
        <w:tc>
          <w:tcPr>
            <w:tcW w:w="894" w:type="dxa"/>
            <w:noWrap w:val="0"/>
            <w:vAlign w:val="center"/>
          </w:tcPr>
          <w:p w14:paraId="0AA01557">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noWrap w:val="0"/>
            <w:vAlign w:val="center"/>
          </w:tcPr>
          <w:p w14:paraId="3B7C39B3">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1D6979F4">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0DD09093">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ED720D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69DE1508">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BC435E7">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028033C">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01D1276">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F023A9A">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7A0612CA">
            <w:pPr>
              <w:snapToGrid w:val="0"/>
              <w:spacing w:line="240" w:lineRule="atLeast"/>
              <w:rPr>
                <w:rFonts w:hint="default" w:ascii="Times New Roman" w:hAnsi="Times New Roman" w:cs="Times New Roman"/>
                <w:b w:val="0"/>
                <w:bCs w:val="0"/>
                <w:color w:val="000000"/>
                <w:sz w:val="21"/>
                <w:szCs w:val="21"/>
              </w:rPr>
            </w:pPr>
          </w:p>
        </w:tc>
        <w:tc>
          <w:tcPr>
            <w:tcW w:w="840" w:type="dxa"/>
            <w:vMerge w:val="restart"/>
            <w:noWrap/>
            <w:vAlign w:val="center"/>
          </w:tcPr>
          <w:p w14:paraId="1BBEC4EC">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25</w:t>
            </w:r>
          </w:p>
        </w:tc>
      </w:tr>
      <w:tr w14:paraId="7EB4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16" w:type="dxa"/>
            <w:vMerge w:val="continue"/>
            <w:noWrap w:val="0"/>
            <w:vAlign w:val="center"/>
          </w:tcPr>
          <w:p w14:paraId="75E1091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350" w:type="dxa"/>
            <w:vMerge w:val="continue"/>
            <w:noWrap w:val="0"/>
            <w:vAlign w:val="center"/>
          </w:tcPr>
          <w:p w14:paraId="060F3E62">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654" w:type="dxa"/>
            <w:vMerge w:val="continue"/>
            <w:noWrap w:val="0"/>
            <w:vAlign w:val="center"/>
          </w:tcPr>
          <w:p w14:paraId="2E5BE51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p>
        </w:tc>
        <w:tc>
          <w:tcPr>
            <w:tcW w:w="1803" w:type="dxa"/>
            <w:noWrap w:val="0"/>
            <w:vAlign w:val="center"/>
          </w:tcPr>
          <w:p w14:paraId="5544DA63">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维护范围覆盖率</w:t>
            </w:r>
          </w:p>
        </w:tc>
        <w:tc>
          <w:tcPr>
            <w:tcW w:w="607" w:type="dxa"/>
            <w:vMerge w:val="continue"/>
            <w:noWrap w:val="0"/>
            <w:vAlign w:val="center"/>
          </w:tcPr>
          <w:p w14:paraId="564492A2">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p>
        </w:tc>
        <w:tc>
          <w:tcPr>
            <w:tcW w:w="724" w:type="dxa"/>
            <w:noWrap w:val="0"/>
            <w:vAlign w:val="center"/>
          </w:tcPr>
          <w:p w14:paraId="4BBBCA2D">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691" w:type="dxa"/>
            <w:noWrap w:val="0"/>
            <w:vAlign w:val="center"/>
          </w:tcPr>
          <w:p w14:paraId="6591D0F9">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894" w:type="dxa"/>
            <w:noWrap w:val="0"/>
            <w:vAlign w:val="center"/>
          </w:tcPr>
          <w:p w14:paraId="28925CE2">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noWrap w:val="0"/>
            <w:vAlign w:val="center"/>
          </w:tcPr>
          <w:p w14:paraId="1BC0C042">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669C03B4">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709604EB">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6C9C3494">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371" w:type="dxa"/>
            <w:noWrap w:val="0"/>
            <w:vAlign w:val="center"/>
          </w:tcPr>
          <w:p w14:paraId="13F691B5">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4982515E">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72E60060">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9020121">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3B2B46BF">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4D65F08">
            <w:pPr>
              <w:snapToGrid w:val="0"/>
              <w:spacing w:line="240" w:lineRule="atLeast"/>
              <w:rPr>
                <w:rFonts w:hint="default" w:ascii="Times New Roman" w:hAnsi="Times New Roman" w:cs="Times New Roman"/>
                <w:b w:val="0"/>
                <w:bCs w:val="0"/>
                <w:color w:val="000000"/>
                <w:sz w:val="21"/>
                <w:szCs w:val="21"/>
              </w:rPr>
            </w:pPr>
          </w:p>
        </w:tc>
        <w:tc>
          <w:tcPr>
            <w:tcW w:w="840" w:type="dxa"/>
            <w:vMerge w:val="continue"/>
            <w:noWrap/>
            <w:vAlign w:val="center"/>
          </w:tcPr>
          <w:p w14:paraId="18D6E4EE">
            <w:pPr>
              <w:snapToGrid w:val="0"/>
              <w:spacing w:line="240" w:lineRule="atLeast"/>
              <w:jc w:val="center"/>
              <w:rPr>
                <w:rFonts w:hint="eastAsia" w:ascii="Times New Roman" w:hAnsi="Times New Roman" w:cs="Times New Roman"/>
                <w:b w:val="0"/>
                <w:bCs w:val="0"/>
                <w:color w:val="000000"/>
                <w:sz w:val="21"/>
                <w:szCs w:val="21"/>
                <w:lang w:val="en-US" w:eastAsia="zh-CN"/>
              </w:rPr>
            </w:pPr>
          </w:p>
        </w:tc>
      </w:tr>
      <w:tr w14:paraId="7845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16" w:type="dxa"/>
            <w:vMerge w:val="continue"/>
            <w:noWrap w:val="0"/>
            <w:vAlign w:val="center"/>
          </w:tcPr>
          <w:p w14:paraId="44C2521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350" w:type="dxa"/>
            <w:vMerge w:val="continue"/>
            <w:noWrap w:val="0"/>
            <w:vAlign w:val="center"/>
          </w:tcPr>
          <w:p w14:paraId="0B48D61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654" w:type="dxa"/>
            <w:noWrap w:val="0"/>
            <w:vAlign w:val="center"/>
          </w:tcPr>
          <w:p w14:paraId="026CAF69">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val="en-US" w:eastAsia="zh-CN" w:bidi="ar"/>
              </w:rPr>
              <w:t>可持续影响指标</w:t>
            </w:r>
          </w:p>
        </w:tc>
        <w:tc>
          <w:tcPr>
            <w:tcW w:w="1803" w:type="dxa"/>
            <w:noWrap w:val="0"/>
            <w:vAlign w:val="center"/>
          </w:tcPr>
          <w:p w14:paraId="4C69A6B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项目管理制度健全</w:t>
            </w:r>
          </w:p>
        </w:tc>
        <w:tc>
          <w:tcPr>
            <w:tcW w:w="607" w:type="dxa"/>
            <w:noWrap w:val="0"/>
            <w:vAlign w:val="center"/>
          </w:tcPr>
          <w:p w14:paraId="2FFC22C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25</w:t>
            </w:r>
          </w:p>
        </w:tc>
        <w:tc>
          <w:tcPr>
            <w:tcW w:w="724" w:type="dxa"/>
            <w:noWrap w:val="0"/>
            <w:vAlign w:val="center"/>
          </w:tcPr>
          <w:p w14:paraId="5723DD60">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好</w:t>
            </w:r>
          </w:p>
        </w:tc>
        <w:tc>
          <w:tcPr>
            <w:tcW w:w="691" w:type="dxa"/>
            <w:noWrap w:val="0"/>
            <w:vAlign w:val="center"/>
          </w:tcPr>
          <w:p w14:paraId="68A5C57A">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稳步提升</w:t>
            </w:r>
          </w:p>
        </w:tc>
        <w:tc>
          <w:tcPr>
            <w:tcW w:w="894" w:type="dxa"/>
            <w:noWrap w:val="0"/>
            <w:vAlign w:val="center"/>
          </w:tcPr>
          <w:p w14:paraId="115BC8A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404" w:type="dxa"/>
            <w:noWrap w:val="0"/>
            <w:vAlign w:val="center"/>
          </w:tcPr>
          <w:p w14:paraId="13FDC8D6">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3D5B326D">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78E8EC26">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7CDBA537">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76A35CFE">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128CFCC5">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16D3B384">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54D1020">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B260CDC">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7D571443">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26E9DDA2">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25</w:t>
            </w:r>
          </w:p>
        </w:tc>
      </w:tr>
      <w:tr w14:paraId="2569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noWrap w:val="0"/>
            <w:vAlign w:val="center"/>
          </w:tcPr>
          <w:p w14:paraId="7194BBB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满意度（10分）</w:t>
            </w:r>
          </w:p>
        </w:tc>
        <w:tc>
          <w:tcPr>
            <w:tcW w:w="350" w:type="dxa"/>
            <w:noWrap w:val="0"/>
            <w:vAlign w:val="center"/>
          </w:tcPr>
          <w:p w14:paraId="02C1B2B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bidi="ar"/>
              </w:rPr>
              <w:t>所有项目</w:t>
            </w:r>
          </w:p>
        </w:tc>
        <w:tc>
          <w:tcPr>
            <w:tcW w:w="654" w:type="dxa"/>
            <w:noWrap w:val="0"/>
            <w:vAlign w:val="center"/>
          </w:tcPr>
          <w:p w14:paraId="08FC430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r>
              <w:rPr>
                <w:rFonts w:hint="default" w:ascii="Times New Roman" w:hAnsi="Times New Roman" w:eastAsia="宋体" w:cs="Times New Roman"/>
                <w:b w:val="0"/>
                <w:bCs w:val="0"/>
                <w:color w:val="000000"/>
                <w:sz w:val="21"/>
                <w:szCs w:val="21"/>
                <w:lang w:val="en-US" w:eastAsia="zh-CN" w:bidi="ar"/>
              </w:rPr>
              <w:t>服务对象满意度指标</w:t>
            </w:r>
          </w:p>
        </w:tc>
        <w:tc>
          <w:tcPr>
            <w:tcW w:w="1803" w:type="dxa"/>
            <w:noWrap w:val="0"/>
            <w:vAlign w:val="center"/>
          </w:tcPr>
          <w:p w14:paraId="3C0B3D6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Times New Roman" w:hAnsi="Times New Roman" w:eastAsia="宋体" w:cs="Times New Roman"/>
                <w:b w:val="0"/>
                <w:bCs w:val="0"/>
                <w:color w:val="000000"/>
                <w:sz w:val="21"/>
                <w:szCs w:val="21"/>
                <w:lang w:val="en-US" w:eastAsia="zh-CN" w:bidi="ar"/>
              </w:rPr>
              <w:t>受惠群众满意度</w:t>
            </w:r>
          </w:p>
        </w:tc>
        <w:tc>
          <w:tcPr>
            <w:tcW w:w="607" w:type="dxa"/>
            <w:noWrap w:val="0"/>
            <w:vAlign w:val="center"/>
          </w:tcPr>
          <w:p w14:paraId="4A383CC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w:t>
            </w:r>
          </w:p>
        </w:tc>
        <w:tc>
          <w:tcPr>
            <w:tcW w:w="724" w:type="dxa"/>
            <w:noWrap w:val="0"/>
            <w:vAlign w:val="center"/>
          </w:tcPr>
          <w:p w14:paraId="461D3BE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≥95%</w:t>
            </w:r>
          </w:p>
        </w:tc>
        <w:tc>
          <w:tcPr>
            <w:tcW w:w="691" w:type="dxa"/>
            <w:noWrap w:val="0"/>
            <w:vAlign w:val="center"/>
          </w:tcPr>
          <w:p w14:paraId="6C1B4039">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99%</w:t>
            </w:r>
          </w:p>
        </w:tc>
        <w:tc>
          <w:tcPr>
            <w:tcW w:w="894" w:type="dxa"/>
            <w:noWrap w:val="0"/>
            <w:vAlign w:val="center"/>
          </w:tcPr>
          <w:p w14:paraId="2B09D55E">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p>
        </w:tc>
        <w:tc>
          <w:tcPr>
            <w:tcW w:w="404" w:type="dxa"/>
            <w:noWrap w:val="0"/>
            <w:vAlign w:val="center"/>
          </w:tcPr>
          <w:p w14:paraId="147875DD">
            <w:pPr>
              <w:snapToGrid w:val="0"/>
              <w:spacing w:line="240" w:lineRule="atLeast"/>
              <w:rPr>
                <w:rFonts w:hint="default" w:ascii="Times New Roman" w:hAnsi="Times New Roman" w:cs="Times New Roman"/>
                <w:b w:val="0"/>
                <w:bCs w:val="0"/>
                <w:color w:val="000000"/>
                <w:sz w:val="21"/>
                <w:szCs w:val="21"/>
              </w:rPr>
            </w:pPr>
          </w:p>
        </w:tc>
        <w:tc>
          <w:tcPr>
            <w:tcW w:w="2225" w:type="dxa"/>
            <w:gridSpan w:val="5"/>
            <w:noWrap w:val="0"/>
            <w:vAlign w:val="center"/>
          </w:tcPr>
          <w:p w14:paraId="3392E91D">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1AEC0233">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579FF00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5A257AA6">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45DF158C">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5EF20ACA">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91E7E98">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6587596A">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012F59DA">
            <w:pPr>
              <w:snapToGrid w:val="0"/>
              <w:spacing w:line="240" w:lineRule="atLeast"/>
              <w:rPr>
                <w:rFonts w:hint="default" w:ascii="Times New Roman" w:hAnsi="Times New Roman" w:cs="Times New Roman"/>
                <w:b w:val="0"/>
                <w:bCs w:val="0"/>
                <w:color w:val="000000"/>
                <w:sz w:val="21"/>
                <w:szCs w:val="21"/>
              </w:rPr>
            </w:pPr>
          </w:p>
        </w:tc>
        <w:tc>
          <w:tcPr>
            <w:tcW w:w="840" w:type="dxa"/>
            <w:noWrap/>
            <w:vAlign w:val="center"/>
          </w:tcPr>
          <w:p w14:paraId="0C83D906">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w:t>
            </w:r>
          </w:p>
        </w:tc>
      </w:tr>
    </w:tbl>
    <w:p w14:paraId="5C81A517">
      <w:pPr>
        <w:pStyle w:val="4"/>
        <w:rPr>
          <w:rFonts w:hint="eastAsia"/>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144C2F9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方正小标宋简体" w:cs="Times New Roman"/>
          <w:color w:val="auto"/>
          <w:kern w:val="0"/>
          <w:sz w:val="44"/>
          <w:szCs w:val="44"/>
          <w:shd w:val="clear" w:color="auto" w:fill="FFFFFF"/>
        </w:rPr>
        <w:t>专项</w:t>
      </w:r>
      <w:r>
        <w:rPr>
          <w:rFonts w:hint="eastAsia" w:ascii="方正小标宋简体" w:hAnsi="方正小标宋简体" w:eastAsia="方正小标宋简体" w:cs="方正小标宋简体"/>
          <w:sz w:val="44"/>
          <w:szCs w:val="44"/>
        </w:rPr>
        <w:t>预算项目支出绩效自评报告</w:t>
      </w:r>
    </w:p>
    <w:p w14:paraId="72F2CE16">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（美术馆</w:t>
      </w:r>
      <w:r>
        <w:rPr>
          <w:rFonts w:hint="eastAsia" w:ascii="方正小标宋简体" w:hAnsi="方正小标宋简体" w:eastAsia="方正小标宋简体" w:cs="方正小标宋简体"/>
          <w:sz w:val="44"/>
          <w:szCs w:val="44"/>
        </w:rPr>
        <w:t>免费开放项目</w:t>
      </w:r>
      <w:r>
        <w:rPr>
          <w:rFonts w:hint="eastAsia" w:ascii="方正小标宋简体" w:hAnsi="方正小标宋简体" w:eastAsia="方正小标宋简体" w:cs="方正小标宋简体"/>
          <w:sz w:val="44"/>
          <w:szCs w:val="44"/>
          <w:lang w:eastAsia="zh-CN"/>
        </w:rPr>
        <w:t>）</w:t>
      </w:r>
    </w:p>
    <w:p w14:paraId="3D1257BE">
      <w:pPr>
        <w:keepNext w:val="0"/>
        <w:keepLines w:val="0"/>
        <w:pageBreakBefore w:val="0"/>
        <w:kinsoku/>
        <w:wordWrap/>
        <w:overflowPunct w:val="0"/>
        <w:topLinePunct w:val="0"/>
        <w:autoSpaceDE/>
        <w:autoSpaceDN/>
        <w:bidi w:val="0"/>
        <w:adjustRightInd/>
        <w:snapToGrid w:val="0"/>
        <w:spacing w:line="560" w:lineRule="exact"/>
        <w:jc w:val="both"/>
        <w:textAlignment w:val="auto"/>
        <w:rPr>
          <w:rFonts w:hint="default" w:ascii="Times New Roman" w:hAnsi="Times New Roman" w:eastAsia="仿宋_GB2312"/>
          <w:color w:val="auto"/>
          <w:kern w:val="2"/>
          <w:sz w:val="32"/>
          <w:szCs w:val="32"/>
        </w:rPr>
      </w:pPr>
    </w:p>
    <w:p w14:paraId="08DD4A31">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lang w:val="zh-CN"/>
        </w:rPr>
      </w:pPr>
      <w:r>
        <w:rPr>
          <w:rFonts w:hint="default" w:ascii="Times New Roman" w:hAnsi="Times New Roman" w:eastAsia="黑体"/>
          <w:sz w:val="32"/>
          <w:szCs w:val="32"/>
        </w:rPr>
        <w:t>一、</w:t>
      </w:r>
      <w:r>
        <w:rPr>
          <w:rFonts w:hint="default" w:ascii="Times New Roman" w:hAnsi="Times New Roman" w:eastAsia="黑体"/>
          <w:sz w:val="32"/>
          <w:szCs w:val="32"/>
          <w:lang w:val="zh-CN"/>
        </w:rPr>
        <w:t>项目概况</w:t>
      </w:r>
    </w:p>
    <w:p w14:paraId="72525716">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default" w:ascii="Times New Roman" w:hAnsi="Times New Roman" w:eastAsia="楷体_GB2312"/>
          <w:b/>
          <w:bCs/>
          <w:sz w:val="32"/>
          <w:szCs w:val="32"/>
          <w:lang w:val="zh-CN"/>
        </w:rPr>
        <w:t>（一）项目基本情况</w:t>
      </w:r>
    </w:p>
    <w:p w14:paraId="758F23F0">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楷体_GB2312"/>
          <w:b/>
          <w:bCs/>
          <w:sz w:val="32"/>
          <w:szCs w:val="32"/>
          <w:lang w:val="zh-CN"/>
        </w:rPr>
      </w:pPr>
      <w:r>
        <w:rPr>
          <w:rFonts w:hint="eastAsia" w:ascii="仿宋_GB2312" w:hAnsi="仿宋_GB2312" w:eastAsia="仿宋_GB2312" w:cs="仿宋_GB2312"/>
          <w:b w:val="0"/>
          <w:bCs w:val="0"/>
          <w:kern w:val="0"/>
          <w:sz w:val="32"/>
          <w:szCs w:val="32"/>
          <w:lang w:val="en-US" w:eastAsia="zh-CN"/>
        </w:rPr>
        <w:t>船山区美术馆作为我局下属的财政全额拨款公益性事业单位。主要承担美术馆免费开放日常管理、公益性培训、学术交流、各类展览等职能。我局作为其行政主管部门，严格遵循财政部、文化部印发的《中央补助地方美术馆、公共图书馆、文化馆（站）免费开放专项资金管理暂行办法》及省、市财政和文化部门关于公共文化场馆免费开放的相关规定，按照“统筹规划、分级管理、专款专用、追踪问效”的原则，由局党组按程序研究审核监督各类活动开展和资金使用</w:t>
      </w:r>
      <w:r>
        <w:rPr>
          <w:rFonts w:hint="eastAsia" w:ascii="仿宋_GB2312" w:hAnsi="仿宋_GB2312" w:eastAsia="仿宋_GB2312" w:cs="仿宋_GB2312"/>
          <w:b w:val="0"/>
          <w:bCs w:val="0"/>
          <w:kern w:val="0"/>
          <w:sz w:val="32"/>
          <w:szCs w:val="32"/>
          <w:lang w:val="zh-CN" w:eastAsia="zh-CN"/>
        </w:rPr>
        <w:t>，</w:t>
      </w:r>
      <w:r>
        <w:rPr>
          <w:rFonts w:hint="eastAsia" w:ascii="仿宋_GB2312" w:hAnsi="仿宋_GB2312" w:eastAsia="仿宋_GB2312" w:cs="仿宋_GB2312"/>
          <w:b w:val="0"/>
          <w:bCs w:val="0"/>
          <w:kern w:val="0"/>
          <w:sz w:val="32"/>
          <w:szCs w:val="32"/>
          <w:lang w:val="en-US" w:eastAsia="zh-CN"/>
        </w:rPr>
        <w:t>确保所有资金全部用于区美术馆免费开放保障及各类活动开展</w:t>
      </w:r>
      <w:r>
        <w:rPr>
          <w:rFonts w:hint="eastAsia" w:ascii="仿宋_GB2312" w:hAnsi="仿宋_GB2312" w:eastAsia="仿宋_GB2312" w:cs="仿宋_GB2312"/>
          <w:b w:val="0"/>
          <w:bCs w:val="0"/>
          <w:kern w:val="0"/>
          <w:sz w:val="32"/>
          <w:szCs w:val="32"/>
          <w:lang w:val="zh-CN" w:eastAsia="zh-CN"/>
        </w:rPr>
        <w:t>。</w:t>
      </w:r>
    </w:p>
    <w:p w14:paraId="1AB5A48E">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（二）项目绩效目标</w:t>
      </w:r>
    </w:p>
    <w:p w14:paraId="50C8D573">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船山区美术馆面向全区基层群众，提供免费美术活动场地、设施设备，全年对外免费开放不低于300天，每周对外免费开放不低于56小时，并实行延时错时开放。根据年初工作计划开展全年以“墨彩船山”品牌为统揽，“两训、两展、三进、两交流”为重点的各类公益性公共美术服务活动，为常驻馆内的5个名家工作室和未常驻的美术爱好者提供场地和设备服务。通过“遂宁市船山区美术馆”网站及微网页，提供美术资源资金支出率大于90%，受惠群众满意度大于98%。</w:t>
      </w:r>
    </w:p>
    <w:p w14:paraId="5CF67E52">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为保障该项目高质量完成，该项目从数量、质量、时效、成本、社会效益、可持续影响、满意度等多个维度对项目实现目标进行了量化，且申报内容与实际相符，目标具有可行性。</w:t>
      </w:r>
    </w:p>
    <w:p w14:paraId="4A66789B">
      <w:pPr>
        <w:keepNext w:val="0"/>
        <w:keepLines w:val="0"/>
        <w:pageBreakBefore w:val="0"/>
        <w:widowControl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kern w:val="0"/>
          <w:sz w:val="32"/>
          <w:szCs w:val="32"/>
          <w:lang w:val="zh-CN" w:eastAsia="zh-CN"/>
        </w:rPr>
      </w:pPr>
      <w:r>
        <w:rPr>
          <w:rFonts w:hint="default" w:ascii="楷体_GB2312" w:hAnsi="楷体_GB2312" w:eastAsia="楷体_GB2312" w:cs="楷体_GB2312"/>
          <w:b/>
          <w:bCs/>
          <w:kern w:val="0"/>
          <w:sz w:val="32"/>
          <w:szCs w:val="32"/>
          <w:lang w:val="zh-CN" w:eastAsia="zh-CN"/>
        </w:rPr>
        <w:t>（三）项目自评步骤及方法</w:t>
      </w:r>
    </w:p>
    <w:p w14:paraId="22D7D257">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1.建立了自评工作组，以分管领导为组长，办公室负责人为副组长，办公室和财务等有关人员组成自评工作小组。</w:t>
      </w:r>
      <w:r>
        <w:rPr>
          <w:rFonts w:hint="eastAsia" w:ascii="仿宋_GB2312" w:hAnsi="仿宋_GB2312" w:eastAsia="仿宋_GB2312" w:cs="仿宋_GB2312"/>
          <w:b w:val="0"/>
          <w:bCs w:val="0"/>
          <w:kern w:val="0"/>
          <w:sz w:val="32"/>
          <w:szCs w:val="32"/>
          <w:lang w:val="en-US" w:eastAsia="zh-CN"/>
        </w:rPr>
        <w:tab/>
      </w:r>
    </w:p>
    <w:p w14:paraId="38A1E202">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2.组织开展项目自评工作。一是深入调查，收集资料。根据自评评价的工作计划及安排制订详细的调查提纲，并开展实际调查工作，收集评估所需的各种资料和数据。二是分析研究。采用定量和定性分析方法，针对问题进行深入分析研究。三是编制评估报告。将分析研究的结果进行汇总、整理，根据年初预算下达的项目绩效目标，逐项对标对表检查。</w:t>
      </w:r>
    </w:p>
    <w:p w14:paraId="364C76CA">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sz w:val="32"/>
          <w:szCs w:val="32"/>
          <w:lang w:val="zh-CN"/>
        </w:rPr>
      </w:pPr>
      <w:r>
        <w:rPr>
          <w:rFonts w:hint="default" w:ascii="Times New Roman" w:hAnsi="Times New Roman" w:eastAsia="黑体"/>
          <w:sz w:val="32"/>
          <w:szCs w:val="32"/>
        </w:rPr>
        <w:t>二、项目资金使用情况</w:t>
      </w:r>
    </w:p>
    <w:p w14:paraId="36508CB7">
      <w:pPr>
        <w:keepNext w:val="0"/>
        <w:keepLines w:val="0"/>
        <w:pageBreakBefore w:val="0"/>
        <w:widowControl/>
        <w:numPr>
          <w:ilvl w:val="0"/>
          <w:numId w:val="0"/>
        </w:numPr>
        <w:kinsoku/>
        <w:wordWrap/>
        <w:overflowPunct w:val="0"/>
        <w:topLinePunct w:val="0"/>
        <w:autoSpaceDE/>
        <w:autoSpaceDN/>
        <w:bidi w:val="0"/>
        <w:adjustRightInd/>
        <w:snapToGrid w:val="0"/>
        <w:spacing w:line="560" w:lineRule="exact"/>
        <w:ind w:firstLine="643" w:firstLineChars="200"/>
        <w:jc w:val="both"/>
        <w:textAlignment w:val="auto"/>
        <w:rPr>
          <w:rFonts w:hint="default" w:ascii="仿宋_GB2312" w:hAnsi="仿宋_GB2312" w:eastAsia="楷体_GB2312" w:cs="仿宋_GB2312"/>
          <w:b/>
          <w:bCs w:val="0"/>
          <w:color w:val="auto"/>
          <w:sz w:val="32"/>
          <w:szCs w:val="32"/>
          <w:lang w:val="en-US" w:eastAsia="zh-CN"/>
        </w:rPr>
      </w:pPr>
      <w:r>
        <w:rPr>
          <w:rFonts w:hint="eastAsia" w:ascii="Times New Roman" w:hAnsi="Times New Roman" w:eastAsia="楷体_GB2312"/>
          <w:b/>
          <w:bCs/>
          <w:sz w:val="32"/>
          <w:szCs w:val="32"/>
          <w:lang w:val="en-US" w:eastAsia="zh-CN"/>
        </w:rPr>
        <w:t>（一）项目</w:t>
      </w:r>
      <w:r>
        <w:rPr>
          <w:rFonts w:hint="default" w:ascii="Times New Roman" w:hAnsi="Times New Roman" w:eastAsia="楷体_GB2312"/>
          <w:b/>
          <w:bCs/>
          <w:sz w:val="32"/>
          <w:szCs w:val="32"/>
          <w:lang w:val="zh-CN" w:eastAsia="zh-CN"/>
        </w:rPr>
        <w:t>资金</w:t>
      </w:r>
      <w:r>
        <w:rPr>
          <w:rFonts w:hint="eastAsia" w:ascii="Times New Roman" w:hAnsi="Times New Roman" w:eastAsia="楷体_GB2312"/>
          <w:b/>
          <w:bCs/>
          <w:sz w:val="32"/>
          <w:szCs w:val="32"/>
          <w:lang w:val="en-US" w:eastAsia="zh-CN"/>
        </w:rPr>
        <w:t>申报及批复情况</w:t>
      </w:r>
    </w:p>
    <w:p w14:paraId="4058C9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highlight w:val="none"/>
          <w:lang w:val="en-US" w:eastAsia="zh-CN"/>
        </w:rPr>
        <w:t>《遂宁市船山区财政局关于批复2023年部门预算的通知》（遂船财发</w:t>
      </w:r>
      <w:r>
        <w:rPr>
          <w:rFonts w:hint="default" w:ascii="Times New Roman" w:hAnsi="Times New Roman" w:eastAsia="仿宋_GB2312" w:cs="Times New Roman"/>
          <w:b w:val="0"/>
          <w:bCs w:val="0"/>
          <w:kern w:val="0"/>
          <w:sz w:val="32"/>
          <w:szCs w:val="32"/>
          <w:highlight w:val="none"/>
          <w:lang w:val="en-US" w:eastAsia="zh-CN"/>
        </w:rPr>
        <w:t>〔</w:t>
      </w:r>
      <w:r>
        <w:rPr>
          <w:rFonts w:hint="eastAsia" w:ascii="仿宋_GB2312" w:hAnsi="仿宋_GB2312" w:eastAsia="仿宋_GB2312" w:cs="仿宋_GB2312"/>
          <w:b w:val="0"/>
          <w:bCs w:val="0"/>
          <w:kern w:val="0"/>
          <w:sz w:val="32"/>
          <w:szCs w:val="32"/>
          <w:highlight w:val="none"/>
          <w:lang w:val="en-US" w:eastAsia="zh-CN"/>
        </w:rPr>
        <w:t>2023</w:t>
      </w:r>
      <w:r>
        <w:rPr>
          <w:rFonts w:hint="default" w:ascii="Times New Roman" w:hAnsi="Times New Roman" w:eastAsia="仿宋_GB2312" w:cs="Times New Roman"/>
          <w:b w:val="0"/>
          <w:bCs w:val="0"/>
          <w:kern w:val="0"/>
          <w:sz w:val="32"/>
          <w:szCs w:val="32"/>
          <w:highlight w:val="none"/>
          <w:lang w:val="en-US" w:eastAsia="zh-CN"/>
        </w:rPr>
        <w:t>〕</w:t>
      </w:r>
      <w:r>
        <w:rPr>
          <w:rFonts w:hint="eastAsia" w:ascii="仿宋_GB2312" w:hAnsi="仿宋_GB2312" w:eastAsia="仿宋_GB2312" w:cs="仿宋_GB2312"/>
          <w:b w:val="0"/>
          <w:bCs w:val="0"/>
          <w:kern w:val="0"/>
          <w:sz w:val="32"/>
          <w:szCs w:val="32"/>
          <w:highlight w:val="none"/>
          <w:lang w:val="en-US" w:eastAsia="zh-CN"/>
        </w:rPr>
        <w:t>48-35号）下达区级资金2万元。《遂</w:t>
      </w:r>
      <w:r>
        <w:rPr>
          <w:rFonts w:hint="eastAsia" w:ascii="仿宋_GB2312" w:hAnsi="仿宋_GB2312" w:eastAsia="仿宋_GB2312" w:cs="仿宋_GB2312"/>
          <w:b w:val="0"/>
          <w:bCs w:val="0"/>
          <w:kern w:val="0"/>
          <w:sz w:val="32"/>
          <w:szCs w:val="32"/>
          <w:lang w:val="en-US" w:eastAsia="zh-CN"/>
        </w:rPr>
        <w:t>宁市船山区财政局关于下达2023年公共图书馆、美术馆、文化馆（站）免费开放省级补助资金预算的通知》（遂船财教发</w:t>
      </w:r>
      <w:r>
        <w:rPr>
          <w:rFonts w:hint="default" w:ascii="Times New Roman" w:hAnsi="Times New Roman" w:eastAsia="仿宋_GB2312" w:cs="Times New Roman"/>
          <w:b w:val="0"/>
          <w:bCs w:val="0"/>
          <w:kern w:val="0"/>
          <w:sz w:val="32"/>
          <w:szCs w:val="32"/>
          <w:lang w:val="en-US" w:eastAsia="zh-CN"/>
        </w:rPr>
        <w:t>〔</w:t>
      </w:r>
      <w:r>
        <w:rPr>
          <w:rFonts w:hint="eastAsia" w:ascii="仿宋_GB2312" w:hAnsi="仿宋_GB2312" w:eastAsia="仿宋_GB2312" w:cs="仿宋_GB2312"/>
          <w:b w:val="0"/>
          <w:bCs w:val="0"/>
          <w:kern w:val="0"/>
          <w:sz w:val="32"/>
          <w:szCs w:val="32"/>
          <w:lang w:val="en-US" w:eastAsia="zh-CN"/>
        </w:rPr>
        <w:t>2023</w:t>
      </w:r>
      <w:r>
        <w:rPr>
          <w:rFonts w:hint="default" w:ascii="Times New Roman" w:hAnsi="Times New Roman" w:eastAsia="仿宋_GB2312" w:cs="Times New Roman"/>
          <w:b w:val="0"/>
          <w:bCs w:val="0"/>
          <w:kern w:val="0"/>
          <w:sz w:val="32"/>
          <w:szCs w:val="32"/>
          <w:lang w:val="en-US" w:eastAsia="zh-CN"/>
        </w:rPr>
        <w:t>〕</w:t>
      </w:r>
      <w:r>
        <w:rPr>
          <w:rFonts w:hint="eastAsia" w:ascii="Times New Roman" w:hAnsi="Times New Roman" w:eastAsia="仿宋_GB2312" w:cs="Times New Roman"/>
          <w:b w:val="0"/>
          <w:bCs w:val="0"/>
          <w:kern w:val="0"/>
          <w:sz w:val="32"/>
          <w:szCs w:val="32"/>
          <w:lang w:val="en-US" w:eastAsia="zh-CN"/>
        </w:rPr>
        <w:t>25</w:t>
      </w:r>
      <w:r>
        <w:rPr>
          <w:rFonts w:hint="eastAsia" w:ascii="仿宋_GB2312" w:hAnsi="仿宋_GB2312" w:eastAsia="仿宋_GB2312" w:cs="仿宋_GB2312"/>
          <w:b w:val="0"/>
          <w:bCs w:val="0"/>
          <w:kern w:val="0"/>
          <w:sz w:val="32"/>
          <w:szCs w:val="32"/>
          <w:lang w:val="en-US" w:eastAsia="zh-CN"/>
        </w:rPr>
        <w:t>号）下达省级资金1.2万元。《遂宁市船山区财政局关于下达2023年公共图书馆、美术馆、文化馆（站）免费开放中央和市级补助资金预算的通知》（遂船财教发</w:t>
      </w:r>
      <w:r>
        <w:rPr>
          <w:rFonts w:hint="default" w:ascii="Times New Roman" w:hAnsi="Times New Roman" w:eastAsia="仿宋_GB2312" w:cs="Times New Roman"/>
          <w:b w:val="0"/>
          <w:bCs w:val="0"/>
          <w:kern w:val="0"/>
          <w:sz w:val="32"/>
          <w:szCs w:val="32"/>
          <w:lang w:val="en-US" w:eastAsia="zh-CN"/>
        </w:rPr>
        <w:t>〔</w:t>
      </w:r>
      <w:r>
        <w:rPr>
          <w:rFonts w:hint="eastAsia" w:ascii="仿宋_GB2312" w:hAnsi="仿宋_GB2312" w:eastAsia="仿宋_GB2312" w:cs="仿宋_GB2312"/>
          <w:b w:val="0"/>
          <w:bCs w:val="0"/>
          <w:kern w:val="0"/>
          <w:sz w:val="32"/>
          <w:szCs w:val="32"/>
          <w:lang w:val="en-US" w:eastAsia="zh-CN"/>
        </w:rPr>
        <w:t>2023</w:t>
      </w:r>
      <w:r>
        <w:rPr>
          <w:rFonts w:hint="default" w:ascii="Times New Roman" w:hAnsi="Times New Roman" w:eastAsia="仿宋_GB2312" w:cs="Times New Roman"/>
          <w:b w:val="0"/>
          <w:bCs w:val="0"/>
          <w:kern w:val="0"/>
          <w:sz w:val="32"/>
          <w:szCs w:val="32"/>
          <w:lang w:val="en-US" w:eastAsia="zh-CN"/>
        </w:rPr>
        <w:t>〕</w:t>
      </w:r>
      <w:r>
        <w:rPr>
          <w:rFonts w:hint="eastAsia" w:ascii="仿宋_GB2312" w:hAnsi="仿宋_GB2312" w:eastAsia="仿宋_GB2312" w:cs="仿宋_GB2312"/>
          <w:b w:val="0"/>
          <w:bCs w:val="0"/>
          <w:kern w:val="0"/>
          <w:sz w:val="32"/>
          <w:szCs w:val="32"/>
          <w:lang w:val="en-US" w:eastAsia="zh-CN"/>
        </w:rPr>
        <w:t>13号）下达中央和市级资金16.</w:t>
      </w:r>
      <w:r>
        <w:rPr>
          <w:rFonts w:hint="default" w:ascii="仿宋_GB2312" w:hAnsi="仿宋_GB2312" w:eastAsia="仿宋_GB2312" w:cs="仿宋_GB2312"/>
          <w:b w:val="0"/>
          <w:bCs w:val="0"/>
          <w:kern w:val="0"/>
          <w:sz w:val="32"/>
          <w:szCs w:val="32"/>
          <w:lang w:val="en-US" w:eastAsia="zh-CN"/>
        </w:rPr>
        <w:t>8</w:t>
      </w:r>
      <w:r>
        <w:rPr>
          <w:rFonts w:hint="eastAsia" w:ascii="仿宋_GB2312" w:hAnsi="仿宋_GB2312" w:eastAsia="仿宋_GB2312" w:cs="仿宋_GB2312"/>
          <w:b w:val="0"/>
          <w:bCs w:val="0"/>
          <w:kern w:val="0"/>
          <w:sz w:val="32"/>
          <w:szCs w:val="32"/>
          <w:lang w:val="en-US" w:eastAsia="zh-CN"/>
        </w:rPr>
        <w:t>万元，其中中央资金16万元，市级资金0.8万元。</w:t>
      </w:r>
    </w:p>
    <w:p w14:paraId="74A79C18">
      <w:pPr>
        <w:keepNext w:val="0"/>
        <w:keepLines w:val="0"/>
        <w:pageBreakBefore w:val="0"/>
        <w:widowControl/>
        <w:numPr>
          <w:ilvl w:val="0"/>
          <w:numId w:val="0"/>
        </w:numPr>
        <w:kinsoku/>
        <w:wordWrap/>
        <w:overflowPunct w:val="0"/>
        <w:topLinePunct w:val="0"/>
        <w:autoSpaceDE/>
        <w:autoSpaceDN/>
        <w:bidi w:val="0"/>
        <w:adjustRightInd/>
        <w:snapToGrid w:val="0"/>
        <w:spacing w:line="560" w:lineRule="exact"/>
        <w:ind w:firstLine="643" w:firstLineChars="200"/>
        <w:jc w:val="both"/>
        <w:textAlignment w:val="auto"/>
        <w:rPr>
          <w:rFonts w:hint="eastAsia" w:ascii="Times New Roman" w:hAnsi="Times New Roman" w:eastAsia="楷体_GB2312"/>
          <w:b/>
          <w:bCs/>
          <w:sz w:val="32"/>
          <w:szCs w:val="32"/>
          <w:lang w:val="en-US" w:eastAsia="zh-CN"/>
        </w:rPr>
      </w:pPr>
      <w:r>
        <w:rPr>
          <w:rFonts w:hint="eastAsia" w:ascii="Times New Roman" w:hAnsi="Times New Roman" w:eastAsia="楷体_GB2312"/>
          <w:b/>
          <w:bCs/>
          <w:sz w:val="32"/>
          <w:szCs w:val="32"/>
          <w:lang w:val="en-US" w:eastAsia="zh-CN"/>
        </w:rPr>
        <w:t>（二）资金计划、到位及使用情况</w:t>
      </w:r>
      <w:r>
        <w:rPr>
          <w:rFonts w:hint="default" w:ascii="Times New Roman" w:hAnsi="Times New Roman" w:eastAsia="楷体_GB2312"/>
          <w:b/>
          <w:bCs/>
          <w:sz w:val="32"/>
          <w:szCs w:val="32"/>
          <w:lang w:val="zh-CN" w:eastAsia="zh-CN"/>
        </w:rPr>
        <w:t>。</w:t>
      </w:r>
    </w:p>
    <w:p w14:paraId="4BF59FD6">
      <w:pPr>
        <w:keepNext w:val="0"/>
        <w:keepLines w:val="0"/>
        <w:pageBreakBefore w:val="0"/>
        <w:widowControl/>
        <w:numPr>
          <w:ilvl w:val="0"/>
          <w:numId w:val="0"/>
        </w:numPr>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rPr>
      </w:pPr>
      <w:r>
        <w:rPr>
          <w:rFonts w:hint="default" w:ascii="仿宋_GB2312" w:hAnsi="仿宋_GB2312" w:eastAsia="仿宋_GB2312" w:cs="仿宋_GB2312"/>
          <w:b w:val="0"/>
          <w:bCs w:val="0"/>
          <w:kern w:val="0"/>
          <w:sz w:val="32"/>
          <w:szCs w:val="32"/>
          <w:lang w:val="en-US" w:eastAsia="zh-CN"/>
        </w:rPr>
        <w:t>该项目</w:t>
      </w:r>
      <w:r>
        <w:rPr>
          <w:rFonts w:hint="eastAsia" w:ascii="仿宋_GB2312" w:hAnsi="仿宋_GB2312" w:eastAsia="仿宋_GB2312" w:cs="仿宋_GB2312"/>
          <w:b w:val="0"/>
          <w:bCs w:val="0"/>
          <w:kern w:val="0"/>
          <w:sz w:val="32"/>
          <w:szCs w:val="32"/>
          <w:lang w:val="en-US" w:eastAsia="zh-CN"/>
        </w:rPr>
        <w:t>计划资金共20万元，其中中央补助资金</w:t>
      </w:r>
      <w:r>
        <w:rPr>
          <w:rFonts w:hint="eastAsia" w:ascii="仿宋_GB2312" w:hAnsi="仿宋_GB2312" w:eastAsia="仿宋_GB2312" w:cs="仿宋_GB2312"/>
          <w:b w:val="0"/>
          <w:bCs w:val="0"/>
          <w:color w:val="auto"/>
          <w:kern w:val="0"/>
          <w:sz w:val="32"/>
          <w:szCs w:val="32"/>
          <w:lang w:val="en-US" w:eastAsia="zh-CN"/>
        </w:rPr>
        <w:t>16万元、省级补助资金1.2万元、市级补助资金0.8万元，</w:t>
      </w:r>
      <w:r>
        <w:rPr>
          <w:rFonts w:hint="default" w:ascii="仿宋_GB2312" w:hAnsi="仿宋_GB2312" w:eastAsia="仿宋_GB2312" w:cs="仿宋_GB2312"/>
          <w:b w:val="0"/>
          <w:bCs w:val="0"/>
          <w:color w:val="auto"/>
          <w:kern w:val="0"/>
          <w:sz w:val="32"/>
          <w:szCs w:val="32"/>
          <w:lang w:val="en-US" w:eastAsia="zh-CN"/>
        </w:rPr>
        <w:t>区级匹配资金</w:t>
      </w:r>
      <w:r>
        <w:rPr>
          <w:rFonts w:hint="eastAsia" w:ascii="仿宋_GB2312" w:hAnsi="仿宋_GB2312" w:eastAsia="仿宋_GB2312" w:cs="仿宋_GB2312"/>
          <w:b w:val="0"/>
          <w:bCs w:val="0"/>
          <w:color w:val="auto"/>
          <w:kern w:val="0"/>
          <w:sz w:val="32"/>
          <w:szCs w:val="32"/>
          <w:lang w:val="en-US" w:eastAsia="zh-CN"/>
        </w:rPr>
        <w:t>2</w:t>
      </w:r>
      <w:r>
        <w:rPr>
          <w:rFonts w:hint="default" w:ascii="仿宋_GB2312" w:hAnsi="仿宋_GB2312" w:eastAsia="仿宋_GB2312" w:cs="仿宋_GB2312"/>
          <w:b w:val="0"/>
          <w:bCs w:val="0"/>
          <w:color w:val="auto"/>
          <w:kern w:val="0"/>
          <w:sz w:val="32"/>
          <w:szCs w:val="32"/>
          <w:lang w:val="zh-CN" w:eastAsia="zh-CN"/>
        </w:rPr>
        <w:t>万元</w:t>
      </w:r>
      <w:r>
        <w:rPr>
          <w:rFonts w:hint="default" w:ascii="仿宋_GB2312" w:hAnsi="仿宋_GB2312" w:eastAsia="仿宋_GB2312" w:cs="仿宋_GB2312"/>
          <w:b w:val="0"/>
          <w:bCs w:val="0"/>
          <w:color w:val="auto"/>
          <w:kern w:val="0"/>
          <w:sz w:val="32"/>
          <w:szCs w:val="32"/>
          <w:lang w:val="en-US" w:eastAsia="zh-CN"/>
        </w:rPr>
        <w:t>，</w:t>
      </w:r>
      <w:r>
        <w:rPr>
          <w:rFonts w:hint="eastAsia" w:ascii="仿宋_GB2312" w:hAnsi="仿宋_GB2312" w:eastAsia="仿宋_GB2312" w:cs="仿宋_GB2312"/>
          <w:b w:val="0"/>
          <w:bCs w:val="0"/>
          <w:color w:val="auto"/>
          <w:kern w:val="0"/>
          <w:sz w:val="32"/>
          <w:szCs w:val="32"/>
          <w:lang w:val="en-US" w:eastAsia="zh-CN"/>
        </w:rPr>
        <w:t>无单位自筹和其他渠道资金。实际共到位各级资金20万元，资金到位率100%。</w:t>
      </w:r>
    </w:p>
    <w:p w14:paraId="5E6C3161">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b w:val="0"/>
          <w:bCs w:val="0"/>
          <w:color w:val="FF0000"/>
          <w:kern w:val="0"/>
          <w:sz w:val="32"/>
          <w:szCs w:val="32"/>
          <w:lang w:val="en-US" w:eastAsia="zh-CN"/>
        </w:rPr>
      </w:pPr>
      <w:r>
        <w:rPr>
          <w:rFonts w:hint="eastAsia" w:ascii="仿宋_GB2312" w:hAnsi="仿宋_GB2312" w:eastAsia="仿宋_GB2312" w:cs="仿宋_GB2312"/>
          <w:b w:val="0"/>
          <w:bCs w:val="0"/>
          <w:color w:val="auto"/>
          <w:kern w:val="0"/>
          <w:sz w:val="32"/>
          <w:szCs w:val="32"/>
          <w:lang w:val="en-US" w:eastAsia="zh-CN"/>
        </w:rPr>
        <w:t>2023年共计支出20万元，其中：美术服务活动费用支出46504元、青少年暑期培训费用支出11480元、相机采购费用支出33740元、数字美术馆运行费用支出10000元、办公用品费用（含专线、安防费用）支出7176元、文化志愿服务支出91100元。我局加强了对专项资金使用的安全性、规范性和有效性监督管理，所有资金使用支付范围、标准、进度及依据严格按照专项资金管理相关规定执行，与年初预算基本相符。</w:t>
      </w:r>
    </w:p>
    <w:p w14:paraId="4F70D4D8">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w:t>
      </w:r>
      <w:r>
        <w:rPr>
          <w:rFonts w:hint="eastAsia" w:ascii="Times New Roman" w:hAnsi="Times New Roman" w:eastAsia="楷体_GB2312"/>
          <w:b/>
          <w:bCs/>
          <w:sz w:val="32"/>
          <w:szCs w:val="32"/>
          <w:lang w:val="en-US" w:eastAsia="zh-CN"/>
        </w:rPr>
        <w:t>三</w:t>
      </w:r>
      <w:r>
        <w:rPr>
          <w:rFonts w:hint="default" w:ascii="Times New Roman" w:hAnsi="Times New Roman" w:eastAsia="楷体_GB2312"/>
          <w:b/>
          <w:bCs/>
          <w:sz w:val="32"/>
          <w:szCs w:val="32"/>
          <w:lang w:val="zh-CN"/>
        </w:rPr>
        <w:t>）项目财务管理情况</w:t>
      </w:r>
    </w:p>
    <w:p w14:paraId="084FD153">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rPr>
      </w:pPr>
      <w:r>
        <w:rPr>
          <w:rFonts w:hint="eastAsia" w:ascii="仿宋_GB2312" w:hAnsi="仿宋_GB2312" w:eastAsia="仿宋_GB2312" w:cs="仿宋_GB2312"/>
          <w:b w:val="0"/>
          <w:bCs w:val="0"/>
          <w:kern w:val="0"/>
          <w:sz w:val="32"/>
          <w:szCs w:val="32"/>
          <w:lang w:val="en-US" w:eastAsia="zh-CN"/>
        </w:rPr>
        <w:t>项目严格执行事业单位财务管理制度，项目资金按规定实行了项目单独核算，账务处理及时，会计核算规范，支出符合规定。</w:t>
      </w:r>
    </w:p>
    <w:p w14:paraId="7AE950E5">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sz w:val="32"/>
          <w:szCs w:val="32"/>
          <w:lang w:val="zh-CN"/>
        </w:rPr>
      </w:pPr>
      <w:r>
        <w:rPr>
          <w:rFonts w:hint="default" w:ascii="Times New Roman" w:hAnsi="Times New Roman" w:eastAsia="黑体"/>
          <w:sz w:val="32"/>
          <w:szCs w:val="32"/>
        </w:rPr>
        <w:t>三、项目实施及管理情况</w:t>
      </w:r>
    </w:p>
    <w:p w14:paraId="58E20B4F">
      <w:pPr>
        <w:keepNext w:val="0"/>
        <w:keepLines w:val="0"/>
        <w:pageBreakBefore w:val="0"/>
        <w:numPr>
          <w:ilvl w:val="0"/>
          <w:numId w:val="11"/>
        </w:numPr>
        <w:kinsoku/>
        <w:wordWrap/>
        <w:overflowPunct w:val="0"/>
        <w:topLinePunct w:val="0"/>
        <w:autoSpaceDE/>
        <w:autoSpaceDN/>
        <w:bidi w:val="0"/>
        <w:adjustRightInd/>
        <w:snapToGrid w:val="0"/>
        <w:spacing w:line="560" w:lineRule="exact"/>
        <w:ind w:firstLine="643" w:firstLineChars="200"/>
        <w:jc w:val="both"/>
        <w:textAlignment w:val="auto"/>
        <w:rPr>
          <w:rFonts w:hint="eastAsia" w:ascii="仿宋_GB2312" w:hAnsi="仿宋_GB2312" w:eastAsia="仿宋_GB2312" w:cs="仿宋_GB2312"/>
          <w:b w:val="0"/>
          <w:bCs w:val="0"/>
          <w:kern w:val="0"/>
          <w:sz w:val="32"/>
          <w:szCs w:val="32"/>
          <w:lang w:val="en-US" w:eastAsia="zh-CN"/>
        </w:rPr>
      </w:pPr>
      <w:r>
        <w:rPr>
          <w:rFonts w:hint="eastAsia" w:ascii="楷体_GB2312" w:hAnsi="楷体_GB2312" w:eastAsia="楷体_GB2312" w:cs="楷体_GB2312"/>
          <w:b/>
          <w:bCs/>
          <w:kern w:val="0"/>
          <w:sz w:val="32"/>
          <w:szCs w:val="32"/>
          <w:lang w:val="en-US" w:eastAsia="zh-CN"/>
        </w:rPr>
        <w:t>项目组织构架及实施流程</w:t>
      </w:r>
    </w:p>
    <w:p w14:paraId="6E765334">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lang w:val="en-US" w:eastAsia="zh-CN"/>
        </w:rPr>
      </w:pPr>
      <w:r>
        <w:rPr>
          <w:rFonts w:hint="eastAsia" w:ascii="仿宋_GB2312" w:hAnsi="仿宋_GB2312" w:eastAsia="仿宋_GB2312" w:cs="仿宋_GB2312"/>
          <w:b w:val="0"/>
          <w:bCs w:val="0"/>
          <w:kern w:val="0"/>
          <w:sz w:val="32"/>
          <w:szCs w:val="32"/>
          <w:lang w:val="en-US" w:eastAsia="zh-CN"/>
        </w:rPr>
        <w:t>本项目属于公益性免费开放项目，相关工作（活动）由区美术馆提出计划，报经局分管领导初审，并由局党组审定同意后组织实施。</w:t>
      </w:r>
    </w:p>
    <w:p w14:paraId="055965A7">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eastAsia"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（二）项目管理情况</w:t>
      </w:r>
    </w:p>
    <w:p w14:paraId="1BCA7412">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项目严格执行事业单位财务管理制度，项目资金按规定实行了项目单独核算，账务处理及时，会计核算规范，支出符合规定。</w:t>
      </w:r>
    </w:p>
    <w:p w14:paraId="1742E69D">
      <w:pPr>
        <w:keepNext w:val="0"/>
        <w:keepLines w:val="0"/>
        <w:pageBreakBefore w:val="0"/>
        <w:numPr>
          <w:ilvl w:val="0"/>
          <w:numId w:val="12"/>
        </w:numPr>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项目监管情况</w:t>
      </w:r>
    </w:p>
    <w:p w14:paraId="6C35AAF2">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我局作为船山区美术馆免费开放项目的主管部门，负责对本项目的统筹谋划，全程监督管理。</w:t>
      </w:r>
    </w:p>
    <w:p w14:paraId="257B84D4">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lang w:val="zh-CN"/>
        </w:rPr>
      </w:pPr>
      <w:r>
        <w:rPr>
          <w:rFonts w:hint="default" w:ascii="Times New Roman" w:hAnsi="Times New Roman" w:eastAsia="黑体"/>
          <w:sz w:val="32"/>
          <w:szCs w:val="32"/>
        </w:rPr>
        <w:t>四、项目绩效情况</w:t>
      </w:r>
      <w:r>
        <w:rPr>
          <w:rFonts w:hint="default" w:ascii="Times New Roman" w:hAnsi="Times New Roman" w:eastAsia="黑体"/>
          <w:sz w:val="32"/>
          <w:szCs w:val="32"/>
          <w:lang w:val="zh-CN"/>
        </w:rPr>
        <w:tab/>
      </w:r>
    </w:p>
    <w:p w14:paraId="1FEA2EDC">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（一）项目</w:t>
      </w:r>
      <w:r>
        <w:rPr>
          <w:rFonts w:hint="eastAsia" w:ascii="楷体_GB2312" w:hAnsi="楷体_GB2312" w:eastAsia="楷体_GB2312" w:cs="楷体_GB2312"/>
          <w:b/>
          <w:bCs/>
          <w:sz w:val="32"/>
          <w:szCs w:val="32"/>
          <w:lang w:val="en-US" w:eastAsia="zh-CN"/>
        </w:rPr>
        <w:t>完成</w:t>
      </w:r>
      <w:r>
        <w:rPr>
          <w:rFonts w:hint="default" w:ascii="楷体_GB2312" w:hAnsi="楷体_GB2312" w:eastAsia="楷体_GB2312" w:cs="楷体_GB2312"/>
          <w:b/>
          <w:bCs/>
          <w:sz w:val="32"/>
          <w:szCs w:val="32"/>
          <w:lang w:val="en-US"/>
        </w:rPr>
        <w:t>情况</w:t>
      </w:r>
    </w:p>
    <w:p w14:paraId="2AA5A43C">
      <w:pPr>
        <w:keepNext w:val="0"/>
        <w:keepLines w:val="0"/>
        <w:pageBreakBefore w:val="0"/>
        <w:widowControl w:val="0"/>
        <w:kinsoku/>
        <w:wordWrap/>
        <w:overflowPunct w:val="0"/>
        <w:topLinePunct w:val="0"/>
        <w:autoSpaceDE/>
        <w:autoSpaceDN/>
        <w:bidi w:val="0"/>
        <w:adjustRightInd/>
        <w:snapToGrid w:val="0"/>
        <w:spacing w:line="560" w:lineRule="exact"/>
        <w:ind w:firstLine="604" w:firstLineChars="189"/>
        <w:jc w:val="both"/>
        <w:textAlignment w:val="auto"/>
        <w:rPr>
          <w:rFonts w:hint="default" w:ascii="Times New Roman" w:hAnsi="Times New Roman" w:eastAsia="仿宋_GB2312"/>
          <w:b/>
          <w:sz w:val="32"/>
          <w:szCs w:val="32"/>
          <w:lang w:val="en-US" w:eastAsia="zh-CN"/>
        </w:rPr>
      </w:pPr>
      <w:r>
        <w:rPr>
          <w:rFonts w:hint="eastAsia" w:ascii="仿宋_GB2312" w:hAnsi="仿宋_GB2312" w:eastAsia="仿宋_GB2312" w:cs="仿宋_GB2312"/>
          <w:b w:val="0"/>
          <w:bCs w:val="0"/>
          <w:kern w:val="0"/>
          <w:sz w:val="32"/>
          <w:szCs w:val="32"/>
          <w:lang w:val="en-US" w:eastAsia="zh-CN"/>
        </w:rPr>
        <w:t>船山区美术馆全年对外免费开放350天，每周对外免费开放超过56小时，并结合群众需求和工作实施，实行延时错时开放。项目资金到位率、使用率均达100%。</w:t>
      </w:r>
    </w:p>
    <w:p w14:paraId="08178EA6">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楷体_GB2312" w:hAnsi="楷体_GB2312" w:eastAsia="楷体_GB2312" w:cs="楷体_GB2312"/>
          <w:b/>
          <w:bCs/>
          <w:sz w:val="32"/>
          <w:szCs w:val="32"/>
          <w:lang w:val="en-US"/>
        </w:rPr>
      </w:pPr>
      <w:r>
        <w:rPr>
          <w:rFonts w:hint="default" w:ascii="楷体_GB2312" w:hAnsi="楷体_GB2312" w:eastAsia="楷体_GB2312" w:cs="楷体_GB2312"/>
          <w:b/>
          <w:bCs/>
          <w:sz w:val="32"/>
          <w:szCs w:val="32"/>
          <w:lang w:val="en-US"/>
        </w:rPr>
        <w:t>（二）项目效益情况</w:t>
      </w:r>
    </w:p>
    <w:p w14:paraId="14A8E1C5">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sz w:val="32"/>
          <w:szCs w:val="32"/>
          <w:lang w:val="zh-CN"/>
        </w:rPr>
      </w:pPr>
      <w:r>
        <w:rPr>
          <w:rFonts w:hint="eastAsia" w:ascii="仿宋_GB2312" w:hAnsi="仿宋_GB2312" w:eastAsia="仿宋_GB2312" w:cs="仿宋_GB2312"/>
          <w:b w:val="0"/>
          <w:bCs w:val="0"/>
          <w:kern w:val="0"/>
          <w:sz w:val="32"/>
          <w:szCs w:val="32"/>
          <w:lang w:val="en-US" w:eastAsia="zh-CN"/>
        </w:rPr>
        <w:t>2023年，船山区美术馆免费开放接待群众近万人次，面向全区开展各年龄阶段免费培训共24场次。组织开展各类美术活动30余场次，服务群众6万人次。“遂宁市船山区美术馆”网站及微网页，开展线上服务，提供艺术文化资源，各类端口服务群众超过2万人次。通过“遂宁市船山区美术馆”网站及微网页，提供美术资源资金支出率大于95%，受惠群众满意度大于98%。丰富了群众精神文化生活，切实保障人民群众基本文化权益，增强人民群众获得感、幸福感。</w:t>
      </w:r>
    </w:p>
    <w:p w14:paraId="4AF132A4">
      <w:pPr>
        <w:keepNext w:val="0"/>
        <w:keepLines w:val="0"/>
        <w:pageBreakBefore w:val="0"/>
        <w:widowControl/>
        <w:kinsoku/>
        <w:wordWrap/>
        <w:overflowPunct w:val="0"/>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黑体"/>
          <w:sz w:val="32"/>
          <w:szCs w:val="32"/>
        </w:rPr>
      </w:pPr>
      <w:r>
        <w:rPr>
          <w:rFonts w:hint="default" w:ascii="Times New Roman" w:hAnsi="Times New Roman" w:eastAsia="黑体"/>
          <w:sz w:val="32"/>
          <w:szCs w:val="32"/>
        </w:rPr>
        <w:t>五、评价结论及建议</w:t>
      </w:r>
    </w:p>
    <w:p w14:paraId="4F0D3272">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（一）评价结论</w:t>
      </w:r>
    </w:p>
    <w:p w14:paraId="324EC11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按照预算绩效管理要求，</w:t>
      </w:r>
      <w:r>
        <w:rPr>
          <w:rFonts w:hint="eastAsia" w:ascii="Times New Roman" w:hAnsi="Times New Roman" w:eastAsia="仿宋_GB2312" w:cs="Times New Roman"/>
          <w:sz w:val="32"/>
          <w:szCs w:val="32"/>
          <w:lang w:val="en-US" w:eastAsia="zh-CN"/>
        </w:rPr>
        <w:t>我局对船山区美术馆免费开放项目</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年整体支出开展绩效自评，自评</w:t>
      </w:r>
      <w:r>
        <w:rPr>
          <w:rFonts w:hint="eastAsia" w:ascii="Times New Roman" w:hAnsi="Times New Roman" w:eastAsia="仿宋_GB2312" w:cs="Times New Roman"/>
          <w:sz w:val="32"/>
          <w:szCs w:val="32"/>
          <w:lang w:val="en-US" w:eastAsia="zh-CN"/>
        </w:rPr>
        <w:t>结果为优秀</w:t>
      </w:r>
      <w:r>
        <w:rPr>
          <w:rFonts w:hint="default" w:ascii="Times New Roman" w:hAnsi="Times New Roman" w:eastAsia="仿宋_GB2312" w:cs="Times New Roman"/>
          <w:sz w:val="32"/>
          <w:szCs w:val="32"/>
          <w:lang w:val="en-US" w:eastAsia="zh-CN"/>
        </w:rPr>
        <w:t>。</w:t>
      </w:r>
    </w:p>
    <w:p w14:paraId="719C2A0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项目决策分析</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目标决策程序严密管理制度健全完善</w:t>
      </w:r>
      <w:r>
        <w:rPr>
          <w:rFonts w:hint="eastAsia" w:ascii="Times New Roman" w:hAnsi="Times New Roman" w:eastAsia="仿宋_GB2312" w:cs="Times New Roman"/>
          <w:sz w:val="32"/>
          <w:szCs w:val="32"/>
          <w:lang w:val="en-US" w:eastAsia="zh-CN"/>
        </w:rPr>
        <w:t>、规划合理符合市委、市政府重大决策部署，与项目年度目标一致、</w:t>
      </w:r>
      <w:r>
        <w:rPr>
          <w:rFonts w:hint="eastAsia" w:ascii="Times New Roman" w:hAnsi="Times New Roman" w:eastAsia="仿宋_GB2312" w:cs="Times New Roman"/>
          <w:b w:val="0"/>
          <w:bCs w:val="0"/>
          <w:kern w:val="2"/>
          <w:sz w:val="32"/>
          <w:szCs w:val="32"/>
          <w:lang w:val="en-US" w:eastAsia="zh-CN" w:bidi="ar-SA"/>
        </w:rPr>
        <w:t>项目实施结果与规划计划一致。</w:t>
      </w:r>
      <w:r>
        <w:rPr>
          <w:rFonts w:hint="eastAsia" w:ascii="Times New Roman" w:hAnsi="Times New Roman" w:eastAsia="仿宋_GB2312" w:cs="Times New Roman"/>
          <w:sz w:val="32"/>
          <w:szCs w:val="32"/>
          <w:lang w:val="en-US" w:eastAsia="zh-CN"/>
        </w:rPr>
        <w:t>自评得分：6分。</w:t>
      </w:r>
    </w:p>
    <w:p w14:paraId="0DF29F97">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项目实施分析：项目实施符合相关管理制度规定、项目资金使用符合相关的财务管理制度规定。</w:t>
      </w:r>
      <w:r>
        <w:rPr>
          <w:rFonts w:hint="eastAsia" w:ascii="Times New Roman" w:hAnsi="Times New Roman" w:eastAsia="仿宋_GB2312" w:cs="Times New Roman"/>
          <w:sz w:val="32"/>
          <w:szCs w:val="32"/>
          <w:lang w:val="en-US" w:eastAsia="zh-CN"/>
        </w:rPr>
        <w:t>自评得分：8分。</w:t>
      </w:r>
    </w:p>
    <w:p w14:paraId="0B1054C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项目</w:t>
      </w:r>
      <w:r>
        <w:rPr>
          <w:rFonts w:hint="eastAsia" w:ascii="Times New Roman" w:hAnsi="Times New Roman" w:eastAsia="仿宋_GB2312" w:cs="Times New Roman"/>
          <w:sz w:val="32"/>
          <w:szCs w:val="32"/>
          <w:lang w:val="en-US" w:eastAsia="zh-CN"/>
        </w:rPr>
        <w:t>预算执行</w:t>
      </w:r>
      <w:r>
        <w:rPr>
          <w:rFonts w:hint="default" w:ascii="Times New Roman" w:hAnsi="Times New Roman" w:eastAsia="仿宋_GB2312" w:cs="Times New Roman"/>
          <w:sz w:val="32"/>
          <w:szCs w:val="32"/>
          <w:lang w:val="en-US" w:eastAsia="zh-CN"/>
        </w:rPr>
        <w:t>分析</w:t>
      </w:r>
      <w:r>
        <w:rPr>
          <w:rFonts w:hint="eastAsia" w:ascii="Times New Roman" w:hAnsi="Times New Roman" w:eastAsia="仿宋_GB2312" w:cs="Times New Roman"/>
          <w:sz w:val="32"/>
          <w:szCs w:val="32"/>
          <w:lang w:val="en-US" w:eastAsia="zh-CN"/>
        </w:rPr>
        <w:t>：截至2023年12月完成年初预算，预算执行率100%。自评得分：6分。</w:t>
      </w:r>
    </w:p>
    <w:p w14:paraId="44EE7E2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数量</w:t>
      </w:r>
      <w:r>
        <w:rPr>
          <w:rFonts w:hint="eastAsia" w:ascii="Times New Roman" w:hAnsi="Times New Roman" w:eastAsia="仿宋_GB2312" w:cs="Times New Roman"/>
          <w:sz w:val="32"/>
          <w:szCs w:val="32"/>
          <w:lang w:val="en-US" w:eastAsia="zh-CN"/>
        </w:rPr>
        <w:t>指标分析</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美术馆</w:t>
      </w:r>
      <w:r>
        <w:rPr>
          <w:rFonts w:hint="eastAsia" w:ascii="仿宋_GB2312" w:hAnsi="仿宋_GB2312" w:eastAsia="仿宋_GB2312" w:cs="仿宋_GB2312"/>
          <w:b w:val="0"/>
          <w:bCs w:val="0"/>
          <w:kern w:val="0"/>
          <w:sz w:val="32"/>
          <w:szCs w:val="32"/>
          <w:lang w:val="en-US" w:eastAsia="zh-CN"/>
        </w:rPr>
        <w:t>每周对外免费开放超过56小时，并结合群众需求和工作实施，实行延时错时开放。</w:t>
      </w:r>
      <w:r>
        <w:rPr>
          <w:rFonts w:hint="default" w:ascii="Times New Roman" w:hAnsi="Times New Roman" w:eastAsia="仿宋_GB2312" w:cs="Times New Roman"/>
          <w:sz w:val="32"/>
          <w:szCs w:val="32"/>
          <w:lang w:val="en-US" w:eastAsia="zh-CN"/>
        </w:rPr>
        <w:t>保障区美术馆免费开放数量</w:t>
      </w:r>
      <w:r>
        <w:rPr>
          <w:rFonts w:hint="eastAsia" w:ascii="Times New Roman" w:hAnsi="Times New Roman" w:eastAsia="仿宋_GB2312" w:cs="Times New Roman"/>
          <w:sz w:val="32"/>
          <w:szCs w:val="32"/>
          <w:lang w:val="en-US" w:eastAsia="zh-CN"/>
        </w:rPr>
        <w:t>1个。自评得分：5分。</w:t>
      </w:r>
    </w:p>
    <w:p w14:paraId="48A37E4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时效指标分析：截至2023年6月，全面到位各级资金20万，完成资金发放及时率100%。自评得分：5分。</w:t>
      </w:r>
    </w:p>
    <w:p w14:paraId="7190D0E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lang w:val="en-US" w:eastAsia="zh-CN"/>
        </w:rPr>
      </w:pPr>
      <w:r>
        <w:rPr>
          <w:rFonts w:hint="default" w:ascii="Times New Roman" w:hAnsi="Times New Roman" w:eastAsia="仿宋_GB2312" w:cs="Times New Roman"/>
          <w:sz w:val="32"/>
          <w:szCs w:val="32"/>
          <w:lang w:val="en-US" w:eastAsia="zh-CN"/>
        </w:rPr>
        <w:t>质量</w:t>
      </w:r>
      <w:r>
        <w:rPr>
          <w:rFonts w:hint="eastAsia" w:ascii="Times New Roman" w:hAnsi="Times New Roman" w:eastAsia="仿宋_GB2312" w:cs="Times New Roman"/>
          <w:sz w:val="32"/>
          <w:szCs w:val="32"/>
          <w:lang w:val="en-US" w:eastAsia="zh-CN"/>
        </w:rPr>
        <w:t>指标分析</w:t>
      </w:r>
      <w:r>
        <w:rPr>
          <w:rFonts w:hint="default" w:ascii="Times New Roman" w:hAnsi="Times New Roman" w:eastAsia="仿宋_GB2312" w:cs="Times New Roman"/>
          <w:sz w:val="32"/>
          <w:szCs w:val="32"/>
          <w:lang w:val="en-US" w:eastAsia="zh-CN"/>
        </w:rPr>
        <w:t>：</w:t>
      </w:r>
      <w:r>
        <w:rPr>
          <w:rFonts w:hint="default" w:ascii="仿宋_GB2312" w:hAnsi="仿宋_GB2312" w:eastAsia="仿宋_GB2312" w:cs="仿宋_GB2312"/>
          <w:b w:val="0"/>
          <w:bCs w:val="0"/>
          <w:kern w:val="0"/>
          <w:sz w:val="32"/>
          <w:szCs w:val="32"/>
          <w:lang w:val="en-US" w:eastAsia="zh-CN"/>
        </w:rPr>
        <w:t>该项目</w:t>
      </w:r>
      <w:r>
        <w:rPr>
          <w:rFonts w:hint="eastAsia" w:ascii="仿宋_GB2312" w:hAnsi="仿宋_GB2312" w:eastAsia="仿宋_GB2312" w:cs="仿宋_GB2312"/>
          <w:b w:val="0"/>
          <w:bCs w:val="0"/>
          <w:kern w:val="0"/>
          <w:sz w:val="32"/>
          <w:szCs w:val="32"/>
          <w:lang w:val="en-US" w:eastAsia="zh-CN"/>
        </w:rPr>
        <w:t>计划资金共20万元，其中中央补助资金</w:t>
      </w:r>
      <w:r>
        <w:rPr>
          <w:rFonts w:hint="eastAsia" w:ascii="仿宋_GB2312" w:hAnsi="仿宋_GB2312" w:eastAsia="仿宋_GB2312" w:cs="仿宋_GB2312"/>
          <w:b w:val="0"/>
          <w:bCs w:val="0"/>
          <w:color w:val="auto"/>
          <w:kern w:val="0"/>
          <w:sz w:val="32"/>
          <w:szCs w:val="32"/>
          <w:lang w:val="en-US" w:eastAsia="zh-CN"/>
        </w:rPr>
        <w:t>16万元、省级补助资金1.2万元、市级补助资金0.8万元，</w:t>
      </w:r>
      <w:r>
        <w:rPr>
          <w:rFonts w:hint="default" w:ascii="仿宋_GB2312" w:hAnsi="仿宋_GB2312" w:eastAsia="仿宋_GB2312" w:cs="仿宋_GB2312"/>
          <w:b w:val="0"/>
          <w:bCs w:val="0"/>
          <w:color w:val="auto"/>
          <w:kern w:val="0"/>
          <w:sz w:val="32"/>
          <w:szCs w:val="32"/>
          <w:lang w:val="en-US" w:eastAsia="zh-CN"/>
        </w:rPr>
        <w:t>区级匹配资金</w:t>
      </w:r>
      <w:r>
        <w:rPr>
          <w:rFonts w:hint="eastAsia" w:ascii="仿宋_GB2312" w:hAnsi="仿宋_GB2312" w:eastAsia="仿宋_GB2312" w:cs="仿宋_GB2312"/>
          <w:b w:val="0"/>
          <w:bCs w:val="0"/>
          <w:color w:val="auto"/>
          <w:kern w:val="0"/>
          <w:sz w:val="32"/>
          <w:szCs w:val="32"/>
          <w:lang w:val="en-US" w:eastAsia="zh-CN"/>
        </w:rPr>
        <w:t>2</w:t>
      </w:r>
      <w:r>
        <w:rPr>
          <w:rFonts w:hint="default" w:ascii="仿宋_GB2312" w:hAnsi="仿宋_GB2312" w:eastAsia="仿宋_GB2312" w:cs="仿宋_GB2312"/>
          <w:b w:val="0"/>
          <w:bCs w:val="0"/>
          <w:color w:val="auto"/>
          <w:kern w:val="0"/>
          <w:sz w:val="32"/>
          <w:szCs w:val="32"/>
          <w:lang w:val="zh-CN" w:eastAsia="zh-CN"/>
        </w:rPr>
        <w:t>万元</w:t>
      </w:r>
      <w:r>
        <w:rPr>
          <w:rFonts w:hint="default" w:ascii="仿宋_GB2312" w:hAnsi="仿宋_GB2312" w:eastAsia="仿宋_GB2312" w:cs="仿宋_GB2312"/>
          <w:b w:val="0"/>
          <w:bCs w:val="0"/>
          <w:color w:val="auto"/>
          <w:kern w:val="0"/>
          <w:sz w:val="32"/>
          <w:szCs w:val="32"/>
          <w:lang w:val="en-US" w:eastAsia="zh-CN"/>
        </w:rPr>
        <w:t>，</w:t>
      </w:r>
      <w:r>
        <w:rPr>
          <w:rFonts w:hint="eastAsia" w:ascii="仿宋_GB2312" w:hAnsi="仿宋_GB2312" w:eastAsia="仿宋_GB2312" w:cs="仿宋_GB2312"/>
          <w:b w:val="0"/>
          <w:bCs w:val="0"/>
          <w:color w:val="auto"/>
          <w:kern w:val="0"/>
          <w:sz w:val="32"/>
          <w:szCs w:val="32"/>
          <w:lang w:val="en-US" w:eastAsia="zh-CN"/>
        </w:rPr>
        <w:t>无单位自筹和其他渠道资金。实际共到位各级资金20万元。</w:t>
      </w:r>
      <w:r>
        <w:rPr>
          <w:rFonts w:hint="eastAsia" w:ascii="Times New Roman" w:hAnsi="Times New Roman" w:eastAsia="仿宋_GB2312" w:cs="Times New Roman"/>
          <w:sz w:val="32"/>
          <w:szCs w:val="32"/>
          <w:lang w:val="en-US" w:eastAsia="zh-CN"/>
        </w:rPr>
        <w:t>完成质量指标资金发放准确率100%。自评得分：5分。</w:t>
      </w:r>
    </w:p>
    <w:p w14:paraId="7FB8EED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eastAsia" w:ascii="Times New Roman" w:hAnsi="Times New Roman" w:eastAsia="仿宋_GB2312" w:cs="Times New Roman"/>
          <w:sz w:val="32"/>
          <w:szCs w:val="32"/>
          <w:lang w:val="en-US" w:eastAsia="zh-CN"/>
        </w:rPr>
        <w:t>分析</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b w:val="0"/>
          <w:bCs w:val="0"/>
          <w:kern w:val="0"/>
          <w:sz w:val="32"/>
          <w:szCs w:val="32"/>
          <w:lang w:val="en-US" w:eastAsia="zh-CN"/>
        </w:rPr>
        <w:t>美术馆面向全区开展各年龄阶段免费培训共24场次。组织开展各类美术活动30余场次，服务群众6万人次。“遂宁市船山区美术馆”网站及微网页，开展线上服务，提供艺术文化资源，各类端口服务群众超过2万人次。截至2023年12月，支出项目总成本20万元。</w:t>
      </w:r>
      <w:r>
        <w:rPr>
          <w:rFonts w:hint="eastAsia" w:ascii="Times New Roman" w:hAnsi="Times New Roman" w:eastAsia="仿宋_GB2312" w:cs="Times New Roman"/>
          <w:sz w:val="32"/>
          <w:szCs w:val="32"/>
          <w:lang w:val="en-US" w:eastAsia="zh-CN"/>
        </w:rPr>
        <w:t>自评得分：5分。</w:t>
      </w:r>
    </w:p>
    <w:p w14:paraId="689F219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w:t>
      </w:r>
      <w:r>
        <w:rPr>
          <w:rFonts w:hint="eastAsia" w:ascii="Times New Roman" w:hAnsi="Times New Roman" w:eastAsia="仿宋_GB2312" w:cs="Times New Roman"/>
          <w:sz w:val="32"/>
          <w:szCs w:val="32"/>
          <w:lang w:val="en-US" w:eastAsia="zh-CN"/>
        </w:rPr>
        <w:t>分析</w:t>
      </w:r>
      <w:r>
        <w:rPr>
          <w:rFonts w:hint="eastAsia" w:ascii="仿宋_GB2312" w:hAnsi="仿宋_GB2312" w:eastAsia="仿宋_GB2312" w:cs="仿宋_GB2312"/>
          <w:b w:val="0"/>
          <w:bCs w:val="0"/>
          <w:kern w:val="0"/>
          <w:sz w:val="32"/>
          <w:szCs w:val="32"/>
          <w:lang w:val="en-US" w:eastAsia="zh-CN"/>
        </w:rPr>
        <w:t>：截至2023年12月31日，美术馆全年正常开放天数350天。</w:t>
      </w:r>
      <w:r>
        <w:rPr>
          <w:rFonts w:hint="eastAsia" w:ascii="Times New Roman" w:hAnsi="Times New Roman" w:eastAsia="仿宋_GB2312" w:cs="Times New Roman"/>
          <w:sz w:val="32"/>
          <w:szCs w:val="32"/>
          <w:lang w:val="en-US" w:eastAsia="zh-CN"/>
        </w:rPr>
        <w:t>自评得分：25分。</w:t>
      </w:r>
    </w:p>
    <w:p w14:paraId="0D4344D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w:t>
      </w:r>
      <w:r>
        <w:rPr>
          <w:rFonts w:hint="eastAsia" w:ascii="Times New Roman" w:hAnsi="Times New Roman" w:eastAsia="仿宋_GB2312" w:cs="Times New Roman"/>
          <w:sz w:val="32"/>
          <w:szCs w:val="32"/>
          <w:lang w:val="en-US" w:eastAsia="zh-CN"/>
        </w:rPr>
        <w:t>分析</w:t>
      </w:r>
      <w:r>
        <w:rPr>
          <w:rFonts w:hint="eastAsia" w:ascii="仿宋_GB2312" w:hAnsi="仿宋_GB2312" w:eastAsia="仿宋_GB2312" w:cs="仿宋_GB2312"/>
          <w:b w:val="0"/>
          <w:bCs w:val="0"/>
          <w:kern w:val="0"/>
          <w:sz w:val="32"/>
          <w:szCs w:val="32"/>
          <w:lang w:val="en-US" w:eastAsia="zh-CN"/>
        </w:rPr>
        <w:t>：建立健全美术馆管理制度，完成可持续性指标。</w:t>
      </w:r>
      <w:r>
        <w:rPr>
          <w:rFonts w:hint="eastAsia" w:ascii="Times New Roman" w:hAnsi="Times New Roman" w:eastAsia="仿宋_GB2312" w:cs="Times New Roman"/>
          <w:sz w:val="32"/>
          <w:szCs w:val="32"/>
          <w:lang w:val="en-US" w:eastAsia="zh-CN"/>
        </w:rPr>
        <w:t>自评得分：25分。</w:t>
      </w:r>
    </w:p>
    <w:p w14:paraId="249D764D">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满意度</w:t>
      </w:r>
      <w:r>
        <w:rPr>
          <w:rFonts w:hint="eastAsia" w:ascii="Times New Roman" w:hAnsi="Times New Roman" w:eastAsia="仿宋_GB2312" w:cs="Times New Roman"/>
          <w:sz w:val="32"/>
          <w:szCs w:val="32"/>
          <w:lang w:val="en-US" w:eastAsia="zh-CN"/>
        </w:rPr>
        <w:t>分析</w:t>
      </w:r>
      <w:r>
        <w:rPr>
          <w:rFonts w:hint="eastAsia" w:ascii="仿宋_GB2312" w:hAnsi="仿宋_GB2312" w:eastAsia="仿宋_GB2312" w:cs="仿宋_GB2312"/>
          <w:b w:val="0"/>
          <w:bCs w:val="0"/>
          <w:kern w:val="0"/>
          <w:sz w:val="32"/>
          <w:szCs w:val="32"/>
          <w:lang w:val="en-US" w:eastAsia="zh-CN"/>
        </w:rPr>
        <w:t>：满足群众参加免费美术培训、美术活动、美术展览等基本公共文化需求，人民群众基本文化权益保障基础不断夯实，人民群众精神文化需求有效满足，市民公共文化服务群众满意度98%。</w:t>
      </w:r>
      <w:r>
        <w:rPr>
          <w:rFonts w:hint="eastAsia" w:ascii="Times New Roman" w:hAnsi="Times New Roman" w:eastAsia="仿宋_GB2312" w:cs="Times New Roman"/>
          <w:sz w:val="32"/>
          <w:szCs w:val="32"/>
          <w:lang w:val="en-US" w:eastAsia="zh-CN"/>
        </w:rPr>
        <w:t>自评得分：10分。</w:t>
      </w:r>
    </w:p>
    <w:p w14:paraId="220E532F">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（二）存在的问题</w:t>
      </w:r>
    </w:p>
    <w:p w14:paraId="296D86CF">
      <w:pPr>
        <w:keepNext w:val="0"/>
        <w:keepLines w:val="0"/>
        <w:pageBreakBefore w:val="0"/>
        <w:kinsoku/>
        <w:wordWrap/>
        <w:overflowPunct w:val="0"/>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一是阵地建设严重不足，缺乏美术创作、交流和美术收藏相关功能室。二是人员编制严重不足，全馆仅有一名工作人员，无法提供更优质的公共服务。三是经费投入不足，上级下达和本级配套的免费开放经费仅能基本维持免费开放和中小型活动开展，对美术创作的支持和奖励力度不够。</w:t>
      </w:r>
    </w:p>
    <w:p w14:paraId="5C2F17AF">
      <w:pPr>
        <w:keepNext w:val="0"/>
        <w:keepLines w:val="0"/>
        <w:pageBreakBefore w:val="0"/>
        <w:kinsoku/>
        <w:wordWrap/>
        <w:overflowPunct w:val="0"/>
        <w:topLinePunct w:val="0"/>
        <w:autoSpaceDE/>
        <w:autoSpaceDN/>
        <w:bidi w:val="0"/>
        <w:adjustRightInd/>
        <w:snapToGrid w:val="0"/>
        <w:spacing w:line="560" w:lineRule="exact"/>
        <w:ind w:firstLine="643" w:firstLineChars="200"/>
        <w:jc w:val="both"/>
        <w:textAlignment w:val="auto"/>
        <w:rPr>
          <w:rFonts w:hint="default" w:ascii="Times New Roman" w:hAnsi="Times New Roman" w:eastAsia="楷体_GB2312"/>
          <w:b/>
          <w:bCs/>
          <w:sz w:val="32"/>
          <w:szCs w:val="32"/>
          <w:lang w:val="zh-CN"/>
        </w:rPr>
      </w:pPr>
      <w:r>
        <w:rPr>
          <w:rFonts w:hint="default" w:ascii="Times New Roman" w:hAnsi="Times New Roman" w:eastAsia="楷体_GB2312"/>
          <w:b/>
          <w:bCs/>
          <w:sz w:val="32"/>
          <w:szCs w:val="32"/>
          <w:lang w:val="zh-CN"/>
        </w:rPr>
        <w:t>（三）相关建议</w:t>
      </w:r>
    </w:p>
    <w:p w14:paraId="573886BB">
      <w:pPr>
        <w:keepNext w:val="0"/>
        <w:keepLines w:val="0"/>
        <w:pageBreakBefore w:val="0"/>
        <w:kinsoku/>
        <w:wordWrap/>
        <w:overflowPunct w:val="0"/>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val="0"/>
          <w:kern w:val="0"/>
          <w:sz w:val="32"/>
          <w:szCs w:val="32"/>
          <w:lang w:val="en-US" w:eastAsia="zh-CN"/>
        </w:rPr>
        <w:t>建议加大专项经费投入，建设相对独立的美术馆阵地，增加人员编制，加大免费开放活动的保障力度，进一步丰富群众精神文化生活，提升广大群众文化素养，推动社会和谐繁荣发展。</w:t>
      </w:r>
    </w:p>
    <w:p w14:paraId="04811913">
      <w:pPr>
        <w:pStyle w:val="16"/>
        <w:rPr>
          <w:rFonts w:hint="eastAsia"/>
          <w:lang w:val="en-US" w:eastAsia="zh-CN"/>
        </w:rPr>
      </w:pPr>
    </w:p>
    <w:p w14:paraId="6390798E">
      <w:pPr>
        <w:ind w:firstLine="640" w:firstLineChars="200"/>
        <w:rPr>
          <w:rFonts w:hint="eastAsia"/>
          <w:lang w:val="en-US" w:eastAsia="zh-CN"/>
        </w:rPr>
      </w:pPr>
      <w:r>
        <w:rPr>
          <w:rFonts w:hint="eastAsia" w:ascii="仿宋_GB2312" w:hAnsi="仿宋_GB2312" w:eastAsia="仿宋_GB2312" w:cs="仿宋_GB2312"/>
          <w:sz w:val="32"/>
          <w:szCs w:val="32"/>
          <w:lang w:val="en-US" w:eastAsia="zh-CN"/>
        </w:rPr>
        <w:t>附表：美术馆免费开放项目支出绩效评价指标体系</w:t>
      </w:r>
    </w:p>
    <w:p w14:paraId="73397D39">
      <w:pPr>
        <w:bidi w:val="0"/>
        <w:rPr>
          <w:rFonts w:hint="eastAsia"/>
          <w:lang w:val="en-US" w:eastAsia="zh-CN"/>
        </w:rPr>
      </w:pPr>
    </w:p>
    <w:p w14:paraId="37B3A868">
      <w:pPr>
        <w:bidi w:val="0"/>
        <w:rPr>
          <w:rFonts w:hint="eastAsia"/>
          <w:lang w:val="en-US" w:eastAsia="zh-CN"/>
        </w:rPr>
      </w:pPr>
    </w:p>
    <w:p w14:paraId="1BF339F2">
      <w:pPr>
        <w:bidi w:val="0"/>
        <w:rPr>
          <w:rFonts w:hint="eastAsia"/>
          <w:lang w:val="en-US" w:eastAsia="zh-CN"/>
        </w:rPr>
      </w:pPr>
    </w:p>
    <w:p w14:paraId="77EC22B1">
      <w:pPr>
        <w:tabs>
          <w:tab w:val="left" w:pos="636"/>
        </w:tabs>
        <w:bidi w:val="0"/>
        <w:jc w:val="left"/>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lang w:val="en-US" w:eastAsia="zh-CN"/>
        </w:rPr>
        <w:tab/>
      </w:r>
    </w:p>
    <w:p w14:paraId="63E2251F">
      <w:pPr>
        <w:tabs>
          <w:tab w:val="left" w:pos="29185"/>
        </w:tabs>
        <w:jc w:val="center"/>
        <w:rPr>
          <w:rFonts w:hint="default" w:ascii="Times New Roman" w:hAnsi="Times New Roman" w:eastAsia="方正小标宋简体" w:cs="Times New Roman"/>
          <w:color w:val="000000"/>
          <w:sz w:val="44"/>
          <w:szCs w:val="44"/>
        </w:rPr>
      </w:pPr>
      <w:r>
        <w:rPr>
          <w:rFonts w:hint="eastAsia" w:ascii="Times New Roman" w:hAnsi="Times New Roman" w:eastAsia="方正小标宋简体" w:cs="Times New Roman"/>
          <w:color w:val="000000"/>
          <w:sz w:val="44"/>
          <w:szCs w:val="44"/>
          <w:lang w:val="en-US" w:eastAsia="zh-CN"/>
        </w:rPr>
        <w:t>美术馆免费开放</w:t>
      </w:r>
      <w:r>
        <w:rPr>
          <w:rFonts w:hint="default" w:ascii="Times New Roman" w:hAnsi="Times New Roman" w:eastAsia="方正小标宋简体" w:cs="Times New Roman"/>
          <w:color w:val="000000"/>
          <w:sz w:val="44"/>
          <w:szCs w:val="44"/>
        </w:rPr>
        <w:t>项目支出绩效评价指标体系</w:t>
      </w:r>
    </w:p>
    <w:tbl>
      <w:tblPr>
        <w:tblStyle w:val="11"/>
        <w:tblW w:w="13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0"/>
        <w:gridCol w:w="771"/>
        <w:gridCol w:w="1854"/>
        <w:gridCol w:w="489"/>
        <w:gridCol w:w="759"/>
        <w:gridCol w:w="775"/>
        <w:gridCol w:w="910"/>
        <w:gridCol w:w="455"/>
        <w:gridCol w:w="405"/>
        <w:gridCol w:w="404"/>
        <w:gridCol w:w="388"/>
        <w:gridCol w:w="421"/>
        <w:gridCol w:w="421"/>
        <w:gridCol w:w="1719"/>
        <w:gridCol w:w="388"/>
        <w:gridCol w:w="320"/>
        <w:gridCol w:w="371"/>
        <w:gridCol w:w="354"/>
        <w:gridCol w:w="320"/>
        <w:gridCol w:w="388"/>
        <w:gridCol w:w="691"/>
        <w:gridCol w:w="324"/>
      </w:tblGrid>
      <w:tr w14:paraId="3C09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691" w:type="dxa"/>
            <w:gridSpan w:val="4"/>
            <w:vAlign w:val="center"/>
          </w:tcPr>
          <w:p w14:paraId="2509679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分层分类指标</w:t>
            </w:r>
          </w:p>
        </w:tc>
        <w:tc>
          <w:tcPr>
            <w:tcW w:w="489" w:type="dxa"/>
            <w:vMerge w:val="restart"/>
            <w:vAlign w:val="center"/>
          </w:tcPr>
          <w:p w14:paraId="4AE32173">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分值</w:t>
            </w:r>
          </w:p>
        </w:tc>
        <w:tc>
          <w:tcPr>
            <w:tcW w:w="759" w:type="dxa"/>
            <w:vMerge w:val="restart"/>
            <w:vAlign w:val="center"/>
          </w:tcPr>
          <w:p w14:paraId="01F9B720">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目标值</w:t>
            </w:r>
          </w:p>
        </w:tc>
        <w:tc>
          <w:tcPr>
            <w:tcW w:w="775" w:type="dxa"/>
            <w:vMerge w:val="restart"/>
            <w:vAlign w:val="center"/>
          </w:tcPr>
          <w:p w14:paraId="2E70720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完成值</w:t>
            </w:r>
          </w:p>
        </w:tc>
        <w:tc>
          <w:tcPr>
            <w:tcW w:w="910" w:type="dxa"/>
            <w:vMerge w:val="restart"/>
            <w:vAlign w:val="center"/>
          </w:tcPr>
          <w:p w14:paraId="2ABCBF0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指标解释</w:t>
            </w:r>
          </w:p>
        </w:tc>
        <w:tc>
          <w:tcPr>
            <w:tcW w:w="2494" w:type="dxa"/>
            <w:gridSpan w:val="6"/>
            <w:vAlign w:val="center"/>
          </w:tcPr>
          <w:p w14:paraId="14FBF04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评分方法</w:t>
            </w:r>
          </w:p>
        </w:tc>
        <w:tc>
          <w:tcPr>
            <w:tcW w:w="1719" w:type="dxa"/>
            <w:vMerge w:val="restart"/>
            <w:vAlign w:val="center"/>
          </w:tcPr>
          <w:p w14:paraId="768B224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评价要点及说明</w:t>
            </w:r>
          </w:p>
        </w:tc>
        <w:tc>
          <w:tcPr>
            <w:tcW w:w="388" w:type="dxa"/>
            <w:vAlign w:val="center"/>
          </w:tcPr>
          <w:p w14:paraId="5E5533D9">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评价属性</w:t>
            </w:r>
          </w:p>
        </w:tc>
        <w:tc>
          <w:tcPr>
            <w:tcW w:w="1753" w:type="dxa"/>
            <w:gridSpan w:val="5"/>
            <w:vAlign w:val="center"/>
          </w:tcPr>
          <w:p w14:paraId="0D99F5E8">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定量评价标准</w:t>
            </w:r>
          </w:p>
        </w:tc>
        <w:tc>
          <w:tcPr>
            <w:tcW w:w="691" w:type="dxa"/>
            <w:vMerge w:val="restart"/>
            <w:vAlign w:val="center"/>
          </w:tcPr>
          <w:p w14:paraId="1D87C439">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评价过程（只写扣分项的原因）</w:t>
            </w:r>
          </w:p>
        </w:tc>
        <w:tc>
          <w:tcPr>
            <w:tcW w:w="324" w:type="dxa"/>
            <w:vMerge w:val="restart"/>
            <w:vAlign w:val="center"/>
          </w:tcPr>
          <w:p w14:paraId="55A00E51">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自评得分</w:t>
            </w:r>
          </w:p>
        </w:tc>
      </w:tr>
      <w:tr w14:paraId="41A5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restart"/>
            <w:vAlign w:val="center"/>
          </w:tcPr>
          <w:p w14:paraId="2372DD8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分层指标</w:t>
            </w:r>
          </w:p>
        </w:tc>
        <w:tc>
          <w:tcPr>
            <w:tcW w:w="350" w:type="dxa"/>
            <w:vMerge w:val="restart"/>
            <w:vAlign w:val="center"/>
          </w:tcPr>
          <w:p w14:paraId="4D76039C">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适用范围</w:t>
            </w:r>
          </w:p>
        </w:tc>
        <w:tc>
          <w:tcPr>
            <w:tcW w:w="771" w:type="dxa"/>
            <w:vMerge w:val="restart"/>
            <w:vAlign w:val="center"/>
          </w:tcPr>
          <w:p w14:paraId="6ADC1A4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一级指标</w:t>
            </w:r>
          </w:p>
        </w:tc>
        <w:tc>
          <w:tcPr>
            <w:tcW w:w="1854" w:type="dxa"/>
            <w:vMerge w:val="restart"/>
            <w:vAlign w:val="center"/>
          </w:tcPr>
          <w:p w14:paraId="0320C85E">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二级指标</w:t>
            </w:r>
          </w:p>
        </w:tc>
        <w:tc>
          <w:tcPr>
            <w:tcW w:w="489" w:type="dxa"/>
            <w:vMerge w:val="continue"/>
            <w:vAlign w:val="center"/>
          </w:tcPr>
          <w:p w14:paraId="23545777">
            <w:pPr>
              <w:snapToGrid w:val="0"/>
              <w:spacing w:line="240" w:lineRule="atLeast"/>
              <w:jc w:val="center"/>
              <w:rPr>
                <w:rFonts w:hint="default" w:ascii="Times New Roman" w:hAnsi="Times New Roman" w:eastAsia="黑体" w:cs="Times New Roman"/>
                <w:b w:val="0"/>
                <w:bCs w:val="0"/>
                <w:color w:val="000000"/>
                <w:sz w:val="21"/>
                <w:szCs w:val="21"/>
              </w:rPr>
            </w:pPr>
          </w:p>
        </w:tc>
        <w:tc>
          <w:tcPr>
            <w:tcW w:w="759" w:type="dxa"/>
            <w:vMerge w:val="continue"/>
            <w:vAlign w:val="center"/>
          </w:tcPr>
          <w:p w14:paraId="4A1B1417">
            <w:pPr>
              <w:snapToGrid w:val="0"/>
              <w:spacing w:line="240" w:lineRule="atLeast"/>
              <w:jc w:val="center"/>
              <w:rPr>
                <w:rFonts w:hint="default" w:ascii="Times New Roman" w:hAnsi="Times New Roman" w:eastAsia="黑体" w:cs="Times New Roman"/>
                <w:b w:val="0"/>
                <w:bCs w:val="0"/>
                <w:color w:val="000000"/>
                <w:sz w:val="21"/>
                <w:szCs w:val="21"/>
              </w:rPr>
            </w:pPr>
          </w:p>
        </w:tc>
        <w:tc>
          <w:tcPr>
            <w:tcW w:w="775" w:type="dxa"/>
            <w:vMerge w:val="continue"/>
            <w:vAlign w:val="center"/>
          </w:tcPr>
          <w:p w14:paraId="3D674E31">
            <w:pPr>
              <w:snapToGrid w:val="0"/>
              <w:spacing w:line="240" w:lineRule="atLeast"/>
              <w:jc w:val="center"/>
              <w:rPr>
                <w:rFonts w:hint="default" w:ascii="Times New Roman" w:hAnsi="Times New Roman" w:eastAsia="黑体" w:cs="Times New Roman"/>
                <w:b w:val="0"/>
                <w:bCs w:val="0"/>
                <w:color w:val="000000"/>
                <w:sz w:val="21"/>
                <w:szCs w:val="21"/>
              </w:rPr>
            </w:pPr>
          </w:p>
        </w:tc>
        <w:tc>
          <w:tcPr>
            <w:tcW w:w="910" w:type="dxa"/>
            <w:vMerge w:val="continue"/>
            <w:vAlign w:val="center"/>
          </w:tcPr>
          <w:p w14:paraId="5A4F6C50">
            <w:pPr>
              <w:snapToGrid w:val="0"/>
              <w:spacing w:line="240" w:lineRule="atLeast"/>
              <w:jc w:val="center"/>
              <w:rPr>
                <w:rFonts w:hint="default" w:ascii="Times New Roman" w:hAnsi="Times New Roman" w:eastAsia="黑体" w:cs="Times New Roman"/>
                <w:b w:val="0"/>
                <w:bCs w:val="0"/>
                <w:color w:val="000000"/>
                <w:sz w:val="21"/>
                <w:szCs w:val="21"/>
              </w:rPr>
            </w:pPr>
          </w:p>
        </w:tc>
        <w:tc>
          <w:tcPr>
            <w:tcW w:w="455" w:type="dxa"/>
            <w:vMerge w:val="restart"/>
            <w:vAlign w:val="center"/>
          </w:tcPr>
          <w:p w14:paraId="48B1C30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方法归类</w:t>
            </w:r>
          </w:p>
        </w:tc>
        <w:tc>
          <w:tcPr>
            <w:tcW w:w="2039" w:type="dxa"/>
            <w:gridSpan w:val="5"/>
            <w:vAlign w:val="center"/>
          </w:tcPr>
          <w:p w14:paraId="6C68B39E">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计算公式</w:t>
            </w:r>
          </w:p>
        </w:tc>
        <w:tc>
          <w:tcPr>
            <w:tcW w:w="1719" w:type="dxa"/>
            <w:vMerge w:val="continue"/>
            <w:vAlign w:val="center"/>
          </w:tcPr>
          <w:p w14:paraId="2AF9335D">
            <w:pPr>
              <w:snapToGrid w:val="0"/>
              <w:spacing w:line="240" w:lineRule="atLeast"/>
              <w:rPr>
                <w:rFonts w:hint="default" w:ascii="Times New Roman" w:hAnsi="Times New Roman" w:eastAsia="黑体" w:cs="Times New Roman"/>
                <w:b w:val="0"/>
                <w:bCs w:val="0"/>
                <w:color w:val="000000"/>
                <w:sz w:val="21"/>
                <w:szCs w:val="21"/>
              </w:rPr>
            </w:pPr>
          </w:p>
        </w:tc>
        <w:tc>
          <w:tcPr>
            <w:tcW w:w="388" w:type="dxa"/>
            <w:vMerge w:val="restart"/>
            <w:vAlign w:val="center"/>
          </w:tcPr>
          <w:p w14:paraId="29251F53">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定量评价</w:t>
            </w:r>
          </w:p>
        </w:tc>
        <w:tc>
          <w:tcPr>
            <w:tcW w:w="320" w:type="dxa"/>
            <w:vMerge w:val="restart"/>
            <w:vAlign w:val="center"/>
          </w:tcPr>
          <w:p w14:paraId="45A4CA9B">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国家标准</w:t>
            </w:r>
          </w:p>
        </w:tc>
        <w:tc>
          <w:tcPr>
            <w:tcW w:w="371" w:type="dxa"/>
            <w:vMerge w:val="restart"/>
            <w:vAlign w:val="center"/>
          </w:tcPr>
          <w:p w14:paraId="7C559E1B">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行业标准</w:t>
            </w:r>
          </w:p>
        </w:tc>
        <w:tc>
          <w:tcPr>
            <w:tcW w:w="354" w:type="dxa"/>
            <w:vMerge w:val="restart"/>
            <w:vAlign w:val="center"/>
          </w:tcPr>
          <w:p w14:paraId="608E17BA">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地方标准</w:t>
            </w:r>
          </w:p>
        </w:tc>
        <w:tc>
          <w:tcPr>
            <w:tcW w:w="320" w:type="dxa"/>
            <w:vMerge w:val="restart"/>
            <w:vAlign w:val="center"/>
          </w:tcPr>
          <w:p w14:paraId="04FA810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申报标准</w:t>
            </w:r>
          </w:p>
        </w:tc>
        <w:tc>
          <w:tcPr>
            <w:tcW w:w="388" w:type="dxa"/>
            <w:vMerge w:val="restart"/>
            <w:vAlign w:val="center"/>
          </w:tcPr>
          <w:p w14:paraId="514ABF1A">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历史均值</w:t>
            </w:r>
          </w:p>
        </w:tc>
        <w:tc>
          <w:tcPr>
            <w:tcW w:w="691" w:type="dxa"/>
            <w:vMerge w:val="continue"/>
            <w:vAlign w:val="center"/>
          </w:tcPr>
          <w:p w14:paraId="35980386">
            <w:pPr>
              <w:snapToGrid w:val="0"/>
              <w:spacing w:line="240" w:lineRule="atLeast"/>
              <w:jc w:val="center"/>
              <w:rPr>
                <w:rFonts w:hint="default" w:ascii="Times New Roman" w:hAnsi="Times New Roman" w:cs="Times New Roman"/>
                <w:b w:val="0"/>
                <w:bCs w:val="0"/>
                <w:color w:val="000000"/>
                <w:sz w:val="21"/>
                <w:szCs w:val="21"/>
              </w:rPr>
            </w:pPr>
          </w:p>
        </w:tc>
        <w:tc>
          <w:tcPr>
            <w:tcW w:w="324" w:type="dxa"/>
            <w:vMerge w:val="continue"/>
            <w:vAlign w:val="center"/>
          </w:tcPr>
          <w:p w14:paraId="37A187D0">
            <w:pPr>
              <w:snapToGrid w:val="0"/>
              <w:spacing w:line="240" w:lineRule="atLeast"/>
              <w:jc w:val="center"/>
              <w:rPr>
                <w:rFonts w:hint="default" w:ascii="Times New Roman" w:hAnsi="Times New Roman" w:cs="Times New Roman"/>
                <w:b w:val="0"/>
                <w:bCs w:val="0"/>
                <w:color w:val="000000"/>
                <w:sz w:val="21"/>
                <w:szCs w:val="21"/>
              </w:rPr>
            </w:pPr>
          </w:p>
        </w:tc>
      </w:tr>
      <w:tr w14:paraId="4909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continue"/>
            <w:vAlign w:val="center"/>
          </w:tcPr>
          <w:p w14:paraId="42CAC72F">
            <w:pPr>
              <w:snapToGrid w:val="0"/>
              <w:spacing w:line="240" w:lineRule="atLeast"/>
              <w:jc w:val="center"/>
              <w:rPr>
                <w:rFonts w:hint="default" w:ascii="Times New Roman" w:hAnsi="Times New Roman" w:eastAsia="黑体" w:cs="Times New Roman"/>
                <w:b w:val="0"/>
                <w:bCs w:val="0"/>
                <w:color w:val="000000"/>
                <w:sz w:val="21"/>
                <w:szCs w:val="21"/>
              </w:rPr>
            </w:pPr>
          </w:p>
        </w:tc>
        <w:tc>
          <w:tcPr>
            <w:tcW w:w="350" w:type="dxa"/>
            <w:vMerge w:val="continue"/>
            <w:vAlign w:val="center"/>
          </w:tcPr>
          <w:p w14:paraId="29161306">
            <w:pPr>
              <w:snapToGrid w:val="0"/>
              <w:spacing w:line="240" w:lineRule="atLeast"/>
              <w:jc w:val="center"/>
              <w:rPr>
                <w:rFonts w:hint="default" w:ascii="Times New Roman" w:hAnsi="Times New Roman" w:eastAsia="黑体" w:cs="Times New Roman"/>
                <w:b w:val="0"/>
                <w:bCs w:val="0"/>
                <w:color w:val="000000"/>
                <w:sz w:val="21"/>
                <w:szCs w:val="21"/>
              </w:rPr>
            </w:pPr>
          </w:p>
        </w:tc>
        <w:tc>
          <w:tcPr>
            <w:tcW w:w="771" w:type="dxa"/>
            <w:vMerge w:val="continue"/>
            <w:vAlign w:val="center"/>
          </w:tcPr>
          <w:p w14:paraId="60D14BA1">
            <w:pPr>
              <w:snapToGrid w:val="0"/>
              <w:spacing w:line="240" w:lineRule="atLeast"/>
              <w:jc w:val="center"/>
              <w:rPr>
                <w:rFonts w:hint="default" w:ascii="Times New Roman" w:hAnsi="Times New Roman" w:eastAsia="黑体" w:cs="Times New Roman"/>
                <w:b w:val="0"/>
                <w:bCs w:val="0"/>
                <w:color w:val="000000"/>
                <w:sz w:val="21"/>
                <w:szCs w:val="21"/>
              </w:rPr>
            </w:pPr>
          </w:p>
        </w:tc>
        <w:tc>
          <w:tcPr>
            <w:tcW w:w="1854" w:type="dxa"/>
            <w:vMerge w:val="continue"/>
            <w:vAlign w:val="center"/>
          </w:tcPr>
          <w:p w14:paraId="5E5913DA">
            <w:pPr>
              <w:snapToGrid w:val="0"/>
              <w:spacing w:line="240" w:lineRule="atLeast"/>
              <w:jc w:val="center"/>
              <w:rPr>
                <w:rFonts w:hint="default" w:ascii="Times New Roman" w:hAnsi="Times New Roman" w:eastAsia="黑体" w:cs="Times New Roman"/>
                <w:b w:val="0"/>
                <w:bCs w:val="0"/>
                <w:color w:val="000000"/>
                <w:sz w:val="21"/>
                <w:szCs w:val="21"/>
              </w:rPr>
            </w:pPr>
          </w:p>
        </w:tc>
        <w:tc>
          <w:tcPr>
            <w:tcW w:w="489" w:type="dxa"/>
            <w:vMerge w:val="continue"/>
            <w:vAlign w:val="center"/>
          </w:tcPr>
          <w:p w14:paraId="0E35289E">
            <w:pPr>
              <w:snapToGrid w:val="0"/>
              <w:spacing w:line="240" w:lineRule="atLeast"/>
              <w:jc w:val="center"/>
              <w:rPr>
                <w:rFonts w:hint="default" w:ascii="Times New Roman" w:hAnsi="Times New Roman" w:eastAsia="黑体" w:cs="Times New Roman"/>
                <w:b w:val="0"/>
                <w:bCs w:val="0"/>
                <w:color w:val="000000"/>
                <w:sz w:val="21"/>
                <w:szCs w:val="21"/>
              </w:rPr>
            </w:pPr>
          </w:p>
        </w:tc>
        <w:tc>
          <w:tcPr>
            <w:tcW w:w="759" w:type="dxa"/>
            <w:vMerge w:val="continue"/>
            <w:vAlign w:val="center"/>
          </w:tcPr>
          <w:p w14:paraId="2226F829">
            <w:pPr>
              <w:snapToGrid w:val="0"/>
              <w:spacing w:line="240" w:lineRule="atLeast"/>
              <w:jc w:val="center"/>
              <w:rPr>
                <w:rFonts w:hint="default" w:ascii="Times New Roman" w:hAnsi="Times New Roman" w:eastAsia="黑体" w:cs="Times New Roman"/>
                <w:b w:val="0"/>
                <w:bCs w:val="0"/>
                <w:color w:val="000000"/>
                <w:sz w:val="21"/>
                <w:szCs w:val="21"/>
              </w:rPr>
            </w:pPr>
          </w:p>
        </w:tc>
        <w:tc>
          <w:tcPr>
            <w:tcW w:w="775" w:type="dxa"/>
            <w:vMerge w:val="continue"/>
            <w:vAlign w:val="center"/>
          </w:tcPr>
          <w:p w14:paraId="37D32534">
            <w:pPr>
              <w:snapToGrid w:val="0"/>
              <w:spacing w:line="240" w:lineRule="atLeast"/>
              <w:jc w:val="center"/>
              <w:rPr>
                <w:rFonts w:hint="default" w:ascii="Times New Roman" w:hAnsi="Times New Roman" w:eastAsia="黑体" w:cs="Times New Roman"/>
                <w:b w:val="0"/>
                <w:bCs w:val="0"/>
                <w:color w:val="000000"/>
                <w:sz w:val="21"/>
                <w:szCs w:val="21"/>
              </w:rPr>
            </w:pPr>
          </w:p>
        </w:tc>
        <w:tc>
          <w:tcPr>
            <w:tcW w:w="910" w:type="dxa"/>
            <w:vMerge w:val="continue"/>
            <w:vAlign w:val="center"/>
          </w:tcPr>
          <w:p w14:paraId="535D9807">
            <w:pPr>
              <w:snapToGrid w:val="0"/>
              <w:spacing w:line="240" w:lineRule="atLeast"/>
              <w:jc w:val="center"/>
              <w:rPr>
                <w:rFonts w:hint="default" w:ascii="Times New Roman" w:hAnsi="Times New Roman" w:eastAsia="黑体" w:cs="Times New Roman"/>
                <w:b w:val="0"/>
                <w:bCs w:val="0"/>
                <w:color w:val="000000"/>
                <w:sz w:val="21"/>
                <w:szCs w:val="21"/>
              </w:rPr>
            </w:pPr>
          </w:p>
        </w:tc>
        <w:tc>
          <w:tcPr>
            <w:tcW w:w="455" w:type="dxa"/>
            <w:vMerge w:val="continue"/>
            <w:vAlign w:val="center"/>
          </w:tcPr>
          <w:p w14:paraId="12B2871F">
            <w:pPr>
              <w:snapToGrid w:val="0"/>
              <w:spacing w:line="240" w:lineRule="atLeast"/>
              <w:jc w:val="center"/>
              <w:rPr>
                <w:rFonts w:hint="default" w:ascii="Times New Roman" w:hAnsi="Times New Roman" w:eastAsia="黑体" w:cs="Times New Roman"/>
                <w:b w:val="0"/>
                <w:bCs w:val="0"/>
                <w:color w:val="000000"/>
                <w:sz w:val="21"/>
                <w:szCs w:val="21"/>
              </w:rPr>
            </w:pPr>
          </w:p>
        </w:tc>
        <w:tc>
          <w:tcPr>
            <w:tcW w:w="405" w:type="dxa"/>
            <w:vAlign w:val="center"/>
          </w:tcPr>
          <w:p w14:paraId="4BA0390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0</w:t>
            </w:r>
          </w:p>
        </w:tc>
        <w:tc>
          <w:tcPr>
            <w:tcW w:w="404" w:type="dxa"/>
            <w:vAlign w:val="center"/>
          </w:tcPr>
          <w:p w14:paraId="469A31D0">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0.3</w:t>
            </w:r>
          </w:p>
        </w:tc>
        <w:tc>
          <w:tcPr>
            <w:tcW w:w="388" w:type="dxa"/>
            <w:vAlign w:val="center"/>
          </w:tcPr>
          <w:p w14:paraId="2E87B9D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0.6</w:t>
            </w:r>
          </w:p>
        </w:tc>
        <w:tc>
          <w:tcPr>
            <w:tcW w:w="421" w:type="dxa"/>
            <w:vAlign w:val="center"/>
          </w:tcPr>
          <w:p w14:paraId="7E8FB78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0.8</w:t>
            </w:r>
          </w:p>
        </w:tc>
        <w:tc>
          <w:tcPr>
            <w:tcW w:w="421" w:type="dxa"/>
            <w:vAlign w:val="center"/>
          </w:tcPr>
          <w:p w14:paraId="252F0BAB">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rPr>
              <w:t>1</w:t>
            </w:r>
          </w:p>
        </w:tc>
        <w:tc>
          <w:tcPr>
            <w:tcW w:w="1719" w:type="dxa"/>
            <w:vMerge w:val="continue"/>
            <w:vAlign w:val="center"/>
          </w:tcPr>
          <w:p w14:paraId="0021DFB6">
            <w:pPr>
              <w:snapToGrid w:val="0"/>
              <w:spacing w:line="240" w:lineRule="atLeast"/>
              <w:jc w:val="center"/>
              <w:rPr>
                <w:rFonts w:hint="default" w:ascii="Times New Roman" w:hAnsi="Times New Roman" w:cs="Times New Roman"/>
                <w:b w:val="0"/>
                <w:bCs w:val="0"/>
                <w:color w:val="000000"/>
                <w:sz w:val="21"/>
                <w:szCs w:val="21"/>
              </w:rPr>
            </w:pPr>
          </w:p>
        </w:tc>
        <w:tc>
          <w:tcPr>
            <w:tcW w:w="388" w:type="dxa"/>
            <w:vMerge w:val="continue"/>
            <w:vAlign w:val="center"/>
          </w:tcPr>
          <w:p w14:paraId="351A86D0">
            <w:pPr>
              <w:snapToGrid w:val="0"/>
              <w:spacing w:line="240" w:lineRule="atLeast"/>
              <w:jc w:val="center"/>
              <w:rPr>
                <w:rFonts w:hint="default" w:ascii="Times New Roman" w:hAnsi="Times New Roman" w:cs="Times New Roman"/>
                <w:b w:val="0"/>
                <w:bCs w:val="0"/>
                <w:color w:val="000000"/>
                <w:sz w:val="21"/>
                <w:szCs w:val="21"/>
              </w:rPr>
            </w:pPr>
          </w:p>
        </w:tc>
        <w:tc>
          <w:tcPr>
            <w:tcW w:w="320" w:type="dxa"/>
            <w:vMerge w:val="continue"/>
            <w:vAlign w:val="center"/>
          </w:tcPr>
          <w:p w14:paraId="3005FC8F">
            <w:pPr>
              <w:snapToGrid w:val="0"/>
              <w:spacing w:line="240" w:lineRule="atLeast"/>
              <w:jc w:val="center"/>
              <w:rPr>
                <w:rFonts w:hint="default" w:ascii="Times New Roman" w:hAnsi="Times New Roman" w:cs="Times New Roman"/>
                <w:b w:val="0"/>
                <w:bCs w:val="0"/>
                <w:color w:val="000000"/>
                <w:sz w:val="21"/>
                <w:szCs w:val="21"/>
              </w:rPr>
            </w:pPr>
          </w:p>
        </w:tc>
        <w:tc>
          <w:tcPr>
            <w:tcW w:w="371" w:type="dxa"/>
            <w:vMerge w:val="continue"/>
            <w:vAlign w:val="center"/>
          </w:tcPr>
          <w:p w14:paraId="4F19D1DB">
            <w:pPr>
              <w:snapToGrid w:val="0"/>
              <w:spacing w:line="240" w:lineRule="atLeast"/>
              <w:jc w:val="center"/>
              <w:rPr>
                <w:rFonts w:hint="default" w:ascii="Times New Roman" w:hAnsi="Times New Roman" w:cs="Times New Roman"/>
                <w:b w:val="0"/>
                <w:bCs w:val="0"/>
                <w:color w:val="000000"/>
                <w:sz w:val="21"/>
                <w:szCs w:val="21"/>
              </w:rPr>
            </w:pPr>
          </w:p>
        </w:tc>
        <w:tc>
          <w:tcPr>
            <w:tcW w:w="354" w:type="dxa"/>
            <w:vMerge w:val="continue"/>
            <w:vAlign w:val="center"/>
          </w:tcPr>
          <w:p w14:paraId="6E9978D1">
            <w:pPr>
              <w:snapToGrid w:val="0"/>
              <w:spacing w:line="240" w:lineRule="atLeast"/>
              <w:jc w:val="center"/>
              <w:rPr>
                <w:rFonts w:hint="default" w:ascii="Times New Roman" w:hAnsi="Times New Roman" w:cs="Times New Roman"/>
                <w:b w:val="0"/>
                <w:bCs w:val="0"/>
                <w:color w:val="000000"/>
                <w:sz w:val="21"/>
                <w:szCs w:val="21"/>
              </w:rPr>
            </w:pPr>
          </w:p>
        </w:tc>
        <w:tc>
          <w:tcPr>
            <w:tcW w:w="320" w:type="dxa"/>
            <w:vMerge w:val="continue"/>
            <w:vAlign w:val="center"/>
          </w:tcPr>
          <w:p w14:paraId="7695680E">
            <w:pPr>
              <w:snapToGrid w:val="0"/>
              <w:spacing w:line="240" w:lineRule="atLeast"/>
              <w:jc w:val="center"/>
              <w:rPr>
                <w:rFonts w:hint="default" w:ascii="Times New Roman" w:hAnsi="Times New Roman" w:cs="Times New Roman"/>
                <w:b w:val="0"/>
                <w:bCs w:val="0"/>
                <w:color w:val="000000"/>
                <w:sz w:val="21"/>
                <w:szCs w:val="21"/>
              </w:rPr>
            </w:pPr>
          </w:p>
        </w:tc>
        <w:tc>
          <w:tcPr>
            <w:tcW w:w="388" w:type="dxa"/>
            <w:vMerge w:val="continue"/>
            <w:vAlign w:val="center"/>
          </w:tcPr>
          <w:p w14:paraId="77D4A385">
            <w:pPr>
              <w:snapToGrid w:val="0"/>
              <w:spacing w:line="240" w:lineRule="atLeast"/>
              <w:jc w:val="center"/>
              <w:rPr>
                <w:rFonts w:hint="default" w:ascii="Times New Roman" w:hAnsi="Times New Roman" w:cs="Times New Roman"/>
                <w:b w:val="0"/>
                <w:bCs w:val="0"/>
                <w:color w:val="000000"/>
                <w:sz w:val="21"/>
                <w:szCs w:val="21"/>
              </w:rPr>
            </w:pPr>
          </w:p>
        </w:tc>
        <w:tc>
          <w:tcPr>
            <w:tcW w:w="691" w:type="dxa"/>
            <w:vMerge w:val="continue"/>
            <w:vAlign w:val="center"/>
          </w:tcPr>
          <w:p w14:paraId="7A0BF23A">
            <w:pPr>
              <w:snapToGrid w:val="0"/>
              <w:spacing w:line="240" w:lineRule="atLeast"/>
              <w:jc w:val="center"/>
              <w:rPr>
                <w:rFonts w:hint="default" w:ascii="Times New Roman" w:hAnsi="Times New Roman" w:cs="Times New Roman"/>
                <w:b w:val="0"/>
                <w:bCs w:val="0"/>
                <w:color w:val="000000"/>
                <w:sz w:val="21"/>
                <w:szCs w:val="21"/>
              </w:rPr>
            </w:pPr>
          </w:p>
        </w:tc>
        <w:tc>
          <w:tcPr>
            <w:tcW w:w="324" w:type="dxa"/>
            <w:vMerge w:val="continue"/>
            <w:vAlign w:val="center"/>
          </w:tcPr>
          <w:p w14:paraId="1F1FBCDC">
            <w:pPr>
              <w:snapToGrid w:val="0"/>
              <w:spacing w:line="240" w:lineRule="atLeast"/>
              <w:jc w:val="center"/>
              <w:rPr>
                <w:rFonts w:hint="default" w:ascii="Times New Roman" w:hAnsi="Times New Roman" w:cs="Times New Roman"/>
                <w:b w:val="0"/>
                <w:bCs w:val="0"/>
                <w:color w:val="000000"/>
                <w:sz w:val="21"/>
                <w:szCs w:val="21"/>
              </w:rPr>
            </w:pPr>
          </w:p>
        </w:tc>
      </w:tr>
      <w:tr w14:paraId="39DF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16" w:type="dxa"/>
            <w:vMerge w:val="restart"/>
            <w:vAlign w:val="center"/>
          </w:tcPr>
          <w:p w14:paraId="3187FD9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rPr>
              <w:t>通用指标（20分）</w:t>
            </w:r>
            <w:r>
              <w:rPr>
                <w:rStyle w:val="28"/>
                <w:rFonts w:hint="default" w:ascii="Times New Roman" w:hAnsi="Times New Roman" w:cs="Times New Roman"/>
                <w:b w:val="0"/>
                <w:bCs w:val="0"/>
                <w:color w:val="000000"/>
                <w:sz w:val="21"/>
                <w:szCs w:val="21"/>
              </w:rPr>
              <w:t>不能修改</w:t>
            </w:r>
          </w:p>
        </w:tc>
        <w:tc>
          <w:tcPr>
            <w:tcW w:w="350" w:type="dxa"/>
            <w:vMerge w:val="restart"/>
            <w:vAlign w:val="center"/>
          </w:tcPr>
          <w:p w14:paraId="0002C3A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所有项目</w:t>
            </w:r>
          </w:p>
        </w:tc>
        <w:tc>
          <w:tcPr>
            <w:tcW w:w="771" w:type="dxa"/>
            <w:vMerge w:val="restart"/>
            <w:vAlign w:val="center"/>
          </w:tcPr>
          <w:p w14:paraId="352E4C5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项目决策</w:t>
            </w:r>
          </w:p>
        </w:tc>
        <w:tc>
          <w:tcPr>
            <w:tcW w:w="1854" w:type="dxa"/>
            <w:vAlign w:val="center"/>
          </w:tcPr>
          <w:p w14:paraId="36C6954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程序严密</w:t>
            </w:r>
          </w:p>
        </w:tc>
        <w:tc>
          <w:tcPr>
            <w:tcW w:w="489" w:type="dxa"/>
            <w:vAlign w:val="center"/>
          </w:tcPr>
          <w:p w14:paraId="1EF8170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w:t>
            </w:r>
          </w:p>
        </w:tc>
        <w:tc>
          <w:tcPr>
            <w:tcW w:w="759" w:type="dxa"/>
            <w:vAlign w:val="center"/>
          </w:tcPr>
          <w:p w14:paraId="64B2F40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严密</w:t>
            </w:r>
          </w:p>
        </w:tc>
        <w:tc>
          <w:tcPr>
            <w:tcW w:w="775" w:type="dxa"/>
            <w:vAlign w:val="center"/>
          </w:tcPr>
          <w:p w14:paraId="4E0DED57">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严密</w:t>
            </w:r>
          </w:p>
        </w:tc>
        <w:tc>
          <w:tcPr>
            <w:tcW w:w="910" w:type="dxa"/>
            <w:vAlign w:val="center"/>
          </w:tcPr>
          <w:p w14:paraId="7A4D5E4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项目设立是否经过严格评估论证，管理制度是否健全完善</w:t>
            </w:r>
          </w:p>
        </w:tc>
        <w:tc>
          <w:tcPr>
            <w:tcW w:w="455" w:type="dxa"/>
            <w:vAlign w:val="center"/>
          </w:tcPr>
          <w:p w14:paraId="0180F98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分级评分法</w:t>
            </w:r>
          </w:p>
        </w:tc>
        <w:tc>
          <w:tcPr>
            <w:tcW w:w="405" w:type="dxa"/>
            <w:vAlign w:val="center"/>
          </w:tcPr>
          <w:p w14:paraId="6E99EF9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不严密</w:t>
            </w:r>
          </w:p>
        </w:tc>
        <w:tc>
          <w:tcPr>
            <w:tcW w:w="404" w:type="dxa"/>
            <w:vAlign w:val="center"/>
          </w:tcPr>
          <w:p w14:paraId="7AAAE37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3处及以上不严密</w:t>
            </w:r>
          </w:p>
        </w:tc>
        <w:tc>
          <w:tcPr>
            <w:tcW w:w="388" w:type="dxa"/>
            <w:vAlign w:val="center"/>
          </w:tcPr>
          <w:p w14:paraId="7B3D864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2处不严密</w:t>
            </w:r>
          </w:p>
        </w:tc>
        <w:tc>
          <w:tcPr>
            <w:tcW w:w="421" w:type="dxa"/>
            <w:vAlign w:val="center"/>
          </w:tcPr>
          <w:p w14:paraId="1D4B0DC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1处不严密</w:t>
            </w:r>
          </w:p>
        </w:tc>
        <w:tc>
          <w:tcPr>
            <w:tcW w:w="421" w:type="dxa"/>
            <w:vAlign w:val="center"/>
          </w:tcPr>
          <w:p w14:paraId="2813EE7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严密</w:t>
            </w:r>
          </w:p>
        </w:tc>
        <w:tc>
          <w:tcPr>
            <w:tcW w:w="1719" w:type="dxa"/>
            <w:vAlign w:val="center"/>
          </w:tcPr>
          <w:p w14:paraId="56295E8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主要查看项目设立时是否经过事前评估或可行性论证，专项资金管理办法是否健全完善</w:t>
            </w:r>
          </w:p>
        </w:tc>
        <w:tc>
          <w:tcPr>
            <w:tcW w:w="388" w:type="dxa"/>
            <w:vAlign w:val="center"/>
          </w:tcPr>
          <w:p w14:paraId="29D10378">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0EF56162">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7EFB9756">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605F8FFA">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6C87A865">
            <w:pPr>
              <w:snapToGrid w:val="0"/>
              <w:spacing w:line="240" w:lineRule="atLeast"/>
              <w:jc w:val="center"/>
              <w:rPr>
                <w:rFonts w:hint="default" w:ascii="Times New Roman" w:hAnsi="Times New Roman" w:cs="Times New Roman"/>
                <w:b w:val="0"/>
                <w:bCs w:val="0"/>
                <w:color w:val="000000"/>
                <w:sz w:val="21"/>
                <w:szCs w:val="21"/>
              </w:rPr>
            </w:pPr>
          </w:p>
        </w:tc>
        <w:tc>
          <w:tcPr>
            <w:tcW w:w="388" w:type="dxa"/>
            <w:vAlign w:val="center"/>
          </w:tcPr>
          <w:p w14:paraId="497BD03C">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242C0241">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3500484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w:t>
            </w:r>
          </w:p>
        </w:tc>
      </w:tr>
      <w:tr w14:paraId="77C3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716" w:type="dxa"/>
            <w:vMerge w:val="continue"/>
            <w:vAlign w:val="center"/>
          </w:tcPr>
          <w:p w14:paraId="649751F9">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18350F6D">
            <w:pPr>
              <w:snapToGrid w:val="0"/>
              <w:spacing w:line="240" w:lineRule="atLeast"/>
              <w:jc w:val="center"/>
              <w:rPr>
                <w:rFonts w:hint="default" w:ascii="Times New Roman" w:hAnsi="Times New Roman" w:cs="Times New Roman"/>
                <w:b w:val="0"/>
                <w:bCs w:val="0"/>
                <w:color w:val="000000"/>
                <w:sz w:val="21"/>
                <w:szCs w:val="21"/>
              </w:rPr>
            </w:pPr>
          </w:p>
        </w:tc>
        <w:tc>
          <w:tcPr>
            <w:tcW w:w="771" w:type="dxa"/>
            <w:vMerge w:val="continue"/>
            <w:vAlign w:val="center"/>
          </w:tcPr>
          <w:p w14:paraId="3B6D0C9D">
            <w:pPr>
              <w:snapToGrid w:val="0"/>
              <w:spacing w:line="240" w:lineRule="atLeast"/>
              <w:jc w:val="center"/>
              <w:rPr>
                <w:rFonts w:hint="default" w:ascii="Times New Roman" w:hAnsi="Times New Roman" w:cs="Times New Roman"/>
                <w:b w:val="0"/>
                <w:bCs w:val="0"/>
                <w:color w:val="000000"/>
                <w:sz w:val="21"/>
                <w:szCs w:val="21"/>
              </w:rPr>
            </w:pPr>
          </w:p>
        </w:tc>
        <w:tc>
          <w:tcPr>
            <w:tcW w:w="1854" w:type="dxa"/>
            <w:vAlign w:val="center"/>
          </w:tcPr>
          <w:p w14:paraId="4BC769F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规划合理</w:t>
            </w:r>
          </w:p>
        </w:tc>
        <w:tc>
          <w:tcPr>
            <w:tcW w:w="489" w:type="dxa"/>
            <w:vAlign w:val="center"/>
          </w:tcPr>
          <w:p w14:paraId="01643DE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w:t>
            </w:r>
          </w:p>
        </w:tc>
        <w:tc>
          <w:tcPr>
            <w:tcW w:w="759" w:type="dxa"/>
            <w:vAlign w:val="center"/>
          </w:tcPr>
          <w:p w14:paraId="6A89F0B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合理</w:t>
            </w:r>
          </w:p>
        </w:tc>
        <w:tc>
          <w:tcPr>
            <w:tcW w:w="775" w:type="dxa"/>
            <w:vAlign w:val="center"/>
          </w:tcPr>
          <w:p w14:paraId="6034C097">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合理</w:t>
            </w:r>
          </w:p>
        </w:tc>
        <w:tc>
          <w:tcPr>
            <w:tcW w:w="910" w:type="dxa"/>
            <w:vAlign w:val="center"/>
          </w:tcPr>
          <w:p w14:paraId="45FE519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项目规划是否符合市委、市政府重大决策部署，是否与项目年度目标一致</w:t>
            </w:r>
          </w:p>
        </w:tc>
        <w:tc>
          <w:tcPr>
            <w:tcW w:w="455" w:type="dxa"/>
            <w:vAlign w:val="center"/>
          </w:tcPr>
          <w:p w14:paraId="5368EB9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分级评分法</w:t>
            </w:r>
          </w:p>
        </w:tc>
        <w:tc>
          <w:tcPr>
            <w:tcW w:w="405" w:type="dxa"/>
            <w:vAlign w:val="center"/>
          </w:tcPr>
          <w:p w14:paraId="7846332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不合理</w:t>
            </w:r>
          </w:p>
        </w:tc>
        <w:tc>
          <w:tcPr>
            <w:tcW w:w="404" w:type="dxa"/>
            <w:vAlign w:val="center"/>
          </w:tcPr>
          <w:p w14:paraId="7D38E4B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3处及以上不合理</w:t>
            </w:r>
          </w:p>
        </w:tc>
        <w:tc>
          <w:tcPr>
            <w:tcW w:w="388" w:type="dxa"/>
            <w:vAlign w:val="center"/>
          </w:tcPr>
          <w:p w14:paraId="542C62F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2处不合理</w:t>
            </w:r>
          </w:p>
        </w:tc>
        <w:tc>
          <w:tcPr>
            <w:tcW w:w="421" w:type="dxa"/>
            <w:vAlign w:val="center"/>
          </w:tcPr>
          <w:p w14:paraId="4F86AB5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1处不合理</w:t>
            </w:r>
          </w:p>
        </w:tc>
        <w:tc>
          <w:tcPr>
            <w:tcW w:w="421" w:type="dxa"/>
            <w:vAlign w:val="center"/>
          </w:tcPr>
          <w:p w14:paraId="2DBEAF4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合理</w:t>
            </w:r>
          </w:p>
        </w:tc>
        <w:tc>
          <w:tcPr>
            <w:tcW w:w="1719" w:type="dxa"/>
            <w:vAlign w:val="center"/>
          </w:tcPr>
          <w:p w14:paraId="5839095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主要查看项目设立依据是否充分，符合市委、市政府重大决策部署和宏观政策规划，项目年度绩效目标与中长期规划是否一致</w:t>
            </w:r>
          </w:p>
        </w:tc>
        <w:tc>
          <w:tcPr>
            <w:tcW w:w="388" w:type="dxa"/>
            <w:vAlign w:val="center"/>
          </w:tcPr>
          <w:p w14:paraId="2F9DC9E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4E831FBF">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1B51011E">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38B80F6C">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0D7419B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88" w:type="dxa"/>
            <w:vAlign w:val="center"/>
          </w:tcPr>
          <w:p w14:paraId="40A9ED11">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68F8709C">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581E445C">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2</w:t>
            </w:r>
          </w:p>
        </w:tc>
      </w:tr>
      <w:tr w14:paraId="1895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716" w:type="dxa"/>
            <w:vMerge w:val="restart"/>
            <w:vAlign w:val="center"/>
          </w:tcPr>
          <w:p w14:paraId="70B4A69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rPr>
              <w:t>通用指标（20分）</w:t>
            </w:r>
            <w:r>
              <w:rPr>
                <w:rStyle w:val="28"/>
                <w:rFonts w:hint="default" w:ascii="Times New Roman" w:hAnsi="Times New Roman" w:cs="Times New Roman"/>
                <w:b w:val="0"/>
                <w:bCs w:val="0"/>
                <w:color w:val="000000"/>
                <w:sz w:val="21"/>
                <w:szCs w:val="21"/>
              </w:rPr>
              <w:t>不能修改</w:t>
            </w:r>
          </w:p>
        </w:tc>
        <w:tc>
          <w:tcPr>
            <w:tcW w:w="350" w:type="dxa"/>
            <w:vMerge w:val="restart"/>
            <w:vAlign w:val="center"/>
          </w:tcPr>
          <w:p w14:paraId="78CF904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所有项目</w:t>
            </w:r>
          </w:p>
        </w:tc>
        <w:tc>
          <w:tcPr>
            <w:tcW w:w="771" w:type="dxa"/>
            <w:vMerge w:val="continue"/>
            <w:vAlign w:val="center"/>
          </w:tcPr>
          <w:p w14:paraId="43143D89">
            <w:pPr>
              <w:snapToGrid w:val="0"/>
              <w:spacing w:line="240" w:lineRule="atLeast"/>
              <w:jc w:val="center"/>
              <w:rPr>
                <w:rFonts w:hint="default" w:ascii="Times New Roman" w:hAnsi="Times New Roman" w:cs="Times New Roman"/>
                <w:b w:val="0"/>
                <w:bCs w:val="0"/>
                <w:color w:val="000000"/>
                <w:sz w:val="21"/>
                <w:szCs w:val="21"/>
              </w:rPr>
            </w:pPr>
          </w:p>
        </w:tc>
        <w:tc>
          <w:tcPr>
            <w:tcW w:w="1854" w:type="dxa"/>
            <w:vAlign w:val="center"/>
          </w:tcPr>
          <w:p w14:paraId="77ECEF1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结果符合</w:t>
            </w:r>
          </w:p>
        </w:tc>
        <w:tc>
          <w:tcPr>
            <w:tcW w:w="489" w:type="dxa"/>
            <w:vAlign w:val="center"/>
          </w:tcPr>
          <w:p w14:paraId="2198207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w:t>
            </w:r>
          </w:p>
        </w:tc>
        <w:tc>
          <w:tcPr>
            <w:tcW w:w="759" w:type="dxa"/>
            <w:vAlign w:val="center"/>
          </w:tcPr>
          <w:p w14:paraId="5F89D93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符合</w:t>
            </w:r>
          </w:p>
        </w:tc>
        <w:tc>
          <w:tcPr>
            <w:tcW w:w="775" w:type="dxa"/>
            <w:vAlign w:val="center"/>
          </w:tcPr>
          <w:p w14:paraId="403E99AE">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符合</w:t>
            </w:r>
          </w:p>
        </w:tc>
        <w:tc>
          <w:tcPr>
            <w:tcW w:w="910" w:type="dxa"/>
            <w:vAlign w:val="center"/>
          </w:tcPr>
          <w:p w14:paraId="76A348E4">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项目实施结果是否与规划计划一致</w:t>
            </w:r>
          </w:p>
        </w:tc>
        <w:tc>
          <w:tcPr>
            <w:tcW w:w="455" w:type="dxa"/>
            <w:vAlign w:val="center"/>
          </w:tcPr>
          <w:p w14:paraId="4D2AD53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比率分值法</w:t>
            </w:r>
          </w:p>
        </w:tc>
        <w:tc>
          <w:tcPr>
            <w:tcW w:w="2039" w:type="dxa"/>
            <w:gridSpan w:val="5"/>
            <w:vAlign w:val="center"/>
          </w:tcPr>
          <w:p w14:paraId="4620ACB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指标得分=项目实施结果符合规划的金额/项目总金额×100%*指标分值</w:t>
            </w:r>
          </w:p>
        </w:tc>
        <w:tc>
          <w:tcPr>
            <w:tcW w:w="1719" w:type="dxa"/>
            <w:vAlign w:val="center"/>
          </w:tcPr>
          <w:p w14:paraId="5F79A6A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按项目法分配的项目，以所有项目点实施完成情况与规划计划情况进行对比。按因素法分配的项目和据实据效分配的项目，将资金分配方向与规划计划支持方向进行对比</w:t>
            </w:r>
          </w:p>
        </w:tc>
        <w:tc>
          <w:tcPr>
            <w:tcW w:w="388" w:type="dxa"/>
            <w:vAlign w:val="center"/>
          </w:tcPr>
          <w:p w14:paraId="2BA35F1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7E593AEE">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7031607D">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27CDCCF8">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20B7236B">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28AE0FEE">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0C880C76">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189ED96C">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2</w:t>
            </w:r>
          </w:p>
        </w:tc>
      </w:tr>
      <w:tr w14:paraId="4CD1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716" w:type="dxa"/>
            <w:vMerge w:val="continue"/>
            <w:vAlign w:val="center"/>
          </w:tcPr>
          <w:p w14:paraId="0C2791C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2AF1F5D3">
            <w:pPr>
              <w:snapToGrid w:val="0"/>
              <w:spacing w:line="240" w:lineRule="atLeast"/>
              <w:jc w:val="center"/>
              <w:rPr>
                <w:rFonts w:hint="default" w:ascii="Times New Roman" w:hAnsi="Times New Roman" w:cs="Times New Roman"/>
                <w:b w:val="0"/>
                <w:bCs w:val="0"/>
                <w:color w:val="000000"/>
                <w:sz w:val="21"/>
                <w:szCs w:val="21"/>
              </w:rPr>
            </w:pPr>
          </w:p>
        </w:tc>
        <w:tc>
          <w:tcPr>
            <w:tcW w:w="771" w:type="dxa"/>
            <w:vMerge w:val="restart"/>
            <w:vAlign w:val="center"/>
          </w:tcPr>
          <w:p w14:paraId="7531772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项目实施</w:t>
            </w:r>
          </w:p>
        </w:tc>
        <w:tc>
          <w:tcPr>
            <w:tcW w:w="1854" w:type="dxa"/>
            <w:vAlign w:val="center"/>
          </w:tcPr>
          <w:p w14:paraId="6A53954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执行有效</w:t>
            </w:r>
          </w:p>
        </w:tc>
        <w:tc>
          <w:tcPr>
            <w:tcW w:w="489" w:type="dxa"/>
            <w:vAlign w:val="center"/>
          </w:tcPr>
          <w:p w14:paraId="631983C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4</w:t>
            </w:r>
          </w:p>
        </w:tc>
        <w:tc>
          <w:tcPr>
            <w:tcW w:w="759" w:type="dxa"/>
            <w:vAlign w:val="center"/>
          </w:tcPr>
          <w:p w14:paraId="2DF525F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有效</w:t>
            </w:r>
          </w:p>
        </w:tc>
        <w:tc>
          <w:tcPr>
            <w:tcW w:w="775" w:type="dxa"/>
            <w:vAlign w:val="center"/>
          </w:tcPr>
          <w:p w14:paraId="737B26C3">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有效</w:t>
            </w:r>
          </w:p>
        </w:tc>
        <w:tc>
          <w:tcPr>
            <w:tcW w:w="910" w:type="dxa"/>
            <w:vAlign w:val="center"/>
          </w:tcPr>
          <w:p w14:paraId="0237B37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项目实施是否符合相关管理制度规定</w:t>
            </w:r>
          </w:p>
        </w:tc>
        <w:tc>
          <w:tcPr>
            <w:tcW w:w="455" w:type="dxa"/>
            <w:vAlign w:val="center"/>
          </w:tcPr>
          <w:p w14:paraId="3CAFAF5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缺（错）项扣分法</w:t>
            </w:r>
          </w:p>
        </w:tc>
        <w:tc>
          <w:tcPr>
            <w:tcW w:w="2039" w:type="dxa"/>
            <w:gridSpan w:val="5"/>
            <w:vAlign w:val="center"/>
          </w:tcPr>
          <w:p w14:paraId="12D776C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发现一处扣0.5分，直至扣完</w:t>
            </w:r>
          </w:p>
        </w:tc>
        <w:tc>
          <w:tcPr>
            <w:tcW w:w="1719" w:type="dxa"/>
            <w:vAlign w:val="center"/>
          </w:tcPr>
          <w:p w14:paraId="0EA88C71">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项目实施是否遵守相关法律法规；项目调整手续是否完备；项目合同、验收报告、技术鉴定等资料是否齐全并及时归档；项目实施的人员条件、场地设备、信息支撑等是否落实到位</w:t>
            </w:r>
          </w:p>
        </w:tc>
        <w:tc>
          <w:tcPr>
            <w:tcW w:w="388" w:type="dxa"/>
            <w:vAlign w:val="center"/>
          </w:tcPr>
          <w:p w14:paraId="210B366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465D08D4">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165B3939">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2D2EEA22">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1BA6039C">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6417BA1C">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572A3C59">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5092F56B">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4</w:t>
            </w:r>
          </w:p>
        </w:tc>
      </w:tr>
      <w:tr w14:paraId="275F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jc w:val="center"/>
        </w:trPr>
        <w:tc>
          <w:tcPr>
            <w:tcW w:w="716" w:type="dxa"/>
            <w:vMerge w:val="restart"/>
            <w:vAlign w:val="center"/>
          </w:tcPr>
          <w:p w14:paraId="0D83819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rPr>
              <w:t>通用指标（20分）</w:t>
            </w:r>
            <w:r>
              <w:rPr>
                <w:rStyle w:val="28"/>
                <w:rFonts w:hint="default" w:ascii="Times New Roman" w:hAnsi="Times New Roman" w:cs="Times New Roman"/>
                <w:b w:val="0"/>
                <w:bCs w:val="0"/>
                <w:color w:val="000000"/>
                <w:sz w:val="21"/>
                <w:szCs w:val="21"/>
              </w:rPr>
              <w:t>不能修改</w:t>
            </w:r>
          </w:p>
        </w:tc>
        <w:tc>
          <w:tcPr>
            <w:tcW w:w="350" w:type="dxa"/>
            <w:vMerge w:val="restart"/>
            <w:vAlign w:val="center"/>
          </w:tcPr>
          <w:p w14:paraId="07C8BBD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所有项目</w:t>
            </w:r>
          </w:p>
        </w:tc>
        <w:tc>
          <w:tcPr>
            <w:tcW w:w="771" w:type="dxa"/>
            <w:vMerge w:val="continue"/>
            <w:vAlign w:val="center"/>
          </w:tcPr>
          <w:p w14:paraId="5C2DA086">
            <w:pPr>
              <w:snapToGrid w:val="0"/>
              <w:spacing w:line="240" w:lineRule="atLeast"/>
              <w:jc w:val="center"/>
              <w:rPr>
                <w:rFonts w:hint="default" w:ascii="Times New Roman" w:hAnsi="Times New Roman" w:cs="Times New Roman"/>
                <w:b w:val="0"/>
                <w:bCs w:val="0"/>
                <w:color w:val="000000"/>
                <w:sz w:val="21"/>
                <w:szCs w:val="21"/>
              </w:rPr>
            </w:pPr>
          </w:p>
        </w:tc>
        <w:tc>
          <w:tcPr>
            <w:tcW w:w="1854" w:type="dxa"/>
            <w:vAlign w:val="center"/>
          </w:tcPr>
          <w:p w14:paraId="74C593C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使用合规</w:t>
            </w:r>
          </w:p>
        </w:tc>
        <w:tc>
          <w:tcPr>
            <w:tcW w:w="489" w:type="dxa"/>
            <w:vAlign w:val="center"/>
          </w:tcPr>
          <w:p w14:paraId="25D92B4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4</w:t>
            </w:r>
          </w:p>
        </w:tc>
        <w:tc>
          <w:tcPr>
            <w:tcW w:w="759" w:type="dxa"/>
            <w:vAlign w:val="center"/>
          </w:tcPr>
          <w:p w14:paraId="54205FE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合规</w:t>
            </w:r>
          </w:p>
        </w:tc>
        <w:tc>
          <w:tcPr>
            <w:tcW w:w="775" w:type="dxa"/>
            <w:vAlign w:val="center"/>
          </w:tcPr>
          <w:p w14:paraId="31B463CB">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合规</w:t>
            </w:r>
          </w:p>
        </w:tc>
        <w:tc>
          <w:tcPr>
            <w:tcW w:w="910" w:type="dxa"/>
            <w:vAlign w:val="center"/>
          </w:tcPr>
          <w:p w14:paraId="49A05F8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项目资金使用是否符合相关的财务管理制度规定</w:t>
            </w:r>
          </w:p>
        </w:tc>
        <w:tc>
          <w:tcPr>
            <w:tcW w:w="455" w:type="dxa"/>
            <w:vAlign w:val="center"/>
          </w:tcPr>
          <w:p w14:paraId="5F36945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缺（错）项扣分法</w:t>
            </w:r>
          </w:p>
        </w:tc>
        <w:tc>
          <w:tcPr>
            <w:tcW w:w="2039" w:type="dxa"/>
            <w:gridSpan w:val="5"/>
            <w:vAlign w:val="center"/>
          </w:tcPr>
          <w:p w14:paraId="1C88A28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发现一处扣0.5分，直至扣完</w:t>
            </w:r>
          </w:p>
        </w:tc>
        <w:tc>
          <w:tcPr>
            <w:tcW w:w="1719" w:type="dxa"/>
            <w:vAlign w:val="center"/>
          </w:tcPr>
          <w:p w14:paraId="56F6092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388" w:type="dxa"/>
            <w:vAlign w:val="center"/>
          </w:tcPr>
          <w:p w14:paraId="34C001E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775B365A">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2C34B116">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64B263B0">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1AA54CD9">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12A94E95">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5F4879F7">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5B9ED5C7">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4</w:t>
            </w:r>
          </w:p>
        </w:tc>
      </w:tr>
      <w:tr w14:paraId="5643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716" w:type="dxa"/>
            <w:vMerge w:val="continue"/>
            <w:vAlign w:val="center"/>
          </w:tcPr>
          <w:p w14:paraId="7C20EFE6">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50991487">
            <w:pPr>
              <w:snapToGrid w:val="0"/>
              <w:spacing w:line="240" w:lineRule="atLeast"/>
              <w:jc w:val="center"/>
              <w:rPr>
                <w:rFonts w:hint="default" w:ascii="Times New Roman" w:hAnsi="Times New Roman" w:cs="Times New Roman"/>
                <w:b w:val="0"/>
                <w:bCs w:val="0"/>
                <w:color w:val="000000"/>
                <w:sz w:val="21"/>
                <w:szCs w:val="21"/>
              </w:rPr>
            </w:pPr>
          </w:p>
        </w:tc>
        <w:tc>
          <w:tcPr>
            <w:tcW w:w="771" w:type="dxa"/>
            <w:vMerge w:val="restart"/>
            <w:vAlign w:val="center"/>
          </w:tcPr>
          <w:p w14:paraId="095A9B3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预算执行</w:t>
            </w:r>
          </w:p>
        </w:tc>
        <w:tc>
          <w:tcPr>
            <w:tcW w:w="1854" w:type="dxa"/>
            <w:vAlign w:val="center"/>
          </w:tcPr>
          <w:p w14:paraId="62B2C7D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预算执行率</w:t>
            </w:r>
          </w:p>
        </w:tc>
        <w:tc>
          <w:tcPr>
            <w:tcW w:w="489" w:type="dxa"/>
            <w:vAlign w:val="center"/>
          </w:tcPr>
          <w:p w14:paraId="2250626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6</w:t>
            </w:r>
          </w:p>
        </w:tc>
        <w:tc>
          <w:tcPr>
            <w:tcW w:w="759" w:type="dxa"/>
            <w:vAlign w:val="center"/>
          </w:tcPr>
          <w:p w14:paraId="6BC219B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100%</w:t>
            </w:r>
          </w:p>
        </w:tc>
        <w:tc>
          <w:tcPr>
            <w:tcW w:w="775" w:type="dxa"/>
            <w:vAlign w:val="center"/>
          </w:tcPr>
          <w:p w14:paraId="5FC22AFC">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100%</w:t>
            </w:r>
          </w:p>
        </w:tc>
        <w:tc>
          <w:tcPr>
            <w:tcW w:w="910" w:type="dxa"/>
            <w:vAlign w:val="center"/>
          </w:tcPr>
          <w:p w14:paraId="339650F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反映项目资金整体预算执行情况</w:t>
            </w:r>
          </w:p>
        </w:tc>
        <w:tc>
          <w:tcPr>
            <w:tcW w:w="455" w:type="dxa"/>
            <w:vAlign w:val="center"/>
          </w:tcPr>
          <w:p w14:paraId="774BD40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比率分值法</w:t>
            </w:r>
          </w:p>
        </w:tc>
        <w:tc>
          <w:tcPr>
            <w:tcW w:w="2039" w:type="dxa"/>
            <w:gridSpan w:val="5"/>
            <w:vAlign w:val="center"/>
          </w:tcPr>
          <w:p w14:paraId="785E8B6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指标得分=实际拨付下达资金/预算安排资金总额×100%*指标分值（预算安排资金总额一般采用年初预算数，若存在政策变化等因素可采用调整预算数）</w:t>
            </w:r>
          </w:p>
        </w:tc>
        <w:tc>
          <w:tcPr>
            <w:tcW w:w="1719" w:type="dxa"/>
            <w:vAlign w:val="center"/>
          </w:tcPr>
          <w:p w14:paraId="50931391">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54E8E57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316B726C">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6847EA64">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5448C664">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4D1987D8">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BF5E811">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678EF791">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0719AF3B">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6</w:t>
            </w:r>
          </w:p>
        </w:tc>
      </w:tr>
      <w:tr w14:paraId="14F1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vAlign w:val="center"/>
          </w:tcPr>
          <w:p w14:paraId="2B99ED74">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2E1F897D">
            <w:pPr>
              <w:snapToGrid w:val="0"/>
              <w:spacing w:line="240" w:lineRule="atLeast"/>
              <w:jc w:val="center"/>
              <w:rPr>
                <w:rFonts w:hint="default" w:ascii="Times New Roman" w:hAnsi="Times New Roman" w:cs="Times New Roman"/>
                <w:b w:val="0"/>
                <w:bCs w:val="0"/>
                <w:color w:val="000000"/>
                <w:sz w:val="21"/>
                <w:szCs w:val="21"/>
              </w:rPr>
            </w:pPr>
          </w:p>
        </w:tc>
        <w:tc>
          <w:tcPr>
            <w:tcW w:w="771" w:type="dxa"/>
            <w:vMerge w:val="continue"/>
            <w:vAlign w:val="center"/>
          </w:tcPr>
          <w:p w14:paraId="02E1EB2A">
            <w:pPr>
              <w:snapToGrid w:val="0"/>
              <w:spacing w:line="240" w:lineRule="atLeast"/>
              <w:jc w:val="center"/>
              <w:rPr>
                <w:rFonts w:hint="default" w:ascii="Times New Roman" w:hAnsi="Times New Roman" w:cs="Times New Roman"/>
                <w:b w:val="0"/>
                <w:bCs w:val="0"/>
                <w:color w:val="000000"/>
                <w:sz w:val="21"/>
                <w:szCs w:val="21"/>
              </w:rPr>
            </w:pPr>
          </w:p>
        </w:tc>
        <w:tc>
          <w:tcPr>
            <w:tcW w:w="1854" w:type="dxa"/>
            <w:vAlign w:val="center"/>
          </w:tcPr>
          <w:p w14:paraId="4D69BBC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资金使用率</w:t>
            </w:r>
          </w:p>
        </w:tc>
        <w:tc>
          <w:tcPr>
            <w:tcW w:w="489" w:type="dxa"/>
            <w:vAlign w:val="center"/>
          </w:tcPr>
          <w:p w14:paraId="727A4A2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w:t>
            </w:r>
          </w:p>
        </w:tc>
        <w:tc>
          <w:tcPr>
            <w:tcW w:w="759" w:type="dxa"/>
            <w:vAlign w:val="center"/>
          </w:tcPr>
          <w:p w14:paraId="30E7EF4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100%</w:t>
            </w:r>
          </w:p>
        </w:tc>
        <w:tc>
          <w:tcPr>
            <w:tcW w:w="775" w:type="dxa"/>
            <w:vAlign w:val="center"/>
          </w:tcPr>
          <w:p w14:paraId="3E5EE8F9">
            <w:pPr>
              <w:snapToGrid w:val="0"/>
              <w:spacing w:line="240" w:lineRule="atLeast"/>
              <w:jc w:val="center"/>
              <w:rPr>
                <w:rFonts w:hint="default" w:ascii="Times New Roman" w:hAnsi="Times New Roman" w:cs="Times New Roman"/>
                <w:b w:val="0"/>
                <w:bCs w:val="0"/>
                <w:color w:val="000000"/>
                <w:sz w:val="21"/>
                <w:szCs w:val="21"/>
              </w:rPr>
            </w:pPr>
          </w:p>
        </w:tc>
        <w:tc>
          <w:tcPr>
            <w:tcW w:w="910" w:type="dxa"/>
            <w:vAlign w:val="center"/>
          </w:tcPr>
          <w:p w14:paraId="74CAD183">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反映项目点获得资金的使用情况</w:t>
            </w:r>
          </w:p>
        </w:tc>
        <w:tc>
          <w:tcPr>
            <w:tcW w:w="455" w:type="dxa"/>
            <w:vAlign w:val="center"/>
          </w:tcPr>
          <w:p w14:paraId="3351B90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分级评分法</w:t>
            </w:r>
          </w:p>
        </w:tc>
        <w:tc>
          <w:tcPr>
            <w:tcW w:w="2039" w:type="dxa"/>
            <w:gridSpan w:val="5"/>
            <w:vAlign w:val="center"/>
          </w:tcPr>
          <w:p w14:paraId="379D2E1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9"/>
                <w:rFonts w:hint="default" w:ascii="Times New Roman" w:hAnsi="Times New Roman" w:cs="Times New Roman"/>
                <w:b w:val="0"/>
                <w:bCs w:val="0"/>
                <w:sz w:val="21"/>
                <w:szCs w:val="21"/>
              </w:rPr>
              <w:t>指标得分=项目点实际使用资金/获得补助资金总额×100%*指标分值</w:t>
            </w:r>
            <w:r>
              <w:rPr>
                <w:rStyle w:val="30"/>
                <w:rFonts w:hint="default" w:ascii="Times New Roman" w:hAnsi="Times New Roman" w:cs="Times New Roman"/>
                <w:b w:val="0"/>
                <w:bCs w:val="0"/>
                <w:color w:val="000000"/>
                <w:sz w:val="21"/>
                <w:szCs w:val="21"/>
              </w:rPr>
              <w:t>（后补助资金可不考核本指标）</w:t>
            </w:r>
          </w:p>
        </w:tc>
        <w:tc>
          <w:tcPr>
            <w:tcW w:w="1719" w:type="dxa"/>
            <w:vAlign w:val="center"/>
          </w:tcPr>
          <w:p w14:paraId="1BFCB8A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不涉及的将分数调整到预算执行率内（6分）</w:t>
            </w:r>
          </w:p>
        </w:tc>
        <w:tc>
          <w:tcPr>
            <w:tcW w:w="388" w:type="dxa"/>
            <w:vAlign w:val="center"/>
          </w:tcPr>
          <w:p w14:paraId="473A7C4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35C0895C">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2993EBC4">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59CF3CD0">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66C373BC">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171DDB6B">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71600F38">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3F0F983A">
            <w:pPr>
              <w:snapToGrid w:val="0"/>
              <w:spacing w:line="240" w:lineRule="atLeast"/>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w:t>
            </w:r>
          </w:p>
        </w:tc>
      </w:tr>
      <w:tr w14:paraId="61C0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restart"/>
            <w:vAlign w:val="center"/>
          </w:tcPr>
          <w:p w14:paraId="31D6BCB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产出指标（20分）</w:t>
            </w:r>
          </w:p>
        </w:tc>
        <w:tc>
          <w:tcPr>
            <w:tcW w:w="350" w:type="dxa"/>
            <w:vMerge w:val="restart"/>
            <w:vAlign w:val="center"/>
          </w:tcPr>
          <w:p w14:paraId="327EED5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所有项目</w:t>
            </w:r>
          </w:p>
        </w:tc>
        <w:tc>
          <w:tcPr>
            <w:tcW w:w="771" w:type="dxa"/>
            <w:vAlign w:val="center"/>
          </w:tcPr>
          <w:p w14:paraId="628C74D3">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数量指标</w:t>
            </w:r>
          </w:p>
        </w:tc>
        <w:tc>
          <w:tcPr>
            <w:tcW w:w="1854" w:type="dxa"/>
            <w:vAlign w:val="center"/>
          </w:tcPr>
          <w:p w14:paraId="1EB0746E">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保障区美术馆免费开放数量</w:t>
            </w:r>
          </w:p>
        </w:tc>
        <w:tc>
          <w:tcPr>
            <w:tcW w:w="489" w:type="dxa"/>
            <w:vAlign w:val="center"/>
          </w:tcPr>
          <w:p w14:paraId="3C448995">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5</w:t>
            </w:r>
          </w:p>
        </w:tc>
        <w:tc>
          <w:tcPr>
            <w:tcW w:w="759" w:type="dxa"/>
            <w:vAlign w:val="center"/>
          </w:tcPr>
          <w:p w14:paraId="265DEA9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1个</w:t>
            </w:r>
          </w:p>
        </w:tc>
        <w:tc>
          <w:tcPr>
            <w:tcW w:w="775" w:type="dxa"/>
            <w:vAlign w:val="center"/>
          </w:tcPr>
          <w:p w14:paraId="699B29E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1个</w:t>
            </w:r>
          </w:p>
        </w:tc>
        <w:tc>
          <w:tcPr>
            <w:tcW w:w="910" w:type="dxa"/>
            <w:vAlign w:val="center"/>
          </w:tcPr>
          <w:p w14:paraId="0996B320">
            <w:pPr>
              <w:snapToGrid w:val="0"/>
              <w:spacing w:line="240" w:lineRule="atLeast"/>
              <w:rPr>
                <w:rFonts w:hint="default" w:ascii="Times New Roman" w:hAnsi="Times New Roman" w:cs="Times New Roman"/>
                <w:b w:val="0"/>
                <w:bCs w:val="0"/>
                <w:color w:val="000000"/>
                <w:sz w:val="21"/>
                <w:szCs w:val="21"/>
              </w:rPr>
            </w:pPr>
          </w:p>
        </w:tc>
        <w:tc>
          <w:tcPr>
            <w:tcW w:w="455" w:type="dxa"/>
            <w:vMerge w:val="restart"/>
            <w:vAlign w:val="center"/>
          </w:tcPr>
          <w:p w14:paraId="6D67B291">
            <w:pPr>
              <w:snapToGrid w:val="0"/>
              <w:spacing w:line="240" w:lineRule="atLeast"/>
              <w:jc w:val="center"/>
              <w:rPr>
                <w:rFonts w:hint="default" w:ascii="Times New Roman" w:hAnsi="Times New Roman" w:cs="Times New Roman"/>
                <w:b w:val="0"/>
                <w:bCs w:val="0"/>
                <w:color w:val="000000"/>
                <w:sz w:val="21"/>
                <w:szCs w:val="21"/>
              </w:rPr>
            </w:pPr>
          </w:p>
        </w:tc>
        <w:tc>
          <w:tcPr>
            <w:tcW w:w="2039" w:type="dxa"/>
            <w:gridSpan w:val="5"/>
            <w:vAlign w:val="center"/>
          </w:tcPr>
          <w:p w14:paraId="09A0A057">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28ADA1A2">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423D9726">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09D58713">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5B626BD4">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0F5CB097">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1F98F959">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9312F6F">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3B05C90E">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38D0A7EC">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val="en-US" w:eastAsia="zh-CN"/>
              </w:rPr>
              <w:t>5</w:t>
            </w:r>
          </w:p>
        </w:tc>
      </w:tr>
      <w:tr w14:paraId="1181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16" w:type="dxa"/>
            <w:vMerge w:val="continue"/>
            <w:vAlign w:val="center"/>
          </w:tcPr>
          <w:p w14:paraId="776E6113">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74F1E672">
            <w:pPr>
              <w:snapToGrid w:val="0"/>
              <w:spacing w:line="240" w:lineRule="atLeast"/>
              <w:jc w:val="center"/>
              <w:rPr>
                <w:rFonts w:hint="default" w:ascii="Times New Roman" w:hAnsi="Times New Roman" w:cs="Times New Roman"/>
                <w:b w:val="0"/>
                <w:bCs w:val="0"/>
                <w:color w:val="000000"/>
                <w:sz w:val="21"/>
                <w:szCs w:val="21"/>
              </w:rPr>
            </w:pPr>
          </w:p>
        </w:tc>
        <w:tc>
          <w:tcPr>
            <w:tcW w:w="771" w:type="dxa"/>
            <w:vAlign w:val="center"/>
          </w:tcPr>
          <w:p w14:paraId="7370AC63">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时效指标</w:t>
            </w:r>
          </w:p>
        </w:tc>
        <w:tc>
          <w:tcPr>
            <w:tcW w:w="1854" w:type="dxa"/>
            <w:vAlign w:val="center"/>
          </w:tcPr>
          <w:p w14:paraId="4F85E989">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资金发放及时率</w:t>
            </w:r>
          </w:p>
        </w:tc>
        <w:tc>
          <w:tcPr>
            <w:tcW w:w="489" w:type="dxa"/>
            <w:vAlign w:val="center"/>
          </w:tcPr>
          <w:p w14:paraId="64FB2B36">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5</w:t>
            </w:r>
          </w:p>
        </w:tc>
        <w:tc>
          <w:tcPr>
            <w:tcW w:w="759" w:type="dxa"/>
            <w:vAlign w:val="center"/>
          </w:tcPr>
          <w:p w14:paraId="775A8AB5">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100</w:t>
            </w:r>
            <w:r>
              <w:rPr>
                <w:rFonts w:hint="eastAsia" w:ascii="Times New Roman" w:hAnsi="Times New Roman" w:eastAsia="宋体" w:cs="Times New Roman"/>
                <w:b w:val="0"/>
                <w:bCs w:val="0"/>
                <w:color w:val="000000"/>
                <w:sz w:val="21"/>
                <w:szCs w:val="21"/>
                <w:lang w:val="en-US" w:eastAsia="zh-CN"/>
              </w:rPr>
              <w:t>%</w:t>
            </w:r>
          </w:p>
        </w:tc>
        <w:tc>
          <w:tcPr>
            <w:tcW w:w="775" w:type="dxa"/>
            <w:vAlign w:val="center"/>
          </w:tcPr>
          <w:p w14:paraId="24F0E785">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val="en-US" w:eastAsia="zh-CN"/>
              </w:rPr>
              <w:t>100</w:t>
            </w:r>
            <w:r>
              <w:rPr>
                <w:rFonts w:hint="eastAsia" w:ascii="Times New Roman" w:hAnsi="Times New Roman" w:eastAsia="宋体" w:cs="Times New Roman"/>
                <w:b w:val="0"/>
                <w:bCs w:val="0"/>
                <w:color w:val="000000"/>
                <w:sz w:val="21"/>
                <w:szCs w:val="21"/>
                <w:lang w:val="en-US" w:eastAsia="zh-CN"/>
              </w:rPr>
              <w:t>%</w:t>
            </w:r>
          </w:p>
        </w:tc>
        <w:tc>
          <w:tcPr>
            <w:tcW w:w="910" w:type="dxa"/>
            <w:vAlign w:val="center"/>
          </w:tcPr>
          <w:p w14:paraId="4E7202E2">
            <w:pPr>
              <w:snapToGrid w:val="0"/>
              <w:spacing w:line="240" w:lineRule="atLeast"/>
              <w:rPr>
                <w:rFonts w:hint="default" w:ascii="Times New Roman" w:hAnsi="Times New Roman" w:cs="Times New Roman"/>
                <w:b w:val="0"/>
                <w:bCs w:val="0"/>
                <w:color w:val="000000"/>
                <w:sz w:val="21"/>
                <w:szCs w:val="21"/>
              </w:rPr>
            </w:pPr>
          </w:p>
        </w:tc>
        <w:tc>
          <w:tcPr>
            <w:tcW w:w="455" w:type="dxa"/>
            <w:vMerge w:val="continue"/>
            <w:vAlign w:val="center"/>
          </w:tcPr>
          <w:p w14:paraId="064E0482">
            <w:pPr>
              <w:snapToGrid w:val="0"/>
              <w:spacing w:line="240" w:lineRule="atLeast"/>
              <w:jc w:val="center"/>
              <w:rPr>
                <w:rFonts w:hint="default" w:ascii="Times New Roman" w:hAnsi="Times New Roman" w:cs="Times New Roman"/>
                <w:b w:val="0"/>
                <w:bCs w:val="0"/>
                <w:color w:val="000000"/>
                <w:sz w:val="21"/>
                <w:szCs w:val="21"/>
              </w:rPr>
            </w:pPr>
          </w:p>
        </w:tc>
        <w:tc>
          <w:tcPr>
            <w:tcW w:w="2039" w:type="dxa"/>
            <w:gridSpan w:val="5"/>
            <w:vAlign w:val="center"/>
          </w:tcPr>
          <w:p w14:paraId="101E54E8">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6FA66370">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10C9F169">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2300481C">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66C4788E">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5A345A5B">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53E35887">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5E5043D">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69231041">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1EB7DF8D">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val="en-US" w:eastAsia="zh-CN"/>
              </w:rPr>
              <w:t>5</w:t>
            </w:r>
          </w:p>
        </w:tc>
      </w:tr>
      <w:tr w14:paraId="3B67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16" w:type="dxa"/>
            <w:vMerge w:val="continue"/>
            <w:vAlign w:val="center"/>
          </w:tcPr>
          <w:p w14:paraId="550241A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2B43D0AE">
            <w:pPr>
              <w:snapToGrid w:val="0"/>
              <w:spacing w:line="240" w:lineRule="atLeast"/>
              <w:jc w:val="center"/>
              <w:rPr>
                <w:rFonts w:hint="default" w:ascii="Times New Roman" w:hAnsi="Times New Roman" w:cs="Times New Roman"/>
                <w:b w:val="0"/>
                <w:bCs w:val="0"/>
                <w:color w:val="000000"/>
                <w:sz w:val="21"/>
                <w:szCs w:val="21"/>
              </w:rPr>
            </w:pPr>
          </w:p>
        </w:tc>
        <w:tc>
          <w:tcPr>
            <w:tcW w:w="771" w:type="dxa"/>
            <w:vAlign w:val="center"/>
          </w:tcPr>
          <w:p w14:paraId="1C31E559">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质量指标</w:t>
            </w:r>
          </w:p>
        </w:tc>
        <w:tc>
          <w:tcPr>
            <w:tcW w:w="1854" w:type="dxa"/>
            <w:vAlign w:val="center"/>
          </w:tcPr>
          <w:p w14:paraId="4DBEAE37">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资金发放准确率</w:t>
            </w:r>
          </w:p>
        </w:tc>
        <w:tc>
          <w:tcPr>
            <w:tcW w:w="489" w:type="dxa"/>
            <w:vAlign w:val="center"/>
          </w:tcPr>
          <w:p w14:paraId="76C0B85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w:t>
            </w:r>
          </w:p>
        </w:tc>
        <w:tc>
          <w:tcPr>
            <w:tcW w:w="759" w:type="dxa"/>
            <w:vAlign w:val="center"/>
          </w:tcPr>
          <w:p w14:paraId="3AAD9AE0">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100</w:t>
            </w:r>
            <w:r>
              <w:rPr>
                <w:rFonts w:hint="eastAsia" w:ascii="Times New Roman" w:hAnsi="Times New Roman" w:eastAsia="宋体" w:cs="Times New Roman"/>
                <w:b w:val="0"/>
                <w:bCs w:val="0"/>
                <w:color w:val="000000"/>
                <w:sz w:val="21"/>
                <w:szCs w:val="21"/>
                <w:lang w:val="en-US" w:eastAsia="zh-CN"/>
              </w:rPr>
              <w:t>%</w:t>
            </w:r>
          </w:p>
        </w:tc>
        <w:tc>
          <w:tcPr>
            <w:tcW w:w="775" w:type="dxa"/>
            <w:vAlign w:val="center"/>
          </w:tcPr>
          <w:p w14:paraId="7A5C6633">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val="en-US" w:eastAsia="zh-CN"/>
              </w:rPr>
              <w:t>100</w:t>
            </w:r>
            <w:r>
              <w:rPr>
                <w:rFonts w:hint="eastAsia" w:ascii="Times New Roman" w:hAnsi="Times New Roman" w:eastAsia="宋体" w:cs="Times New Roman"/>
                <w:b w:val="0"/>
                <w:bCs w:val="0"/>
                <w:color w:val="000000"/>
                <w:sz w:val="21"/>
                <w:szCs w:val="21"/>
                <w:lang w:val="en-US" w:eastAsia="zh-CN"/>
              </w:rPr>
              <w:t>%</w:t>
            </w:r>
          </w:p>
        </w:tc>
        <w:tc>
          <w:tcPr>
            <w:tcW w:w="910" w:type="dxa"/>
            <w:vAlign w:val="center"/>
          </w:tcPr>
          <w:p w14:paraId="2D2CBF36">
            <w:pPr>
              <w:snapToGrid w:val="0"/>
              <w:spacing w:line="240" w:lineRule="atLeast"/>
              <w:rPr>
                <w:rFonts w:hint="default" w:ascii="Times New Roman" w:hAnsi="Times New Roman" w:cs="Times New Roman"/>
                <w:b w:val="0"/>
                <w:bCs w:val="0"/>
                <w:color w:val="000000"/>
                <w:sz w:val="21"/>
                <w:szCs w:val="21"/>
              </w:rPr>
            </w:pPr>
          </w:p>
        </w:tc>
        <w:tc>
          <w:tcPr>
            <w:tcW w:w="455" w:type="dxa"/>
            <w:vMerge w:val="continue"/>
            <w:vAlign w:val="center"/>
          </w:tcPr>
          <w:p w14:paraId="60CA926E">
            <w:pPr>
              <w:snapToGrid w:val="0"/>
              <w:spacing w:line="240" w:lineRule="atLeast"/>
              <w:jc w:val="center"/>
              <w:rPr>
                <w:rFonts w:hint="default" w:ascii="Times New Roman" w:hAnsi="Times New Roman" w:cs="Times New Roman"/>
                <w:b w:val="0"/>
                <w:bCs w:val="0"/>
                <w:color w:val="000000"/>
                <w:sz w:val="21"/>
                <w:szCs w:val="21"/>
              </w:rPr>
            </w:pPr>
          </w:p>
        </w:tc>
        <w:tc>
          <w:tcPr>
            <w:tcW w:w="2039" w:type="dxa"/>
            <w:gridSpan w:val="5"/>
            <w:vAlign w:val="center"/>
          </w:tcPr>
          <w:p w14:paraId="4E898F33">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73AAF80F">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73593E5B">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1296E871">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7AC29B83">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345373AD">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06A1620F">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6E68B0F6">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19C1C4D2">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44DE3397">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val="en-US" w:eastAsia="zh-CN"/>
              </w:rPr>
              <w:t>5</w:t>
            </w:r>
          </w:p>
        </w:tc>
      </w:tr>
      <w:tr w14:paraId="0261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continue"/>
            <w:vAlign w:val="center"/>
          </w:tcPr>
          <w:p w14:paraId="7EC67095">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0BC9FF47">
            <w:pPr>
              <w:snapToGrid w:val="0"/>
              <w:spacing w:line="240" w:lineRule="atLeast"/>
              <w:jc w:val="center"/>
              <w:rPr>
                <w:rFonts w:hint="default" w:ascii="Times New Roman" w:hAnsi="Times New Roman" w:cs="Times New Roman"/>
                <w:b w:val="0"/>
                <w:bCs w:val="0"/>
                <w:color w:val="000000"/>
                <w:sz w:val="21"/>
                <w:szCs w:val="21"/>
              </w:rPr>
            </w:pPr>
          </w:p>
        </w:tc>
        <w:tc>
          <w:tcPr>
            <w:tcW w:w="771" w:type="dxa"/>
            <w:vAlign w:val="center"/>
          </w:tcPr>
          <w:p w14:paraId="2D147FDD">
            <w:pPr>
              <w:widowControl/>
              <w:snapToGrid w:val="0"/>
              <w:spacing w:line="240" w:lineRule="atLeast"/>
              <w:jc w:val="center"/>
              <w:textAlignment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成本指标</w:t>
            </w:r>
          </w:p>
        </w:tc>
        <w:tc>
          <w:tcPr>
            <w:tcW w:w="1854" w:type="dxa"/>
            <w:vAlign w:val="center"/>
          </w:tcPr>
          <w:p w14:paraId="1B28AE20">
            <w:pPr>
              <w:snapToGrid w:val="0"/>
              <w:spacing w:line="240" w:lineRule="atLeast"/>
              <w:jc w:val="center"/>
              <w:rPr>
                <w:rFonts w:hint="default" w:ascii="Times New Roman" w:hAnsi="Times New Roman" w:cs="Times New Roman"/>
                <w:b w:val="0"/>
                <w:bCs w:val="0"/>
                <w:color w:val="000000"/>
                <w:sz w:val="21"/>
                <w:szCs w:val="21"/>
              </w:rPr>
            </w:pPr>
            <w:r>
              <w:rPr>
                <w:rFonts w:hint="eastAsia" w:ascii="Times New Roman" w:hAnsi="Times New Roman" w:cs="Times New Roman"/>
                <w:b w:val="0"/>
                <w:bCs w:val="0"/>
                <w:color w:val="000000"/>
                <w:sz w:val="21"/>
                <w:szCs w:val="21"/>
                <w:lang w:eastAsia="zh-CN"/>
              </w:rPr>
              <w:t>项目总成本</w:t>
            </w:r>
          </w:p>
        </w:tc>
        <w:tc>
          <w:tcPr>
            <w:tcW w:w="489" w:type="dxa"/>
            <w:vAlign w:val="center"/>
          </w:tcPr>
          <w:p w14:paraId="5995076E">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val="en-US" w:eastAsia="zh-CN"/>
              </w:rPr>
              <w:t>5</w:t>
            </w:r>
          </w:p>
        </w:tc>
        <w:tc>
          <w:tcPr>
            <w:tcW w:w="759" w:type="dxa"/>
            <w:vAlign w:val="center"/>
          </w:tcPr>
          <w:p w14:paraId="0CA7BA13">
            <w:pPr>
              <w:snapToGrid w:val="0"/>
              <w:spacing w:line="240" w:lineRule="atLeast"/>
              <w:jc w:val="center"/>
              <w:rPr>
                <w:rFonts w:hint="eastAsia" w:ascii="Times New Roman" w:hAnsi="Times New Roman" w:cs="Times New Roman"/>
                <w:b w:val="0"/>
                <w:bCs w:val="0"/>
                <w:color w:val="000000"/>
                <w:sz w:val="21"/>
                <w:szCs w:val="21"/>
                <w:lang w:eastAsia="zh-CN"/>
              </w:rPr>
            </w:pPr>
            <w:r>
              <w:rPr>
                <w:rFonts w:hint="default" w:ascii="Arial" w:hAnsi="Arial" w:cs="Arial"/>
                <w:b w:val="0"/>
                <w:bCs w:val="0"/>
                <w:color w:val="000000"/>
                <w:sz w:val="21"/>
                <w:szCs w:val="21"/>
                <w:lang w:eastAsia="zh-CN"/>
              </w:rPr>
              <w:t>≤</w:t>
            </w:r>
            <w:r>
              <w:rPr>
                <w:rFonts w:hint="eastAsia" w:ascii="Times New Roman" w:hAnsi="Times New Roman" w:cs="Times New Roman"/>
                <w:b w:val="0"/>
                <w:bCs w:val="0"/>
                <w:color w:val="000000"/>
                <w:sz w:val="21"/>
                <w:szCs w:val="21"/>
                <w:lang w:eastAsia="zh-CN"/>
              </w:rPr>
              <w:t>20万</w:t>
            </w:r>
          </w:p>
        </w:tc>
        <w:tc>
          <w:tcPr>
            <w:tcW w:w="775" w:type="dxa"/>
            <w:vAlign w:val="center"/>
          </w:tcPr>
          <w:p w14:paraId="514E207F">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20万</w:t>
            </w:r>
          </w:p>
        </w:tc>
        <w:tc>
          <w:tcPr>
            <w:tcW w:w="910" w:type="dxa"/>
            <w:vAlign w:val="center"/>
          </w:tcPr>
          <w:p w14:paraId="32AF89E8">
            <w:pPr>
              <w:snapToGrid w:val="0"/>
              <w:spacing w:line="240" w:lineRule="atLeast"/>
              <w:rPr>
                <w:rFonts w:hint="default" w:ascii="Times New Roman" w:hAnsi="Times New Roman" w:cs="Times New Roman"/>
                <w:b w:val="0"/>
                <w:bCs w:val="0"/>
                <w:color w:val="000000"/>
                <w:sz w:val="21"/>
                <w:szCs w:val="21"/>
              </w:rPr>
            </w:pPr>
          </w:p>
        </w:tc>
        <w:tc>
          <w:tcPr>
            <w:tcW w:w="455" w:type="dxa"/>
            <w:vMerge w:val="continue"/>
            <w:vAlign w:val="center"/>
          </w:tcPr>
          <w:p w14:paraId="75A5554A">
            <w:pPr>
              <w:snapToGrid w:val="0"/>
              <w:spacing w:line="240" w:lineRule="atLeast"/>
              <w:jc w:val="center"/>
              <w:rPr>
                <w:rFonts w:hint="default" w:ascii="Times New Roman" w:hAnsi="Times New Roman" w:cs="Times New Roman"/>
                <w:b w:val="0"/>
                <w:bCs w:val="0"/>
                <w:color w:val="000000"/>
                <w:sz w:val="21"/>
                <w:szCs w:val="21"/>
              </w:rPr>
            </w:pPr>
          </w:p>
        </w:tc>
        <w:tc>
          <w:tcPr>
            <w:tcW w:w="2039" w:type="dxa"/>
            <w:gridSpan w:val="5"/>
            <w:vAlign w:val="center"/>
          </w:tcPr>
          <w:p w14:paraId="72A15BBF">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0E95C4C5">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4AF434DB">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1A08D8CD">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2008FED7">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69575222">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7042C92A">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68A2E18">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5C5D1FBA">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53C0B935">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val="en-US" w:eastAsia="zh-CN"/>
              </w:rPr>
              <w:t>5</w:t>
            </w:r>
          </w:p>
        </w:tc>
      </w:tr>
      <w:tr w14:paraId="713A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716" w:type="dxa"/>
            <w:vMerge w:val="restart"/>
            <w:vAlign w:val="center"/>
          </w:tcPr>
          <w:p w14:paraId="7EA80B2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效益指标（50分）</w:t>
            </w:r>
          </w:p>
        </w:tc>
        <w:tc>
          <w:tcPr>
            <w:tcW w:w="350" w:type="dxa"/>
            <w:vMerge w:val="restart"/>
            <w:vAlign w:val="center"/>
          </w:tcPr>
          <w:p w14:paraId="63A94E6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至少填写一栏效益</w:t>
            </w:r>
          </w:p>
        </w:tc>
        <w:tc>
          <w:tcPr>
            <w:tcW w:w="771" w:type="dxa"/>
            <w:vAlign w:val="center"/>
          </w:tcPr>
          <w:p w14:paraId="2CC30C5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社会效益</w:t>
            </w:r>
          </w:p>
        </w:tc>
        <w:tc>
          <w:tcPr>
            <w:tcW w:w="1854" w:type="dxa"/>
            <w:vAlign w:val="center"/>
          </w:tcPr>
          <w:p w14:paraId="1DD3C6D3">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美术馆管理制度健全性</w:t>
            </w:r>
          </w:p>
        </w:tc>
        <w:tc>
          <w:tcPr>
            <w:tcW w:w="489" w:type="dxa"/>
            <w:vAlign w:val="center"/>
          </w:tcPr>
          <w:p w14:paraId="6F06AF9A">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25</w:t>
            </w:r>
          </w:p>
        </w:tc>
        <w:tc>
          <w:tcPr>
            <w:tcW w:w="759" w:type="dxa"/>
            <w:vAlign w:val="center"/>
          </w:tcPr>
          <w:p w14:paraId="65745DC3">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定性</w:t>
            </w:r>
          </w:p>
        </w:tc>
        <w:tc>
          <w:tcPr>
            <w:tcW w:w="775" w:type="dxa"/>
            <w:vAlign w:val="center"/>
          </w:tcPr>
          <w:p w14:paraId="69C8A54E">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优</w:t>
            </w:r>
          </w:p>
        </w:tc>
        <w:tc>
          <w:tcPr>
            <w:tcW w:w="910" w:type="dxa"/>
            <w:vAlign w:val="center"/>
          </w:tcPr>
          <w:p w14:paraId="5355B1DE">
            <w:pPr>
              <w:snapToGrid w:val="0"/>
              <w:spacing w:line="240" w:lineRule="atLeast"/>
              <w:rPr>
                <w:rFonts w:hint="default" w:ascii="Times New Roman" w:hAnsi="Times New Roman" w:cs="Times New Roman"/>
                <w:b w:val="0"/>
                <w:bCs w:val="0"/>
                <w:color w:val="000000"/>
                <w:sz w:val="21"/>
                <w:szCs w:val="21"/>
              </w:rPr>
            </w:pPr>
          </w:p>
        </w:tc>
        <w:tc>
          <w:tcPr>
            <w:tcW w:w="455" w:type="dxa"/>
            <w:vAlign w:val="center"/>
          </w:tcPr>
          <w:p w14:paraId="32490AF6">
            <w:pPr>
              <w:snapToGrid w:val="0"/>
              <w:spacing w:line="240" w:lineRule="atLeast"/>
              <w:jc w:val="center"/>
              <w:rPr>
                <w:rFonts w:hint="default" w:ascii="Times New Roman" w:hAnsi="Times New Roman" w:cs="Times New Roman"/>
                <w:b w:val="0"/>
                <w:bCs w:val="0"/>
                <w:color w:val="000000"/>
                <w:sz w:val="21"/>
                <w:szCs w:val="21"/>
              </w:rPr>
            </w:pPr>
          </w:p>
        </w:tc>
        <w:tc>
          <w:tcPr>
            <w:tcW w:w="2039" w:type="dxa"/>
            <w:gridSpan w:val="5"/>
            <w:vAlign w:val="center"/>
          </w:tcPr>
          <w:p w14:paraId="4FD48222">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4480E9A9">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74D199D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5A54AA98">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0A6C83B5">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41D766B5">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41262A20">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5D11AF2D">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26F968D7">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3E0FF22F">
            <w:pPr>
              <w:snapToGrid w:val="0"/>
              <w:spacing w:line="240" w:lineRule="atLeast"/>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25</w:t>
            </w:r>
          </w:p>
        </w:tc>
      </w:tr>
      <w:tr w14:paraId="20B1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16" w:type="dxa"/>
            <w:vMerge w:val="continue"/>
            <w:vAlign w:val="center"/>
          </w:tcPr>
          <w:p w14:paraId="23405A47">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vAlign w:val="center"/>
          </w:tcPr>
          <w:p w14:paraId="41B67DAF">
            <w:pPr>
              <w:snapToGrid w:val="0"/>
              <w:spacing w:line="240" w:lineRule="atLeast"/>
              <w:jc w:val="center"/>
              <w:rPr>
                <w:rFonts w:hint="default" w:ascii="Times New Roman" w:hAnsi="Times New Roman" w:cs="Times New Roman"/>
                <w:b w:val="0"/>
                <w:bCs w:val="0"/>
                <w:color w:val="000000"/>
                <w:sz w:val="21"/>
                <w:szCs w:val="21"/>
              </w:rPr>
            </w:pPr>
          </w:p>
        </w:tc>
        <w:tc>
          <w:tcPr>
            <w:tcW w:w="771" w:type="dxa"/>
            <w:vAlign w:val="center"/>
          </w:tcPr>
          <w:p w14:paraId="3ED59C7D">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可持续性</w:t>
            </w:r>
          </w:p>
        </w:tc>
        <w:tc>
          <w:tcPr>
            <w:tcW w:w="1854" w:type="dxa"/>
            <w:vAlign w:val="center"/>
          </w:tcPr>
          <w:p w14:paraId="3AFC4EAC">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美术馆全年正常开放天数</w:t>
            </w:r>
          </w:p>
        </w:tc>
        <w:tc>
          <w:tcPr>
            <w:tcW w:w="489" w:type="dxa"/>
            <w:vAlign w:val="center"/>
          </w:tcPr>
          <w:p w14:paraId="6C6B0C16">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25</w:t>
            </w:r>
          </w:p>
        </w:tc>
        <w:tc>
          <w:tcPr>
            <w:tcW w:w="759" w:type="dxa"/>
            <w:vAlign w:val="center"/>
          </w:tcPr>
          <w:p w14:paraId="5542634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≥300天</w:t>
            </w:r>
          </w:p>
        </w:tc>
        <w:tc>
          <w:tcPr>
            <w:tcW w:w="775" w:type="dxa"/>
            <w:vAlign w:val="center"/>
          </w:tcPr>
          <w:p w14:paraId="49D1B632">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350</w:t>
            </w:r>
            <w:r>
              <w:rPr>
                <w:rFonts w:hint="eastAsia" w:ascii="Times New Roman" w:hAnsi="Times New Roman" w:eastAsia="宋体" w:cs="Times New Roman"/>
                <w:b w:val="0"/>
                <w:bCs w:val="0"/>
                <w:color w:val="000000"/>
                <w:sz w:val="21"/>
                <w:szCs w:val="21"/>
                <w:lang w:val="en-US" w:eastAsia="zh-CN"/>
              </w:rPr>
              <w:t>天</w:t>
            </w:r>
          </w:p>
        </w:tc>
        <w:tc>
          <w:tcPr>
            <w:tcW w:w="910" w:type="dxa"/>
            <w:vAlign w:val="center"/>
          </w:tcPr>
          <w:p w14:paraId="6BC26E24">
            <w:pPr>
              <w:snapToGrid w:val="0"/>
              <w:spacing w:line="240" w:lineRule="atLeast"/>
              <w:rPr>
                <w:rFonts w:hint="default" w:ascii="Times New Roman" w:hAnsi="Times New Roman" w:cs="Times New Roman"/>
                <w:b w:val="0"/>
                <w:bCs w:val="0"/>
                <w:color w:val="000000"/>
                <w:sz w:val="21"/>
                <w:szCs w:val="21"/>
              </w:rPr>
            </w:pPr>
          </w:p>
        </w:tc>
        <w:tc>
          <w:tcPr>
            <w:tcW w:w="455" w:type="dxa"/>
            <w:vAlign w:val="center"/>
          </w:tcPr>
          <w:p w14:paraId="1436C36F">
            <w:pPr>
              <w:snapToGrid w:val="0"/>
              <w:spacing w:line="240" w:lineRule="atLeast"/>
              <w:rPr>
                <w:rFonts w:hint="default" w:ascii="Times New Roman" w:hAnsi="Times New Roman" w:cs="Times New Roman"/>
                <w:b w:val="0"/>
                <w:bCs w:val="0"/>
                <w:color w:val="000000"/>
                <w:sz w:val="21"/>
                <w:szCs w:val="21"/>
              </w:rPr>
            </w:pPr>
          </w:p>
        </w:tc>
        <w:tc>
          <w:tcPr>
            <w:tcW w:w="2039" w:type="dxa"/>
            <w:gridSpan w:val="5"/>
            <w:vAlign w:val="center"/>
          </w:tcPr>
          <w:p w14:paraId="2C7200B2">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183E7EA4">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BD7EC05">
            <w:pPr>
              <w:snapToGrid w:val="0"/>
              <w:spacing w:line="240" w:lineRule="atLeast"/>
              <w:jc w:val="center"/>
              <w:rPr>
                <w:rFonts w:hint="default" w:ascii="Times New Roman" w:hAnsi="Times New Roman" w:cs="Times New Roman"/>
                <w:b w:val="0"/>
                <w:bCs w:val="0"/>
                <w:color w:val="000000"/>
                <w:sz w:val="21"/>
                <w:szCs w:val="21"/>
              </w:rPr>
            </w:pPr>
          </w:p>
        </w:tc>
        <w:tc>
          <w:tcPr>
            <w:tcW w:w="320" w:type="dxa"/>
            <w:vAlign w:val="center"/>
          </w:tcPr>
          <w:p w14:paraId="1BB655F2">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1EF0E212">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2E840DE5">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671615AB">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3729FD61">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02D9D02A">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6D9FCEC1">
            <w:pPr>
              <w:snapToGrid w:val="0"/>
              <w:spacing w:line="240" w:lineRule="atLeast"/>
              <w:jc w:val="center"/>
              <w:rPr>
                <w:rFonts w:hint="default" w:ascii="Times New Roman" w:hAnsi="Times New Roman"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eastAsia="zh-CN"/>
              </w:rPr>
              <w:t>2</w:t>
            </w:r>
            <w:r>
              <w:rPr>
                <w:rFonts w:hint="eastAsia" w:ascii="Times New Roman" w:hAnsi="Times New Roman" w:cs="Times New Roman"/>
                <w:b w:val="0"/>
                <w:bCs w:val="0"/>
                <w:color w:val="000000"/>
                <w:sz w:val="21"/>
                <w:szCs w:val="21"/>
                <w:lang w:val="en-US" w:eastAsia="zh-CN"/>
              </w:rPr>
              <w:t>5</w:t>
            </w:r>
          </w:p>
        </w:tc>
      </w:tr>
      <w:tr w14:paraId="2B25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vAlign w:val="center"/>
          </w:tcPr>
          <w:p w14:paraId="5089C23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满意度（10分）</w:t>
            </w:r>
          </w:p>
        </w:tc>
        <w:tc>
          <w:tcPr>
            <w:tcW w:w="350" w:type="dxa"/>
            <w:vAlign w:val="center"/>
          </w:tcPr>
          <w:p w14:paraId="1929F87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所有项目</w:t>
            </w:r>
          </w:p>
        </w:tc>
        <w:tc>
          <w:tcPr>
            <w:tcW w:w="771" w:type="dxa"/>
            <w:vAlign w:val="center"/>
          </w:tcPr>
          <w:p w14:paraId="159FF65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满意度</w:t>
            </w:r>
          </w:p>
        </w:tc>
        <w:tc>
          <w:tcPr>
            <w:tcW w:w="1854" w:type="dxa"/>
            <w:vAlign w:val="center"/>
          </w:tcPr>
          <w:p w14:paraId="43AEABB3">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群众满意度</w:t>
            </w:r>
          </w:p>
        </w:tc>
        <w:tc>
          <w:tcPr>
            <w:tcW w:w="489" w:type="dxa"/>
            <w:vAlign w:val="center"/>
          </w:tcPr>
          <w:p w14:paraId="4E61C47B">
            <w:pPr>
              <w:snapToGrid w:val="0"/>
              <w:spacing w:line="240" w:lineRule="atLeast"/>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10</w:t>
            </w:r>
          </w:p>
        </w:tc>
        <w:tc>
          <w:tcPr>
            <w:tcW w:w="759" w:type="dxa"/>
            <w:vAlign w:val="center"/>
          </w:tcPr>
          <w:p w14:paraId="1D0E3B73">
            <w:pPr>
              <w:snapToGrid w:val="0"/>
              <w:spacing w:line="240" w:lineRule="atLeast"/>
              <w:rPr>
                <w:rFonts w:hint="eastAsia" w:ascii="Times New Roman" w:hAnsi="Times New Roman" w:cs="Times New Roman"/>
                <w:b w:val="0"/>
                <w:bCs w:val="0"/>
                <w:color w:val="000000"/>
                <w:sz w:val="21"/>
                <w:szCs w:val="21"/>
                <w:lang w:eastAsia="zh-CN"/>
              </w:rPr>
            </w:pPr>
            <w:r>
              <w:rPr>
                <w:rFonts w:hint="default" w:ascii="Arial" w:hAnsi="Arial" w:cs="Arial"/>
                <w:b w:val="0"/>
                <w:bCs w:val="0"/>
                <w:color w:val="000000"/>
                <w:sz w:val="21"/>
                <w:szCs w:val="21"/>
                <w:lang w:eastAsia="zh-CN"/>
              </w:rPr>
              <w:t>≥</w:t>
            </w:r>
            <w:r>
              <w:rPr>
                <w:rFonts w:hint="eastAsia" w:ascii="Times New Roman" w:hAnsi="Times New Roman" w:cs="Times New Roman"/>
                <w:b w:val="0"/>
                <w:bCs w:val="0"/>
                <w:color w:val="000000"/>
                <w:sz w:val="21"/>
                <w:szCs w:val="21"/>
                <w:lang w:eastAsia="zh-CN"/>
              </w:rPr>
              <w:t>9</w:t>
            </w:r>
            <w:r>
              <w:rPr>
                <w:rFonts w:hint="eastAsia" w:ascii="Times New Roman" w:hAnsi="Times New Roman" w:cs="Times New Roman"/>
                <w:b w:val="0"/>
                <w:bCs w:val="0"/>
                <w:color w:val="000000"/>
                <w:sz w:val="21"/>
                <w:szCs w:val="21"/>
                <w:lang w:val="en-US" w:eastAsia="zh-CN"/>
              </w:rPr>
              <w:t>8</w:t>
            </w:r>
            <w:r>
              <w:rPr>
                <w:rFonts w:hint="eastAsia" w:ascii="Times New Roman" w:hAnsi="Times New Roman" w:cs="Times New Roman"/>
                <w:b w:val="0"/>
                <w:bCs w:val="0"/>
                <w:color w:val="000000"/>
                <w:sz w:val="21"/>
                <w:szCs w:val="21"/>
                <w:lang w:eastAsia="zh-CN"/>
              </w:rPr>
              <w:t>%</w:t>
            </w:r>
          </w:p>
        </w:tc>
        <w:tc>
          <w:tcPr>
            <w:tcW w:w="775" w:type="dxa"/>
            <w:vAlign w:val="center"/>
          </w:tcPr>
          <w:p w14:paraId="61C6DFE4">
            <w:pPr>
              <w:snapToGrid w:val="0"/>
              <w:spacing w:line="240" w:lineRule="atLeast"/>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9</w:t>
            </w:r>
            <w:r>
              <w:rPr>
                <w:rFonts w:hint="eastAsia" w:ascii="Times New Roman" w:hAnsi="Times New Roman" w:cs="Times New Roman"/>
                <w:b w:val="0"/>
                <w:bCs w:val="0"/>
                <w:color w:val="000000"/>
                <w:sz w:val="21"/>
                <w:szCs w:val="21"/>
                <w:lang w:val="en-US" w:eastAsia="zh-CN"/>
              </w:rPr>
              <w:t>8</w:t>
            </w:r>
            <w:r>
              <w:rPr>
                <w:rFonts w:hint="eastAsia" w:ascii="Times New Roman" w:hAnsi="Times New Roman" w:cs="Times New Roman"/>
                <w:b w:val="0"/>
                <w:bCs w:val="0"/>
                <w:color w:val="000000"/>
                <w:sz w:val="21"/>
                <w:szCs w:val="21"/>
                <w:lang w:eastAsia="zh-CN"/>
              </w:rPr>
              <w:t>%</w:t>
            </w:r>
          </w:p>
        </w:tc>
        <w:tc>
          <w:tcPr>
            <w:tcW w:w="910" w:type="dxa"/>
            <w:vAlign w:val="center"/>
          </w:tcPr>
          <w:p w14:paraId="4B9B1EB2">
            <w:pPr>
              <w:snapToGrid w:val="0"/>
              <w:spacing w:line="240" w:lineRule="atLeast"/>
              <w:rPr>
                <w:rFonts w:hint="default" w:ascii="Times New Roman" w:hAnsi="Times New Roman" w:cs="Times New Roman"/>
                <w:b w:val="0"/>
                <w:bCs w:val="0"/>
                <w:color w:val="000000"/>
                <w:sz w:val="21"/>
                <w:szCs w:val="21"/>
              </w:rPr>
            </w:pPr>
          </w:p>
        </w:tc>
        <w:tc>
          <w:tcPr>
            <w:tcW w:w="455" w:type="dxa"/>
            <w:vAlign w:val="center"/>
          </w:tcPr>
          <w:p w14:paraId="00107DD6">
            <w:pPr>
              <w:snapToGrid w:val="0"/>
              <w:spacing w:line="240" w:lineRule="atLeast"/>
              <w:rPr>
                <w:rFonts w:hint="default" w:ascii="Times New Roman" w:hAnsi="Times New Roman" w:cs="Times New Roman"/>
                <w:b w:val="0"/>
                <w:bCs w:val="0"/>
                <w:color w:val="000000"/>
                <w:sz w:val="21"/>
                <w:szCs w:val="21"/>
              </w:rPr>
            </w:pPr>
          </w:p>
        </w:tc>
        <w:tc>
          <w:tcPr>
            <w:tcW w:w="2039" w:type="dxa"/>
            <w:gridSpan w:val="5"/>
            <w:vAlign w:val="center"/>
          </w:tcPr>
          <w:p w14:paraId="1A5F1089">
            <w:pPr>
              <w:snapToGrid w:val="0"/>
              <w:spacing w:line="240" w:lineRule="atLeast"/>
              <w:jc w:val="center"/>
              <w:rPr>
                <w:rFonts w:hint="default" w:ascii="Times New Roman" w:hAnsi="Times New Roman" w:cs="Times New Roman"/>
                <w:b w:val="0"/>
                <w:bCs w:val="0"/>
                <w:color w:val="000000"/>
                <w:sz w:val="21"/>
                <w:szCs w:val="21"/>
              </w:rPr>
            </w:pPr>
          </w:p>
        </w:tc>
        <w:tc>
          <w:tcPr>
            <w:tcW w:w="1719" w:type="dxa"/>
            <w:vAlign w:val="center"/>
          </w:tcPr>
          <w:p w14:paraId="1F49BF2E">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662AA5D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w:t>
            </w:r>
          </w:p>
        </w:tc>
        <w:tc>
          <w:tcPr>
            <w:tcW w:w="320" w:type="dxa"/>
            <w:vAlign w:val="center"/>
          </w:tcPr>
          <w:p w14:paraId="5ABFF85C">
            <w:pPr>
              <w:snapToGrid w:val="0"/>
              <w:spacing w:line="240" w:lineRule="atLeast"/>
              <w:rPr>
                <w:rFonts w:hint="default" w:ascii="Times New Roman" w:hAnsi="Times New Roman" w:cs="Times New Roman"/>
                <w:b w:val="0"/>
                <w:bCs w:val="0"/>
                <w:color w:val="000000"/>
                <w:sz w:val="21"/>
                <w:szCs w:val="21"/>
              </w:rPr>
            </w:pPr>
          </w:p>
        </w:tc>
        <w:tc>
          <w:tcPr>
            <w:tcW w:w="371" w:type="dxa"/>
            <w:vAlign w:val="center"/>
          </w:tcPr>
          <w:p w14:paraId="1D243CCC">
            <w:pPr>
              <w:snapToGrid w:val="0"/>
              <w:spacing w:line="240" w:lineRule="atLeast"/>
              <w:rPr>
                <w:rFonts w:hint="default" w:ascii="Times New Roman" w:hAnsi="Times New Roman" w:cs="Times New Roman"/>
                <w:b w:val="0"/>
                <w:bCs w:val="0"/>
                <w:color w:val="000000"/>
                <w:sz w:val="21"/>
                <w:szCs w:val="21"/>
              </w:rPr>
            </w:pPr>
          </w:p>
        </w:tc>
        <w:tc>
          <w:tcPr>
            <w:tcW w:w="354" w:type="dxa"/>
            <w:vAlign w:val="center"/>
          </w:tcPr>
          <w:p w14:paraId="383291C4">
            <w:pPr>
              <w:snapToGrid w:val="0"/>
              <w:spacing w:line="240" w:lineRule="atLeast"/>
              <w:rPr>
                <w:rFonts w:hint="default" w:ascii="Times New Roman" w:hAnsi="Times New Roman" w:cs="Times New Roman"/>
                <w:b w:val="0"/>
                <w:bCs w:val="0"/>
                <w:color w:val="000000"/>
                <w:sz w:val="21"/>
                <w:szCs w:val="21"/>
              </w:rPr>
            </w:pPr>
          </w:p>
        </w:tc>
        <w:tc>
          <w:tcPr>
            <w:tcW w:w="320" w:type="dxa"/>
            <w:vAlign w:val="center"/>
          </w:tcPr>
          <w:p w14:paraId="236B6AF3">
            <w:pPr>
              <w:snapToGrid w:val="0"/>
              <w:spacing w:line="240" w:lineRule="atLeast"/>
              <w:rPr>
                <w:rFonts w:hint="default" w:ascii="Times New Roman" w:hAnsi="Times New Roman" w:cs="Times New Roman"/>
                <w:b w:val="0"/>
                <w:bCs w:val="0"/>
                <w:color w:val="000000"/>
                <w:sz w:val="21"/>
                <w:szCs w:val="21"/>
              </w:rPr>
            </w:pPr>
          </w:p>
        </w:tc>
        <w:tc>
          <w:tcPr>
            <w:tcW w:w="388" w:type="dxa"/>
            <w:vAlign w:val="center"/>
          </w:tcPr>
          <w:p w14:paraId="0A1E66D1">
            <w:pPr>
              <w:snapToGrid w:val="0"/>
              <w:spacing w:line="240" w:lineRule="atLeast"/>
              <w:rPr>
                <w:rFonts w:hint="default" w:ascii="Times New Roman" w:hAnsi="Times New Roman" w:cs="Times New Roman"/>
                <w:b w:val="0"/>
                <w:bCs w:val="0"/>
                <w:color w:val="000000"/>
                <w:sz w:val="21"/>
                <w:szCs w:val="21"/>
              </w:rPr>
            </w:pPr>
          </w:p>
        </w:tc>
        <w:tc>
          <w:tcPr>
            <w:tcW w:w="691" w:type="dxa"/>
            <w:vAlign w:val="center"/>
          </w:tcPr>
          <w:p w14:paraId="65BDAF10">
            <w:pPr>
              <w:snapToGrid w:val="0"/>
              <w:spacing w:line="240" w:lineRule="atLeast"/>
              <w:rPr>
                <w:rFonts w:hint="default" w:ascii="Times New Roman" w:hAnsi="Times New Roman" w:cs="Times New Roman"/>
                <w:b w:val="0"/>
                <w:bCs w:val="0"/>
                <w:color w:val="000000"/>
                <w:sz w:val="21"/>
                <w:szCs w:val="21"/>
              </w:rPr>
            </w:pPr>
          </w:p>
        </w:tc>
        <w:tc>
          <w:tcPr>
            <w:tcW w:w="324" w:type="dxa"/>
            <w:vAlign w:val="center"/>
          </w:tcPr>
          <w:p w14:paraId="77560DFE">
            <w:pPr>
              <w:snapToGrid w:val="0"/>
              <w:spacing w:line="240" w:lineRule="atLeast"/>
              <w:jc w:val="center"/>
              <w:rPr>
                <w:rFonts w:hint="eastAsia" w:ascii="Times New Roman" w:hAnsi="Times New Roman"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10</w:t>
            </w:r>
          </w:p>
        </w:tc>
      </w:tr>
    </w:tbl>
    <w:p w14:paraId="42FBB8A7">
      <w:pPr>
        <w:pStyle w:val="16"/>
        <w:rPr>
          <w:rFonts w:hint="eastAsia"/>
          <w:lang w:val="en-US" w:eastAsia="zh-CN"/>
        </w:rPr>
      </w:pPr>
    </w:p>
    <w:p w14:paraId="5DBEA056">
      <w:pPr>
        <w:pStyle w:val="16"/>
        <w:rPr>
          <w:rFonts w:hint="eastAsia"/>
          <w:lang w:val="en-US" w:eastAsia="zh-CN"/>
        </w:rPr>
      </w:pPr>
    </w:p>
    <w:p w14:paraId="0397A933">
      <w:pPr>
        <w:pStyle w:val="16"/>
        <w:rPr>
          <w:rFonts w:hint="eastAsia"/>
          <w:lang w:val="en-US" w:eastAsia="zh-CN"/>
        </w:rPr>
      </w:pPr>
    </w:p>
    <w:p w14:paraId="2F787739">
      <w:pPr>
        <w:pStyle w:val="16"/>
        <w:rPr>
          <w:rFonts w:hint="eastAsia"/>
          <w:lang w:val="en-US" w:eastAsia="zh-CN"/>
        </w:rPr>
      </w:pPr>
    </w:p>
    <w:p w14:paraId="57495CE7">
      <w:pPr>
        <w:pStyle w:val="16"/>
        <w:rPr>
          <w:rFonts w:hint="eastAsia"/>
          <w:lang w:val="en-US" w:eastAsia="zh-CN"/>
        </w:rPr>
      </w:pPr>
    </w:p>
    <w:p w14:paraId="2C3D9348">
      <w:pPr>
        <w:pStyle w:val="16"/>
        <w:rPr>
          <w:rFonts w:hint="eastAsia"/>
          <w:lang w:val="en-US" w:eastAsia="zh-CN"/>
        </w:rPr>
      </w:pPr>
    </w:p>
    <w:p w14:paraId="28592B07">
      <w:pPr>
        <w:pStyle w:val="16"/>
        <w:rPr>
          <w:rFonts w:hint="eastAsia"/>
          <w:lang w:val="en-US" w:eastAsia="zh-CN"/>
        </w:rPr>
      </w:pPr>
    </w:p>
    <w:p w14:paraId="1AE0823A">
      <w:pPr>
        <w:pStyle w:val="16"/>
        <w:rPr>
          <w:rFonts w:hint="eastAsia"/>
          <w:lang w:val="en-US" w:eastAsia="zh-CN"/>
        </w:rPr>
      </w:pPr>
    </w:p>
    <w:p w14:paraId="75C4606E">
      <w:pPr>
        <w:pStyle w:val="16"/>
        <w:rPr>
          <w:rFonts w:hint="eastAsia"/>
          <w:lang w:val="en-US" w:eastAsia="zh-CN"/>
        </w:rPr>
      </w:pPr>
    </w:p>
    <w:p w14:paraId="2FD4AD2C">
      <w:pPr>
        <w:pStyle w:val="16"/>
        <w:rPr>
          <w:rFonts w:hint="eastAsia"/>
          <w:lang w:val="en-US" w:eastAsia="zh-CN"/>
        </w:rPr>
      </w:pPr>
    </w:p>
    <w:p w14:paraId="76F67949">
      <w:pPr>
        <w:pStyle w:val="16"/>
        <w:rPr>
          <w:rFonts w:hint="eastAsia"/>
          <w:lang w:val="en-US" w:eastAsia="zh-CN"/>
        </w:rPr>
      </w:pPr>
    </w:p>
    <w:p w14:paraId="7838A3F6">
      <w:pPr>
        <w:pStyle w:val="16"/>
        <w:rPr>
          <w:rFonts w:hint="eastAsia"/>
          <w:lang w:val="en-US" w:eastAsia="zh-CN"/>
        </w:rPr>
      </w:pPr>
    </w:p>
    <w:p w14:paraId="2A49379C">
      <w:pPr>
        <w:pStyle w:val="16"/>
        <w:rPr>
          <w:rFonts w:hint="eastAsia"/>
          <w:lang w:val="en-US" w:eastAsia="zh-CN"/>
        </w:rPr>
      </w:pPr>
    </w:p>
    <w:p w14:paraId="24C9D740">
      <w:pPr>
        <w:pStyle w:val="16"/>
        <w:rPr>
          <w:rFonts w:hint="eastAsia"/>
          <w:lang w:val="en-US" w:eastAsia="zh-CN"/>
        </w:rPr>
      </w:pPr>
    </w:p>
    <w:p w14:paraId="7822067E">
      <w:pPr>
        <w:pStyle w:val="16"/>
        <w:rPr>
          <w:rFonts w:hint="eastAsia"/>
          <w:lang w:val="en-US" w:eastAsia="zh-CN"/>
        </w:rPr>
      </w:pPr>
    </w:p>
    <w:p w14:paraId="134C44F6">
      <w:pPr>
        <w:pStyle w:val="16"/>
        <w:rPr>
          <w:rFonts w:hint="eastAsia"/>
          <w:lang w:val="en-US" w:eastAsia="zh-CN"/>
        </w:rPr>
      </w:pPr>
    </w:p>
    <w:p w14:paraId="756EDE4D">
      <w:pPr>
        <w:pStyle w:val="16"/>
        <w:rPr>
          <w:rFonts w:hint="eastAsia"/>
          <w:lang w:val="en-US" w:eastAsia="zh-CN"/>
        </w:rPr>
      </w:pPr>
    </w:p>
    <w:p w14:paraId="76C2D656">
      <w:pPr>
        <w:pStyle w:val="16"/>
        <w:rPr>
          <w:rFonts w:hint="eastAsia"/>
          <w:lang w:val="en-US" w:eastAsia="zh-CN"/>
        </w:rPr>
      </w:pPr>
    </w:p>
    <w:p w14:paraId="1318BB10">
      <w:pPr>
        <w:pStyle w:val="16"/>
        <w:rPr>
          <w:rFonts w:hint="eastAsia"/>
          <w:lang w:val="en-US" w:eastAsia="zh-CN"/>
        </w:rPr>
      </w:pPr>
    </w:p>
    <w:p w14:paraId="751B5B74">
      <w:pPr>
        <w:pStyle w:val="16"/>
        <w:rPr>
          <w:rFonts w:hint="eastAsia"/>
          <w:lang w:val="en-US" w:eastAsia="zh-CN"/>
        </w:rPr>
      </w:pPr>
    </w:p>
    <w:p w14:paraId="365791E4">
      <w:pPr>
        <w:widowControl/>
        <w:overflowPunct w:val="0"/>
        <w:autoSpaceDE/>
        <w:autoSpaceDN/>
        <w:adjustRightInd w:val="0"/>
        <w:snapToGrid w:val="0"/>
        <w:spacing w:before="335" w:beforeLines="50" w:line="560" w:lineRule="atLeast"/>
        <w:jc w:val="center"/>
        <w:rPr>
          <w:rFonts w:hint="default" w:ascii="Times New Roman" w:hAnsi="Times New Roman" w:eastAsia="方正小标宋简体" w:cs="Times New Roman"/>
          <w:sz w:val="44"/>
          <w:szCs w:val="44"/>
          <w:shd w:val="clear" w:color="auto" w:fill="FFFFFF"/>
        </w:rPr>
        <w:sectPr>
          <w:pgSz w:w="16838" w:h="11906" w:orient="landscape"/>
          <w:pgMar w:top="1803" w:right="1440" w:bottom="1803" w:left="1440" w:header="851" w:footer="992" w:gutter="0"/>
          <w:pgNumType w:fmt="decimal"/>
          <w:cols w:space="0" w:num="1"/>
          <w:rtlGutter w:val="0"/>
          <w:docGrid w:type="lines" w:linePitch="319" w:charSpace="0"/>
        </w:sectPr>
      </w:pPr>
    </w:p>
    <w:p w14:paraId="2E0ACA17">
      <w:pPr>
        <w:widowControl/>
        <w:overflowPunct w:val="0"/>
        <w:autoSpaceDE/>
        <w:autoSpaceDN/>
        <w:adjustRightInd w:val="0"/>
        <w:snapToGrid w:val="0"/>
        <w:spacing w:before="335" w:beforeLines="50" w:line="560" w:lineRule="atLeast"/>
        <w:jc w:val="center"/>
        <w:rPr>
          <w:rFonts w:hint="default" w:ascii="Times New Roman" w:hAnsi="Times New Roman" w:eastAsia="方正小标宋简体" w:cs="Times New Roman"/>
          <w:sz w:val="44"/>
          <w:szCs w:val="44"/>
          <w:shd w:val="clear" w:color="auto" w:fill="FFFFFF"/>
        </w:rPr>
      </w:pPr>
      <w:r>
        <w:rPr>
          <w:rFonts w:hint="default" w:ascii="Times New Roman" w:hAnsi="Times New Roman" w:eastAsia="方正小标宋简体" w:cs="Times New Roman"/>
          <w:sz w:val="44"/>
          <w:szCs w:val="44"/>
          <w:shd w:val="clear" w:color="auto" w:fill="FFFFFF"/>
        </w:rPr>
        <w:t>部门预算项目支出绩效自评报告</w:t>
      </w:r>
    </w:p>
    <w:p w14:paraId="5D02DEBC">
      <w:pPr>
        <w:widowControl/>
        <w:tabs>
          <w:tab w:val="left" w:pos="3885"/>
        </w:tabs>
        <w:overflowPunct w:val="0"/>
        <w:autoSpaceDE/>
        <w:autoSpaceDN/>
        <w:adjustRightInd w:val="0"/>
        <w:snapToGrid w:val="0"/>
        <w:spacing w:line="560" w:lineRule="atLeast"/>
        <w:jc w:val="center"/>
        <w:rPr>
          <w:rFonts w:hint="eastAsia" w:ascii="仿宋_GB2312" w:hAnsi="仿宋_GB2312" w:eastAsia="仿宋_GB2312" w:cs="仿宋_GB2312"/>
          <w:sz w:val="32"/>
          <w:szCs w:val="32"/>
          <w:shd w:val="clear" w:color="auto" w:fill="FFFFFF"/>
        </w:rPr>
      </w:pPr>
      <w:r>
        <w:rPr>
          <w:rFonts w:hint="eastAsia" w:ascii="Times New Roman" w:hAnsi="Times New Roman" w:eastAsia="方正小标宋简体" w:cs="Times New Roman"/>
          <w:sz w:val="44"/>
          <w:szCs w:val="44"/>
          <w:shd w:val="clear" w:color="auto" w:fill="FFFFFF"/>
        </w:rPr>
        <w:t>（</w:t>
      </w:r>
      <w:r>
        <w:rPr>
          <w:rFonts w:hint="eastAsia" w:ascii="Times New Roman" w:hAnsi="Times New Roman" w:eastAsia="方正小标宋简体" w:cs="Times New Roman"/>
          <w:sz w:val="44"/>
          <w:szCs w:val="44"/>
          <w:shd w:val="clear" w:color="auto" w:fill="FFFFFF"/>
          <w:lang w:val="en-US" w:eastAsia="zh-CN"/>
        </w:rPr>
        <w:t>应急广播建设项目</w:t>
      </w:r>
      <w:r>
        <w:rPr>
          <w:rFonts w:hint="eastAsia" w:ascii="仿宋_GB2312" w:hAnsi="仿宋_GB2312" w:eastAsia="仿宋_GB2312" w:cs="仿宋_GB2312"/>
          <w:sz w:val="32"/>
          <w:szCs w:val="32"/>
          <w:shd w:val="clear" w:color="auto" w:fill="FFFFFF"/>
        </w:rPr>
        <w:t>）</w:t>
      </w:r>
    </w:p>
    <w:p w14:paraId="2685BA11">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eastAsia" w:ascii="楷体_GB2312" w:hAnsi="楷体_GB2312" w:eastAsia="楷体_GB2312" w:cs="楷体_GB2312"/>
          <w:b/>
          <w:bCs/>
          <w:kern w:val="0"/>
          <w:sz w:val="32"/>
          <w:szCs w:val="32"/>
          <w:lang w:val="en-US" w:eastAsia="zh-CN"/>
        </w:rPr>
      </w:pPr>
      <w:r>
        <w:rPr>
          <w:rFonts w:hint="default" w:ascii="Times New Roman" w:hAnsi="Times New Roman" w:eastAsia="黑体" w:cs="Times New Roman"/>
          <w:kern w:val="0"/>
          <w:sz w:val="32"/>
          <w:szCs w:val="32"/>
        </w:rPr>
        <w:t>一、基本情况</w:t>
      </w:r>
    </w:p>
    <w:p w14:paraId="67E1A982">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0"/>
          <w:sz w:val="32"/>
          <w:szCs w:val="32"/>
          <w:lang w:val="en-US" w:eastAsia="zh-CN"/>
        </w:rPr>
        <w:t>（一）</w:t>
      </w:r>
      <w:r>
        <w:rPr>
          <w:rFonts w:hint="eastAsia" w:ascii="楷体_GB2312" w:hAnsi="楷体_GB2312" w:eastAsia="楷体_GB2312" w:cs="楷体_GB2312"/>
          <w:b/>
          <w:bCs/>
          <w:kern w:val="0"/>
          <w:sz w:val="32"/>
          <w:szCs w:val="32"/>
        </w:rPr>
        <w:t>项目概况</w:t>
      </w:r>
    </w:p>
    <w:p w14:paraId="6E7483CB">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outlineLvl w:val="9"/>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val="en-US" w:eastAsia="zh-CN"/>
        </w:rPr>
        <w:t>根据全区应急广播系统建设实际，我局前期委托具有电子通信广电行业专业乙级资质的设计公司，编制了《遂宁市船山区文化广播电视和旅游局应急广播系统建设方案》（包括系统初步设计和投资概算方案），项目计划投入资金775.441万元。项目建设计划分两期进行，第一期工程投入资金345.16万元，建设完成区应急平台建设、7</w:t>
      </w:r>
      <w:r>
        <w:rPr>
          <w:rFonts w:hint="default" w:ascii="仿宋_GB2312" w:hAnsi="仿宋_GB2312" w:eastAsia="仿宋_GB2312" w:cs="仿宋_GB2312"/>
          <w:kern w:val="0"/>
          <w:sz w:val="32"/>
          <w:szCs w:val="32"/>
          <w:lang w:val="en-US" w:eastAsia="zh-CN"/>
        </w:rPr>
        <w:t>个乡镇</w:t>
      </w:r>
      <w:r>
        <w:rPr>
          <w:rFonts w:hint="eastAsia" w:ascii="仿宋_GB2312" w:hAnsi="仿宋_GB2312" w:eastAsia="仿宋_GB2312" w:cs="仿宋_GB2312"/>
          <w:kern w:val="0"/>
          <w:sz w:val="32"/>
          <w:szCs w:val="32"/>
          <w:lang w:val="en-US" w:eastAsia="zh-CN"/>
        </w:rPr>
        <w:t>级</w:t>
      </w:r>
      <w:r>
        <w:rPr>
          <w:rFonts w:hint="default" w:ascii="仿宋_GB2312" w:hAnsi="仿宋_GB2312" w:eastAsia="仿宋_GB2312" w:cs="仿宋_GB2312"/>
          <w:kern w:val="0"/>
          <w:sz w:val="32"/>
          <w:szCs w:val="32"/>
          <w:lang w:val="en-US" w:eastAsia="zh-CN"/>
        </w:rPr>
        <w:t>前端、</w:t>
      </w:r>
      <w:r>
        <w:rPr>
          <w:rFonts w:hint="eastAsia" w:ascii="仿宋_GB2312" w:hAnsi="仿宋_GB2312" w:eastAsia="仿宋_GB2312" w:cs="仿宋_GB2312"/>
          <w:kern w:val="0"/>
          <w:sz w:val="32"/>
          <w:szCs w:val="32"/>
          <w:lang w:val="en-US" w:eastAsia="zh-CN"/>
        </w:rPr>
        <w:t>81</w:t>
      </w:r>
      <w:r>
        <w:rPr>
          <w:rFonts w:hint="default" w:ascii="仿宋_GB2312" w:hAnsi="仿宋_GB2312" w:eastAsia="仿宋_GB2312" w:cs="仿宋_GB2312"/>
          <w:kern w:val="0"/>
          <w:sz w:val="32"/>
          <w:szCs w:val="32"/>
          <w:lang w:val="en-US" w:eastAsia="zh-CN"/>
        </w:rPr>
        <w:t>个村</w:t>
      </w:r>
      <w:r>
        <w:rPr>
          <w:rFonts w:hint="eastAsia" w:ascii="仿宋_GB2312" w:hAnsi="仿宋_GB2312" w:eastAsia="仿宋_GB2312" w:cs="仿宋_GB2312"/>
          <w:kern w:val="0"/>
          <w:sz w:val="32"/>
          <w:szCs w:val="32"/>
          <w:lang w:val="en-US" w:eastAsia="zh-CN"/>
        </w:rPr>
        <w:t>级</w:t>
      </w:r>
      <w:r>
        <w:rPr>
          <w:rFonts w:hint="default" w:ascii="仿宋_GB2312" w:hAnsi="仿宋_GB2312" w:eastAsia="仿宋_GB2312" w:cs="仿宋_GB2312"/>
          <w:kern w:val="0"/>
          <w:sz w:val="32"/>
          <w:szCs w:val="32"/>
          <w:lang w:val="en-US" w:eastAsia="zh-CN"/>
        </w:rPr>
        <w:t>平台</w:t>
      </w:r>
      <w:r>
        <w:rPr>
          <w:rFonts w:hint="eastAsia" w:ascii="仿宋_GB2312" w:hAnsi="仿宋_GB2312" w:eastAsia="仿宋_GB2312" w:cs="仿宋_GB2312"/>
          <w:kern w:val="0"/>
          <w:sz w:val="32"/>
          <w:szCs w:val="32"/>
          <w:lang w:val="en-US" w:eastAsia="zh-CN"/>
        </w:rPr>
        <w:t>和全区300台套应急广播升级改造，其中使用省级补助资金300万元，</w:t>
      </w:r>
      <w:r>
        <w:rPr>
          <w:rFonts w:hint="eastAsia" w:ascii="仿宋_GB2312" w:hAnsi="仿宋_GB2312" w:eastAsia="仿宋_GB2312" w:cs="仿宋_GB2312"/>
          <w:color w:val="000000"/>
          <w:kern w:val="0"/>
          <w:sz w:val="32"/>
          <w:szCs w:val="32"/>
          <w:shd w:val="clear" w:color="auto" w:fill="FFFFFF"/>
          <w:lang w:val="en-US" w:eastAsia="zh-CN"/>
        </w:rPr>
        <w:t>区级配套45.16万元</w:t>
      </w:r>
      <w:r>
        <w:rPr>
          <w:rFonts w:hint="eastAsia" w:ascii="仿宋_GB2312" w:hAnsi="仿宋_GB2312" w:eastAsia="仿宋_GB2312" w:cs="仿宋_GB2312"/>
          <w:kern w:val="0"/>
          <w:sz w:val="32"/>
          <w:szCs w:val="32"/>
          <w:lang w:val="en-US" w:eastAsia="zh-CN"/>
        </w:rPr>
        <w:t>。</w:t>
      </w:r>
    </w:p>
    <w:p w14:paraId="7A052E9B">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outlineLvl w:val="9"/>
        <w:rPr>
          <w:rFonts w:hint="eastAsia" w:ascii="楷体_GB2312" w:hAnsi="楷体_GB2312" w:eastAsia="楷体_GB2312" w:cs="楷体_GB2312"/>
          <w:b/>
          <w:bCs/>
          <w:kern w:val="0"/>
          <w:sz w:val="32"/>
          <w:szCs w:val="32"/>
          <w:lang w:val="en-US" w:eastAsia="zh-CN"/>
        </w:rPr>
      </w:pPr>
      <w:r>
        <w:rPr>
          <w:rFonts w:hint="eastAsia" w:ascii="楷体_GB2312" w:hAnsi="楷体_GB2312" w:eastAsia="楷体_GB2312" w:cs="楷体_GB2312"/>
          <w:b/>
          <w:bCs/>
          <w:kern w:val="0"/>
          <w:sz w:val="32"/>
          <w:szCs w:val="32"/>
          <w:lang w:val="en-US" w:eastAsia="zh-CN"/>
        </w:rPr>
        <w:t>（二）项目实施情况</w:t>
      </w:r>
    </w:p>
    <w:p w14:paraId="05D740D1">
      <w:pPr>
        <w:keepNext w:val="0"/>
        <w:keepLines w:val="0"/>
        <w:pageBreakBefore w:val="0"/>
        <w:widowControl w:val="0"/>
        <w:kinsoku/>
        <w:wordWrap/>
        <w:topLinePunct w:val="0"/>
        <w:autoSpaceDE w:val="0"/>
        <w:autoSpaceDN w:val="0"/>
        <w:bidi w:val="0"/>
        <w:adjustRightInd w:val="0"/>
        <w:spacing w:line="520" w:lineRule="exact"/>
        <w:ind w:firstLine="640" w:firstLineChars="200"/>
        <w:textAlignment w:val="auto"/>
        <w:rPr>
          <w:rStyle w:val="23"/>
          <w:rFonts w:hint="eastAsia" w:ascii="仿宋_GB2312" w:hAnsi="仿宋_GB2312" w:eastAsia="仿宋_GB2312" w:cs="仿宋_GB2312"/>
          <w:kern w:val="2"/>
          <w:sz w:val="32"/>
          <w:szCs w:val="32"/>
          <w:lang w:val="en-US" w:eastAsia="zh-CN" w:bidi="ar-SA"/>
        </w:rPr>
      </w:pPr>
      <w:r>
        <w:rPr>
          <w:rStyle w:val="23"/>
          <w:rFonts w:hint="eastAsia" w:ascii="仿宋_GB2312" w:hAnsi="仿宋_GB2312" w:eastAsia="仿宋_GB2312" w:cs="仿宋_GB2312"/>
          <w:kern w:val="2"/>
          <w:sz w:val="32"/>
          <w:szCs w:val="32"/>
          <w:lang w:val="en-US" w:eastAsia="zh-CN" w:bidi="ar-SA"/>
        </w:rPr>
        <w:t>通过政府采购，按照合同约定，项目如期推进。通过项目实施，建设完成了区级应急广播平台，7个乡镇和81个村应急广播分平台，安装应急广播终端300台套。</w:t>
      </w:r>
    </w:p>
    <w:p w14:paraId="513F610F">
      <w:pPr>
        <w:keepNext w:val="0"/>
        <w:keepLines w:val="0"/>
        <w:pageBreakBefore w:val="0"/>
        <w:widowControl w:val="0"/>
        <w:kinsoku/>
        <w:wordWrap/>
        <w:topLinePunct w:val="0"/>
        <w:autoSpaceDE w:val="0"/>
        <w:autoSpaceDN w:val="0"/>
        <w:bidi w:val="0"/>
        <w:adjustRightInd w:val="0"/>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（三）资金投入使用情况</w:t>
      </w:r>
    </w:p>
    <w:p w14:paraId="22586493">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1.资金到位情况。到位</w:t>
      </w:r>
      <w:r>
        <w:rPr>
          <w:rFonts w:hint="eastAsia" w:ascii="仿宋_GB2312" w:hAnsi="仿宋_GB2312" w:eastAsia="仿宋_GB2312" w:cs="仿宋_GB2312"/>
          <w:b w:val="0"/>
          <w:bCs w:val="0"/>
          <w:kern w:val="0"/>
          <w:sz w:val="32"/>
          <w:szCs w:val="32"/>
          <w:lang w:val="en-US" w:eastAsia="zh-CN"/>
        </w:rPr>
        <w:t>省级公共服务体系建设专项资金（广电项目）应急广播建设专项</w:t>
      </w:r>
      <w:r>
        <w:rPr>
          <w:rFonts w:hint="eastAsia" w:ascii="仿宋_GB2312" w:hAnsi="仿宋_GB2312" w:eastAsia="仿宋_GB2312" w:cs="仿宋_GB2312"/>
          <w:kern w:val="0"/>
          <w:sz w:val="32"/>
          <w:szCs w:val="32"/>
          <w:shd w:val="clear" w:color="auto" w:fill="FFFFFF"/>
        </w:rPr>
        <w:t>补助资金</w:t>
      </w:r>
      <w:r>
        <w:rPr>
          <w:rFonts w:hint="eastAsia" w:ascii="仿宋_GB2312" w:hAnsi="仿宋_GB2312" w:eastAsia="仿宋_GB2312" w:cs="仿宋_GB2312"/>
          <w:b w:val="0"/>
          <w:bCs w:val="0"/>
          <w:kern w:val="2"/>
          <w:sz w:val="32"/>
          <w:szCs w:val="32"/>
          <w:lang w:val="en-US" w:eastAsia="zh-CN" w:bidi="ar-SA"/>
        </w:rPr>
        <w:t>300万元。</w:t>
      </w:r>
    </w:p>
    <w:p w14:paraId="4E2148F6">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2.资金使用情况。共计支出300万元，</w:t>
      </w:r>
      <w:r>
        <w:rPr>
          <w:rFonts w:hint="eastAsia" w:ascii="仿宋_GB2312" w:hAnsi="仿宋_GB2312" w:eastAsia="仿宋_GB2312" w:cs="仿宋_GB2312"/>
          <w:color w:val="000000"/>
          <w:kern w:val="0"/>
          <w:sz w:val="32"/>
          <w:szCs w:val="32"/>
          <w:lang w:val="en-US" w:eastAsia="zh-CN" w:bidi="ar-SA"/>
        </w:rPr>
        <w:t>用于全区应急广播系统项目建设。</w:t>
      </w:r>
    </w:p>
    <w:p w14:paraId="481C61F8">
      <w:pPr>
        <w:keepNext w:val="0"/>
        <w:keepLines w:val="0"/>
        <w:pageBreakBefore w:val="0"/>
        <w:widowControl w:val="0"/>
        <w:kinsoku/>
        <w:wordWrap/>
        <w:topLinePunct w:val="0"/>
        <w:autoSpaceDE w:val="0"/>
        <w:autoSpaceDN w:val="0"/>
        <w:bidi w:val="0"/>
        <w:adjustRightInd w:val="0"/>
        <w:spacing w:line="520" w:lineRule="exact"/>
        <w:ind w:firstLine="643" w:firstLineChars="200"/>
        <w:textAlignment w:val="auto"/>
        <w:outlineLvl w:val="9"/>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（四）项目绩效目标</w:t>
      </w:r>
    </w:p>
    <w:p w14:paraId="1B68FA28">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完成区级应急广播系统数量为1个、村级应急前端81个，终端建设300台套；项目实施合格率（通过省广电局联调联试）≥100%；2023年7月底前，项目实施完成率≥100%；项目成本为≤</w:t>
      </w:r>
      <w:r>
        <w:rPr>
          <w:rFonts w:hint="eastAsia" w:ascii="仿宋_GB2312" w:hAnsi="仿宋_GB2312" w:eastAsia="仿宋_GB2312" w:cs="仿宋_GB2312"/>
          <w:kern w:val="0"/>
          <w:sz w:val="32"/>
          <w:szCs w:val="32"/>
          <w:lang w:val="en-US" w:eastAsia="zh-CN"/>
        </w:rPr>
        <w:t>345.16</w:t>
      </w:r>
      <w:r>
        <w:rPr>
          <w:rFonts w:hint="eastAsia" w:ascii="仿宋_GB2312" w:hAnsi="仿宋_GB2312" w:eastAsia="仿宋_GB2312" w:cs="仿宋_GB2312"/>
          <w:b w:val="0"/>
          <w:bCs w:val="0"/>
          <w:kern w:val="2"/>
          <w:sz w:val="32"/>
          <w:szCs w:val="32"/>
          <w:lang w:val="en-US" w:eastAsia="zh-CN"/>
        </w:rPr>
        <w:t>万元；广播电视公共服务覆盖率进一步提高；项目管理制度健全完善；受惠群众满意度≥95%</w:t>
      </w:r>
      <w:r>
        <w:rPr>
          <w:rFonts w:hint="eastAsia" w:ascii="仿宋_GB2312" w:hAnsi="仿宋_GB2312" w:eastAsia="仿宋_GB2312" w:cs="仿宋_GB2312"/>
          <w:b w:val="0"/>
          <w:bCs w:val="0"/>
          <w:kern w:val="2"/>
          <w:sz w:val="32"/>
          <w:szCs w:val="32"/>
          <w:lang w:val="en-GB" w:eastAsia="zh-CN"/>
        </w:rPr>
        <w:t>。</w:t>
      </w:r>
    </w:p>
    <w:p w14:paraId="58F0EDA4">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二、评价工作开展情况</w:t>
      </w:r>
    </w:p>
    <w:p w14:paraId="60EBAEF4">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Times New Roman" w:hAnsi="Times New Roman" w:eastAsia="宋体" w:cs="Times New Roman"/>
          <w:b/>
          <w:bCs/>
          <w:sz w:val="32"/>
          <w:lang w:val="en-US" w:eastAsia="zh-CN" w:bidi="ar-SA"/>
        </w:rPr>
      </w:pPr>
      <w:r>
        <w:rPr>
          <w:rFonts w:hint="eastAsia" w:ascii="楷体_GB2312" w:hAnsi="楷体_GB2312" w:eastAsia="楷体_GB2312" w:cs="楷体_GB2312"/>
          <w:b/>
          <w:bCs/>
          <w:sz w:val="32"/>
          <w:szCs w:val="32"/>
          <w:lang w:val="en-US" w:eastAsia="zh-CN" w:bidi="ar-SA"/>
        </w:rPr>
        <w:t>（一）评价组织情况</w:t>
      </w:r>
    </w:p>
    <w:p w14:paraId="5BD0EC62">
      <w:pPr>
        <w:keepNext w:val="0"/>
        <w:keepLines w:val="0"/>
        <w:pageBreakBefore w:val="0"/>
        <w:tabs>
          <w:tab w:val="left" w:pos="3885"/>
        </w:tabs>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根据资金使用及绩效评价相关规定，按照“专款专用，谁实施、谁负责”的原则，区文化广电旅游局作为</w:t>
      </w:r>
      <w:r>
        <w:rPr>
          <w:rFonts w:hint="eastAsia" w:ascii="仿宋_GB2312" w:hAnsi="仿宋_GB2312" w:eastAsia="仿宋_GB2312" w:cs="仿宋_GB2312"/>
          <w:kern w:val="0"/>
          <w:sz w:val="32"/>
          <w:szCs w:val="32"/>
          <w:shd w:val="clear" w:color="auto" w:fill="FFFFFF"/>
          <w:lang w:eastAsia="zh-CN"/>
        </w:rPr>
        <w:t>区</w:t>
      </w:r>
      <w:r>
        <w:rPr>
          <w:rFonts w:hint="eastAsia" w:ascii="Times New Roman" w:hAnsi="Times New Roman" w:eastAsia="仿宋_GB2312" w:cs="Times New Roman"/>
          <w:kern w:val="0"/>
          <w:sz w:val="32"/>
          <w:szCs w:val="32"/>
          <w:lang w:val="en-US" w:eastAsia="zh-CN"/>
        </w:rPr>
        <w:t>应急广播建设项目</w:t>
      </w:r>
      <w:r>
        <w:rPr>
          <w:rFonts w:hint="eastAsia" w:ascii="仿宋_GB2312" w:hAnsi="宋体" w:eastAsia="仿宋_GB2312" w:cs="Times New Roman"/>
          <w:kern w:val="0"/>
          <w:sz w:val="32"/>
          <w:szCs w:val="32"/>
          <w:lang w:val="en-US" w:eastAsia="zh-CN" w:bidi="ar-SA"/>
        </w:rPr>
        <w:t>的主管部门，</w:t>
      </w:r>
      <w:r>
        <w:rPr>
          <w:rFonts w:hint="eastAsia" w:ascii="Times New Roman" w:hAnsi="Times New Roman" w:eastAsia="仿宋_GB2312" w:cs="Times New Roman"/>
          <w:kern w:val="0"/>
          <w:sz w:val="32"/>
          <w:szCs w:val="32"/>
          <w:lang w:val="en-US" w:eastAsia="zh-CN"/>
        </w:rPr>
        <w:t>按照职能职责，明确专人负责对本项目的统筹谋划，全程监督管理和开展绩效评价。</w:t>
      </w:r>
    </w:p>
    <w:p w14:paraId="5AC1197A">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（二）评价指标体系</w:t>
      </w:r>
    </w:p>
    <w:p w14:paraId="6AC0FB35">
      <w:pPr>
        <w:keepNext w:val="0"/>
        <w:keepLines w:val="0"/>
        <w:pageBreakBefore w:val="0"/>
        <w:tabs>
          <w:tab w:val="left" w:pos="3885"/>
        </w:tabs>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指标体系主要集中在</w:t>
      </w:r>
      <w:r>
        <w:rPr>
          <w:rFonts w:hint="eastAsia" w:ascii="仿宋_GB2312" w:hAnsi="仿宋_GB2312" w:eastAsia="仿宋_GB2312" w:cs="仿宋_GB2312"/>
          <w:color w:val="000000"/>
          <w:kern w:val="2"/>
          <w:sz w:val="32"/>
          <w:szCs w:val="32"/>
          <w:lang w:val="en-US" w:eastAsia="zh-CN" w:bidi="ar-SA"/>
        </w:rPr>
        <w:t>项目决策、实施项目、项目预算、数量、质量、时效、成本、社会效益</w:t>
      </w:r>
      <w:r>
        <w:rPr>
          <w:rFonts w:hint="eastAsia" w:ascii="Times New Roman" w:hAnsi="Times New Roman" w:eastAsia="仿宋_GB2312" w:cs="Times New Roman"/>
          <w:kern w:val="0"/>
          <w:sz w:val="32"/>
          <w:szCs w:val="32"/>
          <w:lang w:val="en-US" w:eastAsia="zh-CN"/>
        </w:rPr>
        <w:t>、社会公众及受惠群众满意度。</w:t>
      </w:r>
    </w:p>
    <w:p w14:paraId="56751914">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项目决策</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目标决策程序严密管理制度健全完善</w:t>
      </w:r>
      <w:r>
        <w:rPr>
          <w:rFonts w:hint="eastAsia" w:ascii="Times New Roman" w:hAnsi="Times New Roman" w:eastAsia="仿宋_GB2312" w:cs="Times New Roman"/>
          <w:kern w:val="0"/>
          <w:sz w:val="32"/>
          <w:szCs w:val="32"/>
          <w:lang w:val="en-US" w:eastAsia="zh-CN"/>
        </w:rPr>
        <w:t>、规划合理符合省市主管部门及区委、区政府重大决策部署，项目实施结果与项目年度目标一致、</w:t>
      </w:r>
      <w:r>
        <w:rPr>
          <w:rFonts w:hint="default" w:ascii="Times New Roman" w:hAnsi="Times New Roman" w:eastAsia="仿宋_GB2312" w:cs="Times New Roman"/>
          <w:kern w:val="0"/>
          <w:sz w:val="32"/>
          <w:szCs w:val="32"/>
          <w:lang w:val="en-US" w:eastAsia="zh-CN"/>
        </w:rPr>
        <w:t>与规划计划一致</w:t>
      </w:r>
      <w:r>
        <w:rPr>
          <w:rFonts w:hint="eastAsia" w:ascii="Times New Roman" w:hAnsi="Times New Roman" w:eastAsia="仿宋_GB2312" w:cs="Times New Roman"/>
          <w:kern w:val="0"/>
          <w:sz w:val="32"/>
          <w:szCs w:val="32"/>
          <w:lang w:val="en-US" w:eastAsia="zh-CN"/>
        </w:rPr>
        <w:t>。自评得分</w:t>
      </w:r>
      <w:r>
        <w:rPr>
          <w:rFonts w:hint="eastAsia" w:ascii="仿宋_GB2312" w:hAnsi="仿宋_GB2312" w:eastAsia="仿宋_GB2312" w:cs="仿宋_GB2312"/>
          <w:kern w:val="0"/>
          <w:sz w:val="32"/>
          <w:szCs w:val="32"/>
          <w:lang w:val="en-US" w:eastAsia="zh-CN"/>
        </w:rPr>
        <w:t>：6分。</w:t>
      </w:r>
    </w:p>
    <w:p w14:paraId="7942E227">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宋体"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项目实施：项目实施符合相关管理制度规定，项目实施人员、场地等落实到位，项目手续完备，有项目合同、验收报告等资料，并归纳建档；项目资金使用符合相关的财务管理制度规定，资金拨付程序手续完整资金拨付程序、手续完整，符合项目预算批复，无挤占、挪用等情况。自评得分</w:t>
      </w:r>
      <w:r>
        <w:rPr>
          <w:rFonts w:hint="eastAsia" w:ascii="仿宋_GB2312" w:hAnsi="仿宋_GB2312" w:eastAsia="仿宋_GB2312" w:cs="仿宋_GB2312"/>
          <w:kern w:val="0"/>
          <w:sz w:val="32"/>
          <w:szCs w:val="32"/>
          <w:lang w:val="en-US" w:eastAsia="zh-CN"/>
        </w:rPr>
        <w:t>：8分。</w:t>
      </w:r>
    </w:p>
    <w:p w14:paraId="39F2674E">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预算执行：完成年初预算，预算执行率100%。自评得分：6分。</w:t>
      </w:r>
    </w:p>
    <w:p w14:paraId="351010B3">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数量指标：</w:t>
      </w:r>
      <w:r>
        <w:rPr>
          <w:rFonts w:hint="eastAsia" w:ascii="仿宋_GB2312" w:hAnsi="仿宋_GB2312" w:eastAsia="仿宋_GB2312" w:cs="仿宋_GB2312"/>
          <w:b w:val="0"/>
          <w:bCs w:val="0"/>
          <w:kern w:val="2"/>
          <w:sz w:val="32"/>
          <w:szCs w:val="32"/>
          <w:lang w:val="en-US" w:eastAsia="zh-CN"/>
        </w:rPr>
        <w:t>完成区级应急广播系统数量为1个、村级应急前端81个，终端建设300台套</w:t>
      </w:r>
      <w:r>
        <w:rPr>
          <w:rFonts w:hint="eastAsia" w:ascii="仿宋_GB2312" w:hAnsi="仿宋_GB2312" w:eastAsia="仿宋_GB2312" w:cs="仿宋_GB2312"/>
          <w:kern w:val="0"/>
          <w:sz w:val="32"/>
          <w:szCs w:val="32"/>
          <w:lang w:val="en-US" w:eastAsia="zh-CN"/>
        </w:rPr>
        <w:t>。自评得分：10分。</w:t>
      </w:r>
    </w:p>
    <w:p w14:paraId="2CE2ED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outlineLvl w:val="9"/>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质量</w:t>
      </w:r>
      <w:r>
        <w:rPr>
          <w:rFonts w:hint="eastAsia" w:ascii="Times New Roman" w:hAnsi="Times New Roman" w:eastAsia="仿宋_GB2312" w:cs="Times New Roman"/>
          <w:kern w:val="0"/>
          <w:sz w:val="32"/>
          <w:szCs w:val="32"/>
          <w:lang w:val="en-US" w:eastAsia="zh-CN"/>
        </w:rPr>
        <w:t>指标</w:t>
      </w:r>
      <w:r>
        <w:rPr>
          <w:rFonts w:hint="default" w:ascii="Times New Roman" w:hAnsi="Times New Roman" w:eastAsia="仿宋_GB2312" w:cs="Times New Roman"/>
          <w:kern w:val="0"/>
          <w:sz w:val="32"/>
          <w:szCs w:val="32"/>
          <w:lang w:val="en-US" w:eastAsia="zh-CN"/>
        </w:rPr>
        <w:t>：</w:t>
      </w:r>
      <w:r>
        <w:rPr>
          <w:rFonts w:hint="eastAsia" w:ascii="仿宋_GB2312" w:hAnsi="仿宋_GB2312" w:eastAsia="仿宋_GB2312" w:cs="仿宋_GB2312"/>
          <w:kern w:val="0"/>
          <w:sz w:val="32"/>
          <w:szCs w:val="32"/>
          <w:shd w:val="clear" w:color="auto" w:fill="FFFFFF"/>
        </w:rPr>
        <w:t>项目</w:t>
      </w:r>
      <w:r>
        <w:rPr>
          <w:rFonts w:hint="eastAsia" w:ascii="仿宋_GB2312" w:hAnsi="仿宋_GB2312" w:eastAsia="仿宋_GB2312" w:cs="仿宋_GB2312"/>
          <w:kern w:val="0"/>
          <w:sz w:val="32"/>
          <w:szCs w:val="32"/>
          <w:shd w:val="clear" w:color="auto" w:fill="FFFFFF"/>
          <w:lang w:eastAsia="zh-CN"/>
        </w:rPr>
        <w:t>成功</w:t>
      </w:r>
      <w:r>
        <w:rPr>
          <w:rFonts w:hint="eastAsia" w:ascii="仿宋_GB2312" w:hAnsi="仿宋_GB2312" w:eastAsia="仿宋_GB2312" w:cs="仿宋_GB2312"/>
          <w:kern w:val="0"/>
          <w:sz w:val="32"/>
          <w:szCs w:val="32"/>
          <w:shd w:val="clear" w:color="auto" w:fill="FFFFFF"/>
        </w:rPr>
        <w:t>通过省广电局联调联试</w:t>
      </w:r>
      <w:r>
        <w:rPr>
          <w:rFonts w:hint="eastAsia" w:ascii="仿宋_GB2312" w:hAnsi="仿宋_GB2312" w:eastAsia="仿宋_GB2312" w:cs="仿宋_GB2312"/>
          <w:kern w:val="0"/>
          <w:sz w:val="32"/>
          <w:szCs w:val="32"/>
          <w:shd w:val="clear" w:color="auto" w:fill="FFFFFF"/>
          <w:lang w:eastAsia="zh-CN"/>
        </w:rPr>
        <w:t>，项目</w:t>
      </w:r>
      <w:r>
        <w:rPr>
          <w:rFonts w:hint="eastAsia" w:ascii="仿宋_GB2312" w:hAnsi="仿宋_GB2312" w:eastAsia="仿宋_GB2312" w:cs="仿宋_GB2312"/>
          <w:kern w:val="0"/>
          <w:sz w:val="32"/>
          <w:szCs w:val="32"/>
          <w:shd w:val="clear" w:color="auto" w:fill="FFFFFF"/>
        </w:rPr>
        <w:t>实施合格</w:t>
      </w:r>
      <w:r>
        <w:rPr>
          <w:rFonts w:hint="eastAsia" w:ascii="仿宋_GB2312" w:hAnsi="仿宋_GB2312" w:eastAsia="仿宋_GB2312" w:cs="仿宋_GB2312"/>
          <w:kern w:val="0"/>
          <w:sz w:val="32"/>
          <w:szCs w:val="32"/>
          <w:lang w:val="en-US" w:eastAsia="zh-CN"/>
        </w:rPr>
        <w:t>。自评得分：3分。</w:t>
      </w:r>
    </w:p>
    <w:p w14:paraId="7C04AC54">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时效指标：</w:t>
      </w:r>
      <w:r>
        <w:rPr>
          <w:rFonts w:hint="eastAsia" w:ascii="仿宋_GB2312" w:hAnsi="仿宋_GB2312" w:eastAsia="仿宋_GB2312" w:cs="仿宋_GB2312"/>
          <w:b w:val="0"/>
          <w:bCs w:val="0"/>
          <w:color w:val="auto"/>
          <w:kern w:val="2"/>
          <w:sz w:val="32"/>
          <w:szCs w:val="32"/>
          <w:lang w:val="en-US" w:eastAsia="zh-CN"/>
        </w:rPr>
        <w:t>2023年7月底前完成项目建设</w:t>
      </w:r>
      <w:r>
        <w:rPr>
          <w:rFonts w:hint="eastAsia" w:ascii="仿宋_GB2312" w:hAnsi="仿宋_GB2312" w:eastAsia="仿宋_GB2312" w:cs="仿宋_GB2312"/>
          <w:color w:val="auto"/>
          <w:kern w:val="0"/>
          <w:sz w:val="32"/>
          <w:szCs w:val="32"/>
          <w:lang w:val="en-US" w:eastAsia="zh-CN"/>
        </w:rPr>
        <w:t>。由于保障二十大召开和大运会的安全播出保障，项目建设于2023年11月完成。</w:t>
      </w:r>
      <w:r>
        <w:rPr>
          <w:rFonts w:hint="eastAsia" w:ascii="仿宋_GB2312" w:hAnsi="仿宋_GB2312" w:eastAsia="仿宋_GB2312" w:cs="仿宋_GB2312"/>
          <w:kern w:val="0"/>
          <w:sz w:val="32"/>
          <w:szCs w:val="32"/>
          <w:lang w:val="en-US" w:eastAsia="zh-CN"/>
        </w:rPr>
        <w:t>自评得分：2分。</w:t>
      </w:r>
    </w:p>
    <w:p w14:paraId="00681914">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kern w:val="0"/>
          <w:sz w:val="32"/>
          <w:szCs w:val="32"/>
          <w:shd w:val="clear" w:color="auto" w:fill="FFFFFF"/>
          <w:lang w:eastAsia="zh-CN"/>
        </w:rPr>
        <w:t>区应急广播系统建设总投入</w:t>
      </w:r>
      <w:r>
        <w:rPr>
          <w:rFonts w:hint="eastAsia" w:ascii="仿宋_GB2312" w:hAnsi="仿宋_GB2312" w:eastAsia="仿宋_GB2312" w:cs="仿宋_GB2312"/>
          <w:kern w:val="0"/>
          <w:sz w:val="32"/>
          <w:szCs w:val="32"/>
          <w:shd w:val="clear" w:color="auto" w:fill="FFFFFF"/>
          <w:lang w:val="en-US" w:eastAsia="zh-CN"/>
        </w:rPr>
        <w:t>338.597</w:t>
      </w:r>
      <w:r>
        <w:rPr>
          <w:rFonts w:hint="eastAsia" w:ascii="仿宋_GB2312" w:hAnsi="仿宋_GB2312" w:eastAsia="仿宋_GB2312" w:cs="仿宋_GB2312"/>
          <w:b w:val="0"/>
          <w:bCs w:val="0"/>
          <w:kern w:val="0"/>
          <w:sz w:val="32"/>
          <w:szCs w:val="32"/>
          <w:lang w:val="en-US" w:eastAsia="zh-CN"/>
        </w:rPr>
        <w:t>，完成年初预算。</w:t>
      </w:r>
      <w:r>
        <w:rPr>
          <w:rFonts w:hint="eastAsia" w:ascii="仿宋_GB2312" w:hAnsi="仿宋_GB2312" w:eastAsia="仿宋_GB2312" w:cs="仿宋_GB2312"/>
          <w:kern w:val="0"/>
          <w:sz w:val="32"/>
          <w:szCs w:val="32"/>
          <w:lang w:val="en-US" w:eastAsia="zh-CN"/>
        </w:rPr>
        <w:t>自评得分：4分。</w:t>
      </w:r>
    </w:p>
    <w:p w14:paraId="6DA06362">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社会效益指标：广播电视公共服务覆盖率进一步提高。</w:t>
      </w:r>
      <w:r>
        <w:rPr>
          <w:rFonts w:hint="eastAsia" w:ascii="仿宋_GB2312" w:hAnsi="仿宋_GB2312" w:eastAsia="仿宋_GB2312" w:cs="仿宋_GB2312"/>
          <w:kern w:val="0"/>
          <w:sz w:val="32"/>
          <w:szCs w:val="32"/>
          <w:lang w:val="en-US" w:eastAsia="zh-CN"/>
        </w:rPr>
        <w:t>自评得分：25分。</w:t>
      </w:r>
    </w:p>
    <w:p w14:paraId="4414044C">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可持续性指标：内控管理制度健全性。</w:t>
      </w:r>
      <w:r>
        <w:rPr>
          <w:rFonts w:hint="eastAsia" w:ascii="仿宋_GB2312" w:hAnsi="仿宋_GB2312" w:eastAsia="仿宋_GB2312" w:cs="仿宋_GB2312"/>
          <w:kern w:val="0"/>
          <w:sz w:val="32"/>
          <w:szCs w:val="32"/>
          <w:lang w:val="en-US" w:eastAsia="zh-CN"/>
        </w:rPr>
        <w:t>自评得分：25分。</w:t>
      </w:r>
    </w:p>
    <w:p w14:paraId="6B2639A3">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640" w:firstLineChars="200"/>
        <w:jc w:val="both"/>
        <w:textAlignment w:val="auto"/>
        <w:rPr>
          <w:rFonts w:hint="default" w:ascii="Times" w:hAnsi="Times" w:eastAsia="宋体" w:cs="Times New Roman"/>
          <w:kern w:val="0"/>
          <w:sz w:val="32"/>
          <w:szCs w:val="20"/>
          <w:lang w:val="en-US" w:eastAsia="zh-CN"/>
        </w:rPr>
      </w:pPr>
      <w:r>
        <w:rPr>
          <w:rFonts w:hint="eastAsia" w:ascii="仿宋_GB2312" w:hAnsi="仿宋_GB2312" w:eastAsia="仿宋_GB2312" w:cs="仿宋_GB2312"/>
          <w:b w:val="0"/>
          <w:bCs w:val="0"/>
          <w:kern w:val="0"/>
          <w:sz w:val="32"/>
          <w:szCs w:val="32"/>
          <w:lang w:val="en-US" w:eastAsia="zh-CN"/>
        </w:rPr>
        <w:t>满意度：</w:t>
      </w:r>
      <w:r>
        <w:rPr>
          <w:rFonts w:hint="eastAsia" w:ascii="仿宋_GB2312" w:hAnsi="仿宋_GB2312" w:eastAsia="仿宋_GB2312" w:cs="仿宋_GB2312"/>
          <w:b w:val="0"/>
          <w:bCs w:val="0"/>
          <w:kern w:val="2"/>
          <w:sz w:val="32"/>
          <w:szCs w:val="32"/>
          <w:lang w:val="en-US" w:eastAsia="zh-CN"/>
        </w:rPr>
        <w:t>受惠群众满意度≥95%</w:t>
      </w:r>
      <w:r>
        <w:rPr>
          <w:rFonts w:hint="eastAsia" w:ascii="仿宋_GB2312" w:hAnsi="仿宋_GB2312" w:eastAsia="仿宋_GB2312" w:cs="仿宋_GB2312"/>
          <w:b w:val="0"/>
          <w:bCs w:val="0"/>
          <w:kern w:val="2"/>
          <w:sz w:val="32"/>
          <w:szCs w:val="32"/>
          <w:lang w:val="en-GB" w:eastAsia="zh-CN"/>
        </w:rPr>
        <w:t>。</w:t>
      </w:r>
      <w:r>
        <w:rPr>
          <w:rFonts w:hint="eastAsia" w:ascii="仿宋_GB2312" w:hAnsi="仿宋_GB2312" w:eastAsia="仿宋_GB2312" w:cs="仿宋_GB2312"/>
          <w:kern w:val="0"/>
          <w:sz w:val="32"/>
          <w:szCs w:val="32"/>
          <w:lang w:val="en-US" w:eastAsia="zh-CN"/>
        </w:rPr>
        <w:t>自评得分：10分。</w:t>
      </w:r>
    </w:p>
    <w:p w14:paraId="347F7332">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（三）评价方法</w:t>
      </w:r>
    </w:p>
    <w:p w14:paraId="2977CB3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sz w:val="32"/>
          <w:lang w:val="en-US" w:eastAsia="zh-CN" w:bidi="ar-SA"/>
        </w:rPr>
      </w:pPr>
      <w:r>
        <w:rPr>
          <w:rFonts w:hint="eastAsia" w:ascii="仿宋_GB2312" w:hAnsi="仿宋_GB2312" w:eastAsia="仿宋_GB2312" w:cs="仿宋_GB2312"/>
          <w:b/>
          <w:bCs/>
          <w:sz w:val="32"/>
          <w:lang w:val="en-US" w:eastAsia="zh-CN" w:bidi="ar-SA"/>
        </w:rPr>
        <w:t>一是</w:t>
      </w:r>
      <w:r>
        <w:rPr>
          <w:rFonts w:hint="eastAsia" w:ascii="仿宋_GB2312" w:hAnsi="仿宋_GB2312" w:eastAsia="仿宋_GB2312" w:cs="仿宋_GB2312"/>
          <w:sz w:val="32"/>
          <w:lang w:val="en-US" w:eastAsia="zh-CN" w:bidi="ar-SA"/>
        </w:rPr>
        <w:t>根据自评评价的工作计划及安排制定调查方案，开展实际调查工作，收集评估所需的各种资料和数据。</w:t>
      </w:r>
      <w:r>
        <w:rPr>
          <w:rFonts w:hint="eastAsia" w:ascii="仿宋_GB2312" w:hAnsi="仿宋_GB2312" w:eastAsia="仿宋_GB2312" w:cs="仿宋_GB2312"/>
          <w:b/>
          <w:bCs/>
          <w:sz w:val="32"/>
          <w:lang w:val="en-US" w:eastAsia="zh-CN" w:bidi="ar-SA"/>
        </w:rPr>
        <w:t>二是</w:t>
      </w:r>
      <w:r>
        <w:rPr>
          <w:rFonts w:hint="eastAsia" w:ascii="仿宋_GB2312" w:hAnsi="仿宋_GB2312" w:eastAsia="仿宋_GB2312" w:cs="仿宋_GB2312"/>
          <w:sz w:val="32"/>
          <w:lang w:val="en-US" w:eastAsia="zh-CN" w:bidi="ar-SA"/>
        </w:rPr>
        <w:t>采用定量和定性分析方法，针对问题进行深入分析研究。</w:t>
      </w:r>
      <w:r>
        <w:rPr>
          <w:rFonts w:hint="eastAsia" w:ascii="仿宋_GB2312" w:hAnsi="仿宋_GB2312" w:eastAsia="仿宋_GB2312" w:cs="仿宋_GB2312"/>
          <w:b/>
          <w:bCs/>
          <w:sz w:val="32"/>
          <w:lang w:val="en-US" w:eastAsia="zh-CN" w:bidi="ar-SA"/>
        </w:rPr>
        <w:t>三是</w:t>
      </w:r>
      <w:r>
        <w:rPr>
          <w:rFonts w:hint="eastAsia" w:ascii="仿宋_GB2312" w:hAnsi="仿宋_GB2312" w:eastAsia="仿宋_GB2312" w:cs="仿宋_GB2312"/>
          <w:sz w:val="32"/>
          <w:lang w:val="en-US" w:eastAsia="zh-CN" w:bidi="ar-SA"/>
        </w:rPr>
        <w:t>编制评估报告</w:t>
      </w:r>
      <w:r>
        <w:rPr>
          <w:rFonts w:hint="eastAsia" w:ascii="仿宋_GB2312" w:hAnsi="仿宋_GB2312" w:eastAsia="仿宋_GB2312" w:cs="仿宋_GB2312"/>
          <w:sz w:val="32"/>
          <w:szCs w:val="32"/>
          <w:lang w:val="en-US" w:eastAsia="zh-CN" w:bidi="ar-SA"/>
        </w:rPr>
        <w:t>。</w:t>
      </w:r>
      <w:r>
        <w:rPr>
          <w:rFonts w:hint="eastAsia" w:ascii="仿宋_GB2312" w:hAnsi="仿宋_GB2312" w:eastAsia="仿宋_GB2312" w:cs="仿宋_GB2312"/>
          <w:b w:val="0"/>
          <w:bCs w:val="0"/>
          <w:kern w:val="0"/>
          <w:sz w:val="32"/>
          <w:szCs w:val="32"/>
          <w:lang w:val="en-US" w:eastAsia="zh-CN" w:bidi="ar-SA"/>
        </w:rPr>
        <w:t>根据年初预算下达的部门预算绩效目标，逐项对标对表检查，</w:t>
      </w:r>
      <w:r>
        <w:rPr>
          <w:rFonts w:hint="eastAsia" w:ascii="仿宋_GB2312" w:hAnsi="仿宋_GB2312" w:eastAsia="仿宋_GB2312" w:cs="仿宋_GB2312"/>
          <w:sz w:val="32"/>
          <w:szCs w:val="32"/>
          <w:lang w:val="en-US" w:eastAsia="zh-CN" w:bidi="ar-SA"/>
        </w:rPr>
        <w:t>将分析研究的结果进行汇总、整理，编制出项目评</w:t>
      </w:r>
      <w:r>
        <w:rPr>
          <w:rFonts w:hint="eastAsia" w:ascii="仿宋_GB2312" w:hAnsi="仿宋_GB2312" w:eastAsia="仿宋_GB2312" w:cs="仿宋_GB2312"/>
          <w:sz w:val="32"/>
          <w:lang w:val="en-US" w:eastAsia="zh-CN" w:bidi="ar-SA"/>
        </w:rPr>
        <w:t>估报告。</w:t>
      </w:r>
    </w:p>
    <w:p w14:paraId="43E1E13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（四）评价标准</w:t>
      </w:r>
    </w:p>
    <w:p w14:paraId="76680E4C">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完成区级应急广播系统数量为1个、村级应急前端81个，终端建设300台套；项目实施合格率（通过省广电局联调联试）≥100%；2023年7月底前，项目实施完成率≥100%；项目成本为≤</w:t>
      </w:r>
      <w:r>
        <w:rPr>
          <w:rFonts w:hint="eastAsia" w:ascii="仿宋_GB2312" w:hAnsi="仿宋_GB2312" w:eastAsia="仿宋_GB2312" w:cs="仿宋_GB2312"/>
          <w:kern w:val="0"/>
          <w:sz w:val="32"/>
          <w:szCs w:val="32"/>
          <w:lang w:val="en-US" w:eastAsia="zh-CN"/>
        </w:rPr>
        <w:t>345.16</w:t>
      </w:r>
      <w:r>
        <w:rPr>
          <w:rFonts w:hint="eastAsia" w:ascii="仿宋_GB2312" w:hAnsi="仿宋_GB2312" w:eastAsia="仿宋_GB2312" w:cs="仿宋_GB2312"/>
          <w:b w:val="0"/>
          <w:bCs w:val="0"/>
          <w:kern w:val="2"/>
          <w:sz w:val="32"/>
          <w:szCs w:val="32"/>
          <w:lang w:val="en-US" w:eastAsia="zh-CN"/>
        </w:rPr>
        <w:t>万元；广播电视公共服务覆盖率进一步提高；项目管理制度健全完善；受惠群众满意度≥95%</w:t>
      </w:r>
      <w:r>
        <w:rPr>
          <w:rFonts w:hint="eastAsia" w:ascii="仿宋_GB2312" w:hAnsi="仿宋_GB2312" w:eastAsia="仿宋_GB2312" w:cs="仿宋_GB2312"/>
          <w:b w:val="0"/>
          <w:bCs w:val="0"/>
          <w:kern w:val="2"/>
          <w:sz w:val="32"/>
          <w:szCs w:val="32"/>
          <w:lang w:val="en-GB" w:eastAsia="zh-CN"/>
        </w:rPr>
        <w:t>。</w:t>
      </w:r>
    </w:p>
    <w:p w14:paraId="7C26A0B3">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rPr>
      </w:pPr>
      <w:r>
        <w:rPr>
          <w:rFonts w:hint="eastAsia" w:ascii="Times New Roman" w:hAnsi="Times New Roman" w:eastAsia="黑体" w:cs="Times New Roman"/>
          <w:kern w:val="0"/>
          <w:sz w:val="32"/>
          <w:szCs w:val="32"/>
          <w:lang w:eastAsia="zh-CN"/>
        </w:rPr>
        <w:t>三、</w:t>
      </w:r>
      <w:r>
        <w:rPr>
          <w:rFonts w:hint="default" w:ascii="Times New Roman" w:hAnsi="Times New Roman" w:eastAsia="黑体" w:cs="Times New Roman"/>
          <w:kern w:val="0"/>
          <w:sz w:val="32"/>
          <w:szCs w:val="32"/>
        </w:rPr>
        <w:t>综合评价结论（附评分表）</w:t>
      </w:r>
    </w:p>
    <w:p w14:paraId="253520A7">
      <w:pPr>
        <w:keepNext w:val="0"/>
        <w:keepLines w:val="0"/>
        <w:pageBreakBefore w:val="0"/>
        <w:suppressAutoHyphens/>
        <w:kinsoku/>
        <w:wordWrap/>
        <w:topLinePunct w:val="0"/>
        <w:autoSpaceDE/>
        <w:autoSpaceDN/>
        <w:bidi w:val="0"/>
        <w:adjustRightInd w:val="0"/>
        <w:spacing w:line="560" w:lineRule="exact"/>
        <w:ind w:firstLine="640" w:firstLineChars="200"/>
        <w:jc w:val="left"/>
        <w:textAlignment w:val="auto"/>
        <w:rPr>
          <w:rFonts w:hint="default" w:ascii="仿宋_GB2312" w:hAnsi="仿宋_GB2312" w:eastAsia="仿宋_GB2312" w:cs="仿宋_GB2312"/>
          <w:kern w:val="0"/>
          <w:sz w:val="32"/>
          <w:szCs w:val="32"/>
          <w:lang w:val="en-US"/>
        </w:rPr>
      </w:pPr>
      <w:r>
        <w:rPr>
          <w:rFonts w:hint="eastAsia" w:ascii="仿宋_GB2312" w:hAnsi="Times" w:eastAsia="仿宋_GB2312" w:cs="Times New Roman"/>
          <w:kern w:val="2"/>
          <w:sz w:val="32"/>
          <w:szCs w:val="32"/>
          <w:lang w:val="zh-CN"/>
        </w:rPr>
        <w:t>项目实施</w:t>
      </w:r>
      <w:r>
        <w:rPr>
          <w:rFonts w:hint="default" w:ascii="仿宋_GB2312" w:hAnsi="仿宋_GB2312" w:eastAsia="仿宋_GB2312" w:cs="仿宋_GB2312"/>
          <w:kern w:val="0"/>
          <w:sz w:val="32"/>
          <w:szCs w:val="32"/>
        </w:rPr>
        <w:t>符合中省市区政策部署，有</w:t>
      </w:r>
      <w:r>
        <w:rPr>
          <w:rFonts w:hint="default" w:ascii="仿宋_GB2312" w:hAnsi="仿宋_GB2312" w:eastAsia="仿宋_GB2312" w:cs="仿宋_GB2312"/>
          <w:kern w:val="0"/>
          <w:sz w:val="32"/>
          <w:szCs w:val="32"/>
          <w:lang w:eastAsia="zh-CN"/>
        </w:rPr>
        <w:t>相关法律法规</w:t>
      </w:r>
      <w:r>
        <w:rPr>
          <w:rFonts w:hint="default" w:ascii="仿宋_GB2312" w:hAnsi="仿宋_GB2312" w:eastAsia="仿宋_GB2312" w:cs="仿宋_GB2312"/>
          <w:kern w:val="0"/>
          <w:sz w:val="32"/>
          <w:szCs w:val="32"/>
        </w:rPr>
        <w:t>作支撑，是满足</w:t>
      </w:r>
      <w:r>
        <w:rPr>
          <w:rFonts w:hint="eastAsia" w:ascii="仿宋_GB2312" w:hAnsi="仿宋_GB2312" w:eastAsia="仿宋_GB2312" w:cs="仿宋_GB2312"/>
          <w:kern w:val="0"/>
          <w:sz w:val="32"/>
          <w:szCs w:val="32"/>
          <w:lang w:eastAsia="zh-CN"/>
        </w:rPr>
        <w:t>全省</w:t>
      </w:r>
      <w:r>
        <w:rPr>
          <w:rFonts w:hint="eastAsia" w:ascii="仿宋_GB2312" w:hAnsi="仿宋_GB2312" w:eastAsia="仿宋_GB2312" w:cs="仿宋_GB2312"/>
          <w:kern w:val="0"/>
          <w:sz w:val="32"/>
          <w:szCs w:val="32"/>
          <w:shd w:val="clear" w:color="auto" w:fill="FFFFFF"/>
          <w:lang w:eastAsia="zh-CN"/>
        </w:rPr>
        <w:t>应急广播</w:t>
      </w:r>
      <w:r>
        <w:rPr>
          <w:rFonts w:hint="eastAsia" w:ascii="仿宋_GB2312" w:hAnsi="仿宋_GB2312" w:eastAsia="仿宋_GB2312" w:cs="仿宋_GB2312"/>
          <w:kern w:val="0"/>
          <w:sz w:val="32"/>
          <w:szCs w:val="32"/>
          <w:shd w:val="clear" w:color="auto" w:fill="FFFFFF"/>
        </w:rPr>
        <w:t>发展</w:t>
      </w:r>
      <w:r>
        <w:rPr>
          <w:rFonts w:hint="eastAsia" w:ascii="仿宋_GB2312" w:hAnsi="仿宋_GB2312" w:eastAsia="仿宋_GB2312" w:cs="仿宋_GB2312"/>
          <w:kern w:val="0"/>
          <w:sz w:val="32"/>
          <w:szCs w:val="32"/>
          <w:shd w:val="clear" w:color="auto" w:fill="FFFFFF"/>
          <w:lang w:eastAsia="zh-CN"/>
        </w:rPr>
        <w:t>的</w:t>
      </w:r>
      <w:r>
        <w:rPr>
          <w:rFonts w:hint="default" w:ascii="仿宋_GB2312" w:hAnsi="仿宋_GB2312" w:eastAsia="仿宋_GB2312" w:cs="仿宋_GB2312"/>
          <w:kern w:val="0"/>
          <w:sz w:val="32"/>
          <w:szCs w:val="32"/>
        </w:rPr>
        <w:t>项目，</w:t>
      </w:r>
      <w:r>
        <w:rPr>
          <w:rFonts w:hint="default" w:ascii="仿宋_GB2312" w:hAnsi="仿宋_GB2312" w:eastAsia="仿宋_GB2312" w:cs="仿宋_GB2312"/>
          <w:kern w:val="0"/>
          <w:sz w:val="32"/>
          <w:szCs w:val="32"/>
          <w:lang w:eastAsia="zh-CN"/>
        </w:rPr>
        <w:t>资金</w:t>
      </w:r>
      <w:r>
        <w:rPr>
          <w:rFonts w:hint="default" w:ascii="仿宋_GB2312" w:hAnsi="仿宋_GB2312" w:eastAsia="仿宋_GB2312" w:cs="仿宋_GB2312"/>
          <w:kern w:val="0"/>
          <w:sz w:val="32"/>
          <w:szCs w:val="32"/>
        </w:rPr>
        <w:t>严格按照中央文件精神执行，保障</w:t>
      </w:r>
      <w:r>
        <w:rPr>
          <w:rFonts w:hint="default" w:ascii="仿宋_GB2312" w:hAnsi="仿宋_GB2312" w:eastAsia="仿宋_GB2312" w:cs="仿宋_GB2312"/>
          <w:kern w:val="0"/>
          <w:sz w:val="32"/>
          <w:szCs w:val="32"/>
          <w:lang w:eastAsia="zh-CN"/>
        </w:rPr>
        <w:t>项目</w:t>
      </w:r>
      <w:r>
        <w:rPr>
          <w:rFonts w:hint="default" w:ascii="仿宋_GB2312" w:hAnsi="仿宋_GB2312" w:eastAsia="仿宋_GB2312" w:cs="仿宋_GB2312"/>
          <w:kern w:val="0"/>
          <w:sz w:val="32"/>
          <w:szCs w:val="32"/>
        </w:rPr>
        <w:t>内容全部实现</w:t>
      </w:r>
      <w:r>
        <w:rPr>
          <w:rFonts w:hint="eastAsia" w:ascii="仿宋_GB2312" w:hAnsi="仿宋_GB2312" w:eastAsia="仿宋_GB2312" w:cs="仿宋_GB2312"/>
          <w:kern w:val="0"/>
          <w:sz w:val="32"/>
          <w:szCs w:val="32"/>
          <w:lang w:eastAsia="zh-CN"/>
        </w:rPr>
        <w:t>。</w:t>
      </w:r>
      <w:r>
        <w:rPr>
          <w:rFonts w:hint="default" w:ascii="仿宋_GB2312" w:hAnsi="仿宋_GB2312" w:eastAsia="仿宋_GB2312" w:cs="仿宋_GB2312"/>
          <w:b w:val="0"/>
          <w:bCs w:val="0"/>
          <w:kern w:val="2"/>
          <w:sz w:val="32"/>
          <w:szCs w:val="32"/>
          <w:lang w:val="en-US" w:eastAsia="zh-CN"/>
        </w:rPr>
        <w:t>项目建设完成后</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数量、质量、成本、社会效益、可持续影响、满意度等指标完成均达标。</w:t>
      </w:r>
      <w:r>
        <w:rPr>
          <w:rFonts w:hint="default" w:ascii="仿宋_GB2312" w:hAnsi="仿宋_GB2312" w:eastAsia="仿宋_GB2312" w:cs="仿宋_GB2312"/>
          <w:kern w:val="0"/>
          <w:sz w:val="32"/>
          <w:szCs w:val="32"/>
          <w:lang w:val="en-US" w:eastAsia="zh-CN"/>
        </w:rPr>
        <w:t>该项目综合</w:t>
      </w:r>
      <w:r>
        <w:rPr>
          <w:rFonts w:hint="default" w:ascii="仿宋_GB2312" w:hAnsi="仿宋_GB2312" w:eastAsia="仿宋_GB2312" w:cs="仿宋_GB2312"/>
          <w:kern w:val="0"/>
          <w:sz w:val="32"/>
          <w:szCs w:val="32"/>
        </w:rPr>
        <w:t>评估等级为优秀。</w:t>
      </w:r>
    </w:p>
    <w:p w14:paraId="3257E0B4">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lang w:eastAsia="zh-CN"/>
        </w:rPr>
      </w:pPr>
      <w:r>
        <w:rPr>
          <w:rFonts w:hint="default" w:ascii="Times New Roman" w:hAnsi="Times New Roman" w:eastAsia="黑体" w:cs="Times New Roman"/>
          <w:kern w:val="0"/>
          <w:sz w:val="32"/>
          <w:szCs w:val="32"/>
          <w:lang w:eastAsia="zh-CN"/>
        </w:rPr>
        <w:t>四、绩效评价分析</w:t>
      </w:r>
    </w:p>
    <w:p w14:paraId="3427CE83">
      <w:pPr>
        <w:keepNext w:val="0"/>
        <w:keepLines w:val="0"/>
        <w:pageBreakBefore w:val="0"/>
        <w:widowControl/>
        <w:suppressAutoHyphens/>
        <w:kinsoku/>
        <w:wordWrap/>
        <w:overflowPunct w:val="0"/>
        <w:topLinePunct w:val="0"/>
        <w:autoSpaceDE/>
        <w:autoSpaceDN/>
        <w:bidi w:val="0"/>
        <w:adjustRightInd/>
        <w:snapToGrid w:val="0"/>
        <w:spacing w:line="520" w:lineRule="exact"/>
        <w:ind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（一）项目决策情况</w:t>
      </w:r>
    </w:p>
    <w:p w14:paraId="057A62BB">
      <w:pPr>
        <w:keepNext w:val="0"/>
        <w:keepLines w:val="0"/>
        <w:pageBreakBefore w:val="0"/>
        <w:widowControl w:val="0"/>
        <w:suppressAutoHyphens/>
        <w:kinsoku/>
        <w:wordWrap/>
        <w:overflowPunct/>
        <w:topLinePunct w:val="0"/>
        <w:autoSpaceDE/>
        <w:autoSpaceDN/>
        <w:bidi w:val="0"/>
        <w:adjustRightInd/>
        <w:snapToGrid/>
        <w:spacing w:line="560" w:lineRule="exact"/>
        <w:ind w:firstLine="704" w:firstLineChars="220"/>
        <w:jc w:val="left"/>
        <w:textAlignment w:val="auto"/>
        <w:rPr>
          <w:rFonts w:hint="eastAsia" w:ascii="仿宋_GB2312" w:hAnsi="华文仿宋" w:eastAsia="仿宋_GB2312" w:cs="Times New Roman"/>
          <w:color w:val="000000"/>
          <w:kern w:val="2"/>
          <w:sz w:val="32"/>
          <w:szCs w:val="32"/>
          <w:lang w:val="en-US" w:eastAsia="zh-CN" w:bidi="ar-SA"/>
        </w:rPr>
      </w:pPr>
      <w:r>
        <w:rPr>
          <w:rFonts w:hint="eastAsia" w:ascii="仿宋_GB2312" w:hAnsi="仿宋_GB2312" w:eastAsia="仿宋_GB2312" w:cs="仿宋_GB2312"/>
          <w:kern w:val="0"/>
          <w:sz w:val="32"/>
          <w:szCs w:val="32"/>
          <w:lang w:val="en-US" w:eastAsia="zh-CN"/>
        </w:rPr>
        <w:t>省广电局对我局编制的《船山区应急广播系统建设方案》进行了批复，</w:t>
      </w:r>
      <w:r>
        <w:rPr>
          <w:rFonts w:hint="eastAsia" w:ascii="仿宋_GB2312" w:hAnsi="华文仿宋" w:eastAsia="仿宋_GB2312" w:cs="Times New Roman"/>
          <w:color w:val="000000"/>
          <w:kern w:val="2"/>
          <w:sz w:val="32"/>
          <w:szCs w:val="32"/>
          <w:lang w:val="en-US" w:eastAsia="zh-CN" w:bidi="ar-SA"/>
        </w:rPr>
        <w:t>我局按照实施方案明确工作任务，理清工作职责，统筹安排资金，拟制了完善的管理办法，按程序实施。</w:t>
      </w:r>
    </w:p>
    <w:p w14:paraId="1B1D532E">
      <w:pPr>
        <w:keepNext w:val="0"/>
        <w:keepLines w:val="0"/>
        <w:pageBreakBefore w:val="0"/>
        <w:widowControl w:val="0"/>
        <w:suppressAutoHyphens/>
        <w:kinsoku/>
        <w:wordWrap/>
        <w:overflowPunct/>
        <w:topLinePunct w:val="0"/>
        <w:autoSpaceDE/>
        <w:autoSpaceDN/>
        <w:bidi w:val="0"/>
        <w:adjustRightInd/>
        <w:snapToGrid/>
        <w:spacing w:line="560" w:lineRule="exact"/>
        <w:ind w:firstLine="704" w:firstLineChars="22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0"/>
          <w:sz w:val="32"/>
          <w:szCs w:val="20"/>
          <w:lang w:val="en-US" w:eastAsia="zh-CN"/>
        </w:rPr>
        <w:t>1.</w:t>
      </w:r>
      <w:r>
        <w:rPr>
          <w:rFonts w:hint="eastAsia" w:ascii="仿宋_GB2312" w:hAnsi="仿宋_GB2312" w:eastAsia="仿宋_GB2312" w:cs="仿宋_GB2312"/>
          <w:b w:val="0"/>
          <w:bCs w:val="0"/>
          <w:kern w:val="0"/>
          <w:sz w:val="32"/>
          <w:szCs w:val="20"/>
        </w:rPr>
        <w:t>目标决策必要性</w:t>
      </w:r>
      <w:r>
        <w:rPr>
          <w:rFonts w:hint="eastAsia" w:ascii="仿宋_GB2312" w:hAnsi="仿宋_GB2312" w:eastAsia="仿宋_GB2312" w:cs="仿宋_GB2312"/>
          <w:b w:val="0"/>
          <w:bCs w:val="0"/>
          <w:kern w:val="0"/>
          <w:sz w:val="32"/>
          <w:szCs w:val="20"/>
          <w:lang w:eastAsia="zh-CN"/>
        </w:rPr>
        <w:t>：</w:t>
      </w:r>
      <w:r>
        <w:rPr>
          <w:rFonts w:hint="eastAsia" w:ascii="仿宋_GB2312" w:hAnsi="仿宋_GB2312" w:eastAsia="仿宋_GB2312" w:cs="仿宋_GB2312"/>
          <w:kern w:val="0"/>
          <w:sz w:val="32"/>
          <w:szCs w:val="32"/>
          <w:lang w:val="en-US" w:eastAsia="zh-CN"/>
        </w:rPr>
        <w:t>应急广播系统是农村基层疫情防控、防灾减灾</w:t>
      </w:r>
      <w:r>
        <w:rPr>
          <w:rFonts w:hint="eastAsia" w:ascii="仿宋_GB2312" w:hAnsi="仿宋_GB2312" w:eastAsia="仿宋_GB2312" w:cs="仿宋_GB2312"/>
          <w:kern w:val="0"/>
          <w:sz w:val="32"/>
          <w:szCs w:val="32"/>
          <w:lang w:val="en-US" w:eastAsia="zh-TW"/>
        </w:rPr>
        <w:t>、</w:t>
      </w:r>
      <w:r>
        <w:rPr>
          <w:rFonts w:hint="eastAsia" w:ascii="仿宋_GB2312" w:hAnsi="仿宋_GB2312" w:eastAsia="仿宋_GB2312" w:cs="仿宋_GB2312"/>
          <w:kern w:val="0"/>
          <w:sz w:val="32"/>
          <w:szCs w:val="32"/>
          <w:lang w:val="en-US" w:eastAsia="zh-CN"/>
        </w:rPr>
        <w:t>政策传递等</w:t>
      </w:r>
      <w:r>
        <w:rPr>
          <w:rFonts w:hint="eastAsia" w:ascii="仿宋_GB2312" w:hAnsi="仿宋_GB2312" w:eastAsia="仿宋_GB2312" w:cs="仿宋_GB2312"/>
          <w:kern w:val="0"/>
          <w:sz w:val="32"/>
          <w:szCs w:val="32"/>
          <w:lang w:val="en-US" w:eastAsia="zh-TW"/>
        </w:rPr>
        <w:t>最直接和最有效的宣传方式</w:t>
      </w:r>
      <w:r>
        <w:rPr>
          <w:rFonts w:hint="eastAsia" w:ascii="仿宋_GB2312" w:hAnsi="仿宋_GB2312" w:eastAsia="仿宋_GB2312" w:cs="仿宋_GB2312"/>
          <w:kern w:val="0"/>
          <w:sz w:val="32"/>
          <w:szCs w:val="32"/>
          <w:lang w:val="en-US" w:eastAsia="zh-CN"/>
        </w:rPr>
        <w:t>。项目实施后可以解决</w:t>
      </w:r>
      <w:r>
        <w:rPr>
          <w:rFonts w:hint="eastAsia" w:ascii="仿宋_GB2312" w:hAnsi="仿宋_GB2312" w:eastAsia="仿宋_GB2312" w:cs="仿宋_GB2312"/>
          <w:kern w:val="0"/>
          <w:sz w:val="32"/>
          <w:szCs w:val="32"/>
          <w:lang w:val="en-US" w:eastAsia="zh-TW"/>
        </w:rPr>
        <w:t>镇、村“两项改革”后</w:t>
      </w:r>
      <w:r>
        <w:rPr>
          <w:rFonts w:hint="eastAsia" w:ascii="仿宋_GB2312" w:hAnsi="仿宋_GB2312" w:eastAsia="仿宋_GB2312" w:cs="仿宋_GB2312"/>
          <w:kern w:val="0"/>
          <w:sz w:val="32"/>
          <w:szCs w:val="32"/>
          <w:lang w:val="en-US" w:eastAsia="zh-CN"/>
        </w:rPr>
        <w:t>广播村村响系统均不能并网运行。因此加快全区应急广播系统建设，解决好现有广播村村响存在的具体问题，</w:t>
      </w:r>
      <w:r>
        <w:rPr>
          <w:rFonts w:hint="eastAsia" w:ascii="仿宋_GB2312" w:hAnsi="仿宋_GB2312" w:eastAsia="仿宋_GB2312" w:cs="仿宋_GB2312"/>
          <w:kern w:val="0"/>
          <w:sz w:val="32"/>
          <w:szCs w:val="32"/>
          <w:lang w:eastAsia="zh-CN"/>
        </w:rPr>
        <w:t>提升船山区广播电视公共服务能力十分必要。</w:t>
      </w:r>
    </w:p>
    <w:p w14:paraId="0FAECA7D">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2.目标决策可行性：</w:t>
      </w:r>
      <w:r>
        <w:rPr>
          <w:rFonts w:hint="eastAsia" w:ascii="仿宋_GB2312" w:hAnsi="仿宋_GB2312" w:eastAsia="仿宋_GB2312" w:cs="仿宋_GB2312"/>
          <w:b w:val="0"/>
          <w:bCs w:val="0"/>
          <w:kern w:val="2"/>
          <w:sz w:val="32"/>
          <w:szCs w:val="32"/>
          <w:lang w:val="en-US" w:eastAsia="zh-CN" w:bidi="ar-SA"/>
        </w:rPr>
        <w:t>项目建设工作有方案、有计划，组织机构健全，职责分工明确，工作程序明确清楚，能够保障船山区应急广播系统建设项目工作正常开展。</w:t>
      </w:r>
    </w:p>
    <w:p w14:paraId="669E9466">
      <w:pPr>
        <w:keepNext w:val="0"/>
        <w:keepLines w:val="0"/>
        <w:pageBreakBefore w:val="0"/>
        <w:widowControl w:val="0"/>
        <w:suppressAutoHyphens/>
        <w:kinsoku/>
        <w:wordWrap/>
        <w:overflowPunct/>
        <w:topLinePunct w:val="0"/>
        <w:autoSpaceDE/>
        <w:autoSpaceDN/>
        <w:bidi w:val="0"/>
        <w:adjustRightInd w:val="0"/>
        <w:spacing w:before="0" w:after="0" w:line="56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0"/>
          <w:sz w:val="32"/>
          <w:szCs w:val="20"/>
          <w:lang w:val="en-US" w:eastAsia="zh-CN"/>
        </w:rPr>
        <w:t>3.</w:t>
      </w:r>
      <w:r>
        <w:rPr>
          <w:rFonts w:hint="eastAsia" w:ascii="仿宋_GB2312" w:hAnsi="仿宋_GB2312" w:eastAsia="仿宋_GB2312" w:cs="仿宋_GB2312"/>
          <w:b w:val="0"/>
          <w:bCs w:val="0"/>
          <w:kern w:val="0"/>
          <w:sz w:val="32"/>
          <w:szCs w:val="20"/>
        </w:rPr>
        <w:t>绩效目标明确性：</w:t>
      </w:r>
      <w:r>
        <w:rPr>
          <w:rFonts w:hint="default" w:ascii="仿宋_GB2312" w:hAnsi="仿宋_GB2312" w:eastAsia="仿宋_GB2312" w:cs="仿宋_GB2312"/>
          <w:b w:val="0"/>
          <w:bCs w:val="0"/>
          <w:kern w:val="2"/>
          <w:sz w:val="32"/>
          <w:szCs w:val="32"/>
          <w:lang w:val="en-US" w:eastAsia="zh-CN"/>
        </w:rPr>
        <w:t>建设</w:t>
      </w:r>
      <w:r>
        <w:rPr>
          <w:rFonts w:hint="eastAsia" w:ascii="仿宋_GB2312" w:hAnsi="仿宋_GB2312" w:eastAsia="仿宋_GB2312" w:cs="仿宋_GB2312"/>
          <w:b w:val="0"/>
          <w:bCs w:val="0"/>
          <w:kern w:val="2"/>
          <w:sz w:val="32"/>
          <w:szCs w:val="32"/>
          <w:lang w:val="en-US" w:eastAsia="zh-CN"/>
        </w:rPr>
        <w:t>完成船山区</w:t>
      </w:r>
      <w:r>
        <w:rPr>
          <w:rFonts w:hint="default" w:ascii="仿宋_GB2312" w:hAnsi="仿宋_GB2312" w:eastAsia="仿宋_GB2312" w:cs="仿宋_GB2312"/>
          <w:b w:val="0"/>
          <w:bCs w:val="0"/>
          <w:kern w:val="2"/>
          <w:sz w:val="32"/>
          <w:szCs w:val="32"/>
          <w:lang w:val="en-US" w:eastAsia="zh-CN"/>
        </w:rPr>
        <w:t>应急广播平台</w:t>
      </w:r>
      <w:r>
        <w:rPr>
          <w:rFonts w:hint="eastAsia" w:ascii="仿宋_GB2312" w:hAnsi="仿宋_GB2312" w:eastAsia="仿宋_GB2312" w:cs="仿宋_GB2312"/>
          <w:b w:val="0"/>
          <w:bCs w:val="0"/>
          <w:kern w:val="2"/>
          <w:sz w:val="32"/>
          <w:szCs w:val="32"/>
          <w:lang w:val="en-US" w:eastAsia="zh-CN"/>
        </w:rPr>
        <w:t>；</w:t>
      </w:r>
      <w:r>
        <w:rPr>
          <w:rFonts w:hint="default" w:ascii="仿宋_GB2312" w:hAnsi="仿宋_GB2312" w:eastAsia="仿宋_GB2312" w:cs="仿宋_GB2312"/>
          <w:b w:val="0"/>
          <w:bCs w:val="0"/>
          <w:kern w:val="2"/>
          <w:sz w:val="32"/>
          <w:szCs w:val="32"/>
          <w:lang w:val="en-US" w:eastAsia="zh-CN"/>
        </w:rPr>
        <w:t>建设</w:t>
      </w:r>
      <w:r>
        <w:rPr>
          <w:rFonts w:hint="eastAsia" w:ascii="仿宋_GB2312" w:hAnsi="仿宋_GB2312" w:eastAsia="仿宋_GB2312" w:cs="仿宋_GB2312"/>
          <w:b w:val="0"/>
          <w:bCs w:val="0"/>
          <w:kern w:val="2"/>
          <w:sz w:val="32"/>
          <w:szCs w:val="32"/>
          <w:lang w:val="en-US" w:eastAsia="zh-CN"/>
        </w:rPr>
        <w:t>完成</w:t>
      </w:r>
      <w:r>
        <w:rPr>
          <w:rFonts w:hint="default" w:ascii="仿宋_GB2312" w:hAnsi="仿宋_GB2312" w:eastAsia="仿宋_GB2312" w:cs="仿宋_GB2312"/>
          <w:b w:val="0"/>
          <w:bCs w:val="0"/>
          <w:kern w:val="2"/>
          <w:sz w:val="32"/>
          <w:szCs w:val="32"/>
          <w:lang w:val="en-US" w:eastAsia="zh-CN"/>
        </w:rPr>
        <w:t xml:space="preserve"> 1 个</w:t>
      </w:r>
      <w:r>
        <w:rPr>
          <w:rFonts w:hint="eastAsia" w:ascii="仿宋_GB2312" w:hAnsi="仿宋_GB2312" w:eastAsia="仿宋_GB2312" w:cs="仿宋_GB2312"/>
          <w:b w:val="0"/>
          <w:bCs w:val="0"/>
          <w:kern w:val="2"/>
          <w:sz w:val="32"/>
          <w:szCs w:val="32"/>
          <w:lang w:val="en-US" w:eastAsia="zh-CN"/>
        </w:rPr>
        <w:t>区级</w:t>
      </w:r>
      <w:r>
        <w:rPr>
          <w:rFonts w:hint="default" w:ascii="仿宋_GB2312" w:hAnsi="仿宋_GB2312" w:eastAsia="仿宋_GB2312" w:cs="仿宋_GB2312"/>
          <w:b w:val="0"/>
          <w:bCs w:val="0"/>
          <w:kern w:val="2"/>
          <w:sz w:val="32"/>
          <w:szCs w:val="32"/>
          <w:lang w:val="en-US" w:eastAsia="zh-CN"/>
        </w:rPr>
        <w:t>前端、</w:t>
      </w:r>
      <w:r>
        <w:rPr>
          <w:rFonts w:hint="eastAsia" w:ascii="仿宋_GB2312" w:hAnsi="仿宋_GB2312" w:eastAsia="仿宋_GB2312" w:cs="仿宋_GB2312"/>
          <w:b w:val="0"/>
          <w:bCs w:val="0"/>
          <w:kern w:val="2"/>
          <w:sz w:val="32"/>
          <w:szCs w:val="32"/>
          <w:lang w:val="en-US" w:eastAsia="zh-CN"/>
        </w:rPr>
        <w:t>7</w:t>
      </w:r>
      <w:r>
        <w:rPr>
          <w:rFonts w:hint="default" w:ascii="仿宋_GB2312" w:hAnsi="仿宋_GB2312" w:eastAsia="仿宋_GB2312" w:cs="仿宋_GB2312"/>
          <w:b w:val="0"/>
          <w:bCs w:val="0"/>
          <w:kern w:val="2"/>
          <w:sz w:val="32"/>
          <w:szCs w:val="32"/>
          <w:lang w:val="en-US" w:eastAsia="zh-CN"/>
        </w:rPr>
        <w:t>个乡镇</w:t>
      </w:r>
      <w:r>
        <w:rPr>
          <w:rFonts w:hint="eastAsia" w:ascii="仿宋_GB2312" w:hAnsi="仿宋_GB2312" w:eastAsia="仿宋_GB2312" w:cs="仿宋_GB2312"/>
          <w:b w:val="0"/>
          <w:bCs w:val="0"/>
          <w:kern w:val="2"/>
          <w:sz w:val="32"/>
          <w:szCs w:val="32"/>
          <w:lang w:val="en-US" w:eastAsia="zh-CN"/>
        </w:rPr>
        <w:t>级</w:t>
      </w:r>
      <w:r>
        <w:rPr>
          <w:rFonts w:hint="default" w:ascii="仿宋_GB2312" w:hAnsi="仿宋_GB2312" w:eastAsia="仿宋_GB2312" w:cs="仿宋_GB2312"/>
          <w:b w:val="0"/>
          <w:bCs w:val="0"/>
          <w:kern w:val="2"/>
          <w:sz w:val="32"/>
          <w:szCs w:val="32"/>
          <w:lang w:val="en-US" w:eastAsia="zh-CN"/>
        </w:rPr>
        <w:t>前端、</w:t>
      </w:r>
      <w:r>
        <w:rPr>
          <w:rFonts w:hint="eastAsia" w:ascii="仿宋_GB2312" w:hAnsi="仿宋_GB2312" w:eastAsia="仿宋_GB2312" w:cs="仿宋_GB2312"/>
          <w:b w:val="0"/>
          <w:bCs w:val="0"/>
          <w:kern w:val="2"/>
          <w:sz w:val="32"/>
          <w:szCs w:val="32"/>
          <w:lang w:val="en-US" w:eastAsia="zh-CN"/>
        </w:rPr>
        <w:t>81</w:t>
      </w:r>
      <w:r>
        <w:rPr>
          <w:rFonts w:hint="default" w:ascii="仿宋_GB2312" w:hAnsi="仿宋_GB2312" w:eastAsia="仿宋_GB2312" w:cs="仿宋_GB2312"/>
          <w:b w:val="0"/>
          <w:bCs w:val="0"/>
          <w:kern w:val="2"/>
          <w:sz w:val="32"/>
          <w:szCs w:val="32"/>
          <w:lang w:val="en-US" w:eastAsia="zh-CN"/>
        </w:rPr>
        <w:t>个村</w:t>
      </w:r>
      <w:r>
        <w:rPr>
          <w:rFonts w:hint="eastAsia" w:ascii="仿宋_GB2312" w:hAnsi="仿宋_GB2312" w:eastAsia="仿宋_GB2312" w:cs="仿宋_GB2312"/>
          <w:b w:val="0"/>
          <w:bCs w:val="0"/>
          <w:kern w:val="2"/>
          <w:sz w:val="32"/>
          <w:szCs w:val="32"/>
          <w:lang w:val="en-US" w:eastAsia="zh-CN"/>
        </w:rPr>
        <w:t>级</w:t>
      </w:r>
      <w:r>
        <w:rPr>
          <w:rFonts w:hint="default" w:ascii="仿宋_GB2312" w:hAnsi="仿宋_GB2312" w:eastAsia="仿宋_GB2312" w:cs="仿宋_GB2312"/>
          <w:b w:val="0"/>
          <w:bCs w:val="0"/>
          <w:kern w:val="2"/>
          <w:sz w:val="32"/>
          <w:szCs w:val="32"/>
          <w:lang w:val="en-US" w:eastAsia="zh-CN"/>
        </w:rPr>
        <w:t>平台</w:t>
      </w:r>
      <w:r>
        <w:rPr>
          <w:rFonts w:hint="eastAsia" w:ascii="仿宋_GB2312" w:hAnsi="仿宋_GB2312" w:eastAsia="仿宋_GB2312" w:cs="仿宋_GB2312"/>
          <w:b w:val="0"/>
          <w:bCs w:val="0"/>
          <w:kern w:val="2"/>
          <w:sz w:val="32"/>
          <w:szCs w:val="32"/>
          <w:lang w:val="en-US" w:eastAsia="zh-CN"/>
        </w:rPr>
        <w:t>；建设完成300台</w:t>
      </w:r>
      <w:r>
        <w:rPr>
          <w:rFonts w:hint="default" w:ascii="仿宋_GB2312" w:hAnsi="仿宋_GB2312" w:eastAsia="仿宋_GB2312" w:cs="仿宋_GB2312"/>
          <w:b w:val="0"/>
          <w:bCs w:val="0"/>
          <w:kern w:val="2"/>
          <w:sz w:val="32"/>
          <w:szCs w:val="32"/>
          <w:lang w:val="en-US" w:eastAsia="zh-CN"/>
        </w:rPr>
        <w:t>套应急广播村村响终端</w:t>
      </w:r>
      <w:r>
        <w:rPr>
          <w:rFonts w:hint="eastAsia" w:ascii="仿宋_GB2312" w:hAnsi="仿宋_GB2312" w:eastAsia="仿宋_GB2312" w:cs="仿宋_GB2312"/>
          <w:b w:val="0"/>
          <w:bCs w:val="0"/>
          <w:kern w:val="2"/>
          <w:sz w:val="32"/>
          <w:szCs w:val="32"/>
          <w:lang w:val="en-US" w:eastAsia="zh-CN"/>
        </w:rPr>
        <w:t>；有效整合已建村应急广播村村响系统，实现互联互通。</w:t>
      </w:r>
    </w:p>
    <w:p w14:paraId="54B4382C">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default" w:ascii="Times" w:hAnsi="Times" w:eastAsia="方正仿宋简体" w:cs="Times New Roman"/>
          <w:sz w:val="32"/>
          <w:lang w:val="en-US" w:eastAsia="zh-CN" w:bidi="ar-SA"/>
        </w:rPr>
      </w:pPr>
      <w:r>
        <w:rPr>
          <w:rFonts w:hint="eastAsia" w:ascii="仿宋_GB2312" w:hAnsi="仿宋_GB2312" w:eastAsia="仿宋_GB2312" w:cs="仿宋_GB2312"/>
          <w:kern w:val="36"/>
          <w:sz w:val="32"/>
          <w:szCs w:val="32"/>
          <w:lang w:val="en-US" w:eastAsia="zh-CN" w:bidi="ar-SA"/>
        </w:rPr>
        <w:t>4.绩效目标合理性：</w:t>
      </w:r>
      <w:r>
        <w:rPr>
          <w:rFonts w:hint="eastAsia" w:ascii="仿宋_GB2312" w:hAnsi="仿宋_GB2312" w:eastAsia="仿宋_GB2312" w:cs="仿宋_GB2312"/>
          <w:sz w:val="32"/>
          <w:szCs w:val="32"/>
          <w:lang w:val="en-US" w:eastAsia="zh-CN" w:bidi="ar-SA"/>
        </w:rPr>
        <w:t>该项目从数量、质量、时效、成本、社会效益、可持续影响、满意度等多个维度对项目实现目标进行了量化，符合项目建设实际，</w:t>
      </w:r>
      <w:r>
        <w:rPr>
          <w:rFonts w:hint="eastAsia" w:ascii="仿宋_GB2312" w:hAnsi="仿宋_GB2312" w:eastAsia="仿宋_GB2312" w:cs="仿宋_GB2312"/>
          <w:b w:val="0"/>
          <w:bCs w:val="0"/>
          <w:kern w:val="2"/>
          <w:sz w:val="32"/>
          <w:szCs w:val="32"/>
          <w:lang w:val="en-US" w:eastAsia="zh-CN" w:bidi="ar-SA"/>
        </w:rPr>
        <w:t>各项绩效目标已量化可考核，具有合理性。</w:t>
      </w:r>
    </w:p>
    <w:p w14:paraId="68FA4F70">
      <w:pPr>
        <w:keepNext w:val="0"/>
        <w:keepLines w:val="0"/>
        <w:pageBreakBefore w:val="0"/>
        <w:widowControl/>
        <w:numPr>
          <w:ilvl w:val="0"/>
          <w:numId w:val="13"/>
        </w:numPr>
        <w:suppressAutoHyphens/>
        <w:kinsoku/>
        <w:wordWrap/>
        <w:overflowPunct w:val="0"/>
        <w:topLinePunct w:val="0"/>
        <w:autoSpaceDE/>
        <w:autoSpaceDN/>
        <w:bidi w:val="0"/>
        <w:adjustRightInd/>
        <w:snapToGrid w:val="0"/>
        <w:spacing w:line="520" w:lineRule="exact"/>
        <w:ind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项目管理情况</w:t>
      </w:r>
    </w:p>
    <w:p w14:paraId="5B8D7759">
      <w:pPr>
        <w:keepNext w:val="0"/>
        <w:keepLines w:val="0"/>
        <w:pageBreakBefore w:val="0"/>
        <w:widowControl/>
        <w:numPr>
          <w:ilvl w:val="0"/>
          <w:numId w:val="0"/>
        </w:numPr>
        <w:shd w:val="clear" w:color="auto" w:fill="FFFFFF"/>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2"/>
          <w:sz w:val="32"/>
          <w:szCs w:val="32"/>
          <w:lang w:val="en-US" w:eastAsia="zh-CN" w:bidi="ar-SA"/>
        </w:rPr>
        <w:t>区文化广电旅游局</w:t>
      </w:r>
      <w:r>
        <w:rPr>
          <w:rFonts w:hint="eastAsia" w:ascii="仿宋_GB2312" w:hAnsi="仿宋_GB2312" w:eastAsia="仿宋_GB2312" w:cs="仿宋_GB2312"/>
          <w:color w:val="000000"/>
          <w:kern w:val="0"/>
          <w:sz w:val="32"/>
          <w:szCs w:val="32"/>
          <w:lang w:val="zh-CN"/>
        </w:rPr>
        <w:t>负责整个项目的统筹安排、</w:t>
      </w:r>
      <w:r>
        <w:rPr>
          <w:rFonts w:hint="eastAsia" w:ascii="仿宋_GB2312" w:hAnsi="仿宋_GB2312" w:eastAsia="仿宋_GB2312" w:cs="仿宋_GB2312"/>
          <w:kern w:val="0"/>
          <w:sz w:val="32"/>
          <w:szCs w:val="32"/>
          <w:lang w:val="en-US" w:eastAsia="zh-CN"/>
        </w:rPr>
        <w:t>监督管理、规划验收</w:t>
      </w:r>
      <w:r>
        <w:rPr>
          <w:rFonts w:hint="eastAsia" w:ascii="仿宋_GB2312" w:hAnsi="仿宋_GB2312" w:eastAsia="仿宋_GB2312" w:cs="仿宋_GB2312"/>
          <w:color w:val="000000"/>
          <w:kern w:val="0"/>
          <w:sz w:val="32"/>
          <w:szCs w:val="32"/>
          <w:lang w:val="zh-CN"/>
        </w:rPr>
        <w:t>。</w:t>
      </w:r>
      <w:r>
        <w:rPr>
          <w:rFonts w:hint="eastAsia" w:ascii="仿宋_GB2312" w:hAnsi="仿宋_GB2312" w:eastAsia="仿宋_GB2312" w:cs="仿宋_GB2312"/>
          <w:color w:val="000000"/>
          <w:kern w:val="0"/>
          <w:sz w:val="32"/>
          <w:szCs w:val="32"/>
        </w:rPr>
        <w:t>为保证项目的顺利实施，</w:t>
      </w:r>
      <w:r>
        <w:rPr>
          <w:rFonts w:hint="eastAsia" w:ascii="仿宋_GB2312" w:hAnsi="仿宋_GB2312" w:eastAsia="仿宋_GB2312" w:cs="仿宋_GB2312"/>
          <w:color w:val="000000"/>
          <w:kern w:val="2"/>
          <w:sz w:val="32"/>
          <w:szCs w:val="32"/>
          <w:lang w:val="en-US" w:eastAsia="zh-CN" w:bidi="ar-SA"/>
        </w:rPr>
        <w:t>区文化广电旅游局</w:t>
      </w:r>
      <w:r>
        <w:rPr>
          <w:rStyle w:val="23"/>
          <w:rFonts w:hint="eastAsia" w:ascii="仿宋_GB2312" w:hAnsi="仿宋_GB2312" w:eastAsia="仿宋_GB2312" w:cs="仿宋_GB2312"/>
          <w:kern w:val="2"/>
          <w:sz w:val="32"/>
          <w:szCs w:val="32"/>
          <w:lang w:val="en-US" w:eastAsia="zh-CN" w:bidi="ar-SA"/>
        </w:rPr>
        <w:t>严格按照《四川省县级应急广播系统工程建设实施方案》（川广发〔2022〕12号）文件推进各项工作，于2023年4月18日发出开工令，5月初设备陆续到货。后续依次通过设备安装等保测评、省广电局联调联试、试运行、初步验收、三方测评、最终验收</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项目严格执行事业单位财务管理制度</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项目资金按规定实行了项目单独核算，账务处理及时</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会计核算规范，支出符合规定，资金按计划、方案及完成结果进行支付。</w:t>
      </w:r>
    </w:p>
    <w:p w14:paraId="5E44684E">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1.资金分配及资金来源：该项目</w:t>
      </w:r>
      <w:r>
        <w:rPr>
          <w:rFonts w:hint="eastAsia" w:ascii="仿宋_GB2312" w:hAnsi="仿宋_GB2312" w:eastAsia="仿宋_GB2312" w:cs="仿宋_GB2312"/>
          <w:b w:val="0"/>
          <w:bCs w:val="0"/>
          <w:kern w:val="2"/>
          <w:sz w:val="32"/>
          <w:szCs w:val="32"/>
          <w:lang w:val="en-US" w:eastAsia="zh-CN" w:bidi="ar-SA"/>
        </w:rPr>
        <w:t>计划使用省级资金300万元，区级配套资金</w:t>
      </w:r>
      <w:r>
        <w:rPr>
          <w:rFonts w:hint="eastAsia" w:ascii="仿宋_GB2312" w:hAnsi="仿宋_GB2312" w:eastAsia="仿宋_GB2312" w:cs="仿宋_GB2312"/>
          <w:b/>
          <w:bCs/>
          <w:color w:val="000000"/>
          <w:sz w:val="32"/>
          <w:szCs w:val="32"/>
          <w:shd w:val="clear" w:color="auto" w:fill="FFFFFF"/>
          <w:lang w:val="en-US" w:eastAsia="zh-CN" w:bidi="ar-SA"/>
        </w:rPr>
        <w:t>38.597万元</w:t>
      </w:r>
      <w:r>
        <w:rPr>
          <w:rFonts w:hint="eastAsia" w:ascii="仿宋_GB2312" w:hAnsi="仿宋_GB2312" w:eastAsia="仿宋_GB2312" w:cs="仿宋_GB2312"/>
          <w:b w:val="0"/>
          <w:bCs w:val="0"/>
          <w:kern w:val="2"/>
          <w:sz w:val="32"/>
          <w:szCs w:val="32"/>
          <w:lang w:val="en-US" w:eastAsia="zh-CN" w:bidi="ar-SA"/>
        </w:rPr>
        <w:t>。</w:t>
      </w:r>
    </w:p>
    <w:p w14:paraId="6883DEE9">
      <w:pPr>
        <w:keepNext w:val="0"/>
        <w:keepLines w:val="0"/>
        <w:pageBreakBefore w:val="0"/>
        <w:suppressAutoHyphens/>
        <w:kinsoku/>
        <w:wordWrap/>
        <w:topLinePunct w:val="0"/>
        <w:autoSpaceDE/>
        <w:autoSpaceDN/>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0"/>
          <w:sz w:val="32"/>
          <w:szCs w:val="20"/>
        </w:rPr>
      </w:pPr>
      <w:r>
        <w:rPr>
          <w:rFonts w:hint="eastAsia" w:ascii="仿宋_GB2312" w:hAnsi="仿宋_GB2312" w:eastAsia="仿宋_GB2312" w:cs="仿宋_GB2312"/>
          <w:b w:val="0"/>
          <w:bCs w:val="0"/>
          <w:kern w:val="0"/>
          <w:sz w:val="32"/>
          <w:szCs w:val="20"/>
          <w:lang w:val="en-US" w:eastAsia="zh-CN"/>
        </w:rPr>
        <w:t>2.</w:t>
      </w:r>
      <w:r>
        <w:rPr>
          <w:rFonts w:hint="eastAsia" w:ascii="仿宋_GB2312" w:hAnsi="仿宋_GB2312" w:eastAsia="仿宋_GB2312" w:cs="仿宋_GB2312"/>
          <w:b w:val="0"/>
          <w:bCs w:val="0"/>
          <w:kern w:val="0"/>
          <w:sz w:val="32"/>
          <w:szCs w:val="20"/>
        </w:rPr>
        <w:t>资金到位：</w:t>
      </w:r>
      <w:r>
        <w:rPr>
          <w:rFonts w:hint="eastAsia" w:ascii="仿宋_GB2312" w:hAnsi="仿宋_GB2312" w:eastAsia="仿宋_GB2312" w:cs="仿宋_GB2312"/>
          <w:b w:val="0"/>
          <w:bCs w:val="0"/>
          <w:kern w:val="0"/>
          <w:sz w:val="32"/>
          <w:szCs w:val="20"/>
          <w:lang w:eastAsia="zh-CN"/>
        </w:rPr>
        <w:t>该项目</w:t>
      </w:r>
      <w:r>
        <w:rPr>
          <w:rFonts w:hint="eastAsia" w:ascii="仿宋_GB2312" w:hAnsi="仿宋_GB2312" w:eastAsia="仿宋_GB2312" w:cs="仿宋_GB2312"/>
          <w:color w:val="000000"/>
          <w:kern w:val="0"/>
          <w:sz w:val="32"/>
          <w:szCs w:val="32"/>
          <w:lang w:val="en-US" w:eastAsia="zh-CN"/>
        </w:rPr>
        <w:t>到位</w:t>
      </w:r>
      <w:r>
        <w:rPr>
          <w:rFonts w:hint="eastAsia" w:ascii="仿宋_GB2312" w:hAnsi="仿宋_GB2312" w:eastAsia="仿宋_GB2312" w:cs="仿宋_GB2312"/>
          <w:b w:val="0"/>
          <w:bCs w:val="0"/>
          <w:kern w:val="2"/>
          <w:sz w:val="32"/>
          <w:szCs w:val="32"/>
          <w:lang w:val="en-US" w:eastAsia="zh-CN"/>
        </w:rPr>
        <w:t>省级资金300万元</w:t>
      </w:r>
      <w:r>
        <w:rPr>
          <w:rFonts w:hint="eastAsia" w:ascii="仿宋_GB2312" w:hAnsi="仿宋_GB2312" w:eastAsia="仿宋_GB2312" w:cs="仿宋_GB2312"/>
          <w:kern w:val="0"/>
          <w:sz w:val="32"/>
          <w:szCs w:val="32"/>
          <w:lang w:val="en-US" w:eastAsia="zh-CN"/>
        </w:rPr>
        <w:t>。</w:t>
      </w:r>
    </w:p>
    <w:p w14:paraId="624C0672">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3.资金使用：已支付省级资金300万元。</w:t>
      </w:r>
    </w:p>
    <w:p w14:paraId="3CAFA3EE">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4.财务制度：区文化广电旅游局为确保专款专用，</w:t>
      </w:r>
      <w:r>
        <w:rPr>
          <w:rFonts w:hint="eastAsia" w:ascii="仿宋_GB2312" w:hAnsi="仿宋_GB2312" w:eastAsia="仿宋_GB2312" w:cs="仿宋_GB2312"/>
          <w:b w:val="0"/>
          <w:bCs w:val="0"/>
          <w:color w:val="auto"/>
          <w:kern w:val="0"/>
          <w:sz w:val="32"/>
          <w:szCs w:val="32"/>
          <w:lang w:val="en-US" w:eastAsia="zh-CN" w:bidi="ar-SA"/>
        </w:rPr>
        <w:t>严格按照专项资金管理相关规定执行</w:t>
      </w:r>
      <w:r>
        <w:rPr>
          <w:rFonts w:hint="eastAsia" w:ascii="仿宋_GB2312" w:hAnsi="仿宋_GB2312" w:eastAsia="仿宋_GB2312" w:cs="仿宋_GB2312"/>
          <w:b w:val="0"/>
          <w:bCs w:val="0"/>
          <w:sz w:val="32"/>
          <w:lang w:val="en-US" w:eastAsia="zh-CN" w:bidi="ar-SA"/>
        </w:rPr>
        <w:t>立专账核算、专人管理的资金使用管理体系，严格报账流程，确保资金透明、合规使用。</w:t>
      </w:r>
    </w:p>
    <w:p w14:paraId="357A44FA">
      <w:pPr>
        <w:keepNext w:val="0"/>
        <w:keepLines w:val="0"/>
        <w:pageBreakBefore w:val="0"/>
        <w:widowControl/>
        <w:suppressAutoHyphens/>
        <w:kinsoku/>
        <w:wordWrap/>
        <w:overflowPunct w:val="0"/>
        <w:topLinePunct w:val="0"/>
        <w:autoSpaceDE/>
        <w:autoSpaceDN/>
        <w:bidi w:val="0"/>
        <w:adjustRightInd/>
        <w:snapToGrid w:val="0"/>
        <w:spacing w:line="560" w:lineRule="exact"/>
        <w:ind w:firstLine="640" w:firstLineChars="200"/>
        <w:jc w:val="both"/>
        <w:textAlignment w:val="auto"/>
        <w:rPr>
          <w:rFonts w:hint="default" w:ascii="Times" w:hAnsi="Times" w:eastAsia="宋体" w:cs="Times New Roman"/>
          <w:kern w:val="0"/>
          <w:sz w:val="32"/>
          <w:szCs w:val="20"/>
        </w:rPr>
      </w:pPr>
      <w:r>
        <w:rPr>
          <w:rFonts w:hint="eastAsia" w:ascii="仿宋_GB2312" w:hAnsi="仿宋_GB2312" w:eastAsia="仿宋_GB2312" w:cs="仿宋_GB2312"/>
          <w:b w:val="0"/>
          <w:bCs w:val="0"/>
          <w:kern w:val="0"/>
          <w:sz w:val="32"/>
          <w:szCs w:val="20"/>
          <w:lang w:val="en-US" w:eastAsia="zh-CN"/>
        </w:rPr>
        <w:t>5.</w:t>
      </w:r>
      <w:r>
        <w:rPr>
          <w:rFonts w:hint="eastAsia" w:ascii="仿宋_GB2312" w:hAnsi="仿宋_GB2312" w:eastAsia="仿宋_GB2312" w:cs="仿宋_GB2312"/>
          <w:b w:val="0"/>
          <w:bCs w:val="0"/>
          <w:kern w:val="0"/>
          <w:sz w:val="32"/>
          <w:szCs w:val="20"/>
        </w:rPr>
        <w:t>执行规范：</w:t>
      </w:r>
      <w:r>
        <w:rPr>
          <w:rFonts w:hint="eastAsia" w:ascii="仿宋_GB2312" w:hAnsi="仿宋_GB2312" w:eastAsia="仿宋_GB2312" w:cs="仿宋_GB2312"/>
          <w:b w:val="0"/>
          <w:bCs w:val="0"/>
          <w:kern w:val="0"/>
          <w:sz w:val="32"/>
          <w:szCs w:val="20"/>
          <w:lang w:eastAsia="zh-CN"/>
        </w:rPr>
        <w:t>一是项目立项合规。项目经省市主管部门及区委区政府、区财政批准立项，遵循了合法程序。二是</w:t>
      </w:r>
      <w:r>
        <w:rPr>
          <w:rFonts w:hint="eastAsia" w:ascii="仿宋_GB2312" w:hAnsi="仿宋_GB2312" w:eastAsia="仿宋_GB2312" w:cs="仿宋_GB2312"/>
          <w:b w:val="0"/>
          <w:bCs w:val="0"/>
          <w:kern w:val="0"/>
          <w:sz w:val="32"/>
          <w:szCs w:val="32"/>
          <w:lang w:val="en-US" w:eastAsia="zh-CN"/>
        </w:rPr>
        <w:t>项目严格执行事业单位财务管理制度，项目资金按规定实行了项目单独核算，账务处理及时，会计核算规范，支出符合规定</w:t>
      </w:r>
      <w:r>
        <w:rPr>
          <w:rFonts w:hint="eastAsia" w:ascii="仿宋_GB2312" w:hAnsi="黑体" w:eastAsia="仿宋_GB2312" w:cs="Times New Roman"/>
          <w:b w:val="0"/>
          <w:bCs w:val="0"/>
          <w:kern w:val="0"/>
          <w:sz w:val="32"/>
          <w:szCs w:val="32"/>
          <w:lang w:val="zh-CN" w:eastAsia="zh-CN"/>
        </w:rPr>
        <w:t>。</w:t>
      </w:r>
    </w:p>
    <w:p w14:paraId="4CD05C08">
      <w:pPr>
        <w:keepNext w:val="0"/>
        <w:keepLines w:val="0"/>
        <w:pageBreakBefore w:val="0"/>
        <w:widowControl/>
        <w:numPr>
          <w:ilvl w:val="0"/>
          <w:numId w:val="13"/>
        </w:numPr>
        <w:suppressAutoHyphens/>
        <w:kinsoku/>
        <w:wordWrap/>
        <w:overflowPunct w:val="0"/>
        <w:topLinePunct w:val="0"/>
        <w:autoSpaceDE/>
        <w:autoSpaceDN/>
        <w:bidi w:val="0"/>
        <w:adjustRightInd/>
        <w:snapToGrid w:val="0"/>
        <w:spacing w:line="520" w:lineRule="exact"/>
        <w:ind w:left="0" w:leftChars="0"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项目产出情况</w:t>
      </w:r>
    </w:p>
    <w:p w14:paraId="463D1C1F">
      <w:pPr>
        <w:keepNext w:val="0"/>
        <w:keepLines w:val="0"/>
        <w:pageBreakBefore w:val="0"/>
        <w:widowControl/>
        <w:suppressAutoHyphens/>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数量指标：</w:t>
      </w:r>
      <w:r>
        <w:rPr>
          <w:rFonts w:hint="eastAsia" w:ascii="仿宋_GB2312" w:hAnsi="仿宋_GB2312" w:eastAsia="仿宋_GB2312" w:cs="仿宋_GB2312"/>
          <w:b w:val="0"/>
          <w:bCs w:val="0"/>
          <w:kern w:val="2"/>
          <w:sz w:val="32"/>
          <w:szCs w:val="32"/>
          <w:lang w:val="en-US" w:eastAsia="zh-CN"/>
        </w:rPr>
        <w:t>完成区级应急广播系统数量为1个、村级应急前端81个，终端建设300台套</w:t>
      </w:r>
      <w:r>
        <w:rPr>
          <w:rFonts w:hint="eastAsia" w:ascii="仿宋_GB2312" w:hAnsi="仿宋_GB2312" w:eastAsia="仿宋_GB2312" w:cs="仿宋_GB2312"/>
          <w:kern w:val="0"/>
          <w:sz w:val="32"/>
          <w:szCs w:val="32"/>
          <w:lang w:val="en-US" w:eastAsia="zh-CN"/>
        </w:rPr>
        <w:t>。</w:t>
      </w:r>
    </w:p>
    <w:p w14:paraId="22562BD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Autospacing="0" w:afterAutospacing="0" w:line="560" w:lineRule="exact"/>
        <w:ind w:left="0" w:right="0" w:firstLine="640" w:firstLineChars="200"/>
        <w:jc w:val="left"/>
        <w:textAlignment w:val="auto"/>
        <w:outlineLvl w:val="9"/>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质量</w:t>
      </w:r>
      <w:r>
        <w:rPr>
          <w:rFonts w:hint="eastAsia" w:ascii="Times New Roman" w:hAnsi="Times New Roman" w:eastAsia="仿宋_GB2312" w:cs="Times New Roman"/>
          <w:kern w:val="0"/>
          <w:sz w:val="32"/>
          <w:szCs w:val="32"/>
          <w:lang w:val="en-US" w:eastAsia="zh-CN"/>
        </w:rPr>
        <w:t>指标</w:t>
      </w:r>
      <w:r>
        <w:rPr>
          <w:rFonts w:hint="default" w:ascii="Times New Roman" w:hAnsi="Times New Roman" w:eastAsia="仿宋_GB2312" w:cs="Times New Roman"/>
          <w:kern w:val="0"/>
          <w:sz w:val="32"/>
          <w:szCs w:val="32"/>
          <w:lang w:val="en-US" w:eastAsia="zh-CN"/>
        </w:rPr>
        <w:t>：</w:t>
      </w:r>
      <w:r>
        <w:rPr>
          <w:rFonts w:hint="eastAsia" w:ascii="仿宋_GB2312" w:hAnsi="仿宋_GB2312" w:eastAsia="仿宋_GB2312" w:cs="仿宋_GB2312"/>
          <w:kern w:val="0"/>
          <w:sz w:val="32"/>
          <w:szCs w:val="32"/>
          <w:shd w:val="clear" w:color="auto" w:fill="FFFFFF"/>
        </w:rPr>
        <w:t>项目</w:t>
      </w:r>
      <w:r>
        <w:rPr>
          <w:rFonts w:hint="eastAsia" w:ascii="仿宋_GB2312" w:hAnsi="仿宋_GB2312" w:eastAsia="仿宋_GB2312" w:cs="仿宋_GB2312"/>
          <w:kern w:val="0"/>
          <w:sz w:val="32"/>
          <w:szCs w:val="32"/>
          <w:shd w:val="clear" w:color="auto" w:fill="FFFFFF"/>
          <w:lang w:eastAsia="zh-CN"/>
        </w:rPr>
        <w:t>成功</w:t>
      </w:r>
      <w:r>
        <w:rPr>
          <w:rFonts w:hint="eastAsia" w:ascii="仿宋_GB2312" w:hAnsi="仿宋_GB2312" w:eastAsia="仿宋_GB2312" w:cs="仿宋_GB2312"/>
          <w:kern w:val="0"/>
          <w:sz w:val="32"/>
          <w:szCs w:val="32"/>
          <w:shd w:val="clear" w:color="auto" w:fill="FFFFFF"/>
        </w:rPr>
        <w:t>通过省广电局联调联试</w:t>
      </w:r>
      <w:r>
        <w:rPr>
          <w:rFonts w:hint="eastAsia" w:ascii="仿宋_GB2312" w:hAnsi="仿宋_GB2312" w:eastAsia="仿宋_GB2312" w:cs="仿宋_GB2312"/>
          <w:kern w:val="0"/>
          <w:sz w:val="32"/>
          <w:szCs w:val="32"/>
          <w:shd w:val="clear" w:color="auto" w:fill="FFFFFF"/>
          <w:lang w:eastAsia="zh-CN"/>
        </w:rPr>
        <w:t>，项目</w:t>
      </w:r>
      <w:r>
        <w:rPr>
          <w:rFonts w:hint="eastAsia" w:ascii="仿宋_GB2312" w:hAnsi="仿宋_GB2312" w:eastAsia="仿宋_GB2312" w:cs="仿宋_GB2312"/>
          <w:kern w:val="0"/>
          <w:sz w:val="32"/>
          <w:szCs w:val="32"/>
          <w:shd w:val="clear" w:color="auto" w:fill="FFFFFF"/>
        </w:rPr>
        <w:t>实施合格</w:t>
      </w:r>
      <w:r>
        <w:rPr>
          <w:rFonts w:hint="eastAsia" w:ascii="仿宋_GB2312" w:hAnsi="仿宋_GB2312" w:eastAsia="仿宋_GB2312" w:cs="仿宋_GB2312"/>
          <w:kern w:val="0"/>
          <w:sz w:val="32"/>
          <w:szCs w:val="32"/>
          <w:lang w:val="en-US" w:eastAsia="zh-CN"/>
        </w:rPr>
        <w:t>。</w:t>
      </w:r>
    </w:p>
    <w:p w14:paraId="0B66ABD8">
      <w:pPr>
        <w:keepNext w:val="0"/>
        <w:keepLines w:val="0"/>
        <w:pageBreakBefore w:val="0"/>
        <w:widowControl/>
        <w:suppressAutoHyphens/>
        <w:kinsoku/>
        <w:wordWrap/>
        <w:overflowPunct/>
        <w:topLinePunct w:val="0"/>
        <w:autoSpaceDE/>
        <w:autoSpaceDN/>
        <w:bidi w:val="0"/>
        <w:adjustRightInd w:val="0"/>
        <w:snapToGrid w:val="0"/>
        <w:spacing w:line="560" w:lineRule="exact"/>
        <w:ind w:firstLine="640" w:firstLineChars="200"/>
        <w:contextualSpacing/>
        <w:jc w:val="both"/>
        <w:textAlignment w:val="auto"/>
        <w:rPr>
          <w:rFonts w:hint="default"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时效指标：</w:t>
      </w:r>
      <w:r>
        <w:rPr>
          <w:rFonts w:hint="eastAsia" w:ascii="仿宋_GB2312" w:hAnsi="仿宋_GB2312" w:eastAsia="仿宋_GB2312" w:cs="仿宋_GB2312"/>
          <w:color w:val="auto"/>
          <w:kern w:val="0"/>
          <w:sz w:val="32"/>
          <w:szCs w:val="32"/>
          <w:lang w:val="en-US" w:eastAsia="zh-CN"/>
        </w:rPr>
        <w:t>项目建设于2023年11月完成（由于保障二十大召开和大运会的安全播出保障，项目有正常延期）。</w:t>
      </w:r>
    </w:p>
    <w:p w14:paraId="72ADE5F0">
      <w:pPr>
        <w:keepNext w:val="0"/>
        <w:keepLines w:val="0"/>
        <w:pageBreakBefore w:val="0"/>
        <w:widowControl/>
        <w:suppressAutoHyphens/>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kern w:val="0"/>
          <w:sz w:val="32"/>
          <w:szCs w:val="32"/>
          <w:shd w:val="clear" w:color="auto" w:fill="FFFFFF"/>
          <w:lang w:eastAsia="zh-CN"/>
        </w:rPr>
        <w:t>区应急广播系统建设总投入</w:t>
      </w:r>
      <w:r>
        <w:rPr>
          <w:rFonts w:hint="eastAsia" w:ascii="仿宋_GB2312" w:hAnsi="仿宋_GB2312" w:eastAsia="仿宋_GB2312" w:cs="仿宋_GB2312"/>
          <w:kern w:val="0"/>
          <w:sz w:val="32"/>
          <w:szCs w:val="32"/>
          <w:shd w:val="clear" w:color="auto" w:fill="FFFFFF"/>
          <w:lang w:val="en-US" w:eastAsia="zh-CN"/>
        </w:rPr>
        <w:t>338.597</w:t>
      </w:r>
      <w:r>
        <w:rPr>
          <w:rFonts w:hint="eastAsia" w:ascii="仿宋_GB2312" w:hAnsi="仿宋_GB2312" w:eastAsia="仿宋_GB2312" w:cs="仿宋_GB2312"/>
          <w:b w:val="0"/>
          <w:bCs w:val="0"/>
          <w:kern w:val="0"/>
          <w:sz w:val="32"/>
          <w:szCs w:val="32"/>
          <w:lang w:val="en-US" w:eastAsia="zh-CN"/>
        </w:rPr>
        <w:t>，完成年初预算。</w:t>
      </w:r>
    </w:p>
    <w:p w14:paraId="198F5F62">
      <w:pPr>
        <w:keepNext w:val="0"/>
        <w:keepLines w:val="0"/>
        <w:pageBreakBefore w:val="0"/>
        <w:widowControl/>
        <w:suppressAutoHyphens/>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社会效益指标：广播电视公共服务覆盖率进一步提高。</w:t>
      </w:r>
    </w:p>
    <w:p w14:paraId="1E7D556F">
      <w:pPr>
        <w:keepNext w:val="0"/>
        <w:keepLines w:val="0"/>
        <w:pageBreakBefore w:val="0"/>
        <w:widowControl/>
        <w:suppressAutoHyphens/>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可持续性指标：内控管理制度健全性。</w:t>
      </w:r>
    </w:p>
    <w:p w14:paraId="0BE2BD91">
      <w:pPr>
        <w:keepNext w:val="0"/>
        <w:keepLines w:val="0"/>
        <w:pageBreakBefore w:val="0"/>
        <w:numPr>
          <w:ilvl w:val="0"/>
          <w:numId w:val="0"/>
        </w:numPr>
        <w:kinsoku/>
        <w:wordWrap/>
        <w:overflowPunct/>
        <w:topLinePunct w:val="0"/>
        <w:autoSpaceDE/>
        <w:autoSpaceDN/>
        <w:bidi w:val="0"/>
        <w:spacing w:beforeLines="0" w:afterLines="0" w:line="560" w:lineRule="exact"/>
        <w:ind w:firstLine="640" w:firstLineChars="200"/>
        <w:jc w:val="both"/>
        <w:textAlignment w:val="auto"/>
        <w:outlineLvl w:val="2"/>
        <w:rPr>
          <w:rFonts w:hint="eastAsia" w:ascii="黑体" w:hAnsi="Times New Roman" w:eastAsia="黑体" w:cs="Times New Roman"/>
          <w:sz w:val="21"/>
          <w:szCs w:val="21"/>
          <w:lang w:val="zh-CN" w:eastAsia="zh-CN" w:bidi="ar-SA"/>
        </w:rPr>
      </w:pPr>
      <w:r>
        <w:rPr>
          <w:rFonts w:hint="eastAsia" w:ascii="仿宋_GB2312" w:hAnsi="仿宋_GB2312" w:eastAsia="仿宋_GB2312" w:cs="仿宋_GB2312"/>
          <w:b w:val="0"/>
          <w:bCs w:val="0"/>
          <w:kern w:val="0"/>
          <w:sz w:val="32"/>
          <w:szCs w:val="32"/>
          <w:lang w:val="en-US" w:eastAsia="zh-CN" w:bidi="ar-SA"/>
        </w:rPr>
        <w:t>满意度指标：</w:t>
      </w:r>
      <w:r>
        <w:rPr>
          <w:rFonts w:hint="eastAsia" w:ascii="仿宋_GB2312" w:hAnsi="仿宋_GB2312" w:eastAsia="仿宋_GB2312" w:cs="仿宋_GB2312"/>
          <w:b w:val="0"/>
          <w:bCs w:val="0"/>
          <w:kern w:val="2"/>
          <w:sz w:val="32"/>
          <w:szCs w:val="32"/>
          <w:lang w:val="en-US" w:eastAsia="zh-CN" w:bidi="ar-SA"/>
        </w:rPr>
        <w:t>受惠群众满意度≥95%</w:t>
      </w:r>
      <w:r>
        <w:rPr>
          <w:rFonts w:hint="eastAsia" w:ascii="仿宋_GB2312" w:hAnsi="仿宋_GB2312" w:eastAsia="仿宋_GB2312" w:cs="仿宋_GB2312"/>
          <w:b w:val="0"/>
          <w:bCs w:val="0"/>
          <w:kern w:val="2"/>
          <w:sz w:val="32"/>
          <w:szCs w:val="32"/>
          <w:lang w:val="en-GB" w:eastAsia="zh-CN" w:bidi="ar-SA"/>
        </w:rPr>
        <w:t>。</w:t>
      </w:r>
    </w:p>
    <w:p w14:paraId="261AA7EF">
      <w:pPr>
        <w:keepNext w:val="0"/>
        <w:keepLines w:val="0"/>
        <w:pageBreakBefore w:val="0"/>
        <w:widowControl/>
        <w:numPr>
          <w:ilvl w:val="0"/>
          <w:numId w:val="13"/>
        </w:numPr>
        <w:suppressAutoHyphens/>
        <w:kinsoku/>
        <w:wordWrap/>
        <w:overflowPunct w:val="0"/>
        <w:topLinePunct w:val="0"/>
        <w:autoSpaceDE/>
        <w:autoSpaceDN/>
        <w:bidi w:val="0"/>
        <w:adjustRightInd/>
        <w:snapToGrid w:val="0"/>
        <w:spacing w:line="520" w:lineRule="exact"/>
        <w:ind w:left="0" w:leftChars="0"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项目效益情况</w:t>
      </w:r>
    </w:p>
    <w:p w14:paraId="51DDE16E">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rPr>
          <w:rFonts w:hint="eastAsia" w:ascii="仿宋_GB2312" w:hAnsi="仿宋_GB2312" w:eastAsia="仿宋_GB2312" w:cs="仿宋_GB2312"/>
          <w:sz w:val="32"/>
          <w:lang w:val="en-US" w:eastAsia="zh-CN" w:bidi="ar-SA"/>
        </w:rPr>
      </w:pPr>
      <w:r>
        <w:rPr>
          <w:rFonts w:hint="eastAsia" w:ascii="仿宋_GB2312" w:hAnsi="华文仿宋" w:eastAsia="仿宋_GB2312" w:cs="Times New Roman"/>
          <w:color w:val="000000"/>
          <w:kern w:val="2"/>
          <w:sz w:val="32"/>
          <w:szCs w:val="32"/>
          <w:lang w:val="en-US" w:eastAsia="zh-CN" w:bidi="ar-SA"/>
        </w:rPr>
        <w:t>项目的实施，推进了广播电视信号全覆盖，改善了广播电视服务传输网络和服务质量，提升了镇村“两项改革”后广播电视服务效能，增强人民群众获得感、幸福感、安全感，取得良好的社会效益。</w:t>
      </w:r>
    </w:p>
    <w:p w14:paraId="1D42255A">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lang w:eastAsia="zh-CN"/>
        </w:rPr>
      </w:pPr>
      <w:r>
        <w:rPr>
          <w:rFonts w:hint="eastAsia" w:ascii="Times New Roman" w:hAnsi="Times New Roman" w:eastAsia="黑体" w:cs="Times New Roman"/>
          <w:kern w:val="0"/>
          <w:sz w:val="32"/>
          <w:szCs w:val="32"/>
          <w:lang w:eastAsia="zh-CN"/>
        </w:rPr>
        <w:t>五、</w:t>
      </w:r>
      <w:r>
        <w:rPr>
          <w:rFonts w:hint="default" w:ascii="Times New Roman" w:hAnsi="Times New Roman" w:eastAsia="黑体" w:cs="Times New Roman"/>
          <w:kern w:val="0"/>
          <w:sz w:val="32"/>
          <w:szCs w:val="32"/>
          <w:lang w:eastAsia="zh-CN"/>
        </w:rPr>
        <w:t>存在主要问题</w:t>
      </w:r>
    </w:p>
    <w:p w14:paraId="1549382C">
      <w:pPr>
        <w:keepNext w:val="0"/>
        <w:keepLines w:val="0"/>
        <w:pageBreakBefore w:val="0"/>
        <w:widowControl w:val="0"/>
        <w:suppressAutoHyphens/>
        <w:kinsoku/>
        <w:wordWrap/>
        <w:overflowPunct/>
        <w:topLinePunct w:val="0"/>
        <w:autoSpaceDE w:val="0"/>
        <w:autoSpaceDN w:val="0"/>
        <w:bidi w:val="0"/>
        <w:adjustRightInd w:val="0"/>
        <w:snapToGrid/>
        <w:spacing w:line="520" w:lineRule="exact"/>
        <w:ind w:firstLine="640" w:firstLineChars="200"/>
        <w:jc w:val="left"/>
        <w:textAlignment w:val="auto"/>
        <w:rPr>
          <w:rFonts w:hint="eastAsia" w:ascii="仿宋_GB2312" w:hAnsi="宋体" w:eastAsia="仿宋_GB2312" w:cs="Times New Roman"/>
          <w:b/>
          <w:bCs/>
          <w:kern w:val="0"/>
          <w:sz w:val="32"/>
          <w:szCs w:val="32"/>
        </w:rPr>
      </w:pPr>
      <w:r>
        <w:rPr>
          <w:rFonts w:hint="eastAsia" w:ascii="仿宋_GB2312" w:hAnsi="仿宋_GB2312" w:eastAsia="仿宋_GB2312" w:cs="仿宋_GB2312"/>
          <w:b w:val="0"/>
          <w:bCs w:val="0"/>
          <w:kern w:val="2"/>
          <w:sz w:val="32"/>
          <w:szCs w:val="32"/>
          <w:lang w:val="en-US" w:eastAsia="zh-CN"/>
        </w:rPr>
        <w:t>项目需要后期继续投入，不断地完善点位和后期运维经费的保障</w:t>
      </w:r>
      <w:r>
        <w:rPr>
          <w:rFonts w:hint="eastAsia" w:ascii="仿宋_GB2312" w:hAnsi="仿宋_GB2312" w:eastAsia="仿宋_GB2312" w:cs="仿宋_GB2312"/>
          <w:kern w:val="0"/>
          <w:sz w:val="32"/>
          <w:szCs w:val="32"/>
          <w:lang w:eastAsia="zh-CN"/>
        </w:rPr>
        <w:t>。</w:t>
      </w:r>
    </w:p>
    <w:p w14:paraId="33CCA5D3">
      <w:pPr>
        <w:widowControl/>
        <w:suppressAutoHyphens/>
        <w:overflowPunct w:val="0"/>
        <w:autoSpaceDE/>
        <w:autoSpaceDN/>
        <w:bidi w:val="0"/>
        <w:adjustRightInd/>
        <w:snapToGrid w:val="0"/>
        <w:spacing w:line="560" w:lineRule="atLeast"/>
        <w:ind w:firstLine="646" w:firstLineChars="0"/>
        <w:jc w:val="both"/>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六、相关措施建议</w:t>
      </w:r>
    </w:p>
    <w:p w14:paraId="7D241698">
      <w:pPr>
        <w:keepNext w:val="0"/>
        <w:keepLines w:val="0"/>
        <w:pageBreakBefore w:val="0"/>
        <w:widowControl w:val="0"/>
        <w:suppressAutoHyphens/>
        <w:kinsoku/>
        <w:wordWrap/>
        <w:overflowPunct/>
        <w:topLinePunct w:val="0"/>
        <w:autoSpaceDE w:val="0"/>
        <w:autoSpaceDN w:val="0"/>
        <w:bidi w:val="0"/>
        <w:adjustRightInd w:val="0"/>
        <w:snapToGrid/>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楷体_GB2312" w:hAnsi="楷体_GB2312" w:eastAsia="楷体_GB2312" w:cs="楷体_GB2312"/>
          <w:kern w:val="0"/>
          <w:sz w:val="32"/>
          <w:szCs w:val="32"/>
          <w:lang w:val="en-US" w:eastAsia="zh-CN"/>
        </w:rPr>
        <w:t>1、</w:t>
      </w:r>
      <w:r>
        <w:rPr>
          <w:rFonts w:hint="eastAsia" w:ascii="仿宋_GB2312" w:hAnsi="仿宋_GB2312" w:eastAsia="仿宋_GB2312" w:cs="仿宋_GB2312"/>
          <w:b w:val="0"/>
          <w:bCs w:val="0"/>
          <w:kern w:val="2"/>
          <w:sz w:val="32"/>
          <w:szCs w:val="32"/>
          <w:lang w:val="en-US" w:eastAsia="zh-CN"/>
        </w:rPr>
        <w:t>加强盲区的补点建设。根据各乡镇的摸底统计，部分村社仍然有信号覆盖不全。还有乡镇对场镇、河道、交通路口等特殊点位有安装需求，统筹资金做好补点建设工作。</w:t>
      </w:r>
    </w:p>
    <w:p w14:paraId="6428046C">
      <w:pPr>
        <w:keepNext w:val="0"/>
        <w:keepLines w:val="0"/>
        <w:pageBreakBefore w:val="0"/>
        <w:widowControl w:val="0"/>
        <w:suppressAutoHyphens/>
        <w:kinsoku/>
        <w:wordWrap/>
        <w:overflowPunct/>
        <w:topLinePunct w:val="0"/>
        <w:autoSpaceDE w:val="0"/>
        <w:autoSpaceDN w:val="0"/>
        <w:bidi w:val="0"/>
        <w:adjustRightInd w:val="0"/>
        <w:snapToGrid/>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2、加强系统管理。做好区级平台的值班值守，加强镇村前端和终端的管理和监听，完善运行</w:t>
      </w:r>
      <w:r>
        <w:rPr>
          <w:rFonts w:hint="eastAsia" w:ascii="仿宋_GB2312" w:hAnsi="仿宋_GB2312" w:eastAsia="仿宋_GB2312" w:cs="仿宋_GB2312"/>
          <w:kern w:val="0"/>
          <w:sz w:val="32"/>
          <w:szCs w:val="32"/>
          <w:lang w:val="en-US" w:eastAsia="zh-CN"/>
        </w:rPr>
        <w:t>维护管理制度，做好</w:t>
      </w:r>
      <w:r>
        <w:rPr>
          <w:rFonts w:hint="eastAsia" w:ascii="仿宋_GB2312" w:hAnsi="仿宋_GB2312" w:eastAsia="仿宋_GB2312" w:cs="仿宋_GB2312"/>
          <w:b w:val="0"/>
          <w:bCs w:val="0"/>
          <w:kern w:val="2"/>
          <w:sz w:val="32"/>
          <w:szCs w:val="32"/>
          <w:lang w:val="en-US" w:eastAsia="zh-CN"/>
        </w:rPr>
        <w:t>应急广播系统安全播出管理，全力确保系统整体通响率。</w:t>
      </w:r>
    </w:p>
    <w:p w14:paraId="56AD19B2">
      <w:pPr>
        <w:keepNext w:val="0"/>
        <w:keepLines w:val="0"/>
        <w:pageBreakBefore w:val="0"/>
        <w:widowControl w:val="0"/>
        <w:suppressAutoHyphens/>
        <w:kinsoku/>
        <w:wordWrap/>
        <w:overflowPunct/>
        <w:topLinePunct w:val="0"/>
        <w:autoSpaceDE w:val="0"/>
        <w:autoSpaceDN w:val="0"/>
        <w:bidi w:val="0"/>
        <w:adjustRightInd w:val="0"/>
        <w:snapToGrid/>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3、扩大应急广播系统使用率。协调相关部门出台文件，要求各乡镇、村安排落实人员利用应急广播系统宣传农业生产、防灾减灾</w:t>
      </w:r>
      <w:r>
        <w:rPr>
          <w:rFonts w:hint="eastAsia" w:ascii="仿宋_GB2312" w:hAnsi="仿宋_GB2312" w:eastAsia="仿宋_GB2312" w:cs="仿宋_GB2312"/>
          <w:b w:val="0"/>
          <w:bCs w:val="0"/>
          <w:kern w:val="2"/>
          <w:sz w:val="32"/>
          <w:szCs w:val="32"/>
          <w:lang w:val="en-US" w:eastAsia="zh-TW"/>
        </w:rPr>
        <w:t>、</w:t>
      </w:r>
      <w:r>
        <w:rPr>
          <w:rFonts w:hint="eastAsia" w:ascii="仿宋_GB2312" w:hAnsi="仿宋_GB2312" w:eastAsia="仿宋_GB2312" w:cs="仿宋_GB2312"/>
          <w:b w:val="0"/>
          <w:bCs w:val="0"/>
          <w:kern w:val="2"/>
          <w:sz w:val="32"/>
          <w:szCs w:val="32"/>
          <w:lang w:val="en-US" w:eastAsia="zh-CN"/>
        </w:rPr>
        <w:t>惠民政策等，并纳入考核。</w:t>
      </w:r>
    </w:p>
    <w:p w14:paraId="27DD496B">
      <w:pPr>
        <w:pStyle w:val="16"/>
        <w:rPr>
          <w:rFonts w:hint="eastAsia"/>
          <w:lang w:val="en-US" w:eastAsia="zh-CN"/>
        </w:rPr>
      </w:pPr>
    </w:p>
    <w:p w14:paraId="1B8FCA28">
      <w:pPr>
        <w:pStyle w:val="16"/>
        <w:rPr>
          <w:rFonts w:hint="eastAsia"/>
          <w:lang w:val="en-US" w:eastAsia="zh-CN"/>
        </w:rPr>
      </w:pPr>
      <w:r>
        <w:rPr>
          <w:rFonts w:hint="eastAsia"/>
          <w:lang w:val="en-US" w:eastAsia="zh-CN"/>
        </w:rPr>
        <w:t xml:space="preserve">  </w:t>
      </w:r>
    </w:p>
    <w:p w14:paraId="7814809F">
      <w:pPr>
        <w:pStyle w:val="16"/>
        <w:rPr>
          <w:rFonts w:hint="default"/>
          <w:lang w:val="en-US" w:eastAsia="zh-CN"/>
        </w:rPr>
      </w:pPr>
      <w:r>
        <w:rPr>
          <w:rFonts w:hint="eastAsia"/>
          <w:lang w:val="en-US" w:eastAsia="zh-CN"/>
        </w:rPr>
        <w:t xml:space="preserve">       </w:t>
      </w:r>
      <w:r>
        <w:rPr>
          <w:rFonts w:hint="eastAsia" w:ascii="仿宋_GB2312" w:hAnsi="仿宋_GB2312" w:eastAsia="仿宋_GB2312" w:cs="仿宋_GB2312"/>
          <w:sz w:val="32"/>
          <w:szCs w:val="32"/>
          <w:lang w:val="en-US" w:eastAsia="zh-CN"/>
        </w:rPr>
        <w:t>附表：应急广播建设项目支出绩效评价指标体系</w:t>
      </w:r>
    </w:p>
    <w:p w14:paraId="3EC4D913">
      <w:pPr>
        <w:pStyle w:val="16"/>
        <w:rPr>
          <w:rFonts w:hint="eastAsia"/>
          <w:lang w:val="en-US" w:eastAsia="zh-CN"/>
        </w:rPr>
      </w:pPr>
    </w:p>
    <w:p w14:paraId="44BE1934">
      <w:pPr>
        <w:pStyle w:val="16"/>
        <w:rPr>
          <w:rFonts w:hint="eastAsia"/>
          <w:lang w:val="en-US" w:eastAsia="zh-CN"/>
        </w:rPr>
      </w:pPr>
    </w:p>
    <w:p w14:paraId="5C84425D">
      <w:pPr>
        <w:pStyle w:val="16"/>
        <w:rPr>
          <w:rFonts w:hint="eastAsia"/>
          <w:lang w:val="en-US" w:eastAsia="zh-CN"/>
        </w:rPr>
      </w:pPr>
    </w:p>
    <w:p w14:paraId="64B1EC75">
      <w:pPr>
        <w:pStyle w:val="16"/>
        <w:rPr>
          <w:rFonts w:hint="eastAsia"/>
          <w:lang w:val="en-US" w:eastAsia="zh-CN"/>
        </w:rPr>
      </w:pPr>
    </w:p>
    <w:p w14:paraId="3B007764">
      <w:pPr>
        <w:pStyle w:val="16"/>
        <w:rPr>
          <w:rFonts w:hint="eastAsia"/>
          <w:lang w:val="en-US" w:eastAsia="zh-CN"/>
        </w:rPr>
      </w:pPr>
    </w:p>
    <w:p w14:paraId="10A9B975">
      <w:pPr>
        <w:pStyle w:val="16"/>
        <w:rPr>
          <w:rFonts w:hint="eastAsia"/>
          <w:lang w:val="en-US" w:eastAsia="zh-CN"/>
        </w:rPr>
      </w:pPr>
    </w:p>
    <w:p w14:paraId="170EB46A">
      <w:pPr>
        <w:pStyle w:val="16"/>
        <w:rPr>
          <w:rFonts w:hint="eastAsia"/>
          <w:lang w:val="en-US" w:eastAsia="zh-CN"/>
        </w:rPr>
      </w:pPr>
    </w:p>
    <w:p w14:paraId="17951F48">
      <w:pPr>
        <w:pStyle w:val="16"/>
        <w:rPr>
          <w:rFonts w:hint="eastAsia"/>
          <w:lang w:val="en-US" w:eastAsia="zh-CN"/>
        </w:rPr>
      </w:pPr>
    </w:p>
    <w:p w14:paraId="0C56334E">
      <w:pPr>
        <w:pStyle w:val="16"/>
        <w:rPr>
          <w:rFonts w:hint="eastAsia"/>
          <w:lang w:val="en-US" w:eastAsia="zh-CN"/>
        </w:rPr>
      </w:pPr>
    </w:p>
    <w:p w14:paraId="0DAAE2FF">
      <w:pPr>
        <w:pStyle w:val="16"/>
        <w:rPr>
          <w:rFonts w:hint="eastAsia"/>
          <w:lang w:val="en-US" w:eastAsia="zh-CN"/>
        </w:rPr>
      </w:pPr>
    </w:p>
    <w:p w14:paraId="4A1C7E7F">
      <w:pPr>
        <w:pStyle w:val="16"/>
        <w:rPr>
          <w:rFonts w:hint="eastAsia"/>
          <w:lang w:val="en-US" w:eastAsia="zh-CN"/>
        </w:rPr>
      </w:pPr>
    </w:p>
    <w:p w14:paraId="385CEAE0">
      <w:pPr>
        <w:pStyle w:val="16"/>
        <w:rPr>
          <w:rFonts w:hint="eastAsia"/>
          <w:lang w:val="en-US" w:eastAsia="zh-CN"/>
        </w:rPr>
      </w:pPr>
    </w:p>
    <w:p w14:paraId="042F434C">
      <w:pPr>
        <w:pStyle w:val="16"/>
        <w:rPr>
          <w:rFonts w:hint="eastAsia"/>
          <w:lang w:val="en-US" w:eastAsia="zh-CN"/>
        </w:rPr>
      </w:pPr>
    </w:p>
    <w:p w14:paraId="531BFD44">
      <w:pPr>
        <w:pStyle w:val="16"/>
        <w:rPr>
          <w:rFonts w:hint="eastAsia"/>
          <w:lang w:val="en-US" w:eastAsia="zh-CN"/>
        </w:rPr>
      </w:pPr>
    </w:p>
    <w:p w14:paraId="7156EEEE">
      <w:pPr>
        <w:pStyle w:val="16"/>
        <w:rPr>
          <w:rFonts w:hint="eastAsia"/>
          <w:lang w:val="en-US" w:eastAsia="zh-CN"/>
        </w:rPr>
      </w:pPr>
    </w:p>
    <w:p w14:paraId="24E96866">
      <w:pPr>
        <w:pStyle w:val="16"/>
        <w:rPr>
          <w:rFonts w:hint="eastAsia"/>
          <w:lang w:val="en-US" w:eastAsia="zh-CN"/>
        </w:rPr>
      </w:pPr>
    </w:p>
    <w:p w14:paraId="29F25BB8">
      <w:pPr>
        <w:pStyle w:val="16"/>
        <w:rPr>
          <w:rFonts w:hint="eastAsia"/>
          <w:lang w:val="en-US" w:eastAsia="zh-CN"/>
        </w:rPr>
      </w:pPr>
    </w:p>
    <w:p w14:paraId="716AE2A1">
      <w:pPr>
        <w:pStyle w:val="16"/>
        <w:rPr>
          <w:rFonts w:hint="eastAsia"/>
          <w:lang w:val="en-US" w:eastAsia="zh-CN"/>
        </w:rPr>
      </w:pPr>
    </w:p>
    <w:p w14:paraId="3A375A38">
      <w:pPr>
        <w:pStyle w:val="16"/>
        <w:rPr>
          <w:rFonts w:hint="eastAsia"/>
          <w:lang w:val="en-US" w:eastAsia="zh-CN"/>
        </w:rPr>
      </w:pPr>
    </w:p>
    <w:p w14:paraId="4128911F">
      <w:pPr>
        <w:pStyle w:val="16"/>
        <w:rPr>
          <w:rFonts w:hint="eastAsia"/>
          <w:lang w:val="en-US" w:eastAsia="zh-CN"/>
        </w:rPr>
      </w:pPr>
    </w:p>
    <w:p w14:paraId="5D2BB1FC">
      <w:pPr>
        <w:pStyle w:val="16"/>
        <w:rPr>
          <w:rFonts w:hint="eastAsia"/>
          <w:lang w:val="en-US" w:eastAsia="zh-CN"/>
        </w:rPr>
      </w:pPr>
    </w:p>
    <w:p w14:paraId="79F364D4">
      <w:pPr>
        <w:pStyle w:val="16"/>
        <w:rPr>
          <w:rFonts w:hint="eastAsia"/>
          <w:lang w:val="en-US" w:eastAsia="zh-CN"/>
        </w:rPr>
      </w:pPr>
    </w:p>
    <w:p w14:paraId="1D8B4CA0">
      <w:pPr>
        <w:pStyle w:val="16"/>
        <w:rPr>
          <w:rFonts w:hint="eastAsia"/>
          <w:lang w:val="en-US" w:eastAsia="zh-CN"/>
        </w:rPr>
      </w:pPr>
    </w:p>
    <w:p w14:paraId="18B3F4F5">
      <w:pPr>
        <w:pStyle w:val="16"/>
        <w:rPr>
          <w:rFonts w:hint="eastAsia"/>
          <w:lang w:val="en-US" w:eastAsia="zh-CN"/>
        </w:rPr>
      </w:pPr>
    </w:p>
    <w:p w14:paraId="636EAEF4">
      <w:pPr>
        <w:pStyle w:val="16"/>
        <w:rPr>
          <w:rFonts w:hint="eastAsia"/>
          <w:lang w:val="en-US" w:eastAsia="zh-CN"/>
        </w:rPr>
      </w:pPr>
    </w:p>
    <w:p w14:paraId="3B6520F1">
      <w:pPr>
        <w:pStyle w:val="16"/>
        <w:rPr>
          <w:rFonts w:hint="eastAsia"/>
          <w:lang w:val="en-US" w:eastAsia="zh-CN"/>
        </w:rPr>
      </w:pPr>
    </w:p>
    <w:p w14:paraId="5B47EAE6">
      <w:pPr>
        <w:pStyle w:val="16"/>
        <w:rPr>
          <w:rFonts w:hint="eastAsia"/>
          <w:lang w:val="en-US" w:eastAsia="zh-CN"/>
        </w:rPr>
      </w:pPr>
    </w:p>
    <w:p w14:paraId="0CB4FB3F">
      <w:pPr>
        <w:pStyle w:val="16"/>
        <w:rPr>
          <w:rFonts w:hint="eastAsia"/>
          <w:lang w:val="en-US" w:eastAsia="zh-CN"/>
        </w:rPr>
      </w:pPr>
    </w:p>
    <w:p w14:paraId="2EC32626">
      <w:pPr>
        <w:pStyle w:val="16"/>
        <w:rPr>
          <w:rFonts w:hint="eastAsia"/>
          <w:lang w:val="en-US" w:eastAsia="zh-CN"/>
        </w:rPr>
      </w:pPr>
    </w:p>
    <w:p w14:paraId="3F8B7348">
      <w:pPr>
        <w:widowControl/>
        <w:tabs>
          <w:tab w:val="left" w:pos="3885"/>
        </w:tabs>
        <w:overflowPunct w:val="0"/>
        <w:autoSpaceDE/>
        <w:autoSpaceDN/>
        <w:adjustRightInd w:val="0"/>
        <w:snapToGrid w:val="0"/>
        <w:spacing w:line="560" w:lineRule="atLeast"/>
        <w:jc w:val="center"/>
        <w:rPr>
          <w:rFonts w:hint="default" w:ascii="Times New Roman" w:hAnsi="Times New Roman" w:eastAsia="方正小标宋简体" w:cs="Times New Roman"/>
          <w:color w:val="000000"/>
          <w:sz w:val="44"/>
          <w:szCs w:val="44"/>
          <w:lang w:bidi="ar"/>
        </w:rPr>
        <w:sectPr>
          <w:pgSz w:w="11906" w:h="16838"/>
          <w:pgMar w:top="1440" w:right="1803" w:bottom="1440" w:left="1803" w:header="851" w:footer="992" w:gutter="0"/>
          <w:pgNumType w:fmt="decimal"/>
          <w:cols w:space="0" w:num="1"/>
          <w:rtlGutter w:val="0"/>
          <w:docGrid w:type="lines" w:linePitch="319" w:charSpace="0"/>
        </w:sectPr>
      </w:pPr>
    </w:p>
    <w:p w14:paraId="7E748A6C">
      <w:pPr>
        <w:widowControl/>
        <w:tabs>
          <w:tab w:val="left" w:pos="3885"/>
        </w:tabs>
        <w:overflowPunct w:val="0"/>
        <w:autoSpaceDE/>
        <w:autoSpaceDN/>
        <w:adjustRightInd w:val="0"/>
        <w:snapToGrid w:val="0"/>
        <w:spacing w:line="560" w:lineRule="atLeast"/>
        <w:jc w:val="center"/>
        <w:rPr>
          <w:rFonts w:hint="eastAsia" w:ascii="Times New Roman" w:hAnsi="Times New Roman" w:eastAsia="方正小标宋简体" w:cs="Times New Roman"/>
          <w:color w:val="000000"/>
          <w:sz w:val="44"/>
          <w:szCs w:val="44"/>
          <w:lang w:eastAsia="zh-CN"/>
        </w:rPr>
      </w:pPr>
      <w:r>
        <w:rPr>
          <w:rFonts w:hint="eastAsia" w:ascii="Times New Roman" w:hAnsi="Times New Roman" w:eastAsia="方正小标宋简体" w:cs="Times New Roman"/>
          <w:color w:val="000000"/>
          <w:sz w:val="44"/>
          <w:szCs w:val="44"/>
          <w:lang w:val="en-US" w:eastAsia="zh-CN" w:bidi="ar"/>
        </w:rPr>
        <w:t>应急广播建设</w:t>
      </w:r>
      <w:r>
        <w:rPr>
          <w:rFonts w:hint="default" w:ascii="Times New Roman" w:hAnsi="Times New Roman" w:eastAsia="方正小标宋简体" w:cs="Times New Roman"/>
          <w:color w:val="000000"/>
          <w:sz w:val="44"/>
          <w:szCs w:val="44"/>
          <w:lang w:bidi="ar"/>
        </w:rPr>
        <w:t>项目支出绩效评价指标体系</w:t>
      </w:r>
    </w:p>
    <w:tbl>
      <w:tblPr>
        <w:tblStyle w:val="11"/>
        <w:tblW w:w="14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0"/>
        <w:gridCol w:w="654"/>
        <w:gridCol w:w="1803"/>
        <w:gridCol w:w="607"/>
        <w:gridCol w:w="724"/>
        <w:gridCol w:w="704"/>
        <w:gridCol w:w="881"/>
        <w:gridCol w:w="404"/>
        <w:gridCol w:w="489"/>
        <w:gridCol w:w="489"/>
        <w:gridCol w:w="455"/>
        <w:gridCol w:w="404"/>
        <w:gridCol w:w="704"/>
        <w:gridCol w:w="1601"/>
        <w:gridCol w:w="438"/>
        <w:gridCol w:w="338"/>
        <w:gridCol w:w="387"/>
        <w:gridCol w:w="337"/>
        <w:gridCol w:w="337"/>
        <w:gridCol w:w="405"/>
        <w:gridCol w:w="741"/>
        <w:gridCol w:w="490"/>
      </w:tblGrid>
      <w:tr w14:paraId="73F2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523" w:type="dxa"/>
            <w:gridSpan w:val="4"/>
            <w:noWrap w:val="0"/>
            <w:vAlign w:val="center"/>
          </w:tcPr>
          <w:p w14:paraId="68F929B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分层分类指标</w:t>
            </w:r>
          </w:p>
        </w:tc>
        <w:tc>
          <w:tcPr>
            <w:tcW w:w="607" w:type="dxa"/>
            <w:vMerge w:val="restart"/>
            <w:noWrap w:val="0"/>
            <w:vAlign w:val="center"/>
          </w:tcPr>
          <w:p w14:paraId="4FB56CB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分值</w:t>
            </w:r>
          </w:p>
        </w:tc>
        <w:tc>
          <w:tcPr>
            <w:tcW w:w="724" w:type="dxa"/>
            <w:vMerge w:val="restart"/>
            <w:noWrap w:val="0"/>
            <w:vAlign w:val="center"/>
          </w:tcPr>
          <w:p w14:paraId="27FDDA0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目标值</w:t>
            </w:r>
          </w:p>
        </w:tc>
        <w:tc>
          <w:tcPr>
            <w:tcW w:w="704" w:type="dxa"/>
            <w:vMerge w:val="restart"/>
            <w:noWrap w:val="0"/>
            <w:vAlign w:val="center"/>
          </w:tcPr>
          <w:p w14:paraId="12291CA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完成值</w:t>
            </w:r>
          </w:p>
        </w:tc>
        <w:tc>
          <w:tcPr>
            <w:tcW w:w="881" w:type="dxa"/>
            <w:vMerge w:val="restart"/>
            <w:noWrap w:val="0"/>
            <w:vAlign w:val="center"/>
          </w:tcPr>
          <w:p w14:paraId="753FFCBE">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指标解释</w:t>
            </w:r>
          </w:p>
        </w:tc>
        <w:tc>
          <w:tcPr>
            <w:tcW w:w="2945" w:type="dxa"/>
            <w:gridSpan w:val="6"/>
            <w:noWrap w:val="0"/>
            <w:vAlign w:val="center"/>
          </w:tcPr>
          <w:p w14:paraId="27BB312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评分方法</w:t>
            </w:r>
          </w:p>
        </w:tc>
        <w:tc>
          <w:tcPr>
            <w:tcW w:w="1601" w:type="dxa"/>
            <w:vMerge w:val="restart"/>
            <w:noWrap w:val="0"/>
            <w:vAlign w:val="center"/>
          </w:tcPr>
          <w:p w14:paraId="57293AEC">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评价要点及说明</w:t>
            </w:r>
          </w:p>
        </w:tc>
        <w:tc>
          <w:tcPr>
            <w:tcW w:w="438" w:type="dxa"/>
            <w:noWrap w:val="0"/>
            <w:vAlign w:val="center"/>
          </w:tcPr>
          <w:p w14:paraId="5B04ADD5">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评价属性</w:t>
            </w:r>
          </w:p>
        </w:tc>
        <w:tc>
          <w:tcPr>
            <w:tcW w:w="1804" w:type="dxa"/>
            <w:gridSpan w:val="5"/>
            <w:noWrap/>
            <w:vAlign w:val="center"/>
          </w:tcPr>
          <w:p w14:paraId="0651E144">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定量评价标准</w:t>
            </w:r>
          </w:p>
        </w:tc>
        <w:tc>
          <w:tcPr>
            <w:tcW w:w="741" w:type="dxa"/>
            <w:vMerge w:val="restart"/>
            <w:noWrap/>
            <w:vAlign w:val="center"/>
          </w:tcPr>
          <w:p w14:paraId="1E3D0E51">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评价过程（只写扣分项的原因）</w:t>
            </w:r>
          </w:p>
        </w:tc>
        <w:tc>
          <w:tcPr>
            <w:tcW w:w="490" w:type="dxa"/>
            <w:vMerge w:val="restart"/>
            <w:noWrap/>
            <w:vAlign w:val="center"/>
          </w:tcPr>
          <w:p w14:paraId="2454D688">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自评得分</w:t>
            </w:r>
          </w:p>
        </w:tc>
      </w:tr>
      <w:tr w14:paraId="6A1D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restart"/>
            <w:noWrap w:val="0"/>
            <w:vAlign w:val="center"/>
          </w:tcPr>
          <w:p w14:paraId="51F3B4D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分层指标</w:t>
            </w:r>
          </w:p>
        </w:tc>
        <w:tc>
          <w:tcPr>
            <w:tcW w:w="350" w:type="dxa"/>
            <w:vMerge w:val="restart"/>
            <w:noWrap w:val="0"/>
            <w:vAlign w:val="center"/>
          </w:tcPr>
          <w:p w14:paraId="525F12B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适用范围</w:t>
            </w:r>
          </w:p>
        </w:tc>
        <w:tc>
          <w:tcPr>
            <w:tcW w:w="654" w:type="dxa"/>
            <w:vMerge w:val="restart"/>
            <w:noWrap w:val="0"/>
            <w:vAlign w:val="center"/>
          </w:tcPr>
          <w:p w14:paraId="517B94E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一级指标</w:t>
            </w:r>
          </w:p>
        </w:tc>
        <w:tc>
          <w:tcPr>
            <w:tcW w:w="1803" w:type="dxa"/>
            <w:vMerge w:val="restart"/>
            <w:noWrap w:val="0"/>
            <w:vAlign w:val="center"/>
          </w:tcPr>
          <w:p w14:paraId="6699386E">
            <w:pPr>
              <w:widowControl/>
              <w:tabs>
                <w:tab w:val="left" w:pos="3885"/>
              </w:tabs>
              <w:overflowPunct w:val="0"/>
              <w:autoSpaceDE/>
              <w:autoSpaceDN/>
              <w:adjustRightInd w:val="0"/>
              <w:snapToGrid w:val="0"/>
              <w:spacing w:line="560" w:lineRule="atLeast"/>
              <w:jc w:val="center"/>
              <w:rPr>
                <w:rFonts w:hint="eastAsia" w:ascii="Times New Roman" w:hAnsi="Times New Roman" w:eastAsia="黑体" w:cs="Times New Roman"/>
                <w:b w:val="0"/>
                <w:bCs w:val="0"/>
                <w:color w:val="000000"/>
                <w:sz w:val="21"/>
                <w:szCs w:val="21"/>
                <w:lang w:eastAsia="zh-CN" w:bidi="ar"/>
              </w:rPr>
            </w:pPr>
            <w:r>
              <w:rPr>
                <w:rFonts w:hint="default" w:ascii="Times New Roman" w:hAnsi="Times New Roman" w:eastAsia="黑体" w:cs="Times New Roman"/>
                <w:b w:val="0"/>
                <w:bCs w:val="0"/>
                <w:color w:val="000000"/>
                <w:sz w:val="21"/>
                <w:szCs w:val="21"/>
                <w:lang w:bidi="ar"/>
              </w:rPr>
              <w:t>二级指标</w:t>
            </w:r>
          </w:p>
          <w:p w14:paraId="300A41B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p>
        </w:tc>
        <w:tc>
          <w:tcPr>
            <w:tcW w:w="607" w:type="dxa"/>
            <w:vMerge w:val="continue"/>
            <w:noWrap w:val="0"/>
            <w:vAlign w:val="center"/>
          </w:tcPr>
          <w:p w14:paraId="1F880C62">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245AF940">
            <w:pPr>
              <w:snapToGrid w:val="0"/>
              <w:spacing w:line="240" w:lineRule="atLeast"/>
              <w:jc w:val="center"/>
              <w:rPr>
                <w:rFonts w:hint="default" w:ascii="Times New Roman" w:hAnsi="Times New Roman" w:eastAsia="黑体" w:cs="Times New Roman"/>
                <w:b w:val="0"/>
                <w:bCs w:val="0"/>
                <w:color w:val="000000"/>
                <w:sz w:val="21"/>
                <w:szCs w:val="21"/>
              </w:rPr>
            </w:pPr>
          </w:p>
        </w:tc>
        <w:tc>
          <w:tcPr>
            <w:tcW w:w="704" w:type="dxa"/>
            <w:vMerge w:val="continue"/>
            <w:noWrap w:val="0"/>
            <w:vAlign w:val="center"/>
          </w:tcPr>
          <w:p w14:paraId="78A56948">
            <w:pPr>
              <w:snapToGrid w:val="0"/>
              <w:spacing w:line="240" w:lineRule="atLeast"/>
              <w:jc w:val="center"/>
              <w:rPr>
                <w:rFonts w:hint="default" w:ascii="Times New Roman" w:hAnsi="Times New Roman" w:eastAsia="黑体" w:cs="Times New Roman"/>
                <w:b w:val="0"/>
                <w:bCs w:val="0"/>
                <w:color w:val="000000"/>
                <w:sz w:val="21"/>
                <w:szCs w:val="21"/>
              </w:rPr>
            </w:pPr>
          </w:p>
        </w:tc>
        <w:tc>
          <w:tcPr>
            <w:tcW w:w="881" w:type="dxa"/>
            <w:vMerge w:val="continue"/>
            <w:noWrap w:val="0"/>
            <w:vAlign w:val="center"/>
          </w:tcPr>
          <w:p w14:paraId="0788C8F7">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66D7B018">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方法归类</w:t>
            </w:r>
          </w:p>
        </w:tc>
        <w:tc>
          <w:tcPr>
            <w:tcW w:w="2541" w:type="dxa"/>
            <w:gridSpan w:val="5"/>
            <w:noWrap w:val="0"/>
            <w:vAlign w:val="center"/>
          </w:tcPr>
          <w:p w14:paraId="092E73D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计算公式</w:t>
            </w:r>
          </w:p>
        </w:tc>
        <w:tc>
          <w:tcPr>
            <w:tcW w:w="1601" w:type="dxa"/>
            <w:vMerge w:val="continue"/>
            <w:noWrap w:val="0"/>
            <w:vAlign w:val="center"/>
          </w:tcPr>
          <w:p w14:paraId="5B22B39A">
            <w:pPr>
              <w:snapToGrid w:val="0"/>
              <w:spacing w:line="240" w:lineRule="atLeast"/>
              <w:rPr>
                <w:rFonts w:hint="default" w:ascii="Times New Roman" w:hAnsi="Times New Roman" w:eastAsia="黑体" w:cs="Times New Roman"/>
                <w:b w:val="0"/>
                <w:bCs w:val="0"/>
                <w:color w:val="000000"/>
                <w:sz w:val="21"/>
                <w:szCs w:val="21"/>
              </w:rPr>
            </w:pPr>
          </w:p>
        </w:tc>
        <w:tc>
          <w:tcPr>
            <w:tcW w:w="438" w:type="dxa"/>
            <w:vMerge w:val="restart"/>
            <w:noWrap w:val="0"/>
            <w:vAlign w:val="center"/>
          </w:tcPr>
          <w:p w14:paraId="5F3619D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w:t>
            </w:r>
          </w:p>
        </w:tc>
        <w:tc>
          <w:tcPr>
            <w:tcW w:w="338" w:type="dxa"/>
            <w:vMerge w:val="restart"/>
            <w:noWrap w:val="0"/>
            <w:vAlign w:val="center"/>
          </w:tcPr>
          <w:p w14:paraId="36C97A57">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国家标准</w:t>
            </w:r>
          </w:p>
        </w:tc>
        <w:tc>
          <w:tcPr>
            <w:tcW w:w="387" w:type="dxa"/>
            <w:vMerge w:val="restart"/>
            <w:noWrap w:val="0"/>
            <w:vAlign w:val="center"/>
          </w:tcPr>
          <w:p w14:paraId="034CCE42">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行业标准</w:t>
            </w:r>
          </w:p>
        </w:tc>
        <w:tc>
          <w:tcPr>
            <w:tcW w:w="337" w:type="dxa"/>
            <w:vMerge w:val="restart"/>
            <w:noWrap w:val="0"/>
            <w:vAlign w:val="center"/>
          </w:tcPr>
          <w:p w14:paraId="7D59D829">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地方标准</w:t>
            </w:r>
          </w:p>
        </w:tc>
        <w:tc>
          <w:tcPr>
            <w:tcW w:w="337" w:type="dxa"/>
            <w:vMerge w:val="restart"/>
            <w:noWrap w:val="0"/>
            <w:vAlign w:val="center"/>
          </w:tcPr>
          <w:p w14:paraId="560BC65F">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申报标准</w:t>
            </w:r>
          </w:p>
        </w:tc>
        <w:tc>
          <w:tcPr>
            <w:tcW w:w="405" w:type="dxa"/>
            <w:vMerge w:val="restart"/>
            <w:noWrap w:val="0"/>
            <w:vAlign w:val="center"/>
          </w:tcPr>
          <w:p w14:paraId="0A464C15">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历史均值</w:t>
            </w:r>
          </w:p>
        </w:tc>
        <w:tc>
          <w:tcPr>
            <w:tcW w:w="741" w:type="dxa"/>
            <w:vMerge w:val="continue"/>
            <w:noWrap/>
            <w:vAlign w:val="center"/>
          </w:tcPr>
          <w:p w14:paraId="37A004AC">
            <w:pPr>
              <w:snapToGrid w:val="0"/>
              <w:spacing w:line="240" w:lineRule="atLeast"/>
              <w:jc w:val="center"/>
              <w:rPr>
                <w:rFonts w:hint="default" w:ascii="Times New Roman" w:hAnsi="Times New Roman" w:cs="Times New Roman"/>
                <w:b w:val="0"/>
                <w:bCs w:val="0"/>
                <w:color w:val="000000"/>
                <w:sz w:val="21"/>
                <w:szCs w:val="21"/>
              </w:rPr>
            </w:pPr>
          </w:p>
        </w:tc>
        <w:tc>
          <w:tcPr>
            <w:tcW w:w="490" w:type="dxa"/>
            <w:vMerge w:val="continue"/>
            <w:noWrap/>
            <w:vAlign w:val="center"/>
          </w:tcPr>
          <w:p w14:paraId="5C5FBDF2">
            <w:pPr>
              <w:snapToGrid w:val="0"/>
              <w:spacing w:line="240" w:lineRule="atLeast"/>
              <w:jc w:val="center"/>
              <w:rPr>
                <w:rFonts w:hint="default" w:ascii="Times New Roman" w:hAnsi="Times New Roman" w:cs="Times New Roman"/>
                <w:b w:val="0"/>
                <w:bCs w:val="0"/>
                <w:color w:val="000000"/>
                <w:sz w:val="21"/>
                <w:szCs w:val="21"/>
              </w:rPr>
            </w:pPr>
          </w:p>
        </w:tc>
      </w:tr>
      <w:tr w14:paraId="526D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continue"/>
            <w:noWrap w:val="0"/>
            <w:vAlign w:val="center"/>
          </w:tcPr>
          <w:p w14:paraId="1D044F82">
            <w:pPr>
              <w:snapToGrid w:val="0"/>
              <w:spacing w:line="240" w:lineRule="atLeast"/>
              <w:jc w:val="center"/>
              <w:rPr>
                <w:rFonts w:hint="default" w:ascii="Times New Roman" w:hAnsi="Times New Roman" w:eastAsia="黑体" w:cs="Times New Roman"/>
                <w:b w:val="0"/>
                <w:bCs w:val="0"/>
                <w:color w:val="000000"/>
                <w:sz w:val="21"/>
                <w:szCs w:val="21"/>
              </w:rPr>
            </w:pPr>
          </w:p>
        </w:tc>
        <w:tc>
          <w:tcPr>
            <w:tcW w:w="350" w:type="dxa"/>
            <w:vMerge w:val="continue"/>
            <w:noWrap w:val="0"/>
            <w:vAlign w:val="center"/>
          </w:tcPr>
          <w:p w14:paraId="27996F7A">
            <w:pPr>
              <w:snapToGrid w:val="0"/>
              <w:spacing w:line="240" w:lineRule="atLeast"/>
              <w:jc w:val="center"/>
              <w:rPr>
                <w:rFonts w:hint="default" w:ascii="Times New Roman" w:hAnsi="Times New Roman" w:eastAsia="黑体" w:cs="Times New Roman"/>
                <w:b w:val="0"/>
                <w:bCs w:val="0"/>
                <w:color w:val="000000"/>
                <w:sz w:val="21"/>
                <w:szCs w:val="21"/>
              </w:rPr>
            </w:pPr>
          </w:p>
        </w:tc>
        <w:tc>
          <w:tcPr>
            <w:tcW w:w="654" w:type="dxa"/>
            <w:vMerge w:val="continue"/>
            <w:noWrap w:val="0"/>
            <w:vAlign w:val="center"/>
          </w:tcPr>
          <w:p w14:paraId="60442D64">
            <w:pPr>
              <w:snapToGrid w:val="0"/>
              <w:spacing w:line="240" w:lineRule="atLeast"/>
              <w:jc w:val="center"/>
              <w:rPr>
                <w:rFonts w:hint="default" w:ascii="Times New Roman" w:hAnsi="Times New Roman" w:eastAsia="黑体" w:cs="Times New Roman"/>
                <w:b w:val="0"/>
                <w:bCs w:val="0"/>
                <w:color w:val="000000"/>
                <w:sz w:val="21"/>
                <w:szCs w:val="21"/>
              </w:rPr>
            </w:pPr>
          </w:p>
        </w:tc>
        <w:tc>
          <w:tcPr>
            <w:tcW w:w="1803" w:type="dxa"/>
            <w:vMerge w:val="continue"/>
            <w:noWrap w:val="0"/>
            <w:vAlign w:val="center"/>
          </w:tcPr>
          <w:p w14:paraId="31D7177D">
            <w:pPr>
              <w:snapToGrid w:val="0"/>
              <w:spacing w:line="240" w:lineRule="atLeast"/>
              <w:jc w:val="center"/>
              <w:rPr>
                <w:rFonts w:hint="default" w:ascii="Times New Roman" w:hAnsi="Times New Roman" w:eastAsia="黑体" w:cs="Times New Roman"/>
                <w:b w:val="0"/>
                <w:bCs w:val="0"/>
                <w:color w:val="000000"/>
                <w:sz w:val="21"/>
                <w:szCs w:val="21"/>
              </w:rPr>
            </w:pPr>
          </w:p>
        </w:tc>
        <w:tc>
          <w:tcPr>
            <w:tcW w:w="607" w:type="dxa"/>
            <w:vMerge w:val="continue"/>
            <w:noWrap w:val="0"/>
            <w:vAlign w:val="center"/>
          </w:tcPr>
          <w:p w14:paraId="65F4F6DF">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2D6053CB">
            <w:pPr>
              <w:snapToGrid w:val="0"/>
              <w:spacing w:line="240" w:lineRule="atLeast"/>
              <w:jc w:val="center"/>
              <w:rPr>
                <w:rFonts w:hint="default" w:ascii="Times New Roman" w:hAnsi="Times New Roman" w:eastAsia="黑体" w:cs="Times New Roman"/>
                <w:b w:val="0"/>
                <w:bCs w:val="0"/>
                <w:color w:val="000000"/>
                <w:sz w:val="21"/>
                <w:szCs w:val="21"/>
              </w:rPr>
            </w:pPr>
          </w:p>
        </w:tc>
        <w:tc>
          <w:tcPr>
            <w:tcW w:w="704" w:type="dxa"/>
            <w:vMerge w:val="continue"/>
            <w:noWrap w:val="0"/>
            <w:vAlign w:val="center"/>
          </w:tcPr>
          <w:p w14:paraId="3841133A">
            <w:pPr>
              <w:snapToGrid w:val="0"/>
              <w:spacing w:line="240" w:lineRule="atLeast"/>
              <w:jc w:val="center"/>
              <w:rPr>
                <w:rFonts w:hint="default" w:ascii="Times New Roman" w:hAnsi="Times New Roman" w:eastAsia="黑体" w:cs="Times New Roman"/>
                <w:b w:val="0"/>
                <w:bCs w:val="0"/>
                <w:color w:val="000000"/>
                <w:sz w:val="21"/>
                <w:szCs w:val="21"/>
              </w:rPr>
            </w:pPr>
          </w:p>
        </w:tc>
        <w:tc>
          <w:tcPr>
            <w:tcW w:w="881" w:type="dxa"/>
            <w:vMerge w:val="continue"/>
            <w:noWrap w:val="0"/>
            <w:vAlign w:val="center"/>
          </w:tcPr>
          <w:p w14:paraId="14A3CED5">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continue"/>
            <w:noWrap w:val="0"/>
            <w:vAlign w:val="center"/>
          </w:tcPr>
          <w:p w14:paraId="520963C6">
            <w:pPr>
              <w:snapToGrid w:val="0"/>
              <w:spacing w:line="240" w:lineRule="atLeast"/>
              <w:jc w:val="center"/>
              <w:rPr>
                <w:rFonts w:hint="default" w:ascii="Times New Roman" w:hAnsi="Times New Roman" w:eastAsia="黑体" w:cs="Times New Roman"/>
                <w:b w:val="0"/>
                <w:bCs w:val="0"/>
                <w:color w:val="000000"/>
                <w:sz w:val="21"/>
                <w:szCs w:val="21"/>
              </w:rPr>
            </w:pPr>
          </w:p>
        </w:tc>
        <w:tc>
          <w:tcPr>
            <w:tcW w:w="489" w:type="dxa"/>
            <w:noWrap w:val="0"/>
            <w:vAlign w:val="center"/>
          </w:tcPr>
          <w:p w14:paraId="328F0810">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w:t>
            </w:r>
          </w:p>
        </w:tc>
        <w:tc>
          <w:tcPr>
            <w:tcW w:w="489" w:type="dxa"/>
            <w:noWrap w:val="0"/>
            <w:vAlign w:val="center"/>
          </w:tcPr>
          <w:p w14:paraId="3E92EE0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0.3</w:t>
            </w:r>
          </w:p>
        </w:tc>
        <w:tc>
          <w:tcPr>
            <w:tcW w:w="455" w:type="dxa"/>
            <w:noWrap w:val="0"/>
            <w:vAlign w:val="center"/>
          </w:tcPr>
          <w:p w14:paraId="3C896BC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0.6</w:t>
            </w:r>
          </w:p>
        </w:tc>
        <w:tc>
          <w:tcPr>
            <w:tcW w:w="404" w:type="dxa"/>
            <w:noWrap w:val="0"/>
            <w:vAlign w:val="center"/>
          </w:tcPr>
          <w:p w14:paraId="5EA6E5E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0.8</w:t>
            </w:r>
          </w:p>
        </w:tc>
        <w:tc>
          <w:tcPr>
            <w:tcW w:w="704" w:type="dxa"/>
            <w:noWrap w:val="0"/>
            <w:vAlign w:val="center"/>
          </w:tcPr>
          <w:p w14:paraId="13B244E3">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1</w:t>
            </w:r>
          </w:p>
        </w:tc>
        <w:tc>
          <w:tcPr>
            <w:tcW w:w="1601" w:type="dxa"/>
            <w:vMerge w:val="continue"/>
            <w:noWrap w:val="0"/>
            <w:vAlign w:val="center"/>
          </w:tcPr>
          <w:p w14:paraId="242CA50E">
            <w:pPr>
              <w:snapToGrid w:val="0"/>
              <w:spacing w:line="240" w:lineRule="atLeast"/>
              <w:jc w:val="center"/>
              <w:rPr>
                <w:rFonts w:hint="default" w:ascii="Times New Roman" w:hAnsi="Times New Roman" w:cs="Times New Roman"/>
                <w:b w:val="0"/>
                <w:bCs w:val="0"/>
                <w:color w:val="000000"/>
                <w:sz w:val="21"/>
                <w:szCs w:val="21"/>
              </w:rPr>
            </w:pPr>
          </w:p>
        </w:tc>
        <w:tc>
          <w:tcPr>
            <w:tcW w:w="438" w:type="dxa"/>
            <w:vMerge w:val="continue"/>
            <w:noWrap w:val="0"/>
            <w:vAlign w:val="center"/>
          </w:tcPr>
          <w:p w14:paraId="11710C0F">
            <w:pPr>
              <w:snapToGrid w:val="0"/>
              <w:spacing w:line="240" w:lineRule="atLeast"/>
              <w:jc w:val="center"/>
              <w:rPr>
                <w:rFonts w:hint="default" w:ascii="Times New Roman" w:hAnsi="Times New Roman" w:cs="Times New Roman"/>
                <w:b w:val="0"/>
                <w:bCs w:val="0"/>
                <w:color w:val="000000"/>
                <w:sz w:val="21"/>
                <w:szCs w:val="21"/>
              </w:rPr>
            </w:pPr>
          </w:p>
        </w:tc>
        <w:tc>
          <w:tcPr>
            <w:tcW w:w="338" w:type="dxa"/>
            <w:vMerge w:val="continue"/>
            <w:noWrap w:val="0"/>
            <w:vAlign w:val="center"/>
          </w:tcPr>
          <w:p w14:paraId="27B9712D">
            <w:pPr>
              <w:snapToGrid w:val="0"/>
              <w:spacing w:line="240" w:lineRule="atLeast"/>
              <w:jc w:val="center"/>
              <w:rPr>
                <w:rFonts w:hint="default" w:ascii="Times New Roman" w:hAnsi="Times New Roman" w:cs="Times New Roman"/>
                <w:b w:val="0"/>
                <w:bCs w:val="0"/>
                <w:color w:val="000000"/>
                <w:sz w:val="21"/>
                <w:szCs w:val="21"/>
              </w:rPr>
            </w:pPr>
          </w:p>
        </w:tc>
        <w:tc>
          <w:tcPr>
            <w:tcW w:w="387" w:type="dxa"/>
            <w:vMerge w:val="continue"/>
            <w:noWrap w:val="0"/>
            <w:vAlign w:val="center"/>
          </w:tcPr>
          <w:p w14:paraId="0093CB3B">
            <w:pPr>
              <w:snapToGrid w:val="0"/>
              <w:spacing w:line="240" w:lineRule="atLeast"/>
              <w:jc w:val="center"/>
              <w:rPr>
                <w:rFonts w:hint="default" w:ascii="Times New Roman" w:hAnsi="Times New Roman" w:cs="Times New Roman"/>
                <w:b w:val="0"/>
                <w:bCs w:val="0"/>
                <w:color w:val="000000"/>
                <w:sz w:val="21"/>
                <w:szCs w:val="21"/>
              </w:rPr>
            </w:pPr>
          </w:p>
        </w:tc>
        <w:tc>
          <w:tcPr>
            <w:tcW w:w="337" w:type="dxa"/>
            <w:vMerge w:val="continue"/>
            <w:noWrap w:val="0"/>
            <w:vAlign w:val="center"/>
          </w:tcPr>
          <w:p w14:paraId="731E76FE">
            <w:pPr>
              <w:snapToGrid w:val="0"/>
              <w:spacing w:line="240" w:lineRule="atLeast"/>
              <w:jc w:val="center"/>
              <w:rPr>
                <w:rFonts w:hint="default" w:ascii="Times New Roman" w:hAnsi="Times New Roman" w:cs="Times New Roman"/>
                <w:b w:val="0"/>
                <w:bCs w:val="0"/>
                <w:color w:val="000000"/>
                <w:sz w:val="21"/>
                <w:szCs w:val="21"/>
              </w:rPr>
            </w:pPr>
          </w:p>
        </w:tc>
        <w:tc>
          <w:tcPr>
            <w:tcW w:w="337" w:type="dxa"/>
            <w:vMerge w:val="continue"/>
            <w:noWrap w:val="0"/>
            <w:vAlign w:val="center"/>
          </w:tcPr>
          <w:p w14:paraId="3ED88318">
            <w:pPr>
              <w:snapToGrid w:val="0"/>
              <w:spacing w:line="240" w:lineRule="atLeast"/>
              <w:jc w:val="center"/>
              <w:rPr>
                <w:rFonts w:hint="default" w:ascii="Times New Roman" w:hAnsi="Times New Roman" w:cs="Times New Roman"/>
                <w:b w:val="0"/>
                <w:bCs w:val="0"/>
                <w:color w:val="000000"/>
                <w:sz w:val="21"/>
                <w:szCs w:val="21"/>
              </w:rPr>
            </w:pPr>
          </w:p>
        </w:tc>
        <w:tc>
          <w:tcPr>
            <w:tcW w:w="405" w:type="dxa"/>
            <w:vMerge w:val="continue"/>
            <w:noWrap w:val="0"/>
            <w:vAlign w:val="center"/>
          </w:tcPr>
          <w:p w14:paraId="1E287764">
            <w:pPr>
              <w:snapToGrid w:val="0"/>
              <w:spacing w:line="240" w:lineRule="atLeast"/>
              <w:jc w:val="center"/>
              <w:rPr>
                <w:rFonts w:hint="default" w:ascii="Times New Roman" w:hAnsi="Times New Roman" w:cs="Times New Roman"/>
                <w:b w:val="0"/>
                <w:bCs w:val="0"/>
                <w:color w:val="000000"/>
                <w:sz w:val="21"/>
                <w:szCs w:val="21"/>
              </w:rPr>
            </w:pPr>
          </w:p>
        </w:tc>
        <w:tc>
          <w:tcPr>
            <w:tcW w:w="741" w:type="dxa"/>
            <w:vMerge w:val="continue"/>
            <w:noWrap/>
            <w:vAlign w:val="center"/>
          </w:tcPr>
          <w:p w14:paraId="24CC45FD">
            <w:pPr>
              <w:snapToGrid w:val="0"/>
              <w:spacing w:line="240" w:lineRule="atLeast"/>
              <w:jc w:val="center"/>
              <w:rPr>
                <w:rFonts w:hint="default" w:ascii="Times New Roman" w:hAnsi="Times New Roman" w:cs="Times New Roman"/>
                <w:b w:val="0"/>
                <w:bCs w:val="0"/>
                <w:color w:val="000000"/>
                <w:sz w:val="21"/>
                <w:szCs w:val="21"/>
              </w:rPr>
            </w:pPr>
          </w:p>
        </w:tc>
        <w:tc>
          <w:tcPr>
            <w:tcW w:w="490" w:type="dxa"/>
            <w:vMerge w:val="continue"/>
            <w:noWrap/>
            <w:vAlign w:val="center"/>
          </w:tcPr>
          <w:p w14:paraId="188F7B69">
            <w:pPr>
              <w:snapToGrid w:val="0"/>
              <w:spacing w:line="240" w:lineRule="atLeast"/>
              <w:jc w:val="center"/>
              <w:rPr>
                <w:rFonts w:hint="default" w:ascii="Times New Roman" w:hAnsi="Times New Roman" w:cs="Times New Roman"/>
                <w:b w:val="0"/>
                <w:bCs w:val="0"/>
                <w:color w:val="000000"/>
                <w:sz w:val="21"/>
                <w:szCs w:val="21"/>
              </w:rPr>
            </w:pPr>
          </w:p>
        </w:tc>
      </w:tr>
      <w:tr w14:paraId="3608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16" w:type="dxa"/>
            <w:vMerge w:val="restart"/>
            <w:noWrap w:val="0"/>
            <w:vAlign w:val="center"/>
          </w:tcPr>
          <w:p w14:paraId="5018A90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5BE23F2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restart"/>
            <w:noWrap w:val="0"/>
            <w:vAlign w:val="center"/>
          </w:tcPr>
          <w:p w14:paraId="52A616B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项目决策</w:t>
            </w:r>
          </w:p>
        </w:tc>
        <w:tc>
          <w:tcPr>
            <w:tcW w:w="1803" w:type="dxa"/>
            <w:noWrap w:val="0"/>
            <w:vAlign w:val="center"/>
          </w:tcPr>
          <w:p w14:paraId="3D5A28A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程序严密</w:t>
            </w:r>
          </w:p>
        </w:tc>
        <w:tc>
          <w:tcPr>
            <w:tcW w:w="607" w:type="dxa"/>
            <w:noWrap w:val="0"/>
            <w:vAlign w:val="center"/>
          </w:tcPr>
          <w:p w14:paraId="61DEA24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1764E1B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704" w:type="dxa"/>
            <w:noWrap w:val="0"/>
            <w:vAlign w:val="center"/>
          </w:tcPr>
          <w:p w14:paraId="2CF9BE29">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881" w:type="dxa"/>
            <w:noWrap w:val="0"/>
            <w:vAlign w:val="center"/>
          </w:tcPr>
          <w:p w14:paraId="3EE7873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项目设立是否经过严格评估论证，管理制度是否健全完善</w:t>
            </w:r>
          </w:p>
        </w:tc>
        <w:tc>
          <w:tcPr>
            <w:tcW w:w="404" w:type="dxa"/>
            <w:noWrap w:val="0"/>
            <w:vAlign w:val="center"/>
          </w:tcPr>
          <w:p w14:paraId="26CE0F2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5F50D48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不严密</w:t>
            </w:r>
          </w:p>
        </w:tc>
        <w:tc>
          <w:tcPr>
            <w:tcW w:w="489" w:type="dxa"/>
            <w:noWrap w:val="0"/>
            <w:vAlign w:val="center"/>
          </w:tcPr>
          <w:p w14:paraId="0835DD6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3处及以上不严密</w:t>
            </w:r>
          </w:p>
        </w:tc>
        <w:tc>
          <w:tcPr>
            <w:tcW w:w="455" w:type="dxa"/>
            <w:noWrap w:val="0"/>
            <w:vAlign w:val="center"/>
          </w:tcPr>
          <w:p w14:paraId="50DDF00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2处不严密</w:t>
            </w:r>
          </w:p>
        </w:tc>
        <w:tc>
          <w:tcPr>
            <w:tcW w:w="404" w:type="dxa"/>
            <w:noWrap w:val="0"/>
            <w:vAlign w:val="center"/>
          </w:tcPr>
          <w:p w14:paraId="4E00ABC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1处不严密</w:t>
            </w:r>
          </w:p>
        </w:tc>
        <w:tc>
          <w:tcPr>
            <w:tcW w:w="704" w:type="dxa"/>
            <w:noWrap w:val="0"/>
            <w:vAlign w:val="center"/>
          </w:tcPr>
          <w:p w14:paraId="04CBDE1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1601" w:type="dxa"/>
            <w:noWrap w:val="0"/>
            <w:vAlign w:val="center"/>
          </w:tcPr>
          <w:p w14:paraId="335154A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主要查看项目设立时是否经过事前评估或可行性论证，专项资金管理办法是否健全完善</w:t>
            </w:r>
          </w:p>
        </w:tc>
        <w:tc>
          <w:tcPr>
            <w:tcW w:w="438" w:type="dxa"/>
            <w:noWrap w:val="0"/>
            <w:vAlign w:val="center"/>
          </w:tcPr>
          <w:p w14:paraId="5A6F7F33">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6F4C5C93">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62F2F102">
            <w:pPr>
              <w:snapToGrid w:val="0"/>
              <w:spacing w:line="240" w:lineRule="atLeast"/>
              <w:rPr>
                <w:rFonts w:hint="default" w:ascii="Times New Roman" w:hAnsi="Times New Roman" w:cs="Times New Roman"/>
                <w:b w:val="0"/>
                <w:bCs w:val="0"/>
                <w:color w:val="000000"/>
                <w:sz w:val="21"/>
                <w:szCs w:val="21"/>
              </w:rPr>
            </w:pPr>
          </w:p>
        </w:tc>
        <w:tc>
          <w:tcPr>
            <w:tcW w:w="337" w:type="dxa"/>
            <w:noWrap w:val="0"/>
            <w:vAlign w:val="center"/>
          </w:tcPr>
          <w:p w14:paraId="0A40AE88">
            <w:pPr>
              <w:snapToGrid w:val="0"/>
              <w:spacing w:line="240" w:lineRule="atLeast"/>
              <w:jc w:val="center"/>
              <w:rPr>
                <w:rFonts w:hint="default" w:ascii="Times New Roman" w:hAnsi="Times New Roman" w:cs="Times New Roman"/>
                <w:b w:val="0"/>
                <w:bCs w:val="0"/>
                <w:color w:val="000000"/>
                <w:sz w:val="21"/>
                <w:szCs w:val="21"/>
              </w:rPr>
            </w:pPr>
          </w:p>
        </w:tc>
        <w:tc>
          <w:tcPr>
            <w:tcW w:w="337" w:type="dxa"/>
            <w:noWrap w:val="0"/>
            <w:vAlign w:val="center"/>
          </w:tcPr>
          <w:p w14:paraId="02AB545C">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ign w:val="center"/>
          </w:tcPr>
          <w:p w14:paraId="6DFF0071">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76319788">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52179835">
            <w:pPr>
              <w:widowControl/>
              <w:snapToGrid w:val="0"/>
              <w:spacing w:line="240" w:lineRule="atLeast"/>
              <w:jc w:val="righ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r>
      <w:tr w14:paraId="1A50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16" w:type="dxa"/>
            <w:vMerge w:val="continue"/>
            <w:noWrap w:val="0"/>
            <w:vAlign w:val="center"/>
          </w:tcPr>
          <w:p w14:paraId="041E102A">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0E721087">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350B3AEE">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5650D0A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规划合理</w:t>
            </w:r>
          </w:p>
        </w:tc>
        <w:tc>
          <w:tcPr>
            <w:tcW w:w="607" w:type="dxa"/>
            <w:noWrap w:val="0"/>
            <w:vAlign w:val="center"/>
          </w:tcPr>
          <w:p w14:paraId="1E21356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4A4ABE8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704" w:type="dxa"/>
            <w:noWrap w:val="0"/>
            <w:vAlign w:val="center"/>
          </w:tcPr>
          <w:p w14:paraId="51CA228F">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881" w:type="dxa"/>
            <w:noWrap w:val="0"/>
            <w:vAlign w:val="center"/>
          </w:tcPr>
          <w:p w14:paraId="52A9FECC">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项目规划是否符合市委、市政府重大决策部署，是否与项目年度目标一致</w:t>
            </w:r>
          </w:p>
        </w:tc>
        <w:tc>
          <w:tcPr>
            <w:tcW w:w="404" w:type="dxa"/>
            <w:noWrap w:val="0"/>
            <w:vAlign w:val="center"/>
          </w:tcPr>
          <w:p w14:paraId="0473F82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712C542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不合理</w:t>
            </w:r>
          </w:p>
        </w:tc>
        <w:tc>
          <w:tcPr>
            <w:tcW w:w="489" w:type="dxa"/>
            <w:noWrap w:val="0"/>
            <w:vAlign w:val="center"/>
          </w:tcPr>
          <w:p w14:paraId="3023A5B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3处及以上不合理</w:t>
            </w:r>
          </w:p>
        </w:tc>
        <w:tc>
          <w:tcPr>
            <w:tcW w:w="455" w:type="dxa"/>
            <w:noWrap w:val="0"/>
            <w:vAlign w:val="center"/>
          </w:tcPr>
          <w:p w14:paraId="2616AB8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2处不合理</w:t>
            </w:r>
          </w:p>
        </w:tc>
        <w:tc>
          <w:tcPr>
            <w:tcW w:w="404" w:type="dxa"/>
            <w:noWrap w:val="0"/>
            <w:vAlign w:val="center"/>
          </w:tcPr>
          <w:p w14:paraId="077B9A5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1处不合理</w:t>
            </w:r>
          </w:p>
        </w:tc>
        <w:tc>
          <w:tcPr>
            <w:tcW w:w="704" w:type="dxa"/>
            <w:noWrap w:val="0"/>
            <w:vAlign w:val="center"/>
          </w:tcPr>
          <w:p w14:paraId="7CE91CF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1601" w:type="dxa"/>
            <w:noWrap w:val="0"/>
            <w:vAlign w:val="center"/>
          </w:tcPr>
          <w:p w14:paraId="08BA130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主要查看项目设立依据是否充分，符合市委、市政府重大决策部署和宏观政策规划，项目年度绩效目标与中长期规划是否一致</w:t>
            </w:r>
          </w:p>
        </w:tc>
        <w:tc>
          <w:tcPr>
            <w:tcW w:w="438" w:type="dxa"/>
            <w:noWrap w:val="0"/>
            <w:vAlign w:val="center"/>
          </w:tcPr>
          <w:p w14:paraId="2C42830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48A6F6EE">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53E93274">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3A80047D">
            <w:pPr>
              <w:snapToGrid w:val="0"/>
              <w:spacing w:line="240" w:lineRule="atLeast"/>
              <w:rPr>
                <w:rFonts w:hint="default" w:ascii="Times New Roman" w:hAnsi="Times New Roman" w:cs="Times New Roman"/>
                <w:b w:val="0"/>
                <w:bCs w:val="0"/>
                <w:color w:val="000000"/>
                <w:sz w:val="21"/>
                <w:szCs w:val="21"/>
              </w:rPr>
            </w:pPr>
          </w:p>
        </w:tc>
        <w:tc>
          <w:tcPr>
            <w:tcW w:w="337" w:type="dxa"/>
            <w:noWrap w:val="0"/>
            <w:vAlign w:val="center"/>
          </w:tcPr>
          <w:p w14:paraId="44A6A63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ign w:val="center"/>
          </w:tcPr>
          <w:p w14:paraId="72159619">
            <w:pPr>
              <w:snapToGrid w:val="0"/>
              <w:spacing w:line="240" w:lineRule="atLeast"/>
              <w:rPr>
                <w:rFonts w:hint="default" w:ascii="Times New Roman" w:hAnsi="Times New Roman" w:cs="Times New Roman"/>
                <w:b w:val="0"/>
                <w:bCs w:val="0"/>
                <w:color w:val="000000"/>
                <w:sz w:val="21"/>
                <w:szCs w:val="21"/>
              </w:rPr>
            </w:pPr>
          </w:p>
        </w:tc>
        <w:tc>
          <w:tcPr>
            <w:tcW w:w="741" w:type="dxa"/>
            <w:noWrap w:val="0"/>
            <w:vAlign w:val="center"/>
          </w:tcPr>
          <w:p w14:paraId="2D877680">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4FC71EDD">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0752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716" w:type="dxa"/>
            <w:vMerge w:val="restart"/>
            <w:noWrap w:val="0"/>
            <w:vAlign w:val="center"/>
          </w:tcPr>
          <w:p w14:paraId="6C4DCFC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314171A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37E0C2A9">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13752EE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结果符合</w:t>
            </w:r>
          </w:p>
        </w:tc>
        <w:tc>
          <w:tcPr>
            <w:tcW w:w="607" w:type="dxa"/>
            <w:noWrap w:val="0"/>
            <w:vAlign w:val="center"/>
          </w:tcPr>
          <w:p w14:paraId="077BC88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5A877A2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704" w:type="dxa"/>
            <w:noWrap w:val="0"/>
            <w:vAlign w:val="center"/>
          </w:tcPr>
          <w:p w14:paraId="6FC46329">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881" w:type="dxa"/>
            <w:noWrap w:val="0"/>
            <w:vAlign w:val="center"/>
          </w:tcPr>
          <w:p w14:paraId="05E320A7">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项目实施结果是否与规划计划一致</w:t>
            </w:r>
          </w:p>
        </w:tc>
        <w:tc>
          <w:tcPr>
            <w:tcW w:w="404" w:type="dxa"/>
            <w:noWrap w:val="0"/>
            <w:vAlign w:val="center"/>
          </w:tcPr>
          <w:p w14:paraId="0A895A6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541" w:type="dxa"/>
            <w:gridSpan w:val="5"/>
            <w:noWrap w:val="0"/>
            <w:vAlign w:val="center"/>
          </w:tcPr>
          <w:p w14:paraId="2C8AAD4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指标得分=项目实施结果符合规划的金额/项目总金额×100%*指标分值</w:t>
            </w:r>
          </w:p>
        </w:tc>
        <w:tc>
          <w:tcPr>
            <w:tcW w:w="1601" w:type="dxa"/>
            <w:noWrap w:val="0"/>
            <w:vAlign w:val="center"/>
          </w:tcPr>
          <w:p w14:paraId="13243823">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按项目法分配的项目，以所有项目点实施完成情况与规划计划情况进行对比。按因素法分配的项目和据实据效分配的项目，将资金分配方向与规划计划支持方向进行对比</w:t>
            </w:r>
          </w:p>
        </w:tc>
        <w:tc>
          <w:tcPr>
            <w:tcW w:w="438" w:type="dxa"/>
            <w:noWrap w:val="0"/>
            <w:vAlign w:val="center"/>
          </w:tcPr>
          <w:p w14:paraId="3154D42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0A277554">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26E10438">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0FB078DB">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27ACC207">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468C3C01">
            <w:pPr>
              <w:snapToGrid w:val="0"/>
              <w:spacing w:line="240" w:lineRule="atLeast"/>
              <w:rPr>
                <w:rFonts w:hint="default" w:ascii="Times New Roman" w:hAnsi="Times New Roman" w:cs="Times New Roman"/>
                <w:b w:val="0"/>
                <w:bCs w:val="0"/>
                <w:color w:val="000000"/>
                <w:sz w:val="21"/>
                <w:szCs w:val="21"/>
              </w:rPr>
            </w:pPr>
          </w:p>
        </w:tc>
        <w:tc>
          <w:tcPr>
            <w:tcW w:w="741" w:type="dxa"/>
            <w:noWrap w:val="0"/>
            <w:vAlign w:val="center"/>
          </w:tcPr>
          <w:p w14:paraId="767B0147">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2DFBCDD2">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4EED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716" w:type="dxa"/>
            <w:vMerge w:val="continue"/>
            <w:noWrap w:val="0"/>
            <w:vAlign w:val="center"/>
          </w:tcPr>
          <w:p w14:paraId="68CD6019">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3F10BAA0">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30B2B77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w:t>
            </w:r>
          </w:p>
        </w:tc>
        <w:tc>
          <w:tcPr>
            <w:tcW w:w="1803" w:type="dxa"/>
            <w:noWrap w:val="0"/>
            <w:vAlign w:val="center"/>
          </w:tcPr>
          <w:p w14:paraId="260F59B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执行有效</w:t>
            </w:r>
          </w:p>
        </w:tc>
        <w:tc>
          <w:tcPr>
            <w:tcW w:w="607" w:type="dxa"/>
            <w:noWrap w:val="0"/>
            <w:vAlign w:val="center"/>
          </w:tcPr>
          <w:p w14:paraId="65EFC1B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552AC1C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704" w:type="dxa"/>
            <w:noWrap w:val="0"/>
            <w:vAlign w:val="center"/>
          </w:tcPr>
          <w:p w14:paraId="5A60BB94">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881" w:type="dxa"/>
            <w:noWrap w:val="0"/>
            <w:vAlign w:val="center"/>
          </w:tcPr>
          <w:p w14:paraId="315DAB0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项目实施是否符合相关管理制度规定</w:t>
            </w:r>
          </w:p>
        </w:tc>
        <w:tc>
          <w:tcPr>
            <w:tcW w:w="404" w:type="dxa"/>
            <w:noWrap w:val="0"/>
            <w:vAlign w:val="center"/>
          </w:tcPr>
          <w:p w14:paraId="69D1C40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541" w:type="dxa"/>
            <w:gridSpan w:val="5"/>
            <w:noWrap w:val="0"/>
            <w:vAlign w:val="center"/>
          </w:tcPr>
          <w:p w14:paraId="6EBB521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601" w:type="dxa"/>
            <w:noWrap w:val="0"/>
            <w:vAlign w:val="center"/>
          </w:tcPr>
          <w:p w14:paraId="0A2B6347">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项目实施是否遵守相关法律法规；项目调整手续是否完备；项目合同、验收报告、技术鉴定等资料是否齐全并及时归档；项目实施的人员条件、场地设备、信息支撑等是否落实到位</w:t>
            </w:r>
          </w:p>
        </w:tc>
        <w:tc>
          <w:tcPr>
            <w:tcW w:w="438" w:type="dxa"/>
            <w:noWrap w:val="0"/>
            <w:vAlign w:val="center"/>
          </w:tcPr>
          <w:p w14:paraId="106034A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501E4CF2">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7651D805">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70FB19A8">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64E08386">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66CB9734">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619BCBEE">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65E39DCF">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5ABB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jc w:val="center"/>
        </w:trPr>
        <w:tc>
          <w:tcPr>
            <w:tcW w:w="716" w:type="dxa"/>
            <w:vMerge w:val="restart"/>
            <w:noWrap w:val="0"/>
            <w:vAlign w:val="center"/>
          </w:tcPr>
          <w:p w14:paraId="7162553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764F3C8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29F4BD13">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11DE1F3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使用合规</w:t>
            </w:r>
          </w:p>
        </w:tc>
        <w:tc>
          <w:tcPr>
            <w:tcW w:w="607" w:type="dxa"/>
            <w:noWrap w:val="0"/>
            <w:vAlign w:val="center"/>
          </w:tcPr>
          <w:p w14:paraId="0373613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4E9BBBF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704" w:type="dxa"/>
            <w:noWrap w:val="0"/>
            <w:vAlign w:val="center"/>
          </w:tcPr>
          <w:p w14:paraId="0E323D67">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881" w:type="dxa"/>
            <w:noWrap w:val="0"/>
            <w:vAlign w:val="center"/>
          </w:tcPr>
          <w:p w14:paraId="7D9F831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项目资金使用是否符合相关的财务管理制度规定</w:t>
            </w:r>
          </w:p>
        </w:tc>
        <w:tc>
          <w:tcPr>
            <w:tcW w:w="404" w:type="dxa"/>
            <w:noWrap w:val="0"/>
            <w:vAlign w:val="center"/>
          </w:tcPr>
          <w:p w14:paraId="3DB4B72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541" w:type="dxa"/>
            <w:gridSpan w:val="5"/>
            <w:noWrap w:val="0"/>
            <w:vAlign w:val="center"/>
          </w:tcPr>
          <w:p w14:paraId="6E5D2E9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601" w:type="dxa"/>
            <w:noWrap w:val="0"/>
            <w:vAlign w:val="center"/>
          </w:tcPr>
          <w:p w14:paraId="71DCC4D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38" w:type="dxa"/>
            <w:noWrap w:val="0"/>
            <w:vAlign w:val="center"/>
          </w:tcPr>
          <w:p w14:paraId="3B9C06A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50F525DA">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21F9E339">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C2714E5">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A5D777E">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45242ACB">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7611EEEF">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4F94DEE5">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5EE4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716" w:type="dxa"/>
            <w:vMerge w:val="continue"/>
            <w:noWrap w:val="0"/>
            <w:vAlign w:val="center"/>
          </w:tcPr>
          <w:p w14:paraId="5A57DEF9">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6210EC2B">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21BC14A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w:t>
            </w:r>
          </w:p>
        </w:tc>
        <w:tc>
          <w:tcPr>
            <w:tcW w:w="1803" w:type="dxa"/>
            <w:noWrap w:val="0"/>
            <w:vAlign w:val="center"/>
          </w:tcPr>
          <w:p w14:paraId="342ED38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预算执行率</w:t>
            </w:r>
          </w:p>
        </w:tc>
        <w:tc>
          <w:tcPr>
            <w:tcW w:w="607" w:type="dxa"/>
            <w:noWrap w:val="0"/>
            <w:vAlign w:val="center"/>
          </w:tcPr>
          <w:p w14:paraId="38461EC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6</w:t>
            </w:r>
          </w:p>
        </w:tc>
        <w:tc>
          <w:tcPr>
            <w:tcW w:w="724" w:type="dxa"/>
            <w:noWrap w:val="0"/>
            <w:vAlign w:val="center"/>
          </w:tcPr>
          <w:p w14:paraId="40F7367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704" w:type="dxa"/>
            <w:noWrap w:val="0"/>
            <w:vAlign w:val="center"/>
          </w:tcPr>
          <w:p w14:paraId="242BDE7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881" w:type="dxa"/>
            <w:noWrap w:val="0"/>
            <w:vAlign w:val="center"/>
          </w:tcPr>
          <w:p w14:paraId="5CEDE17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反映项目资金整体预算执行情况</w:t>
            </w:r>
          </w:p>
        </w:tc>
        <w:tc>
          <w:tcPr>
            <w:tcW w:w="404" w:type="dxa"/>
            <w:noWrap w:val="0"/>
            <w:vAlign w:val="center"/>
          </w:tcPr>
          <w:p w14:paraId="5F80D51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541" w:type="dxa"/>
            <w:gridSpan w:val="5"/>
            <w:noWrap w:val="0"/>
            <w:vAlign w:val="center"/>
          </w:tcPr>
          <w:p w14:paraId="702AB3C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指标得分=实际拨付下达资金/预算安排资金总额×100%*指标分值（预算安排资金总额一般采用年初预算数，若存在政策变化等因素可采用调整预算数）</w:t>
            </w:r>
          </w:p>
        </w:tc>
        <w:tc>
          <w:tcPr>
            <w:tcW w:w="1601" w:type="dxa"/>
            <w:noWrap w:val="0"/>
            <w:vAlign w:val="center"/>
          </w:tcPr>
          <w:p w14:paraId="7BAAF012">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0E97A82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33C588D3">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650DFEE9">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7762730">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3A571F82">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704D22FE">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648D5939">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6D552A14">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6</w:t>
            </w:r>
          </w:p>
        </w:tc>
      </w:tr>
      <w:tr w14:paraId="481E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noWrap w:val="0"/>
            <w:vAlign w:val="center"/>
          </w:tcPr>
          <w:p w14:paraId="28C263A6">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018D4DD2">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03865306">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475FE79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资金使用率</w:t>
            </w:r>
          </w:p>
        </w:tc>
        <w:tc>
          <w:tcPr>
            <w:tcW w:w="607" w:type="dxa"/>
            <w:noWrap w:val="0"/>
            <w:vAlign w:val="center"/>
          </w:tcPr>
          <w:p w14:paraId="5BB4DD4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w:t>
            </w:r>
          </w:p>
        </w:tc>
        <w:tc>
          <w:tcPr>
            <w:tcW w:w="724" w:type="dxa"/>
            <w:noWrap w:val="0"/>
            <w:vAlign w:val="center"/>
          </w:tcPr>
          <w:p w14:paraId="7885E09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704" w:type="dxa"/>
            <w:noWrap w:val="0"/>
            <w:vAlign w:val="center"/>
          </w:tcPr>
          <w:p w14:paraId="681A9D9E">
            <w:pPr>
              <w:snapToGrid w:val="0"/>
              <w:spacing w:line="240" w:lineRule="atLeast"/>
              <w:jc w:val="center"/>
              <w:rPr>
                <w:rFonts w:hint="default" w:ascii="Times New Roman" w:hAnsi="Times New Roman" w:cs="Times New Roman"/>
                <w:b w:val="0"/>
                <w:bCs w:val="0"/>
                <w:color w:val="000000"/>
                <w:sz w:val="21"/>
                <w:szCs w:val="21"/>
              </w:rPr>
            </w:pPr>
          </w:p>
        </w:tc>
        <w:tc>
          <w:tcPr>
            <w:tcW w:w="881" w:type="dxa"/>
            <w:noWrap w:val="0"/>
            <w:vAlign w:val="center"/>
          </w:tcPr>
          <w:p w14:paraId="72B91EE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反映项目点获得资金的使用情况</w:t>
            </w:r>
          </w:p>
        </w:tc>
        <w:tc>
          <w:tcPr>
            <w:tcW w:w="404" w:type="dxa"/>
            <w:noWrap w:val="0"/>
            <w:vAlign w:val="center"/>
          </w:tcPr>
          <w:p w14:paraId="51D14F3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2541" w:type="dxa"/>
            <w:gridSpan w:val="5"/>
            <w:noWrap w:val="0"/>
            <w:vAlign w:val="center"/>
          </w:tcPr>
          <w:p w14:paraId="79FAC8B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9"/>
                <w:rFonts w:hint="default" w:ascii="Times New Roman" w:hAnsi="Times New Roman" w:cs="Times New Roman"/>
                <w:b w:val="0"/>
                <w:bCs w:val="0"/>
                <w:sz w:val="21"/>
                <w:szCs w:val="21"/>
                <w:lang w:bidi="ar"/>
              </w:rPr>
              <w:t>指标得分=项目点实际使用资金/获得补助资金总额×100%*指标分值</w:t>
            </w:r>
            <w:r>
              <w:rPr>
                <w:rStyle w:val="30"/>
                <w:rFonts w:hint="default" w:ascii="Times New Roman" w:hAnsi="Times New Roman" w:cs="Times New Roman"/>
                <w:b w:val="0"/>
                <w:bCs w:val="0"/>
                <w:color w:val="000000"/>
                <w:sz w:val="21"/>
                <w:szCs w:val="21"/>
                <w:lang w:bidi="ar"/>
              </w:rPr>
              <w:t>（后补助资金可不考核本指标）</w:t>
            </w:r>
          </w:p>
        </w:tc>
        <w:tc>
          <w:tcPr>
            <w:tcW w:w="1601" w:type="dxa"/>
            <w:noWrap w:val="0"/>
            <w:vAlign w:val="center"/>
          </w:tcPr>
          <w:p w14:paraId="5B26F241">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不涉及的将分数调整到预算执行率内（6分）</w:t>
            </w:r>
          </w:p>
        </w:tc>
        <w:tc>
          <w:tcPr>
            <w:tcW w:w="438" w:type="dxa"/>
            <w:noWrap w:val="0"/>
            <w:vAlign w:val="center"/>
          </w:tcPr>
          <w:p w14:paraId="1D90CB3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2E61656B">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7AC63850">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050661D5">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7E622B0E">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55805AA9">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201D5B24">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1A855A9D">
            <w:pPr>
              <w:snapToGrid w:val="0"/>
              <w:spacing w:line="240" w:lineRule="atLeast"/>
              <w:rPr>
                <w:rFonts w:hint="eastAsia" w:ascii="Times New Roman" w:hAnsi="Times New Roman" w:eastAsia="宋体" w:cs="Times New Roman"/>
                <w:b w:val="0"/>
                <w:bCs w:val="0"/>
                <w:color w:val="000000"/>
                <w:sz w:val="21"/>
                <w:szCs w:val="21"/>
                <w:lang w:val="en-US" w:eastAsia="zh-CN"/>
              </w:rPr>
            </w:pPr>
          </w:p>
        </w:tc>
      </w:tr>
      <w:tr w14:paraId="7FF4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restart"/>
            <w:noWrap w:val="0"/>
            <w:vAlign w:val="center"/>
          </w:tcPr>
          <w:p w14:paraId="0445489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产出指标（20分）</w:t>
            </w:r>
          </w:p>
        </w:tc>
        <w:tc>
          <w:tcPr>
            <w:tcW w:w="350" w:type="dxa"/>
            <w:vMerge w:val="restart"/>
            <w:noWrap w:val="0"/>
            <w:vAlign w:val="center"/>
          </w:tcPr>
          <w:p w14:paraId="110C865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restart"/>
            <w:noWrap w:val="0"/>
            <w:vAlign w:val="center"/>
          </w:tcPr>
          <w:p w14:paraId="096494CC">
            <w:pPr>
              <w:keepNext w:val="0"/>
              <w:keepLines w:val="0"/>
              <w:widowControl/>
              <w:suppressLineNumbers w:val="0"/>
              <w:jc w:val="center"/>
              <w:textAlignment w:val="center"/>
              <w:rPr>
                <w:rFonts w:hint="default" w:ascii="等线" w:hAnsi="等线" w:eastAsia="等线" w:cs="等线"/>
                <w:i w:val="0"/>
                <w:iCs w:val="0"/>
                <w:color w:val="000000"/>
                <w:kern w:val="0"/>
                <w:sz w:val="18"/>
                <w:szCs w:val="18"/>
                <w:u w:val="none"/>
                <w:lang w:val="en-US" w:eastAsia="zh-CN" w:bidi="ar"/>
              </w:rPr>
            </w:pPr>
            <w:r>
              <w:rPr>
                <w:rFonts w:hint="default" w:ascii="等线" w:hAnsi="等线" w:eastAsia="等线" w:cs="等线"/>
                <w:i w:val="0"/>
                <w:iCs w:val="0"/>
                <w:color w:val="000000"/>
                <w:kern w:val="0"/>
                <w:sz w:val="18"/>
                <w:szCs w:val="18"/>
                <w:u w:val="none"/>
                <w:lang w:val="en-US" w:eastAsia="zh-CN" w:bidi="ar"/>
              </w:rPr>
              <w:t>数量指标</w:t>
            </w:r>
          </w:p>
          <w:p w14:paraId="4BA7ADD0">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p>
        </w:tc>
        <w:tc>
          <w:tcPr>
            <w:tcW w:w="1803" w:type="dxa"/>
            <w:noWrap w:val="0"/>
            <w:vAlign w:val="center"/>
          </w:tcPr>
          <w:p w14:paraId="3A77A495">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区级应急广播系统数量</w:t>
            </w:r>
          </w:p>
        </w:tc>
        <w:tc>
          <w:tcPr>
            <w:tcW w:w="607" w:type="dxa"/>
            <w:noWrap w:val="0"/>
            <w:vAlign w:val="center"/>
          </w:tcPr>
          <w:p w14:paraId="4ED2943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w:t>
            </w:r>
          </w:p>
        </w:tc>
        <w:tc>
          <w:tcPr>
            <w:tcW w:w="724" w:type="dxa"/>
            <w:noWrap w:val="0"/>
            <w:vAlign w:val="center"/>
          </w:tcPr>
          <w:p w14:paraId="7AE5CED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w:t>
            </w:r>
            <w:r>
              <w:rPr>
                <w:rFonts w:hint="eastAsia" w:ascii="Times New Roman" w:hAnsi="Times New Roman" w:cs="Times New Roman"/>
                <w:b w:val="0"/>
                <w:bCs w:val="0"/>
                <w:color w:val="000000"/>
                <w:sz w:val="21"/>
                <w:szCs w:val="21"/>
                <w:lang w:val="en-US" w:eastAsia="zh-CN" w:bidi="ar"/>
              </w:rPr>
              <w:t>1</w:t>
            </w:r>
            <w:r>
              <w:rPr>
                <w:rFonts w:hint="eastAsia" w:ascii="Times New Roman" w:hAnsi="Times New Roman" w:eastAsia="宋体" w:cs="Times New Roman"/>
                <w:b w:val="0"/>
                <w:bCs w:val="0"/>
                <w:color w:val="000000"/>
                <w:sz w:val="21"/>
                <w:szCs w:val="21"/>
                <w:lang w:val="en-US" w:eastAsia="zh-CN" w:bidi="ar"/>
              </w:rPr>
              <w:t>个</w:t>
            </w:r>
          </w:p>
        </w:tc>
        <w:tc>
          <w:tcPr>
            <w:tcW w:w="704" w:type="dxa"/>
            <w:noWrap w:val="0"/>
            <w:vAlign w:val="center"/>
          </w:tcPr>
          <w:p w14:paraId="0AE86D0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1</w:t>
            </w:r>
          </w:p>
        </w:tc>
        <w:tc>
          <w:tcPr>
            <w:tcW w:w="881" w:type="dxa"/>
            <w:noWrap w:val="0"/>
            <w:vAlign w:val="center"/>
          </w:tcPr>
          <w:p w14:paraId="2589F535">
            <w:pPr>
              <w:snapToGrid w:val="0"/>
              <w:spacing w:line="240" w:lineRule="atLeast"/>
              <w:rPr>
                <w:rFonts w:hint="default" w:ascii="Times New Roman" w:hAnsi="Times New Roman" w:cs="Times New Roman"/>
                <w:b w:val="0"/>
                <w:bCs w:val="0"/>
                <w:color w:val="000000"/>
                <w:sz w:val="21"/>
                <w:szCs w:val="21"/>
              </w:rPr>
            </w:pPr>
          </w:p>
        </w:tc>
        <w:tc>
          <w:tcPr>
            <w:tcW w:w="404" w:type="dxa"/>
            <w:vMerge w:val="restart"/>
            <w:noWrap w:val="0"/>
            <w:vAlign w:val="center"/>
          </w:tcPr>
          <w:p w14:paraId="75C8B6DC">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50B9E2D0">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1A6A0066">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44FC816C">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11FE419E">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74D2BABC">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04555442">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591C04E">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58386CEA">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010A34D5">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2C18D390">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w:t>
            </w:r>
          </w:p>
        </w:tc>
      </w:tr>
      <w:tr w14:paraId="5CBE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16" w:type="dxa"/>
            <w:vMerge w:val="continue"/>
            <w:noWrap w:val="0"/>
            <w:vAlign w:val="center"/>
          </w:tcPr>
          <w:p w14:paraId="26621106">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26F3F15A">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32BAF5B9">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p>
        </w:tc>
        <w:tc>
          <w:tcPr>
            <w:tcW w:w="1803" w:type="dxa"/>
            <w:noWrap w:val="0"/>
            <w:vAlign w:val="center"/>
          </w:tcPr>
          <w:p w14:paraId="5B62B5BA">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村级应急前端</w:t>
            </w:r>
          </w:p>
        </w:tc>
        <w:tc>
          <w:tcPr>
            <w:tcW w:w="607" w:type="dxa"/>
            <w:noWrap w:val="0"/>
            <w:vAlign w:val="center"/>
          </w:tcPr>
          <w:p w14:paraId="36A64D9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w:t>
            </w:r>
          </w:p>
        </w:tc>
        <w:tc>
          <w:tcPr>
            <w:tcW w:w="724" w:type="dxa"/>
            <w:noWrap w:val="0"/>
            <w:vAlign w:val="center"/>
          </w:tcPr>
          <w:p w14:paraId="68C2050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w:t>
            </w:r>
            <w:r>
              <w:rPr>
                <w:rFonts w:hint="eastAsia" w:ascii="Times New Roman" w:hAnsi="Times New Roman" w:cs="Times New Roman"/>
                <w:b w:val="0"/>
                <w:bCs w:val="0"/>
                <w:color w:val="000000"/>
                <w:sz w:val="21"/>
                <w:szCs w:val="21"/>
                <w:lang w:val="en-US" w:eastAsia="zh-CN" w:bidi="ar"/>
              </w:rPr>
              <w:t>81个</w:t>
            </w:r>
          </w:p>
        </w:tc>
        <w:tc>
          <w:tcPr>
            <w:tcW w:w="704" w:type="dxa"/>
            <w:noWrap w:val="0"/>
            <w:vAlign w:val="center"/>
          </w:tcPr>
          <w:p w14:paraId="1FDE03EF">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81</w:t>
            </w:r>
          </w:p>
        </w:tc>
        <w:tc>
          <w:tcPr>
            <w:tcW w:w="881" w:type="dxa"/>
            <w:noWrap w:val="0"/>
            <w:vAlign w:val="center"/>
          </w:tcPr>
          <w:p w14:paraId="7C61792D">
            <w:pPr>
              <w:snapToGrid w:val="0"/>
              <w:spacing w:line="240" w:lineRule="atLeast"/>
              <w:rPr>
                <w:rFonts w:hint="default" w:ascii="Times New Roman" w:hAnsi="Times New Roman" w:cs="Times New Roman"/>
                <w:b w:val="0"/>
                <w:bCs w:val="0"/>
                <w:color w:val="000000"/>
                <w:sz w:val="21"/>
                <w:szCs w:val="21"/>
              </w:rPr>
            </w:pPr>
          </w:p>
        </w:tc>
        <w:tc>
          <w:tcPr>
            <w:tcW w:w="404" w:type="dxa"/>
            <w:vMerge w:val="continue"/>
            <w:noWrap w:val="0"/>
            <w:vAlign w:val="center"/>
          </w:tcPr>
          <w:p w14:paraId="43D9D1A1">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78753FE1">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322E35C6">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E02AA5E">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06232E41">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4A6540FC">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B3241EA">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5112567">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01A1D0E2">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0E7DC9E7">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1468AB44">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w:t>
            </w:r>
          </w:p>
        </w:tc>
      </w:tr>
      <w:tr w14:paraId="542E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noWrap w:val="0"/>
            <w:vAlign w:val="center"/>
          </w:tcPr>
          <w:p w14:paraId="06241DE9">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DFE35A1">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0736A285">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p>
        </w:tc>
        <w:tc>
          <w:tcPr>
            <w:tcW w:w="1803" w:type="dxa"/>
            <w:noWrap w:val="0"/>
            <w:vAlign w:val="center"/>
          </w:tcPr>
          <w:p w14:paraId="46D44D28">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终端建设数量</w:t>
            </w:r>
          </w:p>
        </w:tc>
        <w:tc>
          <w:tcPr>
            <w:tcW w:w="607" w:type="dxa"/>
            <w:noWrap w:val="0"/>
            <w:vAlign w:val="center"/>
          </w:tcPr>
          <w:p w14:paraId="4C4D95DD">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4</w:t>
            </w:r>
          </w:p>
        </w:tc>
        <w:tc>
          <w:tcPr>
            <w:tcW w:w="724" w:type="dxa"/>
            <w:noWrap w:val="0"/>
            <w:vAlign w:val="center"/>
          </w:tcPr>
          <w:p w14:paraId="47D1D5CC">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w:t>
            </w:r>
            <w:r>
              <w:rPr>
                <w:rFonts w:hint="eastAsia" w:ascii="Times New Roman" w:hAnsi="Times New Roman" w:cs="Times New Roman"/>
                <w:b w:val="0"/>
                <w:bCs w:val="0"/>
                <w:color w:val="000000"/>
                <w:sz w:val="21"/>
                <w:szCs w:val="21"/>
                <w:lang w:val="en-US" w:eastAsia="zh-CN" w:bidi="ar"/>
              </w:rPr>
              <w:t>300个</w:t>
            </w:r>
          </w:p>
        </w:tc>
        <w:tc>
          <w:tcPr>
            <w:tcW w:w="704" w:type="dxa"/>
            <w:noWrap w:val="0"/>
            <w:vAlign w:val="center"/>
          </w:tcPr>
          <w:p w14:paraId="7EDED5B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300</w:t>
            </w:r>
          </w:p>
        </w:tc>
        <w:tc>
          <w:tcPr>
            <w:tcW w:w="881" w:type="dxa"/>
            <w:noWrap w:val="0"/>
            <w:vAlign w:val="center"/>
          </w:tcPr>
          <w:p w14:paraId="261D6C1C">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 xml:space="preserve"> </w:t>
            </w:r>
          </w:p>
        </w:tc>
        <w:tc>
          <w:tcPr>
            <w:tcW w:w="404" w:type="dxa"/>
            <w:vMerge w:val="continue"/>
            <w:noWrap w:val="0"/>
            <w:vAlign w:val="center"/>
          </w:tcPr>
          <w:p w14:paraId="705EA704">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top"/>
          </w:tcPr>
          <w:p w14:paraId="57F1CA34">
            <w:pPr>
              <w:snapToGrid w:val="0"/>
              <w:spacing w:line="240" w:lineRule="atLeast"/>
              <w:rPr>
                <w:rFonts w:hint="default" w:ascii="Times New Roman" w:hAnsi="Times New Roman" w:cs="Times New Roman"/>
                <w:b w:val="0"/>
                <w:bCs w:val="0"/>
                <w:color w:val="000000"/>
                <w:sz w:val="21"/>
                <w:szCs w:val="21"/>
              </w:rPr>
            </w:pPr>
          </w:p>
        </w:tc>
        <w:tc>
          <w:tcPr>
            <w:tcW w:w="1601" w:type="dxa"/>
            <w:noWrap w:val="0"/>
            <w:vAlign w:val="center"/>
          </w:tcPr>
          <w:p w14:paraId="0D1BC145">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45037F5C">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2DAE7BD3">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1390DC1E">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A582842">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24E1B33A">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0BCD6EA0">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6E19E260">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39F2F31A">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7F0E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16" w:type="dxa"/>
            <w:vMerge w:val="continue"/>
            <w:noWrap w:val="0"/>
            <w:vAlign w:val="center"/>
          </w:tcPr>
          <w:p w14:paraId="2623C507">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00F92F04">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48CA1440">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时效指标</w:t>
            </w:r>
          </w:p>
        </w:tc>
        <w:tc>
          <w:tcPr>
            <w:tcW w:w="1803" w:type="dxa"/>
            <w:noWrap w:val="0"/>
            <w:vAlign w:val="center"/>
          </w:tcPr>
          <w:p w14:paraId="7816FC07">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完成项目招标，启动项目实施，项目实施完成</w:t>
            </w:r>
          </w:p>
        </w:tc>
        <w:tc>
          <w:tcPr>
            <w:tcW w:w="607" w:type="dxa"/>
            <w:noWrap w:val="0"/>
            <w:vAlign w:val="center"/>
          </w:tcPr>
          <w:p w14:paraId="47B996D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w:t>
            </w:r>
          </w:p>
        </w:tc>
        <w:tc>
          <w:tcPr>
            <w:tcW w:w="724" w:type="dxa"/>
            <w:noWrap w:val="0"/>
            <w:vAlign w:val="center"/>
          </w:tcPr>
          <w:p w14:paraId="46BC137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w:t>
            </w:r>
            <w:r>
              <w:rPr>
                <w:rFonts w:hint="eastAsia" w:ascii="Times New Roman" w:hAnsi="Times New Roman" w:cs="Times New Roman"/>
                <w:b w:val="0"/>
                <w:bCs w:val="0"/>
                <w:color w:val="000000"/>
                <w:sz w:val="21"/>
                <w:szCs w:val="21"/>
                <w:lang w:val="en-US" w:eastAsia="zh-CN" w:bidi="ar"/>
              </w:rPr>
              <w:t>2013年7月</w:t>
            </w:r>
          </w:p>
        </w:tc>
        <w:tc>
          <w:tcPr>
            <w:tcW w:w="704" w:type="dxa"/>
            <w:noWrap w:val="0"/>
            <w:vAlign w:val="center"/>
          </w:tcPr>
          <w:p w14:paraId="22C7684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2013年11月</w:t>
            </w:r>
          </w:p>
        </w:tc>
        <w:tc>
          <w:tcPr>
            <w:tcW w:w="881" w:type="dxa"/>
            <w:noWrap w:val="0"/>
            <w:vAlign w:val="center"/>
          </w:tcPr>
          <w:p w14:paraId="5F7C2486">
            <w:pPr>
              <w:snapToGrid w:val="0"/>
              <w:spacing w:line="240" w:lineRule="atLeast"/>
              <w:rPr>
                <w:rFonts w:hint="default" w:ascii="Times New Roman" w:hAnsi="Times New Roman" w:cs="Times New Roman"/>
                <w:b w:val="0"/>
                <w:bCs w:val="0"/>
                <w:color w:val="000000"/>
                <w:sz w:val="21"/>
                <w:szCs w:val="21"/>
              </w:rPr>
            </w:pPr>
          </w:p>
        </w:tc>
        <w:tc>
          <w:tcPr>
            <w:tcW w:w="404" w:type="dxa"/>
            <w:vMerge w:val="continue"/>
            <w:noWrap w:val="0"/>
            <w:vAlign w:val="center"/>
          </w:tcPr>
          <w:p w14:paraId="445D3066">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3C21BF90">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7A7E8731">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7031FC8F">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7C39F347">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7493CA48">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AB40DE5">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2E5D742">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7BD232A8">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7423E73D">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1BC8EF99">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1274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716" w:type="dxa"/>
            <w:vMerge w:val="continue"/>
            <w:noWrap w:val="0"/>
            <w:vAlign w:val="center"/>
          </w:tcPr>
          <w:p w14:paraId="43EB0E07">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restart"/>
            <w:noWrap w:val="0"/>
            <w:vAlign w:val="center"/>
          </w:tcPr>
          <w:p w14:paraId="647850AA">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6C644222">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SA"/>
              </w:rPr>
            </w:pPr>
            <w:r>
              <w:rPr>
                <w:rFonts w:hint="default" w:ascii="等线" w:hAnsi="等线" w:eastAsia="等线" w:cs="等线"/>
                <w:i w:val="0"/>
                <w:iCs w:val="0"/>
                <w:color w:val="000000"/>
                <w:kern w:val="0"/>
                <w:sz w:val="18"/>
                <w:szCs w:val="18"/>
                <w:u w:val="none"/>
                <w:lang w:val="en-US" w:eastAsia="zh-CN" w:bidi="ar"/>
              </w:rPr>
              <w:t>质量指标</w:t>
            </w:r>
          </w:p>
        </w:tc>
        <w:tc>
          <w:tcPr>
            <w:tcW w:w="1803" w:type="dxa"/>
            <w:noWrap w:val="0"/>
            <w:vAlign w:val="center"/>
          </w:tcPr>
          <w:p w14:paraId="6F3EE982">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项目实施合格率（通过省广电局联调联试）</w:t>
            </w:r>
          </w:p>
        </w:tc>
        <w:tc>
          <w:tcPr>
            <w:tcW w:w="607" w:type="dxa"/>
            <w:noWrap w:val="0"/>
            <w:vAlign w:val="center"/>
          </w:tcPr>
          <w:p w14:paraId="71F8EE93">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w:t>
            </w:r>
          </w:p>
        </w:tc>
        <w:tc>
          <w:tcPr>
            <w:tcW w:w="724" w:type="dxa"/>
            <w:noWrap w:val="0"/>
            <w:vAlign w:val="center"/>
          </w:tcPr>
          <w:p w14:paraId="1EF7534F">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=100%</w:t>
            </w:r>
          </w:p>
        </w:tc>
        <w:tc>
          <w:tcPr>
            <w:tcW w:w="704" w:type="dxa"/>
            <w:noWrap w:val="0"/>
            <w:vAlign w:val="center"/>
          </w:tcPr>
          <w:p w14:paraId="42066933">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100%</w:t>
            </w:r>
          </w:p>
        </w:tc>
        <w:tc>
          <w:tcPr>
            <w:tcW w:w="881" w:type="dxa"/>
            <w:noWrap w:val="0"/>
            <w:vAlign w:val="center"/>
          </w:tcPr>
          <w:p w14:paraId="64D2A4F7">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7FEA29E4">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25F0E726">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00EFB069">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BD011E8">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3FA7A249">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2E8A844E">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57EDDF5">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A72109C">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51155E56">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2F225113">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21CF1013">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w:t>
            </w:r>
          </w:p>
        </w:tc>
      </w:tr>
      <w:tr w14:paraId="47AA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716" w:type="dxa"/>
            <w:vMerge w:val="continue"/>
            <w:noWrap w:val="0"/>
            <w:vAlign w:val="center"/>
          </w:tcPr>
          <w:p w14:paraId="02766FB4">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355480D5">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1F9B9544">
            <w:pPr>
              <w:keepNext w:val="0"/>
              <w:keepLines w:val="0"/>
              <w:widowControl/>
              <w:suppressLineNumbers w:val="0"/>
              <w:jc w:val="center"/>
              <w:textAlignment w:val="center"/>
              <w:rPr>
                <w:rFonts w:hint="default" w:ascii="等线" w:hAnsi="等线" w:eastAsia="等线" w:cs="等线"/>
                <w:i w:val="0"/>
                <w:iCs w:val="0"/>
                <w:color w:val="000000"/>
                <w:kern w:val="0"/>
                <w:sz w:val="18"/>
                <w:szCs w:val="18"/>
                <w:u w:val="none"/>
                <w:lang w:val="en-US" w:eastAsia="zh-CN" w:bidi="ar"/>
              </w:rPr>
            </w:pPr>
            <w:r>
              <w:rPr>
                <w:rFonts w:hint="default" w:ascii="等线" w:hAnsi="等线" w:eastAsia="等线" w:cs="等线"/>
                <w:i w:val="0"/>
                <w:iCs w:val="0"/>
                <w:color w:val="000000"/>
                <w:kern w:val="0"/>
                <w:sz w:val="18"/>
                <w:szCs w:val="18"/>
                <w:u w:val="none"/>
                <w:lang w:val="en-US" w:eastAsia="zh-CN" w:bidi="ar"/>
              </w:rPr>
              <w:t>经济成本指标</w:t>
            </w:r>
          </w:p>
        </w:tc>
        <w:tc>
          <w:tcPr>
            <w:tcW w:w="1803" w:type="dxa"/>
            <w:noWrap w:val="0"/>
            <w:vAlign w:val="center"/>
          </w:tcPr>
          <w:p w14:paraId="292FA688">
            <w:pPr>
              <w:keepNext w:val="0"/>
              <w:keepLines w:val="0"/>
              <w:widowControl/>
              <w:suppressLineNumbers w:val="0"/>
              <w:jc w:val="center"/>
              <w:textAlignment w:val="center"/>
              <w:rPr>
                <w:rFonts w:hint="default" w:ascii="等线" w:hAnsi="等线" w:eastAsia="等线" w:cs="等线"/>
                <w:i w:val="0"/>
                <w:iCs w:val="0"/>
                <w:color w:val="000000"/>
                <w:kern w:val="0"/>
                <w:sz w:val="18"/>
                <w:szCs w:val="18"/>
                <w:u w:val="none"/>
                <w:lang w:val="en-US" w:eastAsia="zh-CN" w:bidi="ar"/>
              </w:rPr>
            </w:pPr>
            <w:r>
              <w:rPr>
                <w:rFonts w:hint="default" w:ascii="等线" w:hAnsi="等线" w:eastAsia="等线" w:cs="等线"/>
                <w:i w:val="0"/>
                <w:iCs w:val="0"/>
                <w:color w:val="000000"/>
                <w:kern w:val="0"/>
                <w:sz w:val="18"/>
                <w:szCs w:val="18"/>
                <w:u w:val="none"/>
                <w:lang w:val="en-US" w:eastAsia="zh-CN" w:bidi="ar"/>
              </w:rPr>
              <w:t>项目成本</w:t>
            </w:r>
          </w:p>
        </w:tc>
        <w:tc>
          <w:tcPr>
            <w:tcW w:w="607" w:type="dxa"/>
            <w:noWrap w:val="0"/>
            <w:vAlign w:val="center"/>
          </w:tcPr>
          <w:p w14:paraId="0984888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4</w:t>
            </w:r>
          </w:p>
        </w:tc>
        <w:tc>
          <w:tcPr>
            <w:tcW w:w="724" w:type="dxa"/>
            <w:noWrap w:val="0"/>
            <w:vAlign w:val="center"/>
          </w:tcPr>
          <w:p w14:paraId="1FADDB3C">
            <w:pPr>
              <w:widowControl/>
              <w:snapToGrid w:val="0"/>
              <w:spacing w:line="240" w:lineRule="atLeast"/>
              <w:jc w:val="center"/>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≤345.16</w:t>
            </w:r>
            <w:r>
              <w:rPr>
                <w:rFonts w:hint="eastAsia" w:ascii="Times New Roman" w:hAnsi="Times New Roman" w:cs="Times New Roman"/>
                <w:b w:val="0"/>
                <w:bCs w:val="0"/>
                <w:color w:val="000000"/>
                <w:sz w:val="21"/>
                <w:szCs w:val="21"/>
                <w:lang w:val="en-US" w:eastAsia="zh-CN" w:bidi="ar"/>
              </w:rPr>
              <w:t>万元</w:t>
            </w:r>
          </w:p>
        </w:tc>
        <w:tc>
          <w:tcPr>
            <w:tcW w:w="704" w:type="dxa"/>
            <w:noWrap w:val="0"/>
            <w:vAlign w:val="center"/>
          </w:tcPr>
          <w:p w14:paraId="2E8C362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338.597万元</w:t>
            </w:r>
          </w:p>
        </w:tc>
        <w:tc>
          <w:tcPr>
            <w:tcW w:w="881" w:type="dxa"/>
            <w:noWrap w:val="0"/>
            <w:vAlign w:val="center"/>
          </w:tcPr>
          <w:p w14:paraId="0CD3AA03">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6D18A0EA">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3182E0CF">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3B2E16C2">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0A6F4A44">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0ED4D091">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28FAAC12">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59FE5B09">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C8C119B">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7640534F">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52713E06">
            <w:pPr>
              <w:snapToGrid w:val="0"/>
              <w:spacing w:line="240" w:lineRule="atLeast"/>
              <w:rPr>
                <w:rFonts w:hint="eastAsia" w:ascii="Times New Roman" w:hAnsi="Times New Roman" w:eastAsia="宋体" w:cs="Times New Roman"/>
                <w:b w:val="0"/>
                <w:bCs w:val="0"/>
                <w:color w:val="000000"/>
                <w:sz w:val="21"/>
                <w:szCs w:val="21"/>
                <w:lang w:val="en-US" w:eastAsia="zh-CN"/>
              </w:rPr>
            </w:pPr>
          </w:p>
        </w:tc>
        <w:tc>
          <w:tcPr>
            <w:tcW w:w="490" w:type="dxa"/>
            <w:noWrap/>
            <w:vAlign w:val="center"/>
          </w:tcPr>
          <w:p w14:paraId="141FD1F4">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10E4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16" w:type="dxa"/>
            <w:vMerge w:val="restart"/>
            <w:noWrap w:val="0"/>
            <w:vAlign w:val="center"/>
          </w:tcPr>
          <w:p w14:paraId="3E06261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效益指标（50分）</w:t>
            </w:r>
          </w:p>
        </w:tc>
        <w:tc>
          <w:tcPr>
            <w:tcW w:w="350" w:type="dxa"/>
            <w:vMerge w:val="restart"/>
            <w:noWrap w:val="0"/>
            <w:vAlign w:val="center"/>
          </w:tcPr>
          <w:p w14:paraId="443D8F1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至少填写一栏效益</w:t>
            </w:r>
          </w:p>
        </w:tc>
        <w:tc>
          <w:tcPr>
            <w:tcW w:w="654" w:type="dxa"/>
            <w:noWrap w:val="0"/>
            <w:vAlign w:val="center"/>
          </w:tcPr>
          <w:p w14:paraId="558F00DB">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社会效益指标</w:t>
            </w:r>
          </w:p>
        </w:tc>
        <w:tc>
          <w:tcPr>
            <w:tcW w:w="1803" w:type="dxa"/>
            <w:noWrap w:val="0"/>
            <w:vAlign w:val="center"/>
          </w:tcPr>
          <w:p w14:paraId="02F122C3">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广播电视公共服务覆盖率</w:t>
            </w:r>
          </w:p>
        </w:tc>
        <w:tc>
          <w:tcPr>
            <w:tcW w:w="607" w:type="dxa"/>
            <w:vMerge w:val="restart"/>
            <w:noWrap w:val="0"/>
            <w:vAlign w:val="center"/>
          </w:tcPr>
          <w:p w14:paraId="6A64CC2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50</w:t>
            </w:r>
          </w:p>
        </w:tc>
        <w:tc>
          <w:tcPr>
            <w:tcW w:w="724" w:type="dxa"/>
            <w:noWrap w:val="0"/>
            <w:vAlign w:val="center"/>
          </w:tcPr>
          <w:p w14:paraId="033039A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进一步提高</w:t>
            </w:r>
          </w:p>
        </w:tc>
        <w:tc>
          <w:tcPr>
            <w:tcW w:w="704" w:type="dxa"/>
            <w:noWrap w:val="0"/>
            <w:vAlign w:val="center"/>
          </w:tcPr>
          <w:p w14:paraId="52ED2E3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cs="Times New Roman"/>
                <w:b w:val="0"/>
                <w:bCs w:val="0"/>
                <w:color w:val="000000"/>
                <w:sz w:val="21"/>
                <w:szCs w:val="21"/>
                <w:lang w:val="en-US" w:eastAsia="zh-CN" w:bidi="ar"/>
              </w:rPr>
              <w:t>进一步提高</w:t>
            </w:r>
          </w:p>
        </w:tc>
        <w:tc>
          <w:tcPr>
            <w:tcW w:w="881" w:type="dxa"/>
            <w:noWrap w:val="0"/>
            <w:vAlign w:val="center"/>
          </w:tcPr>
          <w:p w14:paraId="0B3B2589">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4F0010C0">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535EF22F">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59ADA513">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0D784DA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56E93CCE">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11ED705F">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ED7074A">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349125C8">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774BDE46">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79E450C5">
            <w:pPr>
              <w:snapToGrid w:val="0"/>
              <w:spacing w:line="240" w:lineRule="atLeast"/>
              <w:rPr>
                <w:rFonts w:hint="default" w:ascii="Times New Roman" w:hAnsi="Times New Roman" w:cs="Times New Roman"/>
                <w:b w:val="0"/>
                <w:bCs w:val="0"/>
                <w:color w:val="000000"/>
                <w:sz w:val="21"/>
                <w:szCs w:val="21"/>
              </w:rPr>
            </w:pPr>
          </w:p>
        </w:tc>
        <w:tc>
          <w:tcPr>
            <w:tcW w:w="490" w:type="dxa"/>
            <w:vMerge w:val="restart"/>
            <w:noWrap/>
            <w:vAlign w:val="center"/>
          </w:tcPr>
          <w:p w14:paraId="53A67045">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50</w:t>
            </w:r>
          </w:p>
        </w:tc>
      </w:tr>
      <w:tr w14:paraId="262C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16" w:type="dxa"/>
            <w:vMerge w:val="continue"/>
            <w:noWrap w:val="0"/>
            <w:vAlign w:val="center"/>
          </w:tcPr>
          <w:p w14:paraId="59DE5CFE">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7494A566">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3A47DBBF">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可持续影响指标</w:t>
            </w:r>
          </w:p>
        </w:tc>
        <w:tc>
          <w:tcPr>
            <w:tcW w:w="1803" w:type="dxa"/>
            <w:noWrap w:val="0"/>
            <w:vAlign w:val="center"/>
          </w:tcPr>
          <w:p w14:paraId="1FFEAB39">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项目管理制度健全</w:t>
            </w:r>
          </w:p>
        </w:tc>
        <w:tc>
          <w:tcPr>
            <w:tcW w:w="607" w:type="dxa"/>
            <w:vMerge w:val="continue"/>
            <w:noWrap w:val="0"/>
            <w:vAlign w:val="center"/>
          </w:tcPr>
          <w:p w14:paraId="00939D0A">
            <w:pPr>
              <w:snapToGrid w:val="0"/>
              <w:spacing w:line="240" w:lineRule="atLeast"/>
              <w:jc w:val="center"/>
              <w:rPr>
                <w:rFonts w:hint="default" w:ascii="Times New Roman" w:hAnsi="Times New Roman" w:cs="Times New Roman"/>
                <w:b w:val="0"/>
                <w:bCs w:val="0"/>
                <w:color w:val="000000"/>
                <w:sz w:val="21"/>
                <w:szCs w:val="21"/>
              </w:rPr>
            </w:pPr>
          </w:p>
        </w:tc>
        <w:tc>
          <w:tcPr>
            <w:tcW w:w="724" w:type="dxa"/>
            <w:noWrap w:val="0"/>
            <w:vAlign w:val="center"/>
          </w:tcPr>
          <w:p w14:paraId="12877504">
            <w:pPr>
              <w:snapToGrid w:val="0"/>
              <w:spacing w:line="240" w:lineRule="atLeast"/>
              <w:jc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好</w:t>
            </w:r>
          </w:p>
        </w:tc>
        <w:tc>
          <w:tcPr>
            <w:tcW w:w="704" w:type="dxa"/>
            <w:noWrap w:val="0"/>
            <w:vAlign w:val="center"/>
          </w:tcPr>
          <w:p w14:paraId="06D82C1E">
            <w:pPr>
              <w:snapToGrid w:val="0"/>
              <w:spacing w:line="240" w:lineRule="atLeast"/>
              <w:jc w:val="center"/>
              <w:rPr>
                <w:rFonts w:hint="eastAsia" w:ascii="Times New Roman" w:hAnsi="Times New Roman" w:eastAsia="宋体" w:cs="Times New Roman"/>
                <w:b w:val="0"/>
                <w:bCs w:val="0"/>
                <w:color w:val="000000"/>
                <w:sz w:val="21"/>
                <w:szCs w:val="21"/>
                <w:lang w:eastAsia="zh-CN"/>
              </w:rPr>
            </w:pPr>
            <w:r>
              <w:rPr>
                <w:rFonts w:hint="eastAsia" w:ascii="Times New Roman" w:hAnsi="Times New Roman" w:cs="Times New Roman"/>
                <w:b w:val="0"/>
                <w:bCs w:val="0"/>
                <w:color w:val="000000"/>
                <w:sz w:val="21"/>
                <w:szCs w:val="21"/>
                <w:lang w:eastAsia="zh-CN"/>
              </w:rPr>
              <w:t>稳步提升</w:t>
            </w:r>
          </w:p>
        </w:tc>
        <w:tc>
          <w:tcPr>
            <w:tcW w:w="881" w:type="dxa"/>
            <w:noWrap w:val="0"/>
            <w:vAlign w:val="center"/>
          </w:tcPr>
          <w:p w14:paraId="2F66150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A8C3579">
            <w:pPr>
              <w:snapToGrid w:val="0"/>
              <w:spacing w:line="240" w:lineRule="atLeast"/>
              <w:jc w:val="center"/>
              <w:rPr>
                <w:rFonts w:hint="default" w:ascii="Times New Roman" w:hAnsi="Times New Roman" w:cs="Times New Roman"/>
                <w:b w:val="0"/>
                <w:bCs w:val="0"/>
                <w:color w:val="000000"/>
                <w:sz w:val="21"/>
                <w:szCs w:val="21"/>
              </w:rPr>
            </w:pPr>
          </w:p>
        </w:tc>
        <w:tc>
          <w:tcPr>
            <w:tcW w:w="2541" w:type="dxa"/>
            <w:gridSpan w:val="5"/>
            <w:noWrap w:val="0"/>
            <w:vAlign w:val="center"/>
          </w:tcPr>
          <w:p w14:paraId="7059F9CA">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71D06A52">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13577A3">
            <w:pPr>
              <w:snapToGrid w:val="0"/>
              <w:spacing w:line="240" w:lineRule="atLeast"/>
              <w:jc w:val="center"/>
              <w:rPr>
                <w:rFonts w:hint="default" w:ascii="Times New Roman" w:hAnsi="Times New Roman" w:cs="Times New Roman"/>
                <w:b w:val="0"/>
                <w:bCs w:val="0"/>
                <w:color w:val="000000"/>
                <w:sz w:val="21"/>
                <w:szCs w:val="21"/>
              </w:rPr>
            </w:pPr>
          </w:p>
        </w:tc>
        <w:tc>
          <w:tcPr>
            <w:tcW w:w="338" w:type="dxa"/>
            <w:noWrap w:val="0"/>
            <w:vAlign w:val="center"/>
          </w:tcPr>
          <w:p w14:paraId="68C659D5">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69FA87D1">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6EABAE14">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421DEEDE">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6108F559">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16DD15D9">
            <w:pPr>
              <w:snapToGrid w:val="0"/>
              <w:spacing w:line="240" w:lineRule="atLeast"/>
              <w:rPr>
                <w:rFonts w:hint="default" w:ascii="Times New Roman" w:hAnsi="Times New Roman" w:cs="Times New Roman"/>
                <w:b w:val="0"/>
                <w:bCs w:val="0"/>
                <w:color w:val="000000"/>
                <w:sz w:val="21"/>
                <w:szCs w:val="21"/>
              </w:rPr>
            </w:pPr>
          </w:p>
        </w:tc>
        <w:tc>
          <w:tcPr>
            <w:tcW w:w="490" w:type="dxa"/>
            <w:vMerge w:val="continue"/>
            <w:noWrap/>
            <w:vAlign w:val="center"/>
          </w:tcPr>
          <w:p w14:paraId="0F60013E">
            <w:pPr>
              <w:snapToGrid w:val="0"/>
              <w:spacing w:line="240" w:lineRule="atLeast"/>
              <w:rPr>
                <w:rFonts w:hint="default" w:ascii="Times New Roman" w:hAnsi="Times New Roman" w:cs="Times New Roman"/>
                <w:b w:val="0"/>
                <w:bCs w:val="0"/>
                <w:color w:val="000000"/>
                <w:sz w:val="21"/>
                <w:szCs w:val="21"/>
              </w:rPr>
            </w:pPr>
          </w:p>
        </w:tc>
      </w:tr>
      <w:tr w14:paraId="7584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noWrap w:val="0"/>
            <w:vAlign w:val="center"/>
          </w:tcPr>
          <w:p w14:paraId="23FCC1B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满意度（10分）</w:t>
            </w:r>
          </w:p>
        </w:tc>
        <w:tc>
          <w:tcPr>
            <w:tcW w:w="350" w:type="dxa"/>
            <w:noWrap w:val="0"/>
            <w:vAlign w:val="center"/>
          </w:tcPr>
          <w:p w14:paraId="665C0E5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noWrap w:val="0"/>
            <w:vAlign w:val="center"/>
          </w:tcPr>
          <w:p w14:paraId="10354CEF">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default" w:ascii="等线" w:hAnsi="等线" w:eastAsia="等线" w:cs="等线"/>
                <w:i w:val="0"/>
                <w:iCs w:val="0"/>
                <w:color w:val="000000"/>
                <w:kern w:val="0"/>
                <w:sz w:val="18"/>
                <w:szCs w:val="18"/>
                <w:u w:val="none"/>
                <w:lang w:val="en-US" w:eastAsia="zh-CN" w:bidi="ar"/>
              </w:rPr>
              <w:t>服务对象满意度指标</w:t>
            </w:r>
          </w:p>
        </w:tc>
        <w:tc>
          <w:tcPr>
            <w:tcW w:w="1803" w:type="dxa"/>
            <w:noWrap w:val="0"/>
            <w:vAlign w:val="center"/>
          </w:tcPr>
          <w:p w14:paraId="4F5E06FD">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lang w:val="en-US" w:eastAsia="zh-CN" w:bidi="ar"/>
              </w:rPr>
            </w:pPr>
            <w:r>
              <w:rPr>
                <w:rFonts w:hint="default" w:ascii="等线" w:hAnsi="等线" w:eastAsia="等线" w:cs="等线"/>
                <w:i w:val="0"/>
                <w:iCs w:val="0"/>
                <w:color w:val="000000"/>
                <w:kern w:val="0"/>
                <w:sz w:val="18"/>
                <w:szCs w:val="18"/>
                <w:u w:val="none"/>
                <w:lang w:val="en-US" w:eastAsia="zh-CN" w:bidi="ar"/>
              </w:rPr>
              <w:t>受惠群众满意度</w:t>
            </w:r>
          </w:p>
        </w:tc>
        <w:tc>
          <w:tcPr>
            <w:tcW w:w="607" w:type="dxa"/>
            <w:noWrap w:val="0"/>
            <w:vAlign w:val="center"/>
          </w:tcPr>
          <w:p w14:paraId="4FED2F1C">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w:t>
            </w:r>
          </w:p>
        </w:tc>
        <w:tc>
          <w:tcPr>
            <w:tcW w:w="724" w:type="dxa"/>
            <w:noWrap w:val="0"/>
            <w:vAlign w:val="center"/>
          </w:tcPr>
          <w:p w14:paraId="5F0D4446">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w:t>
            </w:r>
            <w:r>
              <w:rPr>
                <w:rFonts w:hint="eastAsia" w:ascii="Times New Roman" w:hAnsi="Times New Roman" w:cs="Times New Roman"/>
                <w:b w:val="0"/>
                <w:bCs w:val="0"/>
                <w:color w:val="000000"/>
                <w:sz w:val="21"/>
                <w:szCs w:val="21"/>
                <w:lang w:val="en-US" w:eastAsia="zh-CN" w:bidi="ar"/>
              </w:rPr>
              <w:t>95</w:t>
            </w:r>
            <w:r>
              <w:rPr>
                <w:rFonts w:hint="eastAsia" w:ascii="Times New Roman" w:hAnsi="Times New Roman" w:eastAsia="宋体" w:cs="Times New Roman"/>
                <w:b w:val="0"/>
                <w:bCs w:val="0"/>
                <w:color w:val="000000"/>
                <w:sz w:val="21"/>
                <w:szCs w:val="21"/>
                <w:lang w:val="en-US" w:eastAsia="zh-CN" w:bidi="ar"/>
              </w:rPr>
              <w:t>%</w:t>
            </w:r>
          </w:p>
        </w:tc>
        <w:tc>
          <w:tcPr>
            <w:tcW w:w="704" w:type="dxa"/>
            <w:noWrap w:val="0"/>
            <w:vAlign w:val="center"/>
          </w:tcPr>
          <w:p w14:paraId="6C4F3F73">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w:t>
            </w:r>
            <w:r>
              <w:rPr>
                <w:rFonts w:hint="eastAsia" w:ascii="Times New Roman" w:hAnsi="Times New Roman" w:cs="Times New Roman"/>
                <w:b w:val="0"/>
                <w:bCs w:val="0"/>
                <w:color w:val="000000"/>
                <w:sz w:val="21"/>
                <w:szCs w:val="21"/>
                <w:lang w:val="en-US" w:eastAsia="zh-CN" w:bidi="ar"/>
              </w:rPr>
              <w:t>6</w:t>
            </w:r>
            <w:r>
              <w:rPr>
                <w:rFonts w:hint="eastAsia" w:ascii="Times New Roman" w:hAnsi="Times New Roman" w:eastAsia="宋体" w:cs="Times New Roman"/>
                <w:b w:val="0"/>
                <w:bCs w:val="0"/>
                <w:color w:val="000000"/>
                <w:sz w:val="21"/>
                <w:szCs w:val="21"/>
                <w:lang w:val="en-US" w:eastAsia="zh-CN" w:bidi="ar"/>
              </w:rPr>
              <w:t>%</w:t>
            </w:r>
          </w:p>
        </w:tc>
        <w:tc>
          <w:tcPr>
            <w:tcW w:w="881" w:type="dxa"/>
            <w:noWrap w:val="0"/>
            <w:vAlign w:val="center"/>
          </w:tcPr>
          <w:p w14:paraId="5EB0514C">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eastAsia="zh-CN" w:bidi="ar-SA"/>
              </w:rPr>
            </w:pPr>
          </w:p>
        </w:tc>
        <w:tc>
          <w:tcPr>
            <w:tcW w:w="404" w:type="dxa"/>
            <w:noWrap w:val="0"/>
            <w:vAlign w:val="center"/>
          </w:tcPr>
          <w:p w14:paraId="2DB711CE">
            <w:pPr>
              <w:snapToGrid w:val="0"/>
              <w:spacing w:line="240" w:lineRule="atLeast"/>
              <w:rPr>
                <w:rFonts w:hint="default" w:ascii="Times New Roman" w:hAnsi="Times New Roman" w:cs="Times New Roman"/>
                <w:b w:val="0"/>
                <w:bCs w:val="0"/>
                <w:color w:val="000000"/>
                <w:sz w:val="21"/>
                <w:szCs w:val="21"/>
              </w:rPr>
            </w:pPr>
          </w:p>
        </w:tc>
        <w:tc>
          <w:tcPr>
            <w:tcW w:w="2541" w:type="dxa"/>
            <w:gridSpan w:val="5"/>
            <w:noWrap w:val="0"/>
            <w:vAlign w:val="center"/>
          </w:tcPr>
          <w:p w14:paraId="0CC881F2">
            <w:pPr>
              <w:snapToGrid w:val="0"/>
              <w:spacing w:line="240" w:lineRule="atLeast"/>
              <w:jc w:val="center"/>
              <w:rPr>
                <w:rFonts w:hint="default" w:ascii="Times New Roman" w:hAnsi="Times New Roman" w:cs="Times New Roman"/>
                <w:b w:val="0"/>
                <w:bCs w:val="0"/>
                <w:color w:val="000000"/>
                <w:sz w:val="21"/>
                <w:szCs w:val="21"/>
              </w:rPr>
            </w:pPr>
          </w:p>
        </w:tc>
        <w:tc>
          <w:tcPr>
            <w:tcW w:w="1601" w:type="dxa"/>
            <w:noWrap w:val="0"/>
            <w:vAlign w:val="center"/>
          </w:tcPr>
          <w:p w14:paraId="25EBF8F5">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02C17E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38" w:type="dxa"/>
            <w:noWrap w:val="0"/>
            <w:vAlign w:val="center"/>
          </w:tcPr>
          <w:p w14:paraId="29DBC48C">
            <w:pPr>
              <w:snapToGrid w:val="0"/>
              <w:spacing w:line="240" w:lineRule="atLeast"/>
              <w:rPr>
                <w:rFonts w:hint="default" w:ascii="Times New Roman" w:hAnsi="Times New Roman" w:cs="Times New Roman"/>
                <w:b w:val="0"/>
                <w:bCs w:val="0"/>
                <w:color w:val="000000"/>
                <w:sz w:val="21"/>
                <w:szCs w:val="21"/>
              </w:rPr>
            </w:pPr>
          </w:p>
        </w:tc>
        <w:tc>
          <w:tcPr>
            <w:tcW w:w="387" w:type="dxa"/>
            <w:noWrap w:val="0"/>
            <w:vAlign w:val="center"/>
          </w:tcPr>
          <w:p w14:paraId="12FE170E">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028285AB">
            <w:pPr>
              <w:snapToGrid w:val="0"/>
              <w:spacing w:line="240" w:lineRule="atLeast"/>
              <w:rPr>
                <w:rFonts w:hint="default" w:ascii="Times New Roman" w:hAnsi="Times New Roman" w:cs="Times New Roman"/>
                <w:b w:val="0"/>
                <w:bCs w:val="0"/>
                <w:color w:val="000000"/>
                <w:sz w:val="21"/>
                <w:szCs w:val="21"/>
              </w:rPr>
            </w:pPr>
          </w:p>
        </w:tc>
        <w:tc>
          <w:tcPr>
            <w:tcW w:w="337" w:type="dxa"/>
            <w:noWrap/>
            <w:vAlign w:val="center"/>
          </w:tcPr>
          <w:p w14:paraId="10183EB4">
            <w:pPr>
              <w:snapToGrid w:val="0"/>
              <w:spacing w:line="240" w:lineRule="atLeast"/>
              <w:rPr>
                <w:rFonts w:hint="default" w:ascii="Times New Roman" w:hAnsi="Times New Roman" w:cs="Times New Roman"/>
                <w:b w:val="0"/>
                <w:bCs w:val="0"/>
                <w:color w:val="000000"/>
                <w:sz w:val="21"/>
                <w:szCs w:val="21"/>
              </w:rPr>
            </w:pPr>
          </w:p>
        </w:tc>
        <w:tc>
          <w:tcPr>
            <w:tcW w:w="405" w:type="dxa"/>
            <w:noWrap/>
            <w:vAlign w:val="center"/>
          </w:tcPr>
          <w:p w14:paraId="6295AC0D">
            <w:pPr>
              <w:snapToGrid w:val="0"/>
              <w:spacing w:line="240" w:lineRule="atLeast"/>
              <w:rPr>
                <w:rFonts w:hint="default" w:ascii="Times New Roman" w:hAnsi="Times New Roman" w:cs="Times New Roman"/>
                <w:b w:val="0"/>
                <w:bCs w:val="0"/>
                <w:color w:val="000000"/>
                <w:sz w:val="21"/>
                <w:szCs w:val="21"/>
              </w:rPr>
            </w:pPr>
          </w:p>
        </w:tc>
        <w:tc>
          <w:tcPr>
            <w:tcW w:w="741" w:type="dxa"/>
            <w:noWrap/>
            <w:vAlign w:val="center"/>
          </w:tcPr>
          <w:p w14:paraId="51239520">
            <w:pPr>
              <w:snapToGrid w:val="0"/>
              <w:spacing w:line="240" w:lineRule="atLeast"/>
              <w:rPr>
                <w:rFonts w:hint="default" w:ascii="Times New Roman" w:hAnsi="Times New Roman" w:cs="Times New Roman"/>
                <w:b w:val="0"/>
                <w:bCs w:val="0"/>
                <w:color w:val="000000"/>
                <w:sz w:val="21"/>
                <w:szCs w:val="21"/>
              </w:rPr>
            </w:pPr>
          </w:p>
        </w:tc>
        <w:tc>
          <w:tcPr>
            <w:tcW w:w="490" w:type="dxa"/>
            <w:noWrap/>
            <w:vAlign w:val="center"/>
          </w:tcPr>
          <w:p w14:paraId="13D6F540">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w:t>
            </w:r>
          </w:p>
        </w:tc>
      </w:tr>
    </w:tbl>
    <w:p w14:paraId="1FF849CF">
      <w:pPr>
        <w:rPr>
          <w:rFonts w:hint="eastAsia"/>
          <w:lang w:val="en-US" w:eastAsia="zh-CN"/>
        </w:rPr>
      </w:pPr>
    </w:p>
    <w:p w14:paraId="4719C51F">
      <w:pPr>
        <w:pStyle w:val="16"/>
        <w:rPr>
          <w:rFonts w:hint="eastAsia"/>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3002BA0E">
      <w:pPr>
        <w:widowControl/>
        <w:suppressAutoHyphens/>
        <w:overflowPunct w:val="0"/>
        <w:autoSpaceDE/>
        <w:autoSpaceDN/>
        <w:bidi w:val="0"/>
        <w:adjustRightInd w:val="0"/>
        <w:snapToGrid w:val="0"/>
        <w:spacing w:before="335" w:beforeLines="50" w:line="560" w:lineRule="atLeast"/>
        <w:jc w:val="center"/>
        <w:rPr>
          <w:rFonts w:hint="default" w:ascii="Times New Roman" w:hAnsi="Times New Roman" w:eastAsia="方正小标宋简体" w:cs="Times New Roman"/>
          <w:kern w:val="0"/>
          <w:sz w:val="44"/>
          <w:szCs w:val="44"/>
          <w:shd w:val="clear" w:color="auto" w:fill="FFFFFF"/>
        </w:rPr>
      </w:pPr>
      <w:r>
        <w:rPr>
          <w:rFonts w:hint="default" w:ascii="Times New Roman" w:hAnsi="Times New Roman" w:eastAsia="方正小标宋简体" w:cs="Times New Roman"/>
          <w:kern w:val="0"/>
          <w:sz w:val="44"/>
          <w:szCs w:val="44"/>
          <w:shd w:val="clear" w:color="auto" w:fill="FFFFFF"/>
        </w:rPr>
        <w:t>部门预算项目支出绩效自评报告</w:t>
      </w:r>
    </w:p>
    <w:p w14:paraId="51A16AC2">
      <w:pPr>
        <w:widowControl/>
        <w:tabs>
          <w:tab w:val="left" w:pos="3885"/>
        </w:tabs>
        <w:suppressAutoHyphens/>
        <w:overflowPunct w:val="0"/>
        <w:autoSpaceDE/>
        <w:autoSpaceDN/>
        <w:bidi w:val="0"/>
        <w:adjustRightInd w:val="0"/>
        <w:snapToGrid w:val="0"/>
        <w:spacing w:line="560" w:lineRule="atLeast"/>
        <w:jc w:val="center"/>
        <w:rPr>
          <w:rFonts w:hint="default" w:ascii="Times New Roman" w:hAnsi="Times New Roman" w:eastAsia="方正小标宋简体" w:cs="Times New Roman"/>
          <w:kern w:val="0"/>
          <w:sz w:val="44"/>
          <w:szCs w:val="44"/>
          <w:shd w:val="clear" w:color="auto" w:fill="FFFFFF"/>
        </w:rPr>
      </w:pPr>
      <w:r>
        <w:rPr>
          <w:rFonts w:hint="default" w:ascii="Times New Roman" w:hAnsi="Times New Roman" w:eastAsia="方正小标宋简体" w:cs="Times New Roman"/>
          <w:kern w:val="0"/>
          <w:sz w:val="44"/>
          <w:szCs w:val="44"/>
          <w:shd w:val="clear" w:color="auto" w:fill="FFFFFF"/>
        </w:rPr>
        <w:t>（送文化下乡项目）</w:t>
      </w:r>
    </w:p>
    <w:p w14:paraId="2DE86DD2">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一、基本情况</w:t>
      </w:r>
    </w:p>
    <w:p w14:paraId="31ED8AF3">
      <w:pPr>
        <w:keepNext w:val="0"/>
        <w:keepLines w:val="0"/>
        <w:pageBreakBefore w:val="0"/>
        <w:numPr>
          <w:ilvl w:val="0"/>
          <w:numId w:val="0"/>
        </w:numPr>
        <w:suppressAutoHyphens/>
        <w:kinsoku/>
        <w:wordWrap/>
        <w:topLinePunct w:val="0"/>
        <w:autoSpaceDE w:val="0"/>
        <w:autoSpaceDN w:val="0"/>
        <w:bidi w:val="0"/>
        <w:adjustRightInd w:val="0"/>
        <w:spacing w:line="520" w:lineRule="exact"/>
        <w:ind w:firstLine="643" w:firstLineChars="200"/>
        <w:jc w:val="left"/>
        <w:textAlignment w:val="auto"/>
        <w:rPr>
          <w:rFonts w:hint="eastAsia" w:ascii="楷体_GB2312" w:hAnsi="Times" w:eastAsia="楷体_GB2312"/>
          <w:b/>
          <w:bCs/>
          <w:kern w:val="36"/>
          <w:sz w:val="32"/>
          <w:szCs w:val="32"/>
          <w:lang w:eastAsia="zh-CN"/>
        </w:rPr>
      </w:pPr>
      <w:r>
        <w:rPr>
          <w:rFonts w:hint="eastAsia" w:ascii="楷体_GB2312" w:hAnsi="Times" w:eastAsia="楷体_GB2312"/>
          <w:b/>
          <w:bCs/>
          <w:kern w:val="36"/>
          <w:sz w:val="32"/>
          <w:szCs w:val="32"/>
          <w:lang w:eastAsia="zh-CN"/>
        </w:rPr>
        <w:t>（一）</w:t>
      </w:r>
      <w:r>
        <w:rPr>
          <w:rFonts w:hint="eastAsia" w:ascii="楷体_GB2312" w:hAnsi="Times" w:eastAsia="楷体_GB2312"/>
          <w:b/>
          <w:bCs/>
          <w:kern w:val="36"/>
          <w:sz w:val="32"/>
          <w:szCs w:val="32"/>
        </w:rPr>
        <w:t>项目</w:t>
      </w:r>
      <w:r>
        <w:rPr>
          <w:rFonts w:hint="eastAsia" w:ascii="楷体_GB2312" w:hAnsi="Times" w:eastAsia="楷体_GB2312"/>
          <w:b/>
          <w:bCs/>
          <w:kern w:val="36"/>
          <w:sz w:val="32"/>
          <w:szCs w:val="32"/>
          <w:lang w:eastAsia="zh-CN"/>
        </w:rPr>
        <w:t>概况</w:t>
      </w:r>
    </w:p>
    <w:p w14:paraId="65E87F04">
      <w:pPr>
        <w:keepNext w:val="0"/>
        <w:keepLines w:val="0"/>
        <w:pageBreakBefore w:val="0"/>
        <w:widowControl w:val="0"/>
        <w:suppressAutoHyphens/>
        <w:kinsoku/>
        <w:wordWrap/>
        <w:overflowPunct/>
        <w:topLinePunct w:val="0"/>
        <w:autoSpaceDE/>
        <w:autoSpaceDN/>
        <w:bidi w:val="0"/>
        <w:adjustRightInd/>
        <w:snapToGrid/>
        <w:spacing w:line="520" w:lineRule="exact"/>
        <w:ind w:firstLine="617" w:firstLineChars="193"/>
        <w:jc w:val="lef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eastAsia="zh-CN"/>
        </w:rPr>
        <w:t>为有效丰富全区群众，特别是偏远农村群众精神文化生活，巩固拓展脱贫</w:t>
      </w:r>
      <w:r>
        <w:rPr>
          <w:rFonts w:hint="eastAsia" w:ascii="仿宋_GB2312" w:hAnsi="仿宋_GB2312" w:eastAsia="仿宋_GB2312" w:cs="仿宋_GB2312"/>
          <w:kern w:val="0"/>
          <w:sz w:val="32"/>
          <w:szCs w:val="32"/>
          <w:lang w:val="en-US" w:eastAsia="zh-CN"/>
        </w:rPr>
        <w:t>攻坚</w:t>
      </w:r>
      <w:r>
        <w:rPr>
          <w:rFonts w:hint="eastAsia" w:ascii="仿宋_GB2312" w:hAnsi="仿宋_GB2312" w:eastAsia="仿宋_GB2312" w:cs="仿宋_GB2312"/>
          <w:kern w:val="0"/>
          <w:sz w:val="32"/>
          <w:szCs w:val="32"/>
          <w:lang w:eastAsia="zh-CN"/>
        </w:rPr>
        <w:t>成果，</w:t>
      </w:r>
      <w:r>
        <w:rPr>
          <w:rFonts w:hint="eastAsia" w:ascii="仿宋_GB2312" w:hAnsi="仿宋_GB2312" w:eastAsia="仿宋_GB2312" w:cs="仿宋_GB2312"/>
          <w:kern w:val="0"/>
          <w:sz w:val="32"/>
          <w:szCs w:val="32"/>
        </w:rPr>
        <w:t>助力乡村振兴</w:t>
      </w:r>
      <w:r>
        <w:rPr>
          <w:rFonts w:hint="eastAsia" w:ascii="仿宋_GB2312" w:hAnsi="仿宋_GB2312" w:eastAsia="仿宋_GB2312" w:cs="仿宋_GB2312"/>
          <w:kern w:val="0"/>
          <w:sz w:val="32"/>
          <w:szCs w:val="32"/>
          <w:lang w:eastAsia="zh-CN"/>
        </w:rPr>
        <w:t>，充分发挥“以文化人、以文育人”作用</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根据省、市、区相关文件精神，在</w:t>
      </w:r>
      <w:r>
        <w:rPr>
          <w:rFonts w:hint="eastAsia" w:ascii="仿宋_GB2312" w:hAnsi="仿宋_GB2312" w:eastAsia="仿宋_GB2312" w:cs="仿宋_GB2312"/>
          <w:color w:val="000000"/>
          <w:kern w:val="2"/>
          <w:sz w:val="32"/>
          <w:szCs w:val="32"/>
          <w:lang w:val="en-US" w:eastAsia="zh-CN" w:bidi="ar-SA"/>
        </w:rPr>
        <w:t>区文化广电旅游局统筹管理下，</w:t>
      </w:r>
      <w:r>
        <w:rPr>
          <w:rFonts w:hint="eastAsia" w:ascii="仿宋_GB2312" w:hAnsi="仿宋_GB2312" w:eastAsia="仿宋_GB2312" w:cs="仿宋_GB2312"/>
          <w:kern w:val="0"/>
          <w:sz w:val="32"/>
          <w:szCs w:val="32"/>
          <w:lang w:eastAsia="zh-CN"/>
        </w:rPr>
        <w:t>文化馆持续开展“送文化下乡”惠民演出，直接将精彩的文艺节目、戏曲节目送到乡镇、社区和村民院坝，让群众在家门口欣赏到高质量的文艺演出，丰富群众精神文化生活，进一步提升了群众的幸福感和获得感。</w:t>
      </w:r>
      <w:r>
        <w:rPr>
          <w:rFonts w:hint="eastAsia" w:ascii="仿宋_GB2312" w:hAnsi="仿宋_GB2312" w:eastAsia="仿宋_GB2312" w:cs="仿宋_GB2312"/>
          <w:kern w:val="0"/>
          <w:sz w:val="32"/>
          <w:szCs w:val="32"/>
          <w:lang w:val="en-US" w:eastAsia="zh-CN"/>
        </w:rPr>
        <w:t>2023年</w:t>
      </w:r>
      <w:r>
        <w:rPr>
          <w:rFonts w:hint="eastAsia" w:ascii="仿宋_GB2312" w:hAnsi="仿宋_GB2312" w:eastAsia="仿宋_GB2312" w:cs="仿宋_GB2312"/>
          <w:kern w:val="0"/>
          <w:sz w:val="32"/>
          <w:szCs w:val="32"/>
          <w:lang w:eastAsia="zh-CN"/>
        </w:rPr>
        <w:t>财政预算送文化下乡专项资金</w:t>
      </w:r>
      <w:r>
        <w:rPr>
          <w:rFonts w:hint="eastAsia" w:ascii="仿宋_GB2312" w:hAnsi="仿宋_GB2312" w:eastAsia="仿宋_GB2312" w:cs="仿宋_GB2312"/>
          <w:kern w:val="0"/>
          <w:sz w:val="32"/>
          <w:szCs w:val="32"/>
          <w:lang w:val="en-US" w:eastAsia="zh-CN"/>
        </w:rPr>
        <w:t>20万元，共计开展文化惠民演出56场。</w:t>
      </w:r>
    </w:p>
    <w:p w14:paraId="219EAA66">
      <w:pPr>
        <w:keepNext w:val="0"/>
        <w:keepLines w:val="0"/>
        <w:pageBreakBefore w:val="0"/>
        <w:widowControl w:val="0"/>
        <w:suppressAutoHyphens/>
        <w:kinsoku/>
        <w:wordWrap/>
        <w:overflowPunct/>
        <w:topLinePunct w:val="0"/>
        <w:autoSpaceDE/>
        <w:autoSpaceDN/>
        <w:bidi w:val="0"/>
        <w:adjustRightInd/>
        <w:snapToGrid/>
        <w:spacing w:line="520" w:lineRule="exact"/>
        <w:ind w:firstLine="620" w:firstLineChars="193"/>
        <w:jc w:val="left"/>
        <w:textAlignment w:val="auto"/>
        <w:rPr>
          <w:rFonts w:hint="eastAsia" w:ascii="楷体_GB2312" w:hAnsi="楷体_GB2312" w:eastAsia="楷体_GB2312" w:cs="楷体_GB2312"/>
          <w:b/>
          <w:bCs/>
          <w:kern w:val="0"/>
          <w:sz w:val="32"/>
          <w:szCs w:val="32"/>
          <w:lang w:val="en-US" w:eastAsia="zh-CN"/>
        </w:rPr>
      </w:pPr>
      <w:r>
        <w:rPr>
          <w:rFonts w:hint="eastAsia" w:ascii="楷体_GB2312" w:hAnsi="楷体_GB2312" w:eastAsia="楷体_GB2312" w:cs="楷体_GB2312"/>
          <w:b/>
          <w:bCs/>
          <w:kern w:val="0"/>
          <w:sz w:val="32"/>
          <w:szCs w:val="32"/>
          <w:lang w:val="en-US" w:eastAsia="zh-CN"/>
        </w:rPr>
        <w:t>（二）项目实施情况</w:t>
      </w:r>
    </w:p>
    <w:p w14:paraId="638E3FC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sz w:val="32"/>
          <w:szCs w:val="32"/>
          <w:lang w:val="en-US" w:eastAsia="zh-CN" w:bidi="ar-SA"/>
        </w:rPr>
        <w:t>“送文化下乡”惠民演出由</w:t>
      </w:r>
      <w:r>
        <w:rPr>
          <w:rFonts w:hint="eastAsia" w:ascii="仿宋_GB2312" w:hAnsi="仿宋_GB2312" w:eastAsia="仿宋_GB2312" w:cs="仿宋_GB2312"/>
          <w:color w:val="000000"/>
          <w:kern w:val="2"/>
          <w:sz w:val="32"/>
          <w:szCs w:val="32"/>
          <w:lang w:val="en-US" w:eastAsia="zh-CN" w:bidi="ar-SA"/>
        </w:rPr>
        <w:t>区文化广电旅游局牵头，区文化馆具体实施，在全区范围内为</w:t>
      </w:r>
      <w:r>
        <w:rPr>
          <w:rFonts w:hint="eastAsia" w:ascii="仿宋_GB2312" w:hAnsi="仿宋_GB2312" w:eastAsia="仿宋_GB2312" w:cs="仿宋_GB2312"/>
          <w:sz w:val="32"/>
          <w:szCs w:val="32"/>
          <w:lang w:val="en-US" w:eastAsia="zh-CN" w:bidi="ar-SA"/>
        </w:rPr>
        <w:t>辖5个街道、7个乡镇，含73个行政村（含社区）群众，开展文艺、戏曲等不同形式文化惠民演出活动56场，</w:t>
      </w:r>
      <w:r>
        <w:rPr>
          <w:rFonts w:hint="eastAsia" w:ascii="仿宋_GB2312" w:hAnsi="仿宋_GB2312" w:eastAsia="仿宋_GB2312" w:cs="仿宋_GB2312"/>
          <w:color w:val="000000"/>
          <w:kern w:val="2"/>
          <w:sz w:val="32"/>
          <w:szCs w:val="32"/>
          <w:lang w:val="en-US" w:eastAsia="zh-CN" w:bidi="ar-SA"/>
        </w:rPr>
        <w:t>满足乡镇、街道、村人民群众的精神文化需求。</w:t>
      </w:r>
    </w:p>
    <w:p w14:paraId="1BECB77A">
      <w:pPr>
        <w:keepNext w:val="0"/>
        <w:keepLines w:val="0"/>
        <w:pageBreakBefore w:val="0"/>
        <w:suppressAutoHyphens/>
        <w:kinsoku/>
        <w:wordWrap/>
        <w:topLinePunct w:val="0"/>
        <w:autoSpaceDE w:val="0"/>
        <w:autoSpaceDN w:val="0"/>
        <w:bidi w:val="0"/>
        <w:adjustRightInd w:val="0"/>
        <w:spacing w:line="520" w:lineRule="exact"/>
        <w:ind w:firstLine="643" w:firstLineChars="200"/>
        <w:jc w:val="left"/>
        <w:textAlignment w:val="auto"/>
        <w:rPr>
          <w:rFonts w:hint="eastAsia" w:ascii="Times" w:hAnsi="Times"/>
          <w:b/>
          <w:bCs/>
          <w:kern w:val="0"/>
          <w:sz w:val="32"/>
          <w:szCs w:val="20"/>
          <w:lang w:val="en-US" w:eastAsia="zh-CN"/>
        </w:rPr>
      </w:pPr>
      <w:r>
        <w:rPr>
          <w:rFonts w:hint="eastAsia" w:ascii="楷体_GB2312" w:hAnsi="楷体_GB2312" w:eastAsia="楷体_GB2312" w:cs="楷体_GB2312"/>
          <w:b/>
          <w:bCs/>
          <w:kern w:val="0"/>
          <w:sz w:val="32"/>
          <w:szCs w:val="32"/>
          <w:lang w:val="en-US" w:eastAsia="zh-CN"/>
        </w:rPr>
        <w:t>（三）资金投入使用情况</w:t>
      </w:r>
    </w:p>
    <w:p w14:paraId="3A456937">
      <w:pPr>
        <w:keepNext w:val="0"/>
        <w:keepLines w:val="0"/>
        <w:pageBreakBefore w:val="0"/>
        <w:suppressAutoHyphens/>
        <w:kinsoku/>
        <w:wordWrap/>
        <w:topLinePunct w:val="0"/>
        <w:autoSpaceDE w:val="0"/>
        <w:autoSpaceDN w:val="0"/>
        <w:bidi w:val="0"/>
        <w:adjustRightInd w:val="0"/>
        <w:spacing w:line="520" w:lineRule="exact"/>
        <w:ind w:firstLine="643" w:firstLineChars="200"/>
        <w:jc w:val="left"/>
        <w:textAlignment w:val="auto"/>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
          <w:bCs/>
          <w:color w:val="000000"/>
          <w:kern w:val="0"/>
          <w:sz w:val="32"/>
          <w:szCs w:val="32"/>
          <w:lang w:val="en-US" w:eastAsia="zh-CN"/>
        </w:rPr>
        <w:t>1、资金到位情况。</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2023年到位</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送文化下乡资金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万元。</w:t>
      </w:r>
    </w:p>
    <w:p w14:paraId="03CB74FA">
      <w:pPr>
        <w:keepNext w:val="0"/>
        <w:keepLines w:val="0"/>
        <w:pageBreakBefore w:val="0"/>
        <w:suppressAutoHyphens/>
        <w:kinsoku/>
        <w:wordWrap/>
        <w:topLinePunct w:val="0"/>
        <w:autoSpaceDE w:val="0"/>
        <w:autoSpaceDN w:val="0"/>
        <w:bidi w:val="0"/>
        <w:adjustRightInd w:val="0"/>
        <w:spacing w:line="520" w:lineRule="exact"/>
        <w:ind w:firstLine="643" w:firstLineChars="200"/>
        <w:jc w:val="left"/>
        <w:textAlignment w:val="auto"/>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bCs/>
          <w:color w:val="000000"/>
          <w:kern w:val="0"/>
          <w:sz w:val="32"/>
          <w:szCs w:val="32"/>
          <w:lang w:val="en-US" w:eastAsia="zh-CN"/>
        </w:rPr>
        <w:t>2、资金使用情况。</w:t>
      </w:r>
      <w:r>
        <w:rPr>
          <w:rFonts w:hint="eastAsia" w:ascii="仿宋_GB2312" w:hAnsi="仿宋_GB2312" w:eastAsia="仿宋_GB2312" w:cs="仿宋_GB2312"/>
          <w:color w:val="000000" w:themeColor="text1"/>
          <w:kern w:val="0"/>
          <w:sz w:val="32"/>
          <w:szCs w:val="32"/>
          <w14:textFill>
            <w14:solidFill>
              <w14:schemeClr w14:val="tx1"/>
            </w14:solidFill>
          </w14:textFill>
        </w:rPr>
        <w:t>该活动具有持续性、长期性，结合当年政府的重点工作</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开展，</w:t>
      </w:r>
      <w:r>
        <w:rPr>
          <w:rFonts w:hint="eastAsia" w:ascii="仿宋_GB2312" w:hAnsi="仿宋_GB2312" w:eastAsia="仿宋_GB2312" w:cs="仿宋_GB2312"/>
          <w:b w:val="0"/>
          <w:bCs w:val="0"/>
          <w:kern w:val="0"/>
          <w:sz w:val="32"/>
          <w:szCs w:val="32"/>
          <w:lang w:val="en-US" w:eastAsia="zh-CN"/>
        </w:rPr>
        <w:t>我局严格按照“统筹规划、分级管理、专款专用、追踪问效”的原则，由局党组按程序研究审核监督部门专项资金使用</w:t>
      </w:r>
      <w:r>
        <w:rPr>
          <w:rFonts w:hint="eastAsia" w:ascii="仿宋_GB2312" w:hAnsi="仿宋_GB2312" w:eastAsia="仿宋_GB2312" w:cs="仿宋_GB2312"/>
          <w:b w:val="0"/>
          <w:bCs w:val="0"/>
          <w:kern w:val="0"/>
          <w:sz w:val="32"/>
          <w:szCs w:val="32"/>
          <w:lang w:val="zh-CN" w:eastAsia="zh-CN"/>
        </w:rPr>
        <w:t>，</w:t>
      </w:r>
      <w:r>
        <w:rPr>
          <w:rFonts w:hint="eastAsia" w:ascii="仿宋_GB2312" w:hAnsi="仿宋_GB2312" w:eastAsia="仿宋_GB2312" w:cs="仿宋_GB2312"/>
          <w:b w:val="0"/>
          <w:bCs w:val="0"/>
          <w:kern w:val="0"/>
          <w:sz w:val="32"/>
          <w:szCs w:val="32"/>
          <w:lang w:val="en-US" w:eastAsia="zh-CN"/>
        </w:rPr>
        <w:t>所有资金全部用于</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送文化下乡</w:t>
      </w:r>
      <w:r>
        <w:rPr>
          <w:rFonts w:hint="eastAsia" w:ascii="仿宋_GB2312" w:hAnsi="仿宋_GB2312" w:eastAsia="仿宋_GB2312" w:cs="仿宋_GB2312"/>
          <w:color w:val="000000" w:themeColor="text1"/>
          <w:kern w:val="0"/>
          <w:sz w:val="32"/>
          <w:szCs w:val="32"/>
          <w14:textFill>
            <w14:solidFill>
              <w14:schemeClr w14:val="tx1"/>
            </w14:solidFill>
          </w14:textFill>
        </w:rPr>
        <w:t>活动的背景制作</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演员</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演出</w:t>
      </w:r>
      <w:r>
        <w:rPr>
          <w:rFonts w:hint="eastAsia" w:ascii="仿宋_GB2312" w:hAnsi="仿宋_GB2312" w:eastAsia="仿宋_GB2312" w:cs="仿宋_GB2312"/>
          <w:color w:val="000000" w:themeColor="text1"/>
          <w:kern w:val="0"/>
          <w:sz w:val="32"/>
          <w:szCs w:val="32"/>
          <w14:textFill>
            <w14:solidFill>
              <w14:schemeClr w14:val="tx1"/>
            </w14:solidFill>
          </w14:textFill>
        </w:rPr>
        <w:t>费用</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、大巴车租赁等</w:t>
      </w:r>
      <w:r>
        <w:rPr>
          <w:rFonts w:hint="eastAsia" w:ascii="仿宋_GB2312" w:hAnsi="仿宋_GB2312" w:eastAsia="仿宋_GB2312" w:cs="仿宋_GB2312"/>
          <w:color w:val="000000" w:themeColor="text1"/>
          <w:kern w:val="0"/>
          <w:sz w:val="32"/>
          <w:szCs w:val="32"/>
          <w14:textFill>
            <w14:solidFill>
              <w14:schemeClr w14:val="tx1"/>
            </w14:solidFill>
          </w14:textFill>
        </w:rPr>
        <w:t>相关费用</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，截至2023年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12月，</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送文化下乡资金共计支出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20万元。</w:t>
      </w:r>
    </w:p>
    <w:p w14:paraId="30FD6189">
      <w:pPr>
        <w:keepNext w:val="0"/>
        <w:keepLines w:val="0"/>
        <w:pageBreakBefore w:val="0"/>
        <w:widowControl w:val="0"/>
        <w:kinsoku/>
        <w:wordWrap/>
        <w:topLinePunct w:val="0"/>
        <w:autoSpaceDE w:val="0"/>
        <w:autoSpaceDN w:val="0"/>
        <w:bidi w:val="0"/>
        <w:adjustRightInd w:val="0"/>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（四）项目绩效目标</w:t>
      </w:r>
    </w:p>
    <w:p w14:paraId="765A5EBD">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kern w:val="36"/>
          <w:sz w:val="32"/>
          <w:szCs w:val="32"/>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kern w:val="0"/>
          <w:sz w:val="32"/>
          <w:szCs w:val="32"/>
          <w14:textFill>
            <w14:solidFill>
              <w14:schemeClr w14:val="tx1"/>
            </w14:solidFill>
          </w14:textFill>
        </w:rPr>
        <w:t>全区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5个街道、7个乡镇，73个行政村（含社区）完成下基层文化惠民演出</w:t>
      </w:r>
      <w:r>
        <w:rPr>
          <w:rFonts w:hint="eastAsia" w:ascii="仿宋_GB2312" w:hAnsi="仿宋_GB2312" w:eastAsia="仿宋_GB2312" w:cs="仿宋_GB2312"/>
          <w:kern w:val="0"/>
          <w:sz w:val="32"/>
          <w:szCs w:val="32"/>
          <w:lang w:val="en-US" w:eastAsia="zh-CN"/>
        </w:rPr>
        <w:t>56场次，</w:t>
      </w:r>
      <w:r>
        <w:rPr>
          <w:rFonts w:hint="eastAsia" w:ascii="仿宋_GB2312" w:hAnsi="仿宋_GB2312" w:eastAsia="仿宋_GB2312" w:cs="仿宋_GB2312"/>
          <w:b w:val="0"/>
          <w:bCs w:val="0"/>
          <w:kern w:val="2"/>
          <w:sz w:val="32"/>
          <w:szCs w:val="32"/>
          <w:lang w:val="en-US" w:eastAsia="zh-CN"/>
        </w:rPr>
        <w:t>演员参与人数490人，为群众送上丰富多彩的文化大餐。</w:t>
      </w:r>
      <w:r>
        <w:rPr>
          <w:rFonts w:hint="eastAsia" w:ascii="仿宋_GB2312" w:hAnsi="仿宋_GB2312" w:eastAsia="仿宋_GB2312" w:cs="仿宋_GB2312"/>
          <w:kern w:val="0"/>
          <w:sz w:val="32"/>
          <w:szCs w:val="32"/>
          <w:lang w:val="en-US" w:eastAsia="zh-CN"/>
        </w:rPr>
        <w:t>演出群众参与率97%，</w:t>
      </w:r>
      <w:r>
        <w:rPr>
          <w:rFonts w:hint="eastAsia" w:ascii="仿宋_GB2312" w:hAnsi="仿宋_GB2312" w:eastAsia="仿宋_GB2312" w:cs="仿宋_GB2312"/>
          <w:b w:val="0"/>
          <w:bCs w:val="0"/>
          <w:kern w:val="2"/>
          <w:sz w:val="32"/>
          <w:szCs w:val="32"/>
          <w:lang w:val="en-US" w:eastAsia="zh-CN"/>
        </w:rPr>
        <w:t>演员服务达标率100%，每场活动成本≤3500元，演出覆盖率≥98%，</w:t>
      </w:r>
      <w:r>
        <w:rPr>
          <w:rFonts w:hint="eastAsia" w:ascii="仿宋_GB2312" w:hAnsi="仿宋_GB2312" w:eastAsia="仿宋_GB2312" w:cs="仿宋_GB2312"/>
          <w:kern w:val="36"/>
          <w:sz w:val="32"/>
          <w:szCs w:val="32"/>
        </w:rPr>
        <w:t>群众满意</w:t>
      </w:r>
      <w:r>
        <w:rPr>
          <w:rFonts w:hint="eastAsia" w:ascii="仿宋_GB2312" w:hAnsi="仿宋_GB2312" w:eastAsia="仿宋_GB2312" w:cs="仿宋_GB2312"/>
          <w:kern w:val="36"/>
          <w:sz w:val="32"/>
          <w:szCs w:val="32"/>
          <w:lang w:eastAsia="zh-CN"/>
        </w:rPr>
        <w:t>度</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kern w:val="36"/>
          <w:sz w:val="32"/>
          <w:szCs w:val="32"/>
        </w:rPr>
        <w:t>9</w:t>
      </w:r>
      <w:r>
        <w:rPr>
          <w:rFonts w:hint="eastAsia" w:ascii="仿宋_GB2312" w:hAnsi="仿宋_GB2312" w:eastAsia="仿宋_GB2312" w:cs="仿宋_GB2312"/>
          <w:kern w:val="36"/>
          <w:sz w:val="32"/>
          <w:szCs w:val="32"/>
          <w:lang w:val="en-US" w:eastAsia="zh-CN"/>
        </w:rPr>
        <w:t>8</w:t>
      </w:r>
      <w:r>
        <w:rPr>
          <w:rFonts w:hint="eastAsia" w:ascii="仿宋_GB2312" w:hAnsi="仿宋_GB2312" w:eastAsia="仿宋_GB2312" w:cs="仿宋_GB2312"/>
          <w:kern w:val="36"/>
          <w:sz w:val="32"/>
          <w:szCs w:val="32"/>
        </w:rPr>
        <w:t>%。</w:t>
      </w:r>
    </w:p>
    <w:p w14:paraId="1AD93894">
      <w:pPr>
        <w:keepNext w:val="0"/>
        <w:keepLines w:val="0"/>
        <w:pageBreakBefore w:val="0"/>
        <w:suppressAutoHyphens/>
        <w:kinsoku/>
        <w:wordWrap/>
        <w:overflowPunct w:val="0"/>
        <w:topLinePunct w:val="0"/>
        <w:autoSpaceDE/>
        <w:autoSpaceDN/>
        <w:bidi w:val="0"/>
        <w:adjustRightInd w:val="0"/>
        <w:snapToGrid w:val="0"/>
        <w:spacing w:line="520" w:lineRule="exact"/>
        <w:ind w:firstLine="720"/>
        <w:jc w:val="both"/>
        <w:textAlignment w:val="auto"/>
        <w:rPr>
          <w:rFonts w:hint="eastAsia" w:ascii="Times" w:hAnsi="Times"/>
          <w:kern w:val="0"/>
          <w:sz w:val="32"/>
          <w:szCs w:val="20"/>
          <w:lang w:val="en-US" w:eastAsia="zh-CN"/>
        </w:rPr>
      </w:pPr>
      <w:r>
        <w:rPr>
          <w:rFonts w:hint="eastAsia" w:ascii="仿宋_GB2312" w:hAnsi="仿宋_GB2312" w:eastAsia="仿宋_GB2312" w:cs="仿宋_GB2312"/>
          <w:kern w:val="0"/>
          <w:sz w:val="32"/>
          <w:szCs w:val="32"/>
          <w:lang w:val="en-US" w:eastAsia="zh-CN"/>
        </w:rPr>
        <w:t>为保障该项目高质量完成，该项目从数量、质量、时效、成本、社会效益、可持续影响、满意度等多个维度对项目实现目标进行了量化，且申报内容与实际相符，目标具有可行性。</w:t>
      </w:r>
    </w:p>
    <w:p w14:paraId="35F6154B">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二、评价工作开展情况</w:t>
      </w:r>
    </w:p>
    <w:p w14:paraId="43E9161F">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Times New Roman" w:hAnsi="Times New Roman" w:eastAsia="宋体" w:cs="Times New Roman"/>
          <w:b/>
          <w:bCs/>
          <w:sz w:val="32"/>
          <w:lang w:val="en-US" w:eastAsia="zh-CN" w:bidi="ar-SA"/>
        </w:rPr>
      </w:pPr>
      <w:r>
        <w:rPr>
          <w:rFonts w:hint="eastAsia" w:ascii="楷体_GB2312" w:hAnsi="楷体_GB2312" w:eastAsia="楷体_GB2312" w:cs="楷体_GB2312"/>
          <w:b/>
          <w:bCs/>
          <w:sz w:val="32"/>
          <w:szCs w:val="32"/>
          <w:lang w:val="en-US" w:eastAsia="zh-CN" w:bidi="ar-SA"/>
        </w:rPr>
        <w:t>（一）评价组织情况</w:t>
      </w:r>
    </w:p>
    <w:p w14:paraId="302C0ED8">
      <w:pPr>
        <w:keepNext w:val="0"/>
        <w:keepLines w:val="0"/>
        <w:pageBreakBefore w:val="0"/>
        <w:widowControl w:val="0"/>
        <w:suppressAutoHyphens/>
        <w:kinsoku/>
        <w:wordWrap/>
        <w:overflowPunct/>
        <w:topLinePunct w:val="0"/>
        <w:autoSpaceDE/>
        <w:autoSpaceDN/>
        <w:bidi w:val="0"/>
        <w:adjustRightInd w:val="0"/>
        <w:snapToGrid w:val="0"/>
        <w:spacing w:line="520" w:lineRule="exact"/>
        <w:ind w:firstLine="64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color w:val="000000"/>
          <w:kern w:val="2"/>
          <w:sz w:val="32"/>
          <w:szCs w:val="32"/>
          <w:lang w:val="en-US" w:eastAsia="zh-CN" w:bidi="ar-SA"/>
        </w:rPr>
        <w:t>区文化广电旅游局作为船山区送文化下乡项目的主管部门，</w:t>
      </w:r>
      <w:r>
        <w:rPr>
          <w:rFonts w:hint="eastAsia" w:ascii="仿宋_GB2312" w:hAnsi="仿宋_GB2312" w:eastAsia="仿宋_GB2312" w:cs="仿宋_GB2312"/>
          <w:kern w:val="0"/>
          <w:sz w:val="32"/>
          <w:szCs w:val="32"/>
          <w:lang w:val="en-US" w:eastAsia="zh-CN"/>
        </w:rPr>
        <w:t>负责对本项目的统筹谋划，全程监督管理和绩效评价。</w:t>
      </w:r>
    </w:p>
    <w:p w14:paraId="34422371">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（二）评价指标体系</w:t>
      </w:r>
    </w:p>
    <w:p w14:paraId="740183D3">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firstLine="640" w:firstLineChars="200"/>
        <w:jc w:val="left"/>
        <w:textAlignment w:val="auto"/>
        <w:rPr>
          <w:rFonts w:hint="eastAsia" w:ascii="仿宋_GB2312" w:hAnsi="华文仿宋" w:eastAsia="仿宋_GB2312" w:cs="Times New Roman"/>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指标体系主要集中在项目决策、实施项目、项目预算、数量、质量、时效、成本、社会效益、可持续性及受惠群众满意度</w:t>
      </w:r>
      <w:r>
        <w:rPr>
          <w:rFonts w:hint="eastAsia" w:ascii="仿宋_GB2312" w:hAnsi="华文仿宋" w:eastAsia="仿宋_GB2312" w:cs="Times New Roman"/>
          <w:color w:val="000000"/>
          <w:kern w:val="2"/>
          <w:sz w:val="32"/>
          <w:szCs w:val="32"/>
          <w:lang w:val="en-US" w:eastAsia="zh-CN" w:bidi="ar-SA"/>
        </w:rPr>
        <w:t>。</w:t>
      </w:r>
    </w:p>
    <w:p w14:paraId="4C114A6F">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项目决策</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目标决策程序严密管理制度健全完善</w:t>
      </w:r>
      <w:r>
        <w:rPr>
          <w:rFonts w:hint="eastAsia" w:ascii="Times New Roman" w:hAnsi="Times New Roman" w:eastAsia="仿宋_GB2312" w:cs="Times New Roman"/>
          <w:kern w:val="0"/>
          <w:sz w:val="32"/>
          <w:szCs w:val="32"/>
          <w:lang w:val="en-US" w:eastAsia="zh-CN"/>
        </w:rPr>
        <w:t>、规划合理符合市委、市政府及区委、区政府重大决策部署，项目实施结果与项目年度目标一致、</w:t>
      </w:r>
      <w:r>
        <w:rPr>
          <w:rFonts w:hint="default" w:ascii="Times New Roman" w:hAnsi="Times New Roman" w:eastAsia="仿宋_GB2312" w:cs="Times New Roman"/>
          <w:kern w:val="0"/>
          <w:sz w:val="32"/>
          <w:szCs w:val="32"/>
          <w:lang w:val="en-US" w:eastAsia="zh-CN"/>
        </w:rPr>
        <w:t>与规划计划一致</w:t>
      </w:r>
      <w:r>
        <w:rPr>
          <w:rFonts w:hint="eastAsia" w:ascii="Times New Roman" w:hAnsi="Times New Roman" w:eastAsia="仿宋_GB2312" w:cs="Times New Roman"/>
          <w:kern w:val="0"/>
          <w:sz w:val="32"/>
          <w:szCs w:val="32"/>
          <w:lang w:val="en-US" w:eastAsia="zh-CN"/>
        </w:rPr>
        <w:t>。自评得分</w:t>
      </w:r>
      <w:r>
        <w:rPr>
          <w:rFonts w:hint="eastAsia" w:ascii="仿宋_GB2312" w:hAnsi="仿宋_GB2312" w:eastAsia="仿宋_GB2312" w:cs="仿宋_GB2312"/>
          <w:kern w:val="0"/>
          <w:sz w:val="32"/>
          <w:szCs w:val="32"/>
          <w:lang w:val="en-US" w:eastAsia="zh-CN"/>
        </w:rPr>
        <w:t>：6分。</w:t>
      </w:r>
    </w:p>
    <w:p w14:paraId="26461CCC">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宋体"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项目实施：项目实施符合相关管理制度规定，项目实施人员、场地等落实到位，项目手续完备，有项目合同、验收报告等资料，并归纳建档；项目资金使用符合相关的财务管理制度规定，资金拨付程序手续完整资金拨付程序、手续完整，符合项目预算批复，无挤占、挪用等情况。自评得分</w:t>
      </w:r>
      <w:r>
        <w:rPr>
          <w:rFonts w:hint="eastAsia" w:ascii="仿宋_GB2312" w:hAnsi="仿宋_GB2312" w:eastAsia="仿宋_GB2312" w:cs="仿宋_GB2312"/>
          <w:kern w:val="0"/>
          <w:sz w:val="32"/>
          <w:szCs w:val="32"/>
          <w:lang w:val="en-US" w:eastAsia="zh-CN"/>
        </w:rPr>
        <w:t>：8分。</w:t>
      </w:r>
    </w:p>
    <w:p w14:paraId="790EEB92">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项目</w:t>
      </w:r>
      <w:r>
        <w:rPr>
          <w:rFonts w:hint="eastAsia" w:ascii="Times New Roman" w:hAnsi="Times New Roman" w:eastAsia="仿宋_GB2312" w:cs="Times New Roman"/>
          <w:kern w:val="0"/>
          <w:sz w:val="32"/>
          <w:szCs w:val="32"/>
          <w:lang w:val="en-US" w:eastAsia="zh-CN"/>
        </w:rPr>
        <w:t>预算执行：</w:t>
      </w:r>
      <w:r>
        <w:rPr>
          <w:rFonts w:hint="eastAsia" w:ascii="仿宋_GB2312" w:hAnsi="仿宋_GB2312" w:eastAsia="仿宋_GB2312" w:cs="仿宋_GB2312"/>
          <w:kern w:val="0"/>
          <w:sz w:val="32"/>
          <w:szCs w:val="32"/>
          <w:lang w:val="en-US" w:eastAsia="zh-CN"/>
        </w:rPr>
        <w:t>年初预算，预算执行率100%。自评得分：6分。</w:t>
      </w:r>
    </w:p>
    <w:p w14:paraId="25CC18D5">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数量</w:t>
      </w:r>
      <w:r>
        <w:rPr>
          <w:rFonts w:hint="eastAsia" w:ascii="Times New Roman" w:hAnsi="Times New Roman" w:eastAsia="仿宋_GB2312" w:cs="Times New Roman"/>
          <w:kern w:val="0"/>
          <w:sz w:val="32"/>
          <w:szCs w:val="32"/>
          <w:lang w:val="en-US" w:eastAsia="zh-CN"/>
        </w:rPr>
        <w:t>指标</w:t>
      </w:r>
      <w:r>
        <w:rPr>
          <w:rFonts w:hint="default" w:ascii="Times New Roman" w:hAnsi="Times New Roman" w:eastAsia="仿宋_GB2312" w:cs="Times New Roman"/>
          <w:kern w:val="0"/>
          <w:sz w:val="32"/>
          <w:szCs w:val="32"/>
          <w:lang w:val="en-US" w:eastAsia="zh-CN"/>
        </w:rPr>
        <w:t>：</w:t>
      </w:r>
      <w:r>
        <w:rPr>
          <w:rFonts w:hint="eastAsia" w:ascii="仿宋_GB2312" w:hAnsi="仿宋_GB2312" w:eastAsia="仿宋_GB2312" w:cs="仿宋_GB2312"/>
          <w:kern w:val="0"/>
          <w:sz w:val="32"/>
          <w:szCs w:val="32"/>
          <w:lang w:val="en-US" w:eastAsia="zh-CN"/>
        </w:rPr>
        <w:t>开展“送文化下乡”文化惠民演出56场、演员参与人数490人。自评得分：5分。</w:t>
      </w:r>
    </w:p>
    <w:p w14:paraId="04CC7D01">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质量</w:t>
      </w:r>
      <w:r>
        <w:rPr>
          <w:rFonts w:hint="eastAsia" w:ascii="Times New Roman" w:hAnsi="Times New Roman" w:eastAsia="仿宋_GB2312" w:cs="Times New Roman"/>
          <w:kern w:val="0"/>
          <w:sz w:val="32"/>
          <w:szCs w:val="32"/>
          <w:lang w:val="en-US" w:eastAsia="zh-CN"/>
        </w:rPr>
        <w:t>指标</w:t>
      </w:r>
      <w:r>
        <w:rPr>
          <w:rFonts w:hint="default"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lang w:val="en-US" w:eastAsia="zh-CN"/>
        </w:rPr>
        <w:t>截至2023年</w:t>
      </w:r>
      <w:r>
        <w:rPr>
          <w:rFonts w:hint="eastAsia" w:ascii="仿宋_GB2312" w:hAnsi="仿宋_GB2312" w:eastAsia="仿宋_GB2312" w:cs="仿宋_GB2312"/>
          <w:kern w:val="0"/>
          <w:sz w:val="32"/>
          <w:szCs w:val="32"/>
          <w:lang w:val="en-US" w:eastAsia="zh-CN"/>
        </w:rPr>
        <w:t>12月</w:t>
      </w:r>
      <w:r>
        <w:rPr>
          <w:rFonts w:hint="eastAsia" w:ascii="Times" w:hAnsi="Times" w:eastAsia="仿宋_GB2312" w:cs="Times New Roman"/>
          <w:kern w:val="0"/>
          <w:sz w:val="32"/>
          <w:szCs w:val="32"/>
          <w:lang w:val="en-US" w:eastAsia="zh-CN"/>
        </w:rPr>
        <w:t>，</w:t>
      </w:r>
      <w:r>
        <w:rPr>
          <w:rFonts w:hint="eastAsia" w:ascii="仿宋_GB2312" w:hAnsi="仿宋_GB2312" w:eastAsia="仿宋_GB2312" w:cs="仿宋_GB2312"/>
          <w:kern w:val="0"/>
          <w:sz w:val="32"/>
          <w:szCs w:val="32"/>
          <w:lang w:val="en-US" w:eastAsia="zh-CN"/>
        </w:rPr>
        <w:t>“送文化下乡”演出群众参与率97%，参与演员服务达标率100%。自评得分：5分。</w:t>
      </w:r>
    </w:p>
    <w:p w14:paraId="0F3067DA">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Times New Roman" w:hAnsi="Times New Roman" w:eastAsia="仿宋_GB2312" w:cs="Times New Roman"/>
          <w:kern w:val="0"/>
          <w:sz w:val="32"/>
          <w:szCs w:val="32"/>
          <w:lang w:val="en-US" w:eastAsia="zh-CN"/>
        </w:rPr>
        <w:t>时效指标：</w:t>
      </w:r>
      <w:r>
        <w:rPr>
          <w:rFonts w:hint="eastAsia" w:ascii="仿宋_GB2312" w:hAnsi="仿宋_GB2312" w:eastAsia="仿宋_GB2312" w:cs="仿宋_GB2312"/>
          <w:kern w:val="0"/>
          <w:sz w:val="32"/>
          <w:szCs w:val="32"/>
          <w:lang w:val="en-US" w:eastAsia="zh-CN"/>
        </w:rPr>
        <w:t>“送文化下乡”演出56场演出完成，演出完成及时率100%。自评得分：5分。</w:t>
      </w:r>
    </w:p>
    <w:p w14:paraId="500A79BB">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b w:val="0"/>
          <w:bCs w:val="0"/>
          <w:kern w:val="0"/>
          <w:sz w:val="32"/>
          <w:szCs w:val="32"/>
          <w:lang w:val="en-US" w:eastAsia="zh-CN"/>
        </w:rPr>
        <w:t>截至2023年12月，“送文化下乡”项目支出总成本</w:t>
      </w:r>
      <w:r>
        <w:rPr>
          <w:rFonts w:hint="eastAsia" w:ascii="仿宋_GB2312" w:hAnsi="宋体" w:eastAsia="仿宋_GB2312" w:cs="Times New Roman"/>
          <w:kern w:val="0"/>
          <w:sz w:val="32"/>
          <w:szCs w:val="32"/>
          <w:lang w:val="en-US" w:eastAsia="zh-CN" w:bidi="ar-SA"/>
        </w:rPr>
        <w:t>20万</w:t>
      </w:r>
      <w:r>
        <w:rPr>
          <w:rFonts w:hint="eastAsia" w:ascii="仿宋_GB2312" w:hAnsi="仿宋_GB2312" w:eastAsia="仿宋_GB2312" w:cs="仿宋_GB2312"/>
          <w:b w:val="0"/>
          <w:bCs w:val="0"/>
          <w:kern w:val="0"/>
          <w:sz w:val="32"/>
          <w:szCs w:val="32"/>
          <w:lang w:val="en-US" w:eastAsia="zh-CN"/>
        </w:rPr>
        <w:t>元，完成年初预算。</w:t>
      </w:r>
      <w:r>
        <w:rPr>
          <w:rFonts w:hint="eastAsia" w:ascii="仿宋_GB2312" w:hAnsi="仿宋_GB2312" w:eastAsia="仿宋_GB2312" w:cs="仿宋_GB2312"/>
          <w:kern w:val="0"/>
          <w:sz w:val="32"/>
          <w:szCs w:val="32"/>
          <w:lang w:val="en-US" w:eastAsia="zh-CN"/>
        </w:rPr>
        <w:t>自评得分：5分。</w:t>
      </w:r>
    </w:p>
    <w:p w14:paraId="3608642B">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社会效益指标：通过在5个街道、7个乡镇开展56场文化下基层惠民演出，丰富群众精神文化生活，“送文化下乡”演出覆盖率</w:t>
      </w:r>
      <w:r>
        <w:rPr>
          <w:rFonts w:hint="eastAsia" w:ascii="仿宋_GB2312" w:hAnsi="仿宋_GB2312" w:eastAsia="仿宋_GB2312" w:cs="仿宋_GB2312"/>
          <w:kern w:val="0"/>
          <w:sz w:val="32"/>
          <w:szCs w:val="32"/>
          <w:lang w:val="en-US" w:eastAsia="zh-CN"/>
        </w:rPr>
        <w:t>98%</w:t>
      </w:r>
      <w:r>
        <w:rPr>
          <w:rFonts w:hint="eastAsia"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kern w:val="0"/>
          <w:sz w:val="32"/>
          <w:szCs w:val="32"/>
          <w:lang w:val="en-US" w:eastAsia="zh-CN"/>
        </w:rPr>
        <w:t>自评得分：25分。</w:t>
      </w:r>
    </w:p>
    <w:p w14:paraId="6E9AFAF5">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可持续性指标：内控管理制度健全性。</w:t>
      </w:r>
      <w:r>
        <w:rPr>
          <w:rFonts w:hint="eastAsia" w:ascii="仿宋_GB2312" w:hAnsi="仿宋_GB2312" w:eastAsia="仿宋_GB2312" w:cs="仿宋_GB2312"/>
          <w:kern w:val="0"/>
          <w:sz w:val="32"/>
          <w:szCs w:val="32"/>
          <w:lang w:val="en-US" w:eastAsia="zh-CN"/>
        </w:rPr>
        <w:t>自评得分：25分。</w:t>
      </w:r>
    </w:p>
    <w:p w14:paraId="606E5C25">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w:hAnsi="Times"/>
          <w:kern w:val="0"/>
          <w:sz w:val="32"/>
          <w:szCs w:val="20"/>
          <w:lang w:val="en-US" w:eastAsia="zh-CN"/>
        </w:rPr>
      </w:pPr>
      <w:r>
        <w:rPr>
          <w:rFonts w:hint="eastAsia" w:ascii="仿宋_GB2312" w:hAnsi="仿宋_GB2312" w:eastAsia="仿宋_GB2312" w:cs="仿宋_GB2312"/>
          <w:b w:val="0"/>
          <w:bCs w:val="0"/>
          <w:kern w:val="0"/>
          <w:sz w:val="32"/>
          <w:szCs w:val="32"/>
          <w:lang w:val="en-US" w:eastAsia="zh-CN"/>
        </w:rPr>
        <w:t>满意度：通过在5个街道、7个乡镇开展56场文化下基层惠民演出，为群众送上喜闻乐见的文艺、曲艺节目，满足群众精神文化生活需求，各乡镇群众满意度98%。</w:t>
      </w:r>
      <w:r>
        <w:rPr>
          <w:rFonts w:hint="eastAsia" w:ascii="仿宋_GB2312" w:hAnsi="仿宋_GB2312" w:eastAsia="仿宋_GB2312" w:cs="仿宋_GB2312"/>
          <w:kern w:val="0"/>
          <w:sz w:val="32"/>
          <w:szCs w:val="32"/>
          <w:lang w:val="en-US" w:eastAsia="zh-CN"/>
        </w:rPr>
        <w:t>自评得分：10分。</w:t>
      </w:r>
    </w:p>
    <w:p w14:paraId="0F8C3131">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（三）评价方法</w:t>
      </w:r>
    </w:p>
    <w:p w14:paraId="0D836D74">
      <w:pPr>
        <w:keepNext w:val="0"/>
        <w:keepLines w:val="0"/>
        <w:pageBreakBefore w:val="0"/>
        <w:suppressAutoHyphens/>
        <w:kinsoku/>
        <w:wordWrap/>
        <w:overflowPunct w:val="0"/>
        <w:topLinePunct w:val="0"/>
        <w:autoSpaceDE/>
        <w:autoSpaceDN/>
        <w:bidi w:val="0"/>
        <w:adjustRightInd/>
        <w:snapToGrid w:val="0"/>
        <w:spacing w:line="520" w:lineRule="exact"/>
        <w:ind w:firstLine="643"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b/>
          <w:bCs/>
          <w:kern w:val="0"/>
          <w:sz w:val="32"/>
          <w:szCs w:val="20"/>
        </w:rPr>
        <w:t>一是</w:t>
      </w:r>
      <w:r>
        <w:rPr>
          <w:rFonts w:hint="eastAsia" w:ascii="仿宋_GB2312" w:hAnsi="仿宋_GB2312" w:eastAsia="仿宋_GB2312" w:cs="仿宋_GB2312"/>
          <w:kern w:val="0"/>
          <w:sz w:val="32"/>
          <w:szCs w:val="20"/>
        </w:rPr>
        <w:t>根据自评评价的工作计划</w:t>
      </w:r>
      <w:r>
        <w:rPr>
          <w:rFonts w:hint="eastAsia" w:ascii="仿宋_GB2312" w:hAnsi="仿宋_GB2312" w:eastAsia="仿宋_GB2312" w:cs="仿宋_GB2312"/>
          <w:kern w:val="0"/>
          <w:sz w:val="32"/>
          <w:szCs w:val="20"/>
          <w:lang w:eastAsia="zh-CN"/>
        </w:rPr>
        <w:t>及安排制定调查方案，</w:t>
      </w:r>
      <w:r>
        <w:rPr>
          <w:rFonts w:hint="eastAsia" w:ascii="仿宋_GB2312" w:hAnsi="仿宋_GB2312" w:eastAsia="仿宋_GB2312" w:cs="仿宋_GB2312"/>
          <w:kern w:val="0"/>
          <w:sz w:val="32"/>
          <w:szCs w:val="20"/>
        </w:rPr>
        <w:t>开展实际调查工作，收集评估所需的各种资料和数据。</w:t>
      </w:r>
      <w:r>
        <w:rPr>
          <w:rFonts w:hint="eastAsia" w:ascii="仿宋_GB2312" w:hAnsi="仿宋_GB2312" w:eastAsia="仿宋_GB2312" w:cs="仿宋_GB2312"/>
          <w:b/>
          <w:bCs/>
          <w:kern w:val="0"/>
          <w:sz w:val="32"/>
          <w:szCs w:val="20"/>
        </w:rPr>
        <w:t>二是</w:t>
      </w:r>
      <w:r>
        <w:rPr>
          <w:rFonts w:hint="eastAsia" w:ascii="仿宋_GB2312" w:hAnsi="仿宋_GB2312" w:eastAsia="仿宋_GB2312" w:cs="仿宋_GB2312"/>
          <w:kern w:val="0"/>
          <w:sz w:val="32"/>
          <w:szCs w:val="20"/>
        </w:rPr>
        <w:t>采用定量和定性分析方法，针对问题进行</w:t>
      </w:r>
      <w:r>
        <w:rPr>
          <w:rFonts w:hint="eastAsia" w:ascii="仿宋_GB2312" w:hAnsi="仿宋_GB2312" w:eastAsia="仿宋_GB2312" w:cs="仿宋_GB2312"/>
          <w:kern w:val="0"/>
          <w:sz w:val="32"/>
          <w:szCs w:val="20"/>
          <w:lang w:eastAsia="zh-CN"/>
        </w:rPr>
        <w:t>深入</w:t>
      </w:r>
      <w:r>
        <w:rPr>
          <w:rFonts w:hint="eastAsia" w:ascii="仿宋_GB2312" w:hAnsi="仿宋_GB2312" w:eastAsia="仿宋_GB2312" w:cs="仿宋_GB2312"/>
          <w:kern w:val="0"/>
          <w:sz w:val="32"/>
          <w:szCs w:val="20"/>
        </w:rPr>
        <w:t>分析研究。</w:t>
      </w:r>
      <w:r>
        <w:rPr>
          <w:rFonts w:hint="eastAsia" w:ascii="仿宋_GB2312" w:hAnsi="仿宋_GB2312" w:eastAsia="仿宋_GB2312" w:cs="仿宋_GB2312"/>
          <w:b/>
          <w:bCs/>
          <w:kern w:val="0"/>
          <w:sz w:val="32"/>
          <w:szCs w:val="20"/>
        </w:rPr>
        <w:t>三是</w:t>
      </w:r>
      <w:r>
        <w:rPr>
          <w:rFonts w:hint="eastAsia" w:ascii="仿宋_GB2312" w:hAnsi="仿宋_GB2312" w:eastAsia="仿宋_GB2312" w:cs="仿宋_GB2312"/>
          <w:kern w:val="0"/>
          <w:sz w:val="32"/>
          <w:szCs w:val="20"/>
        </w:rPr>
        <w:t>编制评估报告</w:t>
      </w:r>
      <w:r>
        <w:rPr>
          <w:rFonts w:hint="eastAsia" w:ascii="仿宋_GB2312" w:hAnsi="仿宋_GB2312" w:eastAsia="仿宋_GB2312" w:cs="仿宋_GB2312"/>
          <w:kern w:val="0"/>
          <w:sz w:val="32"/>
          <w:szCs w:val="32"/>
        </w:rPr>
        <w:t>。</w:t>
      </w:r>
      <w:r>
        <w:rPr>
          <w:rFonts w:hint="eastAsia" w:ascii="仿宋_GB2312" w:hAnsi="仿宋_GB2312" w:eastAsia="仿宋_GB2312" w:cs="仿宋_GB2312"/>
          <w:b w:val="0"/>
          <w:bCs w:val="0"/>
          <w:kern w:val="0"/>
          <w:sz w:val="32"/>
          <w:szCs w:val="32"/>
          <w:lang w:val="en-US" w:eastAsia="zh-CN"/>
        </w:rPr>
        <w:t>根据年初预算下达的部门预算绩效目标，逐项对标对表检查，</w:t>
      </w:r>
      <w:r>
        <w:rPr>
          <w:rFonts w:hint="eastAsia" w:ascii="仿宋_GB2312" w:hAnsi="仿宋_GB2312" w:eastAsia="仿宋_GB2312" w:cs="仿宋_GB2312"/>
          <w:kern w:val="0"/>
          <w:sz w:val="32"/>
          <w:szCs w:val="32"/>
        </w:rPr>
        <w:t>将分析研究的结果进行汇总、整理，编制出项目评</w:t>
      </w:r>
      <w:r>
        <w:rPr>
          <w:rFonts w:hint="eastAsia" w:ascii="仿宋_GB2312" w:hAnsi="仿宋_GB2312" w:eastAsia="仿宋_GB2312" w:cs="仿宋_GB2312"/>
          <w:kern w:val="0"/>
          <w:sz w:val="32"/>
          <w:szCs w:val="20"/>
        </w:rPr>
        <w:t>估报告。</w:t>
      </w:r>
    </w:p>
    <w:p w14:paraId="5F3A4B1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（四）评价标准</w:t>
      </w:r>
    </w:p>
    <w:p w14:paraId="38E20AAD">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kern w:val="36"/>
          <w:sz w:val="32"/>
          <w:szCs w:val="32"/>
          <w:lang w:eastAsia="zh-CN"/>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kern w:val="0"/>
          <w:sz w:val="32"/>
          <w:szCs w:val="32"/>
          <w14:textFill>
            <w14:solidFill>
              <w14:schemeClr w14:val="tx1"/>
            </w14:solidFill>
          </w14:textFill>
        </w:rPr>
        <w:t>全区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5个街道、7个乡镇，73个行政村（含社区）完成演出</w:t>
      </w:r>
      <w:r>
        <w:rPr>
          <w:rFonts w:hint="eastAsia" w:ascii="仿宋_GB2312" w:hAnsi="仿宋_GB2312" w:eastAsia="仿宋_GB2312" w:cs="仿宋_GB2312"/>
          <w:kern w:val="0"/>
          <w:sz w:val="32"/>
          <w:szCs w:val="32"/>
          <w:lang w:val="en-US" w:eastAsia="zh-CN"/>
        </w:rPr>
        <w:t>56场次，演出群众参与率≥95%，</w:t>
      </w:r>
      <w:r>
        <w:rPr>
          <w:rFonts w:hint="eastAsia" w:ascii="仿宋_GB2312" w:hAnsi="仿宋_GB2312" w:eastAsia="仿宋_GB2312" w:cs="仿宋_GB2312"/>
          <w:b w:val="0"/>
          <w:bCs w:val="0"/>
          <w:kern w:val="2"/>
          <w:sz w:val="32"/>
          <w:szCs w:val="32"/>
          <w:lang w:val="en-US" w:eastAsia="zh-CN"/>
        </w:rPr>
        <w:t>演员参与人数≥300人，演员服务达标率≥98%，每场活动成本≤3500元，演出覆盖率≥98%，</w:t>
      </w:r>
      <w:r>
        <w:rPr>
          <w:rFonts w:hint="eastAsia" w:ascii="仿宋_GB2312" w:hAnsi="仿宋_GB2312" w:eastAsia="仿宋_GB2312" w:cs="仿宋_GB2312"/>
          <w:kern w:val="36"/>
          <w:sz w:val="32"/>
          <w:szCs w:val="32"/>
        </w:rPr>
        <w:t>群众</w:t>
      </w:r>
      <w:r>
        <w:rPr>
          <w:rFonts w:hint="eastAsia" w:ascii="仿宋_GB2312" w:hAnsi="仿宋_GB2312" w:eastAsia="仿宋_GB2312" w:cs="仿宋_GB2312"/>
          <w:kern w:val="36"/>
          <w:sz w:val="32"/>
          <w:szCs w:val="32"/>
          <w:lang w:eastAsia="zh-CN"/>
        </w:rPr>
        <w:t>满意度</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kern w:val="36"/>
          <w:sz w:val="32"/>
          <w:szCs w:val="32"/>
        </w:rPr>
        <w:t>9</w:t>
      </w:r>
      <w:r>
        <w:rPr>
          <w:rFonts w:hint="eastAsia" w:ascii="仿宋_GB2312" w:hAnsi="仿宋_GB2312" w:eastAsia="仿宋_GB2312" w:cs="仿宋_GB2312"/>
          <w:kern w:val="36"/>
          <w:sz w:val="32"/>
          <w:szCs w:val="32"/>
          <w:lang w:val="en-US" w:eastAsia="zh-CN"/>
        </w:rPr>
        <w:t>8</w:t>
      </w:r>
      <w:r>
        <w:rPr>
          <w:rFonts w:hint="eastAsia" w:ascii="仿宋_GB2312" w:hAnsi="仿宋_GB2312" w:eastAsia="仿宋_GB2312" w:cs="仿宋_GB2312"/>
          <w:kern w:val="36"/>
          <w:sz w:val="32"/>
          <w:szCs w:val="32"/>
        </w:rPr>
        <w:t>%。</w:t>
      </w:r>
    </w:p>
    <w:p w14:paraId="63F37E3C">
      <w:pPr>
        <w:keepNext w:val="0"/>
        <w:keepLines w:val="0"/>
        <w:pageBreakBefore w:val="0"/>
        <w:widowControl/>
        <w:numPr>
          <w:ilvl w:val="0"/>
          <w:numId w:val="14"/>
        </w:numPr>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综合评价结论（附评分表）</w:t>
      </w:r>
    </w:p>
    <w:p w14:paraId="0DA38C0C">
      <w:pPr>
        <w:keepNext w:val="0"/>
        <w:keepLines w:val="0"/>
        <w:pageBreakBefore w:val="0"/>
        <w:suppressAutoHyphens/>
        <w:kinsoku/>
        <w:wordWrap/>
        <w:topLinePunct w:val="0"/>
        <w:autoSpaceDE/>
        <w:autoSpaceDN/>
        <w:bidi w:val="0"/>
        <w:adjustRightInd w:val="0"/>
        <w:spacing w:line="520" w:lineRule="exact"/>
        <w:ind w:firstLine="640" w:firstLineChars="200"/>
        <w:jc w:val="left"/>
        <w:textAlignment w:val="auto"/>
        <w:rPr>
          <w:rFonts w:hint="default" w:ascii="Times" w:hAnsi="Times"/>
          <w:kern w:val="0"/>
          <w:sz w:val="32"/>
          <w:szCs w:val="20"/>
        </w:rPr>
      </w:pPr>
      <w:r>
        <w:rPr>
          <w:rFonts w:hint="eastAsia" w:ascii="仿宋_GB2312" w:hAnsi="仿宋_GB2312" w:eastAsia="仿宋_GB2312" w:cs="仿宋_GB2312"/>
          <w:color w:val="000000"/>
          <w:kern w:val="0"/>
          <w:sz w:val="32"/>
          <w:szCs w:val="32"/>
          <w:lang w:eastAsia="zh-CN"/>
        </w:rPr>
        <w:t>通过项目的实施，产生了良好的社会效益，</w:t>
      </w:r>
      <w:r>
        <w:rPr>
          <w:rFonts w:hint="eastAsia" w:ascii="仿宋_GB2312" w:hAnsi="仿宋_GB2312" w:eastAsia="仿宋_GB2312" w:cs="仿宋_GB2312"/>
          <w:color w:val="000000" w:themeColor="text1"/>
          <w:kern w:val="0"/>
          <w:sz w:val="32"/>
          <w:szCs w:val="32"/>
          <w14:textFill>
            <w14:solidFill>
              <w14:schemeClr w14:val="tx1"/>
            </w14:solidFill>
          </w14:textFill>
        </w:rPr>
        <w:t>全区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5个街道、7个乡镇群众</w:t>
      </w:r>
      <w:r>
        <w:rPr>
          <w:rFonts w:hint="eastAsia" w:ascii="仿宋_GB2312" w:hAnsi="仿宋_GB2312" w:eastAsia="仿宋_GB2312" w:cs="仿宋_GB2312"/>
          <w:color w:val="000000"/>
          <w:kern w:val="0"/>
          <w:sz w:val="32"/>
          <w:szCs w:val="32"/>
          <w:lang w:eastAsia="zh-CN"/>
        </w:rPr>
        <w:t>受益。通过“送文化下乡”文化惠民活动的方式，宣传党和政府各项政策及重点工作，</w:t>
      </w:r>
      <w:r>
        <w:rPr>
          <w:rFonts w:hint="eastAsia" w:ascii="仿宋_GB2312" w:hAnsi="仿宋_GB2312" w:eastAsia="仿宋_GB2312" w:cs="仿宋_GB2312"/>
          <w:color w:val="000000"/>
          <w:kern w:val="0"/>
          <w:sz w:val="32"/>
          <w:szCs w:val="32"/>
        </w:rPr>
        <w:t>丰富</w:t>
      </w:r>
      <w:r>
        <w:rPr>
          <w:rFonts w:hint="eastAsia" w:ascii="仿宋_GB2312" w:hAnsi="仿宋_GB2312" w:eastAsia="仿宋_GB2312" w:cs="仿宋_GB2312"/>
          <w:color w:val="000000"/>
          <w:kern w:val="0"/>
          <w:sz w:val="32"/>
          <w:szCs w:val="32"/>
          <w:lang w:eastAsia="zh-CN"/>
        </w:rPr>
        <w:t>群众</w:t>
      </w:r>
      <w:r>
        <w:rPr>
          <w:rFonts w:hint="eastAsia" w:ascii="仿宋_GB2312" w:hAnsi="仿宋_GB2312" w:eastAsia="仿宋_GB2312" w:cs="仿宋_GB2312"/>
          <w:color w:val="000000"/>
          <w:kern w:val="0"/>
          <w:sz w:val="32"/>
          <w:szCs w:val="32"/>
        </w:rPr>
        <w:t>精神文化生活，深受群众好评和认可</w:t>
      </w:r>
      <w:r>
        <w:rPr>
          <w:rFonts w:hint="eastAsia" w:ascii="仿宋_GB2312" w:hAnsi="仿宋_GB2312" w:eastAsia="仿宋_GB2312" w:cs="仿宋_GB2312"/>
          <w:color w:val="000000"/>
          <w:kern w:val="0"/>
          <w:sz w:val="32"/>
          <w:szCs w:val="32"/>
          <w:lang w:eastAsia="zh-CN"/>
        </w:rPr>
        <w:t>。</w:t>
      </w:r>
      <w:r>
        <w:rPr>
          <w:rFonts w:hint="default" w:ascii="仿宋_GB2312" w:hAnsi="仿宋_GB2312" w:eastAsia="仿宋_GB2312" w:cs="仿宋_GB2312"/>
          <w:b w:val="0"/>
          <w:bCs w:val="0"/>
          <w:kern w:val="2"/>
          <w:sz w:val="32"/>
          <w:szCs w:val="32"/>
          <w:lang w:val="en-US" w:eastAsia="zh-CN"/>
        </w:rPr>
        <w:t>项目</w:t>
      </w:r>
      <w:r>
        <w:rPr>
          <w:rFonts w:hint="eastAsia" w:ascii="仿宋_GB2312" w:hAnsi="仿宋_GB2312" w:eastAsia="仿宋_GB2312" w:cs="仿宋_GB2312"/>
          <w:b w:val="0"/>
          <w:bCs w:val="0"/>
          <w:kern w:val="2"/>
          <w:sz w:val="32"/>
          <w:szCs w:val="32"/>
          <w:lang w:val="en-US" w:eastAsia="zh-CN"/>
        </w:rPr>
        <w:t>实施</w:t>
      </w:r>
      <w:r>
        <w:rPr>
          <w:rFonts w:hint="default" w:ascii="仿宋_GB2312" w:hAnsi="仿宋_GB2312" w:eastAsia="仿宋_GB2312" w:cs="仿宋_GB2312"/>
          <w:b w:val="0"/>
          <w:bCs w:val="0"/>
          <w:kern w:val="2"/>
          <w:sz w:val="32"/>
          <w:szCs w:val="32"/>
          <w:lang w:val="en-US" w:eastAsia="zh-CN"/>
        </w:rPr>
        <w:t>完成后</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数量、质量、成本、社会效益、可持续影响、满意度等指标完成均达标。</w:t>
      </w:r>
      <w:r>
        <w:rPr>
          <w:rFonts w:hint="default" w:ascii="仿宋_GB2312" w:hAnsi="仿宋_GB2312" w:eastAsia="仿宋_GB2312" w:cs="仿宋_GB2312"/>
          <w:kern w:val="0"/>
          <w:sz w:val="32"/>
          <w:szCs w:val="32"/>
          <w:lang w:val="en-US" w:eastAsia="zh-CN"/>
        </w:rPr>
        <w:t>该项目综合</w:t>
      </w:r>
      <w:r>
        <w:rPr>
          <w:rFonts w:hint="default" w:ascii="仿宋_GB2312" w:hAnsi="仿宋_GB2312" w:eastAsia="仿宋_GB2312" w:cs="仿宋_GB2312"/>
          <w:kern w:val="0"/>
          <w:sz w:val="32"/>
          <w:szCs w:val="32"/>
        </w:rPr>
        <w:t>评估评估等级为优秀。</w:t>
      </w:r>
    </w:p>
    <w:p w14:paraId="4B93C010">
      <w:pPr>
        <w:keepNext w:val="0"/>
        <w:keepLines w:val="0"/>
        <w:pageBreakBefore w:val="0"/>
        <w:widowControl/>
        <w:numPr>
          <w:ilvl w:val="0"/>
          <w:numId w:val="14"/>
        </w:numPr>
        <w:suppressAutoHyphens/>
        <w:kinsoku/>
        <w:wordWrap/>
        <w:overflowPunct w:val="0"/>
        <w:topLinePunct w:val="0"/>
        <w:autoSpaceDE/>
        <w:autoSpaceDN/>
        <w:bidi w:val="0"/>
        <w:adjustRightInd/>
        <w:snapToGrid w:val="0"/>
        <w:spacing w:line="520" w:lineRule="exact"/>
        <w:ind w:left="0" w:leftChars="0" w:firstLine="646" w:firstLineChars="0"/>
        <w:jc w:val="both"/>
        <w:textAlignment w:val="auto"/>
        <w:rPr>
          <w:rFonts w:hint="default" w:ascii="Times New Roman" w:hAnsi="Times New Roman" w:eastAsia="黑体" w:cs="Times New Roman"/>
          <w:bCs w:val="0"/>
          <w:kern w:val="0"/>
          <w:sz w:val="32"/>
          <w:szCs w:val="32"/>
        </w:rPr>
      </w:pPr>
      <w:r>
        <w:rPr>
          <w:rFonts w:hint="default" w:ascii="Times New Roman" w:hAnsi="Times New Roman" w:eastAsia="黑体" w:cs="Times New Roman"/>
          <w:bCs w:val="0"/>
          <w:kern w:val="0"/>
          <w:sz w:val="32"/>
          <w:szCs w:val="32"/>
        </w:rPr>
        <w:t>绩效评价分析</w:t>
      </w:r>
    </w:p>
    <w:p w14:paraId="2759C27D">
      <w:pPr>
        <w:keepNext w:val="0"/>
        <w:keepLines w:val="0"/>
        <w:pageBreakBefore w:val="0"/>
        <w:widowControl/>
        <w:numPr>
          <w:ilvl w:val="0"/>
          <w:numId w:val="15"/>
        </w:numPr>
        <w:suppressAutoHyphens/>
        <w:kinsoku/>
        <w:wordWrap/>
        <w:overflowPunct w:val="0"/>
        <w:topLinePunct w:val="0"/>
        <w:autoSpaceDE/>
        <w:autoSpaceDN/>
        <w:bidi w:val="0"/>
        <w:adjustRightInd/>
        <w:snapToGrid w:val="0"/>
        <w:spacing w:line="520" w:lineRule="exact"/>
        <w:ind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项目决策情况</w:t>
      </w:r>
    </w:p>
    <w:p w14:paraId="00505F5E">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z w:val="32"/>
          <w:lang w:val="en-US" w:eastAsia="zh-CN" w:bidi="ar-SA"/>
        </w:rPr>
        <w:t>1.目标决策必要性：</w:t>
      </w:r>
      <w:r>
        <w:rPr>
          <w:rFonts w:hint="eastAsia" w:ascii="仿宋_GB2312" w:hAnsi="仿宋_GB2312" w:eastAsia="仿宋_GB2312" w:cs="仿宋_GB2312"/>
          <w:b w:val="0"/>
          <w:bCs w:val="0"/>
          <w:kern w:val="2"/>
          <w:sz w:val="32"/>
          <w:szCs w:val="32"/>
          <w:lang w:val="en-US" w:eastAsia="zh-CN" w:bidi="ar-SA"/>
        </w:rPr>
        <w:t>该项目根据《遂宁市文化广播电视和旅游局关于做好2023年送文化下乡工作的通知》设立，按照区委区政府关于2023年度文化类重点工作安排，有计划、有目的实施。</w:t>
      </w:r>
    </w:p>
    <w:p w14:paraId="18F744DA">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2.目标决策可行性：该项目实施目标设置符合我区群众文化发展，充分考虑项目开展需要人力、物力等条件，因地制宜实施，具有可行性。</w:t>
      </w:r>
    </w:p>
    <w:p w14:paraId="7ABB26C7">
      <w:pPr>
        <w:keepNext w:val="0"/>
        <w:keepLines w:val="0"/>
        <w:pageBreakBefore w:val="0"/>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eastAsia" w:ascii="仿宋_GB2312" w:hAnsi="仿宋_GB2312" w:eastAsia="仿宋_GB2312" w:cs="仿宋_GB2312"/>
          <w:b w:val="0"/>
          <w:bCs w:val="0"/>
          <w:kern w:val="0"/>
          <w:sz w:val="32"/>
          <w:szCs w:val="20"/>
        </w:rPr>
      </w:pPr>
      <w:r>
        <w:rPr>
          <w:rFonts w:hint="eastAsia" w:ascii="仿宋_GB2312" w:hAnsi="仿宋_GB2312" w:eastAsia="仿宋_GB2312" w:cs="仿宋_GB2312"/>
          <w:b w:val="0"/>
          <w:bCs w:val="0"/>
          <w:kern w:val="0"/>
          <w:sz w:val="32"/>
          <w:szCs w:val="20"/>
          <w:lang w:val="en-US" w:eastAsia="zh-CN"/>
        </w:rPr>
        <w:t>3.</w:t>
      </w:r>
      <w:r>
        <w:rPr>
          <w:rFonts w:hint="eastAsia" w:ascii="仿宋_GB2312" w:hAnsi="仿宋_GB2312" w:eastAsia="仿宋_GB2312" w:cs="仿宋_GB2312"/>
          <w:b w:val="0"/>
          <w:bCs w:val="0"/>
          <w:kern w:val="0"/>
          <w:sz w:val="32"/>
          <w:szCs w:val="20"/>
        </w:rPr>
        <w:t>绩效目标明确性：</w:t>
      </w:r>
      <w:r>
        <w:rPr>
          <w:rFonts w:hint="default" w:ascii="仿宋_GB2312" w:hAnsi="仿宋_GB2312" w:eastAsia="仿宋_GB2312" w:cs="仿宋_GB2312"/>
          <w:b w:val="0"/>
          <w:bCs w:val="0"/>
          <w:kern w:val="0"/>
          <w:sz w:val="32"/>
          <w:szCs w:val="32"/>
          <w:lang w:val="en-US" w:eastAsia="zh-CN"/>
        </w:rPr>
        <w:t>项目为</w:t>
      </w:r>
      <w:r>
        <w:rPr>
          <w:rFonts w:hint="eastAsia" w:ascii="仿宋_GB2312" w:hAnsi="仿宋_GB2312" w:eastAsia="仿宋_GB2312" w:cs="仿宋_GB2312"/>
          <w:b w:val="0"/>
          <w:bCs w:val="0"/>
          <w:kern w:val="0"/>
          <w:sz w:val="32"/>
          <w:szCs w:val="32"/>
          <w:lang w:val="en-US" w:eastAsia="zh-CN"/>
        </w:rPr>
        <w:t>巩固拓展脱贫攻坚成果衔接推进乡村振兴工作</w:t>
      </w:r>
      <w:r>
        <w:rPr>
          <w:rFonts w:hint="default" w:ascii="仿宋_GB2312" w:hAnsi="仿宋_GB2312" w:eastAsia="仿宋_GB2312" w:cs="仿宋_GB2312"/>
          <w:b w:val="0"/>
          <w:bCs w:val="0"/>
          <w:kern w:val="0"/>
          <w:sz w:val="32"/>
          <w:szCs w:val="32"/>
          <w:lang w:val="en-US" w:eastAsia="zh-CN"/>
        </w:rPr>
        <w:t>项目</w:t>
      </w:r>
      <w:r>
        <w:rPr>
          <w:rFonts w:hint="default" w:ascii="仿宋_GB2312" w:hAnsi="仿宋_GB2312" w:eastAsia="仿宋_GB2312" w:cs="仿宋_GB2312"/>
          <w:b w:val="0"/>
          <w:bCs w:val="0"/>
          <w:kern w:val="0"/>
          <w:sz w:val="32"/>
          <w:szCs w:val="32"/>
          <w:highlight w:val="none"/>
          <w:lang w:val="en-US" w:eastAsia="zh-CN"/>
        </w:rPr>
        <w:t>，区级资金</w:t>
      </w:r>
      <w:r>
        <w:rPr>
          <w:rFonts w:hint="default" w:ascii="仿宋_GB2312" w:hAnsi="仿宋_GB2312" w:eastAsia="仿宋_GB2312" w:cs="仿宋_GB2312"/>
          <w:b w:val="0"/>
          <w:bCs w:val="0"/>
          <w:kern w:val="0"/>
          <w:sz w:val="32"/>
          <w:szCs w:val="32"/>
          <w:lang w:val="en-US" w:eastAsia="zh-CN"/>
        </w:rPr>
        <w:t>作为项目资金的组成部分，按照年初任务安排，统筹安排资金</w:t>
      </w:r>
      <w:r>
        <w:rPr>
          <w:rFonts w:hint="eastAsia" w:ascii="仿宋_GB2312" w:hAnsi="仿宋_GB2312" w:eastAsia="仿宋_GB2312" w:cs="仿宋_GB2312"/>
          <w:b w:val="0"/>
          <w:bCs w:val="0"/>
          <w:kern w:val="0"/>
          <w:sz w:val="32"/>
          <w:szCs w:val="32"/>
          <w:lang w:val="en-US" w:eastAsia="zh-CN"/>
        </w:rPr>
        <w:t>，</w:t>
      </w:r>
      <w:r>
        <w:rPr>
          <w:rFonts w:hint="eastAsia" w:ascii="Times New Roman" w:hAnsi="Times New Roman" w:eastAsia="仿宋_GB2312" w:cs="Times New Roman"/>
          <w:b w:val="0"/>
          <w:bCs w:val="0"/>
          <w:kern w:val="0"/>
          <w:sz w:val="32"/>
          <w:szCs w:val="32"/>
          <w:lang w:val="zh-CN" w:eastAsia="zh-CN"/>
        </w:rPr>
        <w:t>明确产出、效益与满意度三大指标，包括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文化惠民演出</w:t>
      </w:r>
      <w:r>
        <w:rPr>
          <w:rFonts w:hint="eastAsia" w:ascii="仿宋_GB2312" w:hAnsi="仿宋_GB2312" w:eastAsia="仿宋_GB2312" w:cs="仿宋_GB2312"/>
          <w:kern w:val="0"/>
          <w:sz w:val="32"/>
          <w:szCs w:val="32"/>
          <w:lang w:val="en-US" w:eastAsia="zh-CN"/>
        </w:rPr>
        <w:t>场次、</w:t>
      </w:r>
      <w:r>
        <w:rPr>
          <w:rFonts w:hint="eastAsia" w:ascii="仿宋_GB2312" w:hAnsi="仿宋_GB2312" w:eastAsia="仿宋_GB2312" w:cs="仿宋_GB2312"/>
          <w:b w:val="0"/>
          <w:bCs w:val="0"/>
          <w:kern w:val="2"/>
          <w:sz w:val="32"/>
          <w:szCs w:val="32"/>
          <w:lang w:val="en-US" w:eastAsia="zh-CN"/>
        </w:rPr>
        <w:t>演员参与人数、</w:t>
      </w:r>
      <w:r>
        <w:rPr>
          <w:rFonts w:hint="eastAsia" w:ascii="仿宋_GB2312" w:hAnsi="仿宋_GB2312" w:eastAsia="仿宋_GB2312" w:cs="仿宋_GB2312"/>
          <w:kern w:val="0"/>
          <w:sz w:val="32"/>
          <w:szCs w:val="32"/>
          <w:lang w:val="en-US" w:eastAsia="zh-CN"/>
        </w:rPr>
        <w:t>演出群众参与率、</w:t>
      </w:r>
      <w:r>
        <w:rPr>
          <w:rFonts w:hint="eastAsia" w:ascii="仿宋_GB2312" w:hAnsi="仿宋_GB2312" w:eastAsia="仿宋_GB2312" w:cs="仿宋_GB2312"/>
          <w:b w:val="0"/>
          <w:bCs w:val="0"/>
          <w:kern w:val="2"/>
          <w:sz w:val="32"/>
          <w:szCs w:val="32"/>
          <w:lang w:val="en-US" w:eastAsia="zh-CN"/>
        </w:rPr>
        <w:t>演员服务达标率、每场活动成本、演出覆盖率、</w:t>
      </w:r>
      <w:r>
        <w:rPr>
          <w:rFonts w:hint="eastAsia" w:ascii="仿宋_GB2312" w:hAnsi="仿宋_GB2312" w:eastAsia="仿宋_GB2312" w:cs="仿宋_GB2312"/>
          <w:kern w:val="36"/>
          <w:sz w:val="32"/>
          <w:szCs w:val="32"/>
        </w:rPr>
        <w:t>群众</w:t>
      </w:r>
      <w:r>
        <w:rPr>
          <w:rFonts w:hint="eastAsia" w:ascii="仿宋_GB2312" w:hAnsi="仿宋_GB2312" w:eastAsia="仿宋_GB2312" w:cs="仿宋_GB2312"/>
          <w:kern w:val="36"/>
          <w:sz w:val="32"/>
          <w:szCs w:val="32"/>
          <w:lang w:eastAsia="zh-CN"/>
        </w:rPr>
        <w:t>满意度</w:t>
      </w:r>
      <w:r>
        <w:rPr>
          <w:rFonts w:hint="eastAsia" w:ascii="仿宋_GB2312" w:hAnsi="仿宋_GB2312" w:eastAsia="仿宋_GB2312" w:cs="仿宋_GB2312"/>
          <w:b w:val="0"/>
          <w:bCs w:val="0"/>
          <w:kern w:val="2"/>
          <w:sz w:val="32"/>
          <w:szCs w:val="32"/>
          <w:lang w:val="en-US" w:eastAsia="zh-CN"/>
        </w:rPr>
        <w:t>等，为群众提供优质文化服务，更好满足群众精神文化需求</w:t>
      </w:r>
      <w:r>
        <w:rPr>
          <w:rFonts w:hint="eastAsia" w:ascii="仿宋_GB2312" w:hAnsi="仿宋_GB2312" w:eastAsia="仿宋_GB2312" w:cs="仿宋_GB2312"/>
          <w:b w:val="0"/>
          <w:bCs w:val="0"/>
          <w:kern w:val="0"/>
          <w:sz w:val="32"/>
          <w:szCs w:val="32"/>
          <w:lang w:val="en-US" w:eastAsia="zh-CN"/>
        </w:rPr>
        <w:t>。</w:t>
      </w:r>
    </w:p>
    <w:p w14:paraId="233038A2">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default" w:ascii="Times" w:hAnsi="Times"/>
          <w:kern w:val="0"/>
          <w:sz w:val="32"/>
          <w:szCs w:val="20"/>
        </w:rPr>
      </w:pPr>
      <w:r>
        <w:rPr>
          <w:rFonts w:hint="eastAsia" w:ascii="仿宋_GB2312" w:hAnsi="仿宋_GB2312" w:eastAsia="仿宋_GB2312" w:cs="仿宋_GB2312"/>
          <w:b w:val="0"/>
          <w:bCs w:val="0"/>
          <w:kern w:val="0"/>
          <w:sz w:val="32"/>
          <w:szCs w:val="20"/>
          <w:lang w:val="en-US" w:eastAsia="zh-CN"/>
        </w:rPr>
        <w:t>4.</w:t>
      </w:r>
      <w:r>
        <w:rPr>
          <w:rFonts w:hint="eastAsia" w:ascii="仿宋_GB2312" w:hAnsi="仿宋_GB2312" w:eastAsia="仿宋_GB2312" w:cs="仿宋_GB2312"/>
          <w:b w:val="0"/>
          <w:bCs w:val="0"/>
          <w:kern w:val="0"/>
          <w:sz w:val="32"/>
          <w:szCs w:val="20"/>
        </w:rPr>
        <w:t>绩效目标合理性：</w:t>
      </w:r>
      <w:r>
        <w:rPr>
          <w:rFonts w:hint="eastAsia" w:ascii="仿宋_GB2312" w:hAnsi="仿宋_GB2312" w:eastAsia="仿宋_GB2312" w:cs="仿宋_GB2312"/>
          <w:b w:val="0"/>
          <w:bCs w:val="0"/>
          <w:kern w:val="0"/>
          <w:sz w:val="32"/>
          <w:szCs w:val="20"/>
          <w:lang w:eastAsia="zh-CN"/>
        </w:rPr>
        <w:t>该项目绩效目标是</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在</w:t>
      </w:r>
      <w:r>
        <w:rPr>
          <w:rFonts w:hint="eastAsia" w:ascii="仿宋_GB2312" w:hAnsi="仿宋_GB2312" w:eastAsia="仿宋_GB2312" w:cs="仿宋_GB2312"/>
          <w:color w:val="000000" w:themeColor="text1"/>
          <w:kern w:val="0"/>
          <w:sz w:val="32"/>
          <w:szCs w:val="32"/>
          <w14:textFill>
            <w14:solidFill>
              <w14:schemeClr w14:val="tx1"/>
            </w14:solidFill>
          </w14:textFill>
        </w:rPr>
        <w:t>全区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5个街道、7个乡镇，73个行政村（含社区）完成下基层文化惠民演出不低于</w:t>
      </w:r>
      <w:r>
        <w:rPr>
          <w:rFonts w:hint="eastAsia" w:ascii="仿宋_GB2312" w:hAnsi="仿宋_GB2312" w:eastAsia="仿宋_GB2312" w:cs="仿宋_GB2312"/>
          <w:kern w:val="0"/>
          <w:sz w:val="32"/>
          <w:szCs w:val="32"/>
          <w:lang w:val="en-US" w:eastAsia="zh-CN"/>
        </w:rPr>
        <w:t>56场次，</w:t>
      </w:r>
      <w:r>
        <w:rPr>
          <w:rFonts w:hint="eastAsia" w:ascii="仿宋_GB2312" w:hAnsi="仿宋_GB2312" w:eastAsia="仿宋_GB2312" w:cs="仿宋_GB2312"/>
          <w:b w:val="0"/>
          <w:bCs w:val="0"/>
          <w:kern w:val="2"/>
          <w:sz w:val="32"/>
          <w:szCs w:val="32"/>
          <w:lang w:val="en-US" w:eastAsia="zh-CN"/>
        </w:rPr>
        <w:t>演员参与人数不少于300人，为群众送上丰富多彩的文化大餐。</w:t>
      </w:r>
      <w:r>
        <w:rPr>
          <w:rFonts w:hint="eastAsia" w:ascii="仿宋_GB2312" w:hAnsi="仿宋_GB2312" w:eastAsia="仿宋_GB2312" w:cs="仿宋_GB2312"/>
          <w:kern w:val="0"/>
          <w:sz w:val="32"/>
          <w:szCs w:val="32"/>
          <w:lang w:val="en-US" w:eastAsia="zh-CN"/>
        </w:rPr>
        <w:t>演出群众参与率≥95%，</w:t>
      </w:r>
      <w:r>
        <w:rPr>
          <w:rFonts w:hint="eastAsia" w:ascii="仿宋_GB2312" w:hAnsi="仿宋_GB2312" w:eastAsia="仿宋_GB2312" w:cs="仿宋_GB2312"/>
          <w:b w:val="0"/>
          <w:bCs w:val="0"/>
          <w:kern w:val="2"/>
          <w:sz w:val="32"/>
          <w:szCs w:val="32"/>
          <w:lang w:val="en-US" w:eastAsia="zh-CN"/>
        </w:rPr>
        <w:t>演员服务达标率≥98%，每场活动成本≤3500元，演出覆盖率≥98%，</w:t>
      </w:r>
      <w:r>
        <w:rPr>
          <w:rFonts w:hint="eastAsia" w:ascii="仿宋_GB2312" w:hAnsi="仿宋_GB2312" w:eastAsia="仿宋_GB2312" w:cs="仿宋_GB2312"/>
          <w:kern w:val="36"/>
          <w:sz w:val="32"/>
          <w:szCs w:val="32"/>
        </w:rPr>
        <w:t>群众</w:t>
      </w:r>
      <w:r>
        <w:rPr>
          <w:rFonts w:hint="eastAsia" w:ascii="仿宋_GB2312" w:hAnsi="仿宋_GB2312" w:eastAsia="仿宋_GB2312" w:cs="仿宋_GB2312"/>
          <w:kern w:val="36"/>
          <w:sz w:val="32"/>
          <w:szCs w:val="32"/>
          <w:lang w:eastAsia="zh-CN"/>
        </w:rPr>
        <w:t>满意度</w:t>
      </w:r>
      <w:r>
        <w:rPr>
          <w:rFonts w:hint="eastAsia" w:ascii="仿宋_GB2312" w:hAnsi="仿宋_GB2312" w:eastAsia="仿宋_GB2312" w:cs="仿宋_GB2312"/>
          <w:b w:val="0"/>
          <w:bCs w:val="0"/>
          <w:kern w:val="2"/>
          <w:sz w:val="32"/>
          <w:szCs w:val="32"/>
          <w:lang w:val="en-US" w:eastAsia="zh-CN"/>
        </w:rPr>
        <w:t>≥</w:t>
      </w:r>
      <w:r>
        <w:rPr>
          <w:rFonts w:hint="eastAsia" w:ascii="仿宋_GB2312" w:hAnsi="仿宋_GB2312" w:eastAsia="仿宋_GB2312" w:cs="仿宋_GB2312"/>
          <w:kern w:val="36"/>
          <w:sz w:val="32"/>
          <w:szCs w:val="32"/>
        </w:rPr>
        <w:t>9</w:t>
      </w:r>
      <w:r>
        <w:rPr>
          <w:rFonts w:hint="eastAsia" w:ascii="仿宋_GB2312" w:hAnsi="仿宋_GB2312" w:eastAsia="仿宋_GB2312" w:cs="仿宋_GB2312"/>
          <w:kern w:val="36"/>
          <w:sz w:val="32"/>
          <w:szCs w:val="32"/>
          <w:lang w:val="en-US" w:eastAsia="zh-CN"/>
        </w:rPr>
        <w:t>8</w:t>
      </w:r>
      <w:r>
        <w:rPr>
          <w:rFonts w:hint="eastAsia" w:ascii="仿宋_GB2312" w:hAnsi="仿宋_GB2312" w:eastAsia="仿宋_GB2312" w:cs="仿宋_GB2312"/>
          <w:kern w:val="36"/>
          <w:sz w:val="32"/>
          <w:szCs w:val="32"/>
        </w:rPr>
        <w:t>%。</w:t>
      </w:r>
      <w:r>
        <w:rPr>
          <w:rFonts w:hint="eastAsia" w:ascii="仿宋_GB2312" w:hAnsi="仿宋_GB2312" w:eastAsia="仿宋_GB2312" w:cs="仿宋_GB2312"/>
          <w:b w:val="0"/>
          <w:bCs w:val="0"/>
          <w:kern w:val="2"/>
          <w:sz w:val="32"/>
          <w:szCs w:val="32"/>
          <w:lang w:val="en-US" w:eastAsia="zh-CN"/>
        </w:rPr>
        <w:t>各项绩效目标已量化可考核，具有合理性。</w:t>
      </w:r>
    </w:p>
    <w:p w14:paraId="639AA365">
      <w:pPr>
        <w:keepNext w:val="0"/>
        <w:keepLines w:val="0"/>
        <w:pageBreakBefore w:val="0"/>
        <w:widowControl/>
        <w:suppressAutoHyphens/>
        <w:kinsoku/>
        <w:wordWrap/>
        <w:overflowPunct w:val="0"/>
        <w:topLinePunct w:val="0"/>
        <w:autoSpaceDE/>
        <w:autoSpaceDN/>
        <w:bidi w:val="0"/>
        <w:adjustRightInd/>
        <w:snapToGrid w:val="0"/>
        <w:spacing w:line="520" w:lineRule="exact"/>
        <w:ind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（二）项目管理情况</w:t>
      </w:r>
    </w:p>
    <w:p w14:paraId="2ACFAECE">
      <w:pPr>
        <w:keepNext w:val="0"/>
        <w:keepLines w:val="0"/>
        <w:pageBreakBefore w:val="0"/>
        <w:widowControl/>
        <w:numPr>
          <w:ilvl w:val="0"/>
          <w:numId w:val="0"/>
        </w:numPr>
        <w:shd w:val="clear" w:color="auto" w:fill="FFFFFF"/>
        <w:suppressAutoHyphens/>
        <w:kinsoku/>
        <w:wordWrap/>
        <w:topLinePunct w:val="0"/>
        <w:autoSpaceDE w:val="0"/>
        <w:autoSpaceDN w:val="0"/>
        <w:bidi w:val="0"/>
        <w:adjustRightInd w:val="0"/>
        <w:spacing w:line="520" w:lineRule="exact"/>
        <w:ind w:firstLine="640" w:firstLineChars="200"/>
        <w:jc w:val="left"/>
        <w:textAlignment w:val="auto"/>
        <w:rPr>
          <w:rFonts w:hint="default" w:ascii="Times" w:hAnsi="Times"/>
          <w:kern w:val="0"/>
          <w:sz w:val="32"/>
          <w:szCs w:val="20"/>
        </w:rPr>
      </w:pPr>
      <w:r>
        <w:rPr>
          <w:rFonts w:hint="eastAsia" w:ascii="仿宋_GB2312" w:hAnsi="仿宋_GB2312" w:eastAsia="仿宋_GB2312" w:cs="仿宋_GB2312"/>
          <w:color w:val="000000"/>
          <w:kern w:val="2"/>
          <w:sz w:val="32"/>
          <w:szCs w:val="32"/>
          <w:lang w:val="en-US" w:eastAsia="zh-CN" w:bidi="ar-SA"/>
        </w:rPr>
        <w:t>区文化广电旅游局</w:t>
      </w:r>
      <w:r>
        <w:rPr>
          <w:rFonts w:hint="eastAsia" w:ascii="仿宋_GB2312" w:hAnsi="仿宋_GB2312" w:eastAsia="仿宋_GB2312" w:cs="仿宋_GB2312"/>
          <w:color w:val="000000" w:themeColor="text1"/>
          <w:kern w:val="0"/>
          <w:sz w:val="32"/>
          <w:szCs w:val="32"/>
          <w:lang w:val="zh-CN"/>
          <w14:textFill>
            <w14:solidFill>
              <w14:schemeClr w14:val="tx1"/>
            </w14:solidFill>
          </w14:textFill>
        </w:rPr>
        <w:t>负责整个项目的统筹安排、</w:t>
      </w:r>
      <w:r>
        <w:rPr>
          <w:rFonts w:hint="eastAsia" w:ascii="仿宋_GB2312" w:hAnsi="仿宋_GB2312" w:eastAsia="仿宋_GB2312" w:cs="仿宋_GB2312"/>
          <w:kern w:val="0"/>
          <w:sz w:val="32"/>
          <w:szCs w:val="32"/>
          <w:lang w:val="en-US" w:eastAsia="zh-CN"/>
        </w:rPr>
        <w:t>监督管理、规划验收</w:t>
      </w:r>
      <w:r>
        <w:rPr>
          <w:rFonts w:hint="eastAsia" w:ascii="仿宋_GB2312" w:hAnsi="仿宋_GB2312" w:eastAsia="仿宋_GB2312" w:cs="仿宋_GB2312"/>
          <w:color w:val="000000" w:themeColor="text1"/>
          <w:kern w:val="0"/>
          <w:sz w:val="32"/>
          <w:szCs w:val="32"/>
          <w:lang w:val="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为保证项目的顺利实施，</w:t>
      </w:r>
      <w:r>
        <w:rPr>
          <w:rFonts w:hint="eastAsia" w:ascii="仿宋_GB2312" w:hAnsi="仿宋_GB2312" w:eastAsia="仿宋_GB2312" w:cs="仿宋_GB2312"/>
          <w:color w:val="000000"/>
          <w:kern w:val="2"/>
          <w:sz w:val="32"/>
          <w:szCs w:val="32"/>
          <w:lang w:val="en-US" w:eastAsia="zh-CN" w:bidi="ar-SA"/>
        </w:rPr>
        <w:t>区文化广电旅游局</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年初</w:t>
      </w:r>
      <w:r>
        <w:rPr>
          <w:rFonts w:hint="eastAsia" w:ascii="仿宋_GB2312" w:hAnsi="仿宋_GB2312" w:eastAsia="仿宋_GB2312" w:cs="仿宋_GB2312"/>
          <w:color w:val="000000" w:themeColor="text1"/>
          <w:kern w:val="0"/>
          <w:sz w:val="32"/>
          <w:szCs w:val="32"/>
          <w14:textFill>
            <w14:solidFill>
              <w14:schemeClr w14:val="tx1"/>
            </w14:solidFill>
          </w14:textFill>
        </w:rPr>
        <w:t>制定了《船山区202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年 “送文化下乡”演出活动实施方案》确定工作目标和工作进度</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，由区文化馆负责具体实施。</w:t>
      </w:r>
      <w:r>
        <w:rPr>
          <w:rFonts w:hint="eastAsia" w:ascii="仿宋_GB2312" w:hAnsi="仿宋_GB2312" w:eastAsia="仿宋_GB2312" w:cs="仿宋_GB2312"/>
          <w:color w:val="000000"/>
          <w:kern w:val="0"/>
          <w:sz w:val="32"/>
          <w:szCs w:val="32"/>
        </w:rPr>
        <w:t>项目严格执行事业单位财务管理制度</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项目资金按规定实行了项目单独核算，账务处理及时</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会计核算规范，支出符合规定，资金按计划、方案及完成结果进行支付。</w:t>
      </w:r>
    </w:p>
    <w:p w14:paraId="29D7AD53">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1.资金分配及资金来源：该项目</w:t>
      </w:r>
      <w:r>
        <w:rPr>
          <w:rFonts w:hint="eastAsia" w:ascii="仿宋_GB2312" w:hAnsi="仿宋_GB2312" w:eastAsia="仿宋_GB2312" w:cs="仿宋_GB2312"/>
          <w:b w:val="0"/>
          <w:bCs w:val="0"/>
          <w:kern w:val="2"/>
          <w:sz w:val="32"/>
          <w:szCs w:val="32"/>
          <w:lang w:val="en-US" w:eastAsia="zh-CN" w:bidi="ar-SA"/>
        </w:rPr>
        <w:t>计划将2023年区级财政巩固拓展脱贫攻坚成果衔接推进乡村振兴专项资金20万元用于开展56场文化下基层活动。</w:t>
      </w:r>
    </w:p>
    <w:p w14:paraId="05299126">
      <w:pPr>
        <w:keepNext w:val="0"/>
        <w:keepLines w:val="0"/>
        <w:pageBreakBefore w:val="0"/>
        <w:suppressAutoHyphens/>
        <w:kinsoku/>
        <w:wordWrap/>
        <w:topLinePunct w:val="0"/>
        <w:autoSpaceDE/>
        <w:autoSpaceDN/>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0"/>
          <w:sz w:val="32"/>
          <w:szCs w:val="20"/>
        </w:rPr>
      </w:pPr>
      <w:r>
        <w:rPr>
          <w:rFonts w:hint="eastAsia" w:ascii="仿宋_GB2312" w:hAnsi="仿宋_GB2312" w:eastAsia="仿宋_GB2312" w:cs="仿宋_GB2312"/>
          <w:b w:val="0"/>
          <w:bCs w:val="0"/>
          <w:kern w:val="0"/>
          <w:sz w:val="32"/>
          <w:szCs w:val="20"/>
          <w:lang w:val="en-US" w:eastAsia="zh-CN"/>
        </w:rPr>
        <w:t>2.</w:t>
      </w:r>
      <w:r>
        <w:rPr>
          <w:rFonts w:hint="eastAsia" w:ascii="仿宋_GB2312" w:hAnsi="仿宋_GB2312" w:eastAsia="仿宋_GB2312" w:cs="仿宋_GB2312"/>
          <w:b w:val="0"/>
          <w:bCs w:val="0"/>
          <w:kern w:val="0"/>
          <w:sz w:val="32"/>
          <w:szCs w:val="20"/>
        </w:rPr>
        <w:t>资金到位：</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2023年到位</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送文化下乡资金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万元</w:t>
      </w:r>
      <w:r>
        <w:rPr>
          <w:rFonts w:hint="eastAsia" w:ascii="仿宋_GB2312" w:hAnsi="仿宋_GB2312" w:eastAsia="仿宋_GB2312" w:cs="仿宋_GB2312"/>
          <w:kern w:val="0"/>
          <w:sz w:val="32"/>
          <w:szCs w:val="32"/>
          <w:lang w:val="en-US" w:eastAsia="zh-CN"/>
        </w:rPr>
        <w:t>，项目资金实际到位率为100%。</w:t>
      </w:r>
    </w:p>
    <w:p w14:paraId="3F519E19">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3.资金使用：按照招投标流程规范开展文化下基层活动，截至2023年12月，送文化下乡专项资金共支出20万元。</w:t>
      </w:r>
    </w:p>
    <w:p w14:paraId="393AD5D8">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4.财务制度：区文化广电旅游局为确保专款专用，</w:t>
      </w:r>
      <w:r>
        <w:rPr>
          <w:rFonts w:hint="eastAsia" w:ascii="仿宋_GB2312" w:hAnsi="仿宋_GB2312" w:eastAsia="仿宋_GB2312" w:cs="仿宋_GB2312"/>
          <w:b w:val="0"/>
          <w:bCs w:val="0"/>
          <w:color w:val="auto"/>
          <w:kern w:val="0"/>
          <w:sz w:val="32"/>
          <w:szCs w:val="32"/>
          <w:lang w:val="en-US" w:eastAsia="zh-CN" w:bidi="ar-SA"/>
        </w:rPr>
        <w:t>严格按照专项资金管理相关规定执行，</w:t>
      </w:r>
      <w:r>
        <w:rPr>
          <w:rFonts w:hint="eastAsia" w:ascii="仿宋_GB2312" w:hAnsi="仿宋_GB2312" w:eastAsia="仿宋_GB2312" w:cs="仿宋_GB2312"/>
          <w:b w:val="0"/>
          <w:bCs w:val="0"/>
          <w:sz w:val="32"/>
          <w:lang w:val="en-US" w:eastAsia="zh-CN" w:bidi="ar-SA"/>
        </w:rPr>
        <w:t>建立专账核算、专人管理的资金使用管理体系，严格报账流程，确保资金透明、合规使用。</w:t>
      </w:r>
    </w:p>
    <w:p w14:paraId="3B4A4A93">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华文楷体" w:hAnsi="Times" w:eastAsia="华文楷体" w:cs="Times New Roman"/>
          <w:b w:val="0"/>
          <w:bCs w:val="0"/>
          <w:sz w:val="32"/>
          <w:lang w:val="en-US" w:eastAsia="zh-CN" w:bidi="ar-SA"/>
        </w:rPr>
      </w:pPr>
      <w:r>
        <w:rPr>
          <w:rFonts w:hint="eastAsia" w:ascii="仿宋_GB2312" w:hAnsi="仿宋_GB2312" w:eastAsia="仿宋_GB2312" w:cs="仿宋_GB2312"/>
          <w:b w:val="0"/>
          <w:bCs w:val="0"/>
          <w:sz w:val="32"/>
          <w:lang w:val="en-US" w:eastAsia="zh-CN" w:bidi="ar-SA"/>
        </w:rPr>
        <w:t>5.执行规范：一是项目立项合规。项目经区委区政府、区财政批准立项，遵循了合法程序。二是制度办法。</w:t>
      </w:r>
      <w:r>
        <w:rPr>
          <w:rFonts w:hint="eastAsia" w:ascii="仿宋_GB2312" w:hAnsi="仿宋_GB2312" w:eastAsia="仿宋_GB2312" w:cs="仿宋_GB2312"/>
          <w:b w:val="0"/>
          <w:bCs w:val="0"/>
          <w:kern w:val="2"/>
          <w:sz w:val="32"/>
          <w:szCs w:val="32"/>
          <w:lang w:val="en-US" w:eastAsia="zh-CN" w:bidi="ar-SA"/>
        </w:rPr>
        <w:t>项目根据《遂宁市文化广播电视和旅游局关于做好2023年送文化下乡工作的通知》有计划、有目的的开展；项目资金根据《遂宁市船山区财政局关于下达 2023年区级财政巩固拓展脱贫攻坚成果衔接推进乡村振兴专项资金的通知》</w:t>
      </w:r>
      <w:r>
        <w:rPr>
          <w:rFonts w:hint="eastAsia" w:ascii="仿宋_GB2312" w:hAnsi="黑体" w:eastAsia="仿宋_GB2312" w:cs="Times New Roman"/>
          <w:b w:val="0"/>
          <w:bCs w:val="0"/>
          <w:sz w:val="32"/>
          <w:szCs w:val="32"/>
          <w:lang w:val="zh-CN" w:eastAsia="zh-CN" w:bidi="ar-SA"/>
        </w:rPr>
        <w:t>（遂船财农〔20</w:t>
      </w:r>
      <w:r>
        <w:rPr>
          <w:rFonts w:hint="eastAsia" w:ascii="仿宋_GB2312" w:hAnsi="黑体" w:eastAsia="仿宋_GB2312" w:cs="Times New Roman"/>
          <w:b w:val="0"/>
          <w:bCs w:val="0"/>
          <w:sz w:val="32"/>
          <w:szCs w:val="32"/>
          <w:lang w:val="en-US" w:eastAsia="zh-CN" w:bidi="ar-SA"/>
        </w:rPr>
        <w:t>23</w:t>
      </w:r>
      <w:r>
        <w:rPr>
          <w:rFonts w:hint="eastAsia" w:ascii="仿宋_GB2312" w:hAnsi="黑体" w:eastAsia="仿宋_GB2312" w:cs="Times New Roman"/>
          <w:b w:val="0"/>
          <w:bCs w:val="0"/>
          <w:sz w:val="32"/>
          <w:szCs w:val="32"/>
          <w:lang w:val="zh-CN" w:eastAsia="zh-CN" w:bidi="ar-SA"/>
        </w:rPr>
        <w:t>〕</w:t>
      </w:r>
      <w:r>
        <w:rPr>
          <w:rFonts w:hint="eastAsia" w:ascii="仿宋_GB2312" w:hAnsi="黑体" w:eastAsia="仿宋_GB2312" w:cs="Times New Roman"/>
          <w:b w:val="0"/>
          <w:bCs w:val="0"/>
          <w:sz w:val="32"/>
          <w:szCs w:val="32"/>
          <w:lang w:val="en-US" w:eastAsia="zh-CN" w:bidi="ar-SA"/>
        </w:rPr>
        <w:t>11</w:t>
      </w:r>
      <w:r>
        <w:rPr>
          <w:rFonts w:hint="eastAsia" w:ascii="仿宋_GB2312" w:hAnsi="黑体" w:eastAsia="仿宋_GB2312" w:cs="Times New Roman"/>
          <w:b w:val="0"/>
          <w:bCs w:val="0"/>
          <w:sz w:val="32"/>
          <w:szCs w:val="32"/>
          <w:lang w:val="zh-CN" w:eastAsia="zh-CN" w:bidi="ar-SA"/>
        </w:rPr>
        <w:t>号）要求，根据年初预算安排，严格按照规定用途使用资金。</w:t>
      </w:r>
    </w:p>
    <w:p w14:paraId="1F652FC1">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（三）项目产出情况</w:t>
      </w:r>
    </w:p>
    <w:p w14:paraId="408D49F0">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数量指标达成：申报支持的送文化下乡项目已完成，满足申报数量要求，如在</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完成下基层文化惠民演出</w:t>
      </w:r>
      <w:r>
        <w:rPr>
          <w:rFonts w:hint="eastAsia" w:ascii="仿宋_GB2312" w:hAnsi="仿宋_GB2312" w:eastAsia="仿宋_GB2312" w:cs="仿宋_GB2312"/>
          <w:kern w:val="0"/>
          <w:sz w:val="32"/>
          <w:szCs w:val="32"/>
          <w:lang w:val="en-US" w:eastAsia="zh-CN"/>
        </w:rPr>
        <w:t>56场次，</w:t>
      </w:r>
      <w:r>
        <w:rPr>
          <w:rFonts w:hint="eastAsia" w:ascii="仿宋_GB2312" w:hAnsi="仿宋_GB2312" w:eastAsia="仿宋_GB2312" w:cs="仿宋_GB2312"/>
          <w:b w:val="0"/>
          <w:bCs w:val="0"/>
          <w:kern w:val="2"/>
          <w:sz w:val="32"/>
          <w:szCs w:val="32"/>
          <w:lang w:val="en-US" w:eastAsia="zh-CN"/>
        </w:rPr>
        <w:t>演员参与人数490人，为群众送上丰富多彩的文化大餐。</w:t>
      </w:r>
    </w:p>
    <w:p w14:paraId="65BFB239">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0"/>
          <w:sz w:val="32"/>
          <w:szCs w:val="32"/>
          <w:lang w:val="zh-CN" w:eastAsia="zh-CN"/>
        </w:rPr>
        <w:t>质量指标达标：所有项目均完成，整体项目质量符合申报目标，</w:t>
      </w:r>
      <w:r>
        <w:rPr>
          <w:rFonts w:hint="eastAsia" w:ascii="仿宋_GB2312" w:hAnsi="仿宋_GB2312" w:eastAsia="仿宋_GB2312" w:cs="仿宋_GB2312"/>
          <w:kern w:val="0"/>
          <w:sz w:val="32"/>
          <w:szCs w:val="32"/>
          <w:lang w:val="en-US" w:eastAsia="zh-CN"/>
        </w:rPr>
        <w:t>演出群众参与率达97%，</w:t>
      </w:r>
      <w:r>
        <w:rPr>
          <w:rFonts w:hint="eastAsia" w:ascii="仿宋_GB2312" w:hAnsi="仿宋_GB2312" w:eastAsia="仿宋_GB2312" w:cs="仿宋_GB2312"/>
          <w:b w:val="0"/>
          <w:bCs w:val="0"/>
          <w:kern w:val="2"/>
          <w:sz w:val="32"/>
          <w:szCs w:val="32"/>
          <w:lang w:val="en-US" w:eastAsia="zh-CN"/>
        </w:rPr>
        <w:t>演员服务达标率</w:t>
      </w:r>
      <w:r>
        <w:rPr>
          <w:rFonts w:hint="eastAsia" w:ascii="仿宋_GB2312" w:hAnsi="仿宋_GB2312" w:eastAsia="仿宋_GB2312" w:cs="仿宋_GB2312"/>
          <w:kern w:val="0"/>
          <w:sz w:val="32"/>
          <w:szCs w:val="32"/>
          <w:lang w:val="en-US" w:eastAsia="zh-CN"/>
        </w:rPr>
        <w:t>达</w:t>
      </w:r>
      <w:r>
        <w:rPr>
          <w:rFonts w:hint="eastAsia" w:ascii="仿宋_GB2312" w:hAnsi="仿宋_GB2312" w:eastAsia="仿宋_GB2312" w:cs="仿宋_GB2312"/>
          <w:b w:val="0"/>
          <w:bCs w:val="0"/>
          <w:kern w:val="2"/>
          <w:sz w:val="32"/>
          <w:szCs w:val="32"/>
          <w:lang w:val="en-US" w:eastAsia="zh-CN"/>
        </w:rPr>
        <w:t>100%。</w:t>
      </w:r>
    </w:p>
    <w:p w14:paraId="1C77B0E5">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outlineLvl w:val="1"/>
        <w:rPr>
          <w:rFonts w:hint="eastAsia" w:ascii="华文楷体" w:hAnsi="Times" w:eastAsia="华文楷体" w:cs="Times New Roman"/>
          <w:b/>
          <w:bCs/>
          <w:sz w:val="32"/>
          <w:lang w:val="en-US" w:eastAsia="zh-CN" w:bidi="ar-SA"/>
        </w:rPr>
      </w:pPr>
      <w:r>
        <w:rPr>
          <w:rFonts w:hint="eastAsia" w:ascii="仿宋_GB2312" w:hAnsi="仿宋_GB2312" w:eastAsia="仿宋_GB2312" w:cs="仿宋_GB2312"/>
          <w:b w:val="0"/>
          <w:bCs w:val="0"/>
          <w:sz w:val="32"/>
          <w:szCs w:val="32"/>
          <w:lang w:val="zh-CN" w:eastAsia="zh-CN" w:bidi="ar-SA"/>
        </w:rPr>
        <w:t>时效指标完成：项目实施进度与计划吻合，实施时效完成率</w:t>
      </w:r>
      <w:r>
        <w:rPr>
          <w:rFonts w:hint="eastAsia" w:ascii="仿宋_GB2312" w:hAnsi="仿宋_GB2312" w:eastAsia="仿宋_GB2312" w:cs="仿宋_GB2312"/>
          <w:b w:val="0"/>
          <w:bCs w:val="0"/>
          <w:sz w:val="32"/>
          <w:szCs w:val="32"/>
          <w:lang w:val="en-US" w:eastAsia="zh-CN" w:bidi="ar-SA"/>
        </w:rPr>
        <w:t>100</w:t>
      </w:r>
      <w:r>
        <w:rPr>
          <w:rFonts w:hint="eastAsia" w:ascii="仿宋_GB2312" w:hAnsi="仿宋_GB2312" w:eastAsia="仿宋_GB2312" w:cs="仿宋_GB2312"/>
          <w:b w:val="0"/>
          <w:bCs w:val="0"/>
          <w:sz w:val="32"/>
          <w:szCs w:val="32"/>
          <w:lang w:val="zh-CN" w:eastAsia="zh-CN" w:bidi="ar-SA"/>
        </w:rPr>
        <w:t>%，确保了项目按期推进并完成。</w:t>
      </w:r>
    </w:p>
    <w:p w14:paraId="6B89C2A4">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Times New Roman" w:hAnsi="Times New Roman" w:eastAsia="仿宋_GB2312" w:cs="Times New Roman"/>
          <w:b w:val="0"/>
          <w:bCs w:val="0"/>
          <w:kern w:val="0"/>
          <w:sz w:val="32"/>
          <w:szCs w:val="32"/>
          <w:lang w:val="zh-CN" w:eastAsia="zh-CN"/>
        </w:rPr>
      </w:pPr>
      <w:r>
        <w:rPr>
          <w:rFonts w:hint="eastAsia" w:ascii="仿宋_GB2312" w:hAnsi="仿宋_GB2312" w:eastAsia="仿宋_GB2312" w:cs="仿宋_GB2312"/>
          <w:b w:val="0"/>
          <w:bCs w:val="0"/>
          <w:kern w:val="0"/>
          <w:sz w:val="32"/>
          <w:szCs w:val="32"/>
          <w:lang w:val="zh-CN" w:eastAsia="zh-CN"/>
        </w:rPr>
        <w:t>成本指标完成：截至2023</w:t>
      </w:r>
      <w:r>
        <w:rPr>
          <w:rFonts w:hint="eastAsia" w:ascii="仿宋_GB2312" w:hAnsi="仿宋_GB2312" w:eastAsia="仿宋_GB2312" w:cs="仿宋_GB2312"/>
          <w:b w:val="0"/>
          <w:bCs w:val="0"/>
          <w:kern w:val="0"/>
          <w:sz w:val="32"/>
          <w:szCs w:val="32"/>
          <w:lang w:val="en-US" w:eastAsia="zh-CN"/>
        </w:rPr>
        <w:t>年底，项目经费已全部按照相关规定实施，专项资金共计支出20万元，所有资金使用支付范围、标准、进度及依据严格按照专项资金管理相关规定执行，与年初预算基本相符，</w:t>
      </w:r>
      <w:r>
        <w:rPr>
          <w:rFonts w:hint="eastAsia" w:ascii="Times New Roman" w:hAnsi="Times New Roman" w:eastAsia="仿宋_GB2312" w:cs="Times New Roman"/>
          <w:b w:val="0"/>
          <w:bCs w:val="0"/>
          <w:kern w:val="0"/>
          <w:sz w:val="32"/>
          <w:szCs w:val="32"/>
          <w:lang w:val="zh-CN" w:eastAsia="zh-CN"/>
        </w:rPr>
        <w:t>确保了资金的有效利用。</w:t>
      </w:r>
    </w:p>
    <w:p w14:paraId="33517D06">
      <w:pPr>
        <w:keepNext w:val="0"/>
        <w:keepLines w:val="0"/>
        <w:pageBreakBefore w:val="0"/>
        <w:widowControl w:val="0"/>
        <w:numPr>
          <w:ilvl w:val="0"/>
          <w:numId w:val="16"/>
        </w:numPr>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项目效益情况</w:t>
      </w:r>
    </w:p>
    <w:p w14:paraId="79CBA9E5">
      <w:pPr>
        <w:keepNext w:val="0"/>
        <w:keepLines w:val="0"/>
        <w:pageBreakBefore w:val="0"/>
        <w:widowControl w:val="0"/>
        <w:tabs>
          <w:tab w:val="left" w:pos="3885"/>
        </w:tabs>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snapToGrid/>
          <w:kern w:val="0"/>
          <w:sz w:val="32"/>
          <w:szCs w:val="32"/>
          <w:lang w:val="en-US" w:eastAsia="zh-CN" w:bidi="ar-SA"/>
        </w:rPr>
      </w:pPr>
      <w:r>
        <w:rPr>
          <w:rFonts w:hint="eastAsia" w:ascii="Times New Roman" w:hAnsi="Times New Roman" w:eastAsia="仿宋_GB2312" w:cs="Times New Roman"/>
          <w:b w:val="0"/>
          <w:bCs w:val="0"/>
          <w:kern w:val="0"/>
          <w:sz w:val="32"/>
          <w:szCs w:val="32"/>
          <w:lang w:val="zh-CN" w:eastAsia="zh-CN"/>
        </w:rPr>
        <w:t>社会效益显著：</w:t>
      </w:r>
      <w:r>
        <w:rPr>
          <w:rFonts w:hint="eastAsia" w:ascii="仿宋_GB2312" w:hAnsi="仿宋_GB2312" w:eastAsia="仿宋_GB2312" w:cs="仿宋_GB2312"/>
          <w:snapToGrid/>
          <w:kern w:val="0"/>
          <w:sz w:val="32"/>
          <w:szCs w:val="32"/>
          <w:lang w:val="en-US" w:eastAsia="zh-CN" w:bidi="ar-SA"/>
        </w:rPr>
        <w:t>通过项目实施，</w:t>
      </w:r>
      <w:r>
        <w:rPr>
          <w:rFonts w:hint="eastAsia" w:ascii="仿宋_GB2312" w:hAnsi="仿宋_GB2312" w:eastAsia="仿宋_GB2312" w:cs="仿宋_GB2312"/>
          <w:b w:val="0"/>
          <w:bCs w:val="0"/>
          <w:kern w:val="0"/>
          <w:sz w:val="32"/>
          <w:szCs w:val="32"/>
          <w:lang w:val="en-US" w:eastAsia="zh-CN"/>
        </w:rPr>
        <w:t>为</w:t>
      </w:r>
      <w:r>
        <w:rPr>
          <w:rFonts w:hint="eastAsia" w:ascii="仿宋_GB2312" w:hAnsi="仿宋_GB2312" w:eastAsia="仿宋_GB2312" w:cs="仿宋_GB2312"/>
          <w:kern w:val="0"/>
          <w:sz w:val="32"/>
          <w:szCs w:val="32"/>
          <w:lang w:val="en-US" w:eastAsia="zh-CN"/>
        </w:rPr>
        <w:t>基层带去群众喜闻乐见的文艺节目，弘扬优良传统文化</w:t>
      </w:r>
      <w:r>
        <w:rPr>
          <w:rFonts w:hint="eastAsia"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color w:val="000000"/>
          <w:kern w:val="2"/>
          <w:sz w:val="32"/>
          <w:szCs w:val="32"/>
          <w:lang w:val="en-US" w:eastAsia="zh-CN" w:bidi="ar-SA"/>
        </w:rPr>
        <w:t>深受全区群众好评</w:t>
      </w:r>
      <w:r>
        <w:rPr>
          <w:rFonts w:hint="eastAsia" w:ascii="仿宋_GB2312" w:hAnsi="仿宋_GB2312" w:eastAsia="仿宋_GB2312" w:cs="仿宋_GB2312"/>
          <w:kern w:val="0"/>
          <w:sz w:val="32"/>
          <w:szCs w:val="32"/>
          <w:lang w:val="en-US" w:eastAsia="zh-CN"/>
        </w:rPr>
        <w:t>。通过送文艺、送戏曲等惠民活动，服务街道、乡镇基层群众，切实增强基层文化氛围，全面增强人民群众幸福感、获得感</w:t>
      </w:r>
      <w:r>
        <w:rPr>
          <w:rFonts w:hint="eastAsia" w:ascii="仿宋_GB2312" w:hAnsi="仿宋_GB2312" w:eastAsia="仿宋_GB2312" w:cs="仿宋_GB2312"/>
          <w:snapToGrid/>
          <w:kern w:val="0"/>
          <w:sz w:val="32"/>
          <w:szCs w:val="32"/>
          <w:lang w:val="en-US" w:eastAsia="zh-CN" w:bidi="ar-SA"/>
        </w:rPr>
        <w:t>。</w:t>
      </w:r>
    </w:p>
    <w:p w14:paraId="2FD1DD35">
      <w:pPr>
        <w:keepNext w:val="0"/>
        <w:keepLines w:val="0"/>
        <w:pageBreakBefore w:val="0"/>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b w:val="0"/>
          <w:bCs w:val="0"/>
          <w:kern w:val="0"/>
          <w:sz w:val="32"/>
          <w:szCs w:val="32"/>
          <w:lang w:val="zh-CN" w:eastAsia="zh-CN"/>
        </w:rPr>
      </w:pPr>
      <w:r>
        <w:rPr>
          <w:rFonts w:hint="default" w:ascii="Times New Roman" w:hAnsi="Times New Roman" w:eastAsia="仿宋_GB2312" w:cs="Times New Roman"/>
          <w:kern w:val="0"/>
          <w:sz w:val="32"/>
          <w:szCs w:val="32"/>
          <w:lang w:val="zh-CN" w:eastAsia="zh-CN"/>
        </w:rPr>
        <w:t>可持续影响</w:t>
      </w:r>
      <w:r>
        <w:rPr>
          <w:rFonts w:hint="eastAsia" w:ascii="Times New Roman" w:hAnsi="Times New Roman" w:eastAsia="仿宋_GB2312" w:cs="Times New Roman"/>
          <w:kern w:val="0"/>
          <w:sz w:val="32"/>
          <w:szCs w:val="32"/>
          <w:lang w:val="zh-CN" w:eastAsia="zh-CN"/>
        </w:rPr>
        <w:t>：</w:t>
      </w:r>
      <w:r>
        <w:rPr>
          <w:rFonts w:hint="default" w:ascii="Times New Roman" w:hAnsi="Times New Roman" w:eastAsia="仿宋_GB2312" w:cs="Times New Roman"/>
          <w:kern w:val="0"/>
          <w:sz w:val="32"/>
          <w:szCs w:val="32"/>
          <w:lang w:val="zh-CN" w:eastAsia="zh-CN"/>
        </w:rPr>
        <w:t>项目为长期实施项目，</w:t>
      </w:r>
      <w:r>
        <w:rPr>
          <w:rFonts w:hint="eastAsia" w:ascii="Times New Roman" w:hAnsi="Times New Roman" w:eastAsia="仿宋_GB2312" w:cs="Times New Roman"/>
          <w:kern w:val="0"/>
          <w:sz w:val="32"/>
          <w:szCs w:val="32"/>
          <w:lang w:val="zh-CN"/>
        </w:rPr>
        <w:t>为群众提供更优质的文化服务，更好满足群众精神文化生活需求</w:t>
      </w:r>
      <w:r>
        <w:rPr>
          <w:rFonts w:hint="default" w:ascii="Times New Roman" w:hAnsi="Times New Roman" w:eastAsia="仿宋_GB2312" w:cs="Times New Roman"/>
          <w:kern w:val="0"/>
          <w:sz w:val="32"/>
          <w:szCs w:val="32"/>
          <w:lang w:val="zh-CN" w:eastAsia="zh-CN"/>
        </w:rPr>
        <w:t>。</w:t>
      </w:r>
    </w:p>
    <w:p w14:paraId="5A47090C">
      <w:pPr>
        <w:keepNext w:val="0"/>
        <w:keepLines w:val="0"/>
        <w:pageBreakBefore w:val="0"/>
        <w:widowControl w:val="0"/>
        <w:numPr>
          <w:ilvl w:val="0"/>
          <w:numId w:val="16"/>
        </w:numPr>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服务对象满意度</w:t>
      </w:r>
    </w:p>
    <w:p w14:paraId="27513CB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宋体" w:cs="Times New Roman"/>
          <w:sz w:val="32"/>
          <w:lang w:val="en-US" w:eastAsia="zh-CN" w:bidi="ar-SA"/>
        </w:rPr>
      </w:pPr>
      <w:r>
        <w:rPr>
          <w:rFonts w:hint="eastAsia" w:ascii="Times New Roman" w:hAnsi="Times New Roman" w:eastAsia="仿宋_GB2312" w:cs="Times New Roman"/>
          <w:sz w:val="32"/>
          <w:szCs w:val="32"/>
          <w:lang w:val="zh-CN" w:eastAsia="zh-CN" w:bidi="ar-SA"/>
        </w:rPr>
        <w:t>服务对象</w:t>
      </w:r>
      <w:r>
        <w:rPr>
          <w:rFonts w:hint="default" w:ascii="Times New Roman" w:hAnsi="Times New Roman" w:eastAsia="仿宋_GB2312" w:cs="Times New Roman"/>
          <w:sz w:val="32"/>
          <w:szCs w:val="32"/>
          <w:lang w:val="zh-CN" w:eastAsia="zh-CN" w:bidi="ar-SA"/>
        </w:rPr>
        <w:t>满意度</w:t>
      </w:r>
      <w:r>
        <w:rPr>
          <w:rFonts w:hint="eastAsia" w:ascii="Times New Roman" w:hAnsi="Times New Roman" w:eastAsia="仿宋_GB2312" w:cs="Times New Roman"/>
          <w:sz w:val="32"/>
          <w:szCs w:val="32"/>
          <w:lang w:val="zh-CN" w:eastAsia="zh-CN" w:bidi="ar-SA"/>
        </w:rPr>
        <w:t>：各乡镇群众满意度</w:t>
      </w:r>
      <w:r>
        <w:rPr>
          <w:rFonts w:hint="default" w:ascii="Times New Roman" w:hAnsi="Times New Roman" w:eastAsia="仿宋_GB2312" w:cs="Times New Roman"/>
          <w:sz w:val="32"/>
          <w:szCs w:val="32"/>
          <w:lang w:val="zh-CN" w:eastAsia="zh-CN" w:bidi="ar-SA"/>
        </w:rPr>
        <w:t>达</w:t>
      </w:r>
      <w:r>
        <w:rPr>
          <w:rFonts w:hint="eastAsia" w:ascii="仿宋_GB2312" w:hAnsi="仿宋_GB2312" w:eastAsia="仿宋_GB2312" w:cs="仿宋_GB2312"/>
          <w:sz w:val="32"/>
          <w:szCs w:val="32"/>
          <w:lang w:val="zh-CN" w:eastAsia="zh-CN" w:bidi="ar-SA"/>
        </w:rPr>
        <w:t>9</w:t>
      </w:r>
      <w:r>
        <w:rPr>
          <w:rFonts w:hint="eastAsia" w:ascii="仿宋_GB2312" w:hAnsi="仿宋_GB2312" w:eastAsia="仿宋_GB2312" w:cs="仿宋_GB2312"/>
          <w:sz w:val="32"/>
          <w:szCs w:val="32"/>
          <w:lang w:val="en-US" w:eastAsia="zh-CN" w:bidi="ar-SA"/>
        </w:rPr>
        <w:t>8</w:t>
      </w:r>
      <w:r>
        <w:rPr>
          <w:rFonts w:hint="eastAsia" w:ascii="仿宋_GB2312" w:hAnsi="仿宋_GB2312" w:eastAsia="仿宋_GB2312" w:cs="仿宋_GB2312"/>
          <w:sz w:val="32"/>
          <w:szCs w:val="32"/>
          <w:lang w:val="zh-CN" w:eastAsia="zh-CN" w:bidi="ar-SA"/>
        </w:rPr>
        <w:t>%以上</w:t>
      </w:r>
      <w:r>
        <w:rPr>
          <w:rFonts w:hint="default" w:ascii="Times New Roman" w:hAnsi="Times New Roman" w:eastAsia="仿宋_GB2312" w:cs="Times New Roman"/>
          <w:sz w:val="32"/>
          <w:szCs w:val="32"/>
          <w:lang w:val="zh-CN" w:eastAsia="zh-CN" w:bidi="ar-SA"/>
        </w:rPr>
        <w:t>，达到或超过预定目标</w:t>
      </w:r>
      <w:r>
        <w:rPr>
          <w:rFonts w:hint="eastAsia" w:ascii="Times New Roman" w:hAnsi="Times New Roman" w:eastAsia="仿宋_GB2312" w:cs="Times New Roman"/>
          <w:sz w:val="32"/>
          <w:szCs w:val="32"/>
          <w:lang w:val="zh-CN" w:eastAsia="zh-CN" w:bidi="ar-SA"/>
        </w:rPr>
        <w:t>，</w:t>
      </w:r>
      <w:r>
        <w:rPr>
          <w:rFonts w:hint="eastAsia" w:ascii="Times New Roman" w:hAnsi="Times New Roman" w:eastAsia="仿宋_GB2312" w:cs="Times New Roman"/>
          <w:b w:val="0"/>
          <w:bCs w:val="0"/>
          <w:sz w:val="32"/>
          <w:szCs w:val="32"/>
          <w:lang w:val="zh-CN" w:eastAsia="zh-CN" w:bidi="ar-SA"/>
        </w:rPr>
        <w:t>项目获得广泛认可</w:t>
      </w:r>
      <w:r>
        <w:rPr>
          <w:rFonts w:hint="default" w:ascii="Times New Roman" w:hAnsi="Times New Roman" w:eastAsia="仿宋_GB2312" w:cs="Times New Roman"/>
          <w:sz w:val="32"/>
          <w:szCs w:val="32"/>
          <w:lang w:val="zh-CN" w:eastAsia="zh-CN" w:bidi="ar-SA"/>
        </w:rPr>
        <w:t>。</w:t>
      </w:r>
    </w:p>
    <w:p w14:paraId="0CD6E463">
      <w:pPr>
        <w:keepNext w:val="0"/>
        <w:keepLines w:val="0"/>
        <w:pageBreakBefore w:val="0"/>
        <w:widowControl/>
        <w:numPr>
          <w:ilvl w:val="0"/>
          <w:numId w:val="17"/>
        </w:numPr>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kern w:val="0"/>
          <w:sz w:val="32"/>
          <w:szCs w:val="32"/>
        </w:rPr>
      </w:pPr>
      <w:r>
        <w:rPr>
          <w:rFonts w:hint="default" w:ascii="Times New Roman" w:hAnsi="Times New Roman" w:eastAsia="黑体"/>
          <w:kern w:val="0"/>
          <w:sz w:val="32"/>
          <w:szCs w:val="32"/>
        </w:rPr>
        <w:t>存在主要问题</w:t>
      </w:r>
    </w:p>
    <w:p w14:paraId="3707C80A">
      <w:pPr>
        <w:keepNext w:val="0"/>
        <w:keepLines w:val="0"/>
        <w:pageBreakBefore w:val="0"/>
        <w:widowControl/>
        <w:shd w:val="clear" w:color="auto" w:fill="FFFFFF"/>
        <w:suppressAutoHyphens/>
        <w:kinsoku/>
        <w:wordWrap/>
        <w:topLinePunct w:val="0"/>
        <w:autoSpaceDE w:val="0"/>
        <w:autoSpaceDN w:val="0"/>
        <w:bidi w:val="0"/>
        <w:adjustRightInd w:val="0"/>
        <w:spacing w:line="520" w:lineRule="exact"/>
        <w:ind w:firstLine="720" w:firstLineChars="225"/>
        <w:jc w:val="left"/>
        <w:textAlignment w:val="auto"/>
        <w:rPr>
          <w:rFonts w:hint="default" w:ascii="Times" w:hAnsi="Times"/>
          <w:kern w:val="0"/>
          <w:sz w:val="32"/>
          <w:szCs w:val="20"/>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经费不足，目前送文化下乡项目经费勉强支撑深入56个村社、社区演出，无法实现到演出全覆盖，部分群众无法享受文化惠民工程福利。</w:t>
      </w:r>
    </w:p>
    <w:p w14:paraId="5F1D6755">
      <w:pPr>
        <w:keepNext w:val="0"/>
        <w:keepLines w:val="0"/>
        <w:pageBreakBefore w:val="0"/>
        <w:widowControl/>
        <w:numPr>
          <w:ilvl w:val="0"/>
          <w:numId w:val="0"/>
        </w:numPr>
        <w:suppressAutoHyphens/>
        <w:kinsoku/>
        <w:wordWrap/>
        <w:overflowPunct w:val="0"/>
        <w:topLinePunct w:val="0"/>
        <w:autoSpaceDE/>
        <w:autoSpaceDN/>
        <w:bidi w:val="0"/>
        <w:adjustRightInd/>
        <w:snapToGrid w:val="0"/>
        <w:spacing w:line="520" w:lineRule="exact"/>
        <w:ind w:leftChars="0"/>
        <w:jc w:val="both"/>
        <w:textAlignment w:val="auto"/>
        <w:rPr>
          <w:rFonts w:hint="default" w:ascii="Times New Roman" w:hAnsi="Times New Roman" w:eastAsia="黑体"/>
          <w:kern w:val="0"/>
          <w:sz w:val="32"/>
          <w:szCs w:val="32"/>
        </w:rPr>
      </w:pPr>
      <w:r>
        <w:rPr>
          <w:rFonts w:hint="eastAsia" w:ascii="Times New Roman" w:hAnsi="Times New Roman" w:eastAsia="黑体"/>
          <w:kern w:val="0"/>
          <w:sz w:val="32"/>
          <w:szCs w:val="32"/>
          <w:lang w:val="en-US" w:eastAsia="zh-CN"/>
        </w:rPr>
        <w:t xml:space="preserve">    六、</w:t>
      </w:r>
      <w:r>
        <w:rPr>
          <w:rFonts w:hint="default" w:ascii="Times New Roman" w:hAnsi="Times New Roman" w:eastAsia="黑体"/>
          <w:kern w:val="0"/>
          <w:sz w:val="32"/>
          <w:szCs w:val="32"/>
        </w:rPr>
        <w:t>相关措施建议</w:t>
      </w:r>
    </w:p>
    <w:p w14:paraId="5C8DF85B">
      <w:pPr>
        <w:keepNext w:val="0"/>
        <w:keepLines w:val="0"/>
        <w:pageBreakBefore w:val="0"/>
        <w:widowControl/>
        <w:shd w:val="clear" w:color="auto" w:fill="FFFFFF"/>
        <w:suppressAutoHyphens/>
        <w:kinsoku/>
        <w:wordWrap/>
        <w:topLinePunct w:val="0"/>
        <w:autoSpaceDE w:val="0"/>
        <w:autoSpaceDN w:val="0"/>
        <w:bidi w:val="0"/>
        <w:adjustRightInd w:val="0"/>
        <w:spacing w:line="520" w:lineRule="exact"/>
        <w:ind w:firstLine="720" w:firstLineChars="225"/>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建议加大</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送文化下乡</w:t>
      </w:r>
      <w:r>
        <w:rPr>
          <w:rFonts w:hint="eastAsia" w:ascii="仿宋_GB2312" w:hAnsi="仿宋_GB2312" w:eastAsia="仿宋_GB2312" w:cs="仿宋_GB2312"/>
          <w:color w:val="000000" w:themeColor="text1"/>
          <w:kern w:val="0"/>
          <w:sz w:val="32"/>
          <w:szCs w:val="32"/>
          <w14:textFill>
            <w14:solidFill>
              <w14:schemeClr w14:val="tx1"/>
            </w14:solidFill>
          </w14:textFill>
        </w:rPr>
        <w:t>专项经费投入，让文化惠民工程规模更大、档次更高、场次更多</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，让不同的演出风格、形式各异的艺术形式呈现在广大农村群众的面前，丰富人民群众文化生活</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切实做到以文促农，</w:t>
      </w:r>
      <w:r>
        <w:rPr>
          <w:rFonts w:hint="eastAsia" w:ascii="仿宋_GB2312" w:hAnsi="仿宋_GB2312" w:eastAsia="仿宋_GB2312" w:cs="仿宋_GB2312"/>
          <w:color w:val="000000" w:themeColor="text1"/>
          <w:kern w:val="0"/>
          <w:sz w:val="32"/>
          <w:szCs w:val="32"/>
          <w14:textFill>
            <w14:solidFill>
              <w14:schemeClr w14:val="tx1"/>
            </w14:solidFill>
          </w14:textFill>
        </w:rPr>
        <w:t>推动社会和谐繁荣发展。</w:t>
      </w:r>
    </w:p>
    <w:p w14:paraId="5A556DB2">
      <w:pPr>
        <w:pStyle w:val="16"/>
        <w:rPr>
          <w:rFonts w:hint="eastAsia"/>
          <w:lang w:val="en-US" w:eastAsia="zh-CN"/>
        </w:rPr>
      </w:pPr>
    </w:p>
    <w:p w14:paraId="54D43B8B">
      <w:pPr>
        <w:pStyle w:val="16"/>
        <w:rPr>
          <w:rFonts w:hint="eastAsia"/>
          <w:lang w:val="en-US" w:eastAsia="zh-CN"/>
        </w:rPr>
      </w:pPr>
    </w:p>
    <w:p w14:paraId="4D31CD87">
      <w:pPr>
        <w:pStyle w:val="16"/>
        <w:ind w:firstLine="640" w:firstLineChars="200"/>
        <w:rPr>
          <w:rFonts w:hint="default"/>
          <w:lang w:val="en-US" w:eastAsia="zh-CN"/>
        </w:rPr>
      </w:pPr>
      <w:r>
        <w:rPr>
          <w:rFonts w:hint="eastAsia" w:ascii="仿宋_GB2312" w:hAnsi="仿宋_GB2312" w:eastAsia="仿宋_GB2312" w:cs="仿宋_GB2312"/>
          <w:sz w:val="32"/>
          <w:szCs w:val="32"/>
          <w:lang w:val="en-US" w:eastAsia="zh-CN"/>
        </w:rPr>
        <w:t>附表：送文化下乡项目支出绩效评价指标体系</w:t>
      </w:r>
    </w:p>
    <w:p w14:paraId="6E133F28">
      <w:pPr>
        <w:pStyle w:val="16"/>
        <w:rPr>
          <w:rFonts w:hint="eastAsia"/>
          <w:lang w:val="en-US" w:eastAsia="zh-CN"/>
        </w:rPr>
      </w:pPr>
    </w:p>
    <w:p w14:paraId="31F26680">
      <w:pPr>
        <w:pStyle w:val="16"/>
        <w:rPr>
          <w:rFonts w:hint="eastAsia"/>
          <w:lang w:val="en-US" w:eastAsia="zh-CN"/>
        </w:rPr>
      </w:pPr>
    </w:p>
    <w:p w14:paraId="5B02CA5B">
      <w:pPr>
        <w:pStyle w:val="16"/>
        <w:rPr>
          <w:rFonts w:hint="eastAsia"/>
          <w:lang w:val="en-US" w:eastAsia="zh-CN"/>
        </w:rPr>
      </w:pPr>
    </w:p>
    <w:p w14:paraId="455EE23E">
      <w:pPr>
        <w:pStyle w:val="16"/>
        <w:rPr>
          <w:rFonts w:hint="eastAsia"/>
          <w:lang w:val="en-US" w:eastAsia="zh-CN"/>
        </w:rPr>
      </w:pPr>
    </w:p>
    <w:p w14:paraId="2A27DFF8">
      <w:pPr>
        <w:pStyle w:val="16"/>
        <w:rPr>
          <w:rFonts w:hint="eastAsia"/>
          <w:lang w:val="en-US" w:eastAsia="zh-CN"/>
        </w:rPr>
      </w:pPr>
    </w:p>
    <w:p w14:paraId="7284B0BA">
      <w:pPr>
        <w:pStyle w:val="16"/>
        <w:rPr>
          <w:rFonts w:hint="eastAsia"/>
          <w:lang w:val="en-US" w:eastAsia="zh-CN"/>
        </w:rPr>
      </w:pPr>
    </w:p>
    <w:p w14:paraId="3F66D491">
      <w:pPr>
        <w:pStyle w:val="16"/>
        <w:rPr>
          <w:rFonts w:hint="eastAsia"/>
          <w:lang w:val="en-US" w:eastAsia="zh-CN"/>
        </w:rPr>
      </w:pPr>
    </w:p>
    <w:p w14:paraId="3A8650FF">
      <w:pPr>
        <w:pStyle w:val="16"/>
        <w:rPr>
          <w:rFonts w:hint="eastAsia"/>
          <w:lang w:val="en-US" w:eastAsia="zh-CN"/>
        </w:rPr>
      </w:pPr>
    </w:p>
    <w:p w14:paraId="3FA7B43B">
      <w:pPr>
        <w:pStyle w:val="16"/>
        <w:rPr>
          <w:rFonts w:hint="eastAsia"/>
          <w:lang w:val="en-US" w:eastAsia="zh-CN"/>
        </w:rPr>
      </w:pPr>
    </w:p>
    <w:p w14:paraId="2B0B1AC8">
      <w:pPr>
        <w:pStyle w:val="16"/>
        <w:rPr>
          <w:rFonts w:hint="eastAsia"/>
          <w:lang w:val="en-US" w:eastAsia="zh-CN"/>
        </w:rPr>
      </w:pPr>
    </w:p>
    <w:p w14:paraId="4211FEA7">
      <w:pPr>
        <w:pStyle w:val="16"/>
        <w:rPr>
          <w:rFonts w:hint="eastAsia"/>
          <w:lang w:val="en-US" w:eastAsia="zh-CN"/>
        </w:rPr>
      </w:pPr>
    </w:p>
    <w:p w14:paraId="7AF5899D">
      <w:pPr>
        <w:pStyle w:val="16"/>
        <w:rPr>
          <w:rFonts w:hint="eastAsia"/>
          <w:lang w:val="en-US" w:eastAsia="zh-CN"/>
        </w:rPr>
      </w:pPr>
    </w:p>
    <w:p w14:paraId="1C9BA12D">
      <w:pPr>
        <w:pStyle w:val="16"/>
        <w:rPr>
          <w:rFonts w:hint="eastAsia"/>
          <w:lang w:val="en-US" w:eastAsia="zh-CN"/>
        </w:rPr>
      </w:pPr>
    </w:p>
    <w:p w14:paraId="3385A902">
      <w:pPr>
        <w:tabs>
          <w:tab w:val="left" w:pos="29185"/>
        </w:tabs>
        <w:jc w:val="center"/>
        <w:rPr>
          <w:rFonts w:hint="default" w:ascii="Times New Roman" w:hAnsi="Times New Roman" w:eastAsia="方正小标宋简体" w:cs="Times New Roman"/>
          <w:color w:val="000000"/>
          <w:sz w:val="44"/>
          <w:szCs w:val="44"/>
          <w:lang w:bidi="ar"/>
        </w:rPr>
        <w:sectPr>
          <w:pgSz w:w="11906" w:h="16838"/>
          <w:pgMar w:top="1440" w:right="1803" w:bottom="1440" w:left="1803" w:header="851" w:footer="992" w:gutter="0"/>
          <w:pgNumType w:fmt="decimal"/>
          <w:cols w:space="0" w:num="1"/>
          <w:rtlGutter w:val="0"/>
          <w:docGrid w:type="lines" w:linePitch="319" w:charSpace="0"/>
        </w:sectPr>
      </w:pPr>
    </w:p>
    <w:p w14:paraId="72F7BCE7">
      <w:pPr>
        <w:tabs>
          <w:tab w:val="left" w:pos="29185"/>
        </w:tabs>
        <w:jc w:val="center"/>
        <w:rPr>
          <w:rFonts w:hint="default" w:ascii="Times New Roman" w:hAnsi="Times New Roman" w:eastAsia="方正小标宋简体" w:cs="Times New Roman"/>
          <w:color w:val="000000"/>
          <w:sz w:val="44"/>
          <w:szCs w:val="44"/>
        </w:rPr>
      </w:pPr>
      <w:r>
        <w:rPr>
          <w:rFonts w:hint="eastAsia" w:ascii="Times New Roman" w:hAnsi="Times New Roman" w:eastAsia="方正小标宋简体" w:cs="Times New Roman"/>
          <w:color w:val="000000"/>
          <w:sz w:val="44"/>
          <w:szCs w:val="44"/>
          <w:lang w:val="en-US" w:eastAsia="zh-CN" w:bidi="ar"/>
        </w:rPr>
        <w:t>送文化下乡</w:t>
      </w:r>
      <w:r>
        <w:rPr>
          <w:rFonts w:hint="default" w:ascii="Times New Roman" w:hAnsi="Times New Roman" w:eastAsia="方正小标宋简体" w:cs="Times New Roman"/>
          <w:color w:val="000000"/>
          <w:sz w:val="44"/>
          <w:szCs w:val="44"/>
          <w:lang w:bidi="ar"/>
        </w:rPr>
        <w:t>项目支出绩效评价指标体系</w:t>
      </w:r>
    </w:p>
    <w:tbl>
      <w:tblPr>
        <w:tblStyle w:val="11"/>
        <w:tblW w:w="13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0"/>
        <w:gridCol w:w="538"/>
        <w:gridCol w:w="705"/>
        <w:gridCol w:w="1484"/>
        <w:gridCol w:w="657"/>
        <w:gridCol w:w="708"/>
        <w:gridCol w:w="994"/>
        <w:gridCol w:w="472"/>
        <w:gridCol w:w="455"/>
        <w:gridCol w:w="455"/>
        <w:gridCol w:w="455"/>
        <w:gridCol w:w="472"/>
        <w:gridCol w:w="455"/>
        <w:gridCol w:w="1517"/>
        <w:gridCol w:w="404"/>
        <w:gridCol w:w="405"/>
        <w:gridCol w:w="438"/>
        <w:gridCol w:w="371"/>
        <w:gridCol w:w="438"/>
        <w:gridCol w:w="472"/>
        <w:gridCol w:w="641"/>
        <w:gridCol w:w="391"/>
      </w:tblGrid>
      <w:tr w14:paraId="61E5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2309" w:type="dxa"/>
            <w:gridSpan w:val="4"/>
            <w:noWrap w:val="0"/>
            <w:vAlign w:val="center"/>
          </w:tcPr>
          <w:p w14:paraId="281690A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分层分类指标</w:t>
            </w:r>
          </w:p>
        </w:tc>
        <w:tc>
          <w:tcPr>
            <w:tcW w:w="1484" w:type="dxa"/>
            <w:vMerge w:val="restart"/>
            <w:noWrap w:val="0"/>
            <w:vAlign w:val="center"/>
          </w:tcPr>
          <w:p w14:paraId="03C257A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分值</w:t>
            </w:r>
          </w:p>
        </w:tc>
        <w:tc>
          <w:tcPr>
            <w:tcW w:w="657" w:type="dxa"/>
            <w:vMerge w:val="restart"/>
            <w:noWrap w:val="0"/>
            <w:vAlign w:val="center"/>
          </w:tcPr>
          <w:p w14:paraId="69D7ECC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目标值</w:t>
            </w:r>
          </w:p>
        </w:tc>
        <w:tc>
          <w:tcPr>
            <w:tcW w:w="708" w:type="dxa"/>
            <w:vMerge w:val="restart"/>
            <w:noWrap w:val="0"/>
            <w:vAlign w:val="center"/>
          </w:tcPr>
          <w:p w14:paraId="1CF64C7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完成值</w:t>
            </w:r>
          </w:p>
        </w:tc>
        <w:tc>
          <w:tcPr>
            <w:tcW w:w="994" w:type="dxa"/>
            <w:vMerge w:val="restart"/>
            <w:noWrap w:val="0"/>
            <w:vAlign w:val="center"/>
          </w:tcPr>
          <w:p w14:paraId="0C65C045">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指标解释</w:t>
            </w:r>
          </w:p>
        </w:tc>
        <w:tc>
          <w:tcPr>
            <w:tcW w:w="2764" w:type="dxa"/>
            <w:gridSpan w:val="6"/>
            <w:noWrap w:val="0"/>
            <w:vAlign w:val="center"/>
          </w:tcPr>
          <w:p w14:paraId="355A55A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评分方法</w:t>
            </w:r>
          </w:p>
        </w:tc>
        <w:tc>
          <w:tcPr>
            <w:tcW w:w="1517" w:type="dxa"/>
            <w:vMerge w:val="restart"/>
            <w:noWrap w:val="0"/>
            <w:vAlign w:val="center"/>
          </w:tcPr>
          <w:p w14:paraId="37E5AD6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评价要点及说明</w:t>
            </w:r>
          </w:p>
        </w:tc>
        <w:tc>
          <w:tcPr>
            <w:tcW w:w="404" w:type="dxa"/>
            <w:noWrap w:val="0"/>
            <w:vAlign w:val="center"/>
          </w:tcPr>
          <w:p w14:paraId="16BADCB4">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评价属性</w:t>
            </w:r>
          </w:p>
        </w:tc>
        <w:tc>
          <w:tcPr>
            <w:tcW w:w="2124" w:type="dxa"/>
            <w:gridSpan w:val="5"/>
            <w:noWrap/>
            <w:vAlign w:val="center"/>
          </w:tcPr>
          <w:p w14:paraId="4C5F6F4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定量评价标准</w:t>
            </w:r>
          </w:p>
        </w:tc>
        <w:tc>
          <w:tcPr>
            <w:tcW w:w="641" w:type="dxa"/>
            <w:vMerge w:val="restart"/>
            <w:noWrap/>
            <w:vAlign w:val="center"/>
          </w:tcPr>
          <w:p w14:paraId="646157DE">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评价过程（只写扣分项的原因）</w:t>
            </w:r>
          </w:p>
        </w:tc>
        <w:tc>
          <w:tcPr>
            <w:tcW w:w="391" w:type="dxa"/>
            <w:vMerge w:val="restart"/>
            <w:noWrap/>
            <w:vAlign w:val="center"/>
          </w:tcPr>
          <w:p w14:paraId="1A377021">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自评得分</w:t>
            </w:r>
          </w:p>
        </w:tc>
      </w:tr>
      <w:tr w14:paraId="3EE3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restart"/>
            <w:noWrap w:val="0"/>
            <w:vAlign w:val="center"/>
          </w:tcPr>
          <w:p w14:paraId="5CF2162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分层指标</w:t>
            </w:r>
          </w:p>
        </w:tc>
        <w:tc>
          <w:tcPr>
            <w:tcW w:w="350" w:type="dxa"/>
            <w:vMerge w:val="restart"/>
            <w:noWrap w:val="0"/>
            <w:vAlign w:val="center"/>
          </w:tcPr>
          <w:p w14:paraId="62005B6A">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适用范围</w:t>
            </w:r>
          </w:p>
        </w:tc>
        <w:tc>
          <w:tcPr>
            <w:tcW w:w="538" w:type="dxa"/>
            <w:vMerge w:val="restart"/>
            <w:noWrap w:val="0"/>
            <w:vAlign w:val="center"/>
          </w:tcPr>
          <w:p w14:paraId="32CA1F9B">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一级指标</w:t>
            </w:r>
          </w:p>
        </w:tc>
        <w:tc>
          <w:tcPr>
            <w:tcW w:w="705" w:type="dxa"/>
            <w:vMerge w:val="restart"/>
            <w:noWrap w:val="0"/>
            <w:vAlign w:val="center"/>
          </w:tcPr>
          <w:p w14:paraId="4E1650D0">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二级指标</w:t>
            </w:r>
          </w:p>
        </w:tc>
        <w:tc>
          <w:tcPr>
            <w:tcW w:w="1484" w:type="dxa"/>
            <w:vMerge w:val="continue"/>
            <w:noWrap w:val="0"/>
            <w:vAlign w:val="center"/>
          </w:tcPr>
          <w:p w14:paraId="0AF07059">
            <w:pPr>
              <w:snapToGrid w:val="0"/>
              <w:spacing w:line="240" w:lineRule="atLeast"/>
              <w:jc w:val="center"/>
              <w:rPr>
                <w:rFonts w:hint="default" w:ascii="Times New Roman" w:hAnsi="Times New Roman" w:eastAsia="黑体" w:cs="Times New Roman"/>
                <w:b w:val="0"/>
                <w:bCs w:val="0"/>
                <w:color w:val="000000"/>
                <w:sz w:val="21"/>
                <w:szCs w:val="21"/>
              </w:rPr>
            </w:pPr>
          </w:p>
        </w:tc>
        <w:tc>
          <w:tcPr>
            <w:tcW w:w="657" w:type="dxa"/>
            <w:vMerge w:val="continue"/>
            <w:noWrap w:val="0"/>
            <w:vAlign w:val="center"/>
          </w:tcPr>
          <w:p w14:paraId="0663AF2F">
            <w:pPr>
              <w:snapToGrid w:val="0"/>
              <w:spacing w:line="240" w:lineRule="atLeast"/>
              <w:jc w:val="center"/>
              <w:rPr>
                <w:rFonts w:hint="default" w:ascii="Times New Roman" w:hAnsi="Times New Roman" w:eastAsia="黑体" w:cs="Times New Roman"/>
                <w:b w:val="0"/>
                <w:bCs w:val="0"/>
                <w:color w:val="000000"/>
                <w:sz w:val="21"/>
                <w:szCs w:val="21"/>
              </w:rPr>
            </w:pPr>
          </w:p>
        </w:tc>
        <w:tc>
          <w:tcPr>
            <w:tcW w:w="708" w:type="dxa"/>
            <w:vMerge w:val="continue"/>
            <w:noWrap w:val="0"/>
            <w:vAlign w:val="center"/>
          </w:tcPr>
          <w:p w14:paraId="15184217">
            <w:pPr>
              <w:snapToGrid w:val="0"/>
              <w:spacing w:line="240" w:lineRule="atLeast"/>
              <w:jc w:val="center"/>
              <w:rPr>
                <w:rFonts w:hint="default" w:ascii="Times New Roman" w:hAnsi="Times New Roman" w:eastAsia="黑体" w:cs="Times New Roman"/>
                <w:b w:val="0"/>
                <w:bCs w:val="0"/>
                <w:color w:val="000000"/>
                <w:sz w:val="21"/>
                <w:szCs w:val="21"/>
              </w:rPr>
            </w:pPr>
          </w:p>
        </w:tc>
        <w:tc>
          <w:tcPr>
            <w:tcW w:w="994" w:type="dxa"/>
            <w:vMerge w:val="continue"/>
            <w:noWrap w:val="0"/>
            <w:vAlign w:val="center"/>
          </w:tcPr>
          <w:p w14:paraId="5BDAB596">
            <w:pPr>
              <w:snapToGrid w:val="0"/>
              <w:spacing w:line="240" w:lineRule="atLeast"/>
              <w:jc w:val="center"/>
              <w:rPr>
                <w:rFonts w:hint="default" w:ascii="Times New Roman" w:hAnsi="Times New Roman" w:eastAsia="黑体" w:cs="Times New Roman"/>
                <w:b w:val="0"/>
                <w:bCs w:val="0"/>
                <w:color w:val="000000"/>
                <w:sz w:val="21"/>
                <w:szCs w:val="21"/>
              </w:rPr>
            </w:pPr>
          </w:p>
        </w:tc>
        <w:tc>
          <w:tcPr>
            <w:tcW w:w="472" w:type="dxa"/>
            <w:vMerge w:val="restart"/>
            <w:noWrap w:val="0"/>
            <w:vAlign w:val="center"/>
          </w:tcPr>
          <w:p w14:paraId="23AF88E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方法归类</w:t>
            </w:r>
          </w:p>
        </w:tc>
        <w:tc>
          <w:tcPr>
            <w:tcW w:w="2292" w:type="dxa"/>
            <w:gridSpan w:val="5"/>
            <w:noWrap w:val="0"/>
            <w:vAlign w:val="center"/>
          </w:tcPr>
          <w:p w14:paraId="3F277B85">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计算公式</w:t>
            </w:r>
          </w:p>
        </w:tc>
        <w:tc>
          <w:tcPr>
            <w:tcW w:w="1517" w:type="dxa"/>
            <w:vMerge w:val="continue"/>
            <w:noWrap w:val="0"/>
            <w:vAlign w:val="center"/>
          </w:tcPr>
          <w:p w14:paraId="2E82A742">
            <w:pPr>
              <w:snapToGrid w:val="0"/>
              <w:spacing w:line="240" w:lineRule="atLeast"/>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1F39C90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w:t>
            </w:r>
          </w:p>
        </w:tc>
        <w:tc>
          <w:tcPr>
            <w:tcW w:w="405" w:type="dxa"/>
            <w:vMerge w:val="restart"/>
            <w:noWrap w:val="0"/>
            <w:vAlign w:val="center"/>
          </w:tcPr>
          <w:p w14:paraId="56057E8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国家标准</w:t>
            </w:r>
          </w:p>
        </w:tc>
        <w:tc>
          <w:tcPr>
            <w:tcW w:w="438" w:type="dxa"/>
            <w:vMerge w:val="restart"/>
            <w:noWrap w:val="0"/>
            <w:vAlign w:val="center"/>
          </w:tcPr>
          <w:p w14:paraId="38FDEEA9">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行业标准</w:t>
            </w:r>
          </w:p>
        </w:tc>
        <w:tc>
          <w:tcPr>
            <w:tcW w:w="371" w:type="dxa"/>
            <w:vMerge w:val="restart"/>
            <w:noWrap w:val="0"/>
            <w:vAlign w:val="center"/>
          </w:tcPr>
          <w:p w14:paraId="41A0D275">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地方标准</w:t>
            </w:r>
          </w:p>
        </w:tc>
        <w:tc>
          <w:tcPr>
            <w:tcW w:w="438" w:type="dxa"/>
            <w:vMerge w:val="restart"/>
            <w:noWrap w:val="0"/>
            <w:vAlign w:val="center"/>
          </w:tcPr>
          <w:p w14:paraId="36214AFB">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申报标准</w:t>
            </w:r>
          </w:p>
        </w:tc>
        <w:tc>
          <w:tcPr>
            <w:tcW w:w="472" w:type="dxa"/>
            <w:vMerge w:val="restart"/>
            <w:noWrap w:val="0"/>
            <w:vAlign w:val="center"/>
          </w:tcPr>
          <w:p w14:paraId="31514327">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历史均值</w:t>
            </w:r>
          </w:p>
        </w:tc>
        <w:tc>
          <w:tcPr>
            <w:tcW w:w="641" w:type="dxa"/>
            <w:vMerge w:val="continue"/>
            <w:noWrap/>
            <w:vAlign w:val="center"/>
          </w:tcPr>
          <w:p w14:paraId="3AA0B646">
            <w:pPr>
              <w:snapToGrid w:val="0"/>
              <w:spacing w:line="240" w:lineRule="atLeast"/>
              <w:jc w:val="center"/>
              <w:rPr>
                <w:rFonts w:hint="default" w:ascii="Times New Roman" w:hAnsi="Times New Roman" w:cs="Times New Roman"/>
                <w:b w:val="0"/>
                <w:bCs w:val="0"/>
                <w:color w:val="000000"/>
                <w:sz w:val="21"/>
                <w:szCs w:val="21"/>
              </w:rPr>
            </w:pPr>
          </w:p>
        </w:tc>
        <w:tc>
          <w:tcPr>
            <w:tcW w:w="391" w:type="dxa"/>
            <w:vMerge w:val="continue"/>
            <w:noWrap/>
            <w:vAlign w:val="center"/>
          </w:tcPr>
          <w:p w14:paraId="14682959">
            <w:pPr>
              <w:snapToGrid w:val="0"/>
              <w:spacing w:line="240" w:lineRule="atLeast"/>
              <w:jc w:val="center"/>
              <w:rPr>
                <w:rFonts w:hint="default" w:ascii="Times New Roman" w:hAnsi="Times New Roman" w:cs="Times New Roman"/>
                <w:b w:val="0"/>
                <w:bCs w:val="0"/>
                <w:color w:val="000000"/>
                <w:sz w:val="21"/>
                <w:szCs w:val="21"/>
              </w:rPr>
            </w:pPr>
          </w:p>
        </w:tc>
      </w:tr>
      <w:tr w14:paraId="34B9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continue"/>
            <w:noWrap w:val="0"/>
            <w:vAlign w:val="center"/>
          </w:tcPr>
          <w:p w14:paraId="3D77F759">
            <w:pPr>
              <w:snapToGrid w:val="0"/>
              <w:spacing w:line="240" w:lineRule="atLeast"/>
              <w:jc w:val="center"/>
              <w:rPr>
                <w:rFonts w:hint="default" w:ascii="Times New Roman" w:hAnsi="Times New Roman" w:eastAsia="黑体" w:cs="Times New Roman"/>
                <w:b w:val="0"/>
                <w:bCs w:val="0"/>
                <w:color w:val="000000"/>
                <w:sz w:val="21"/>
                <w:szCs w:val="21"/>
              </w:rPr>
            </w:pPr>
          </w:p>
        </w:tc>
        <w:tc>
          <w:tcPr>
            <w:tcW w:w="350" w:type="dxa"/>
            <w:vMerge w:val="continue"/>
            <w:noWrap w:val="0"/>
            <w:vAlign w:val="center"/>
          </w:tcPr>
          <w:p w14:paraId="7BCA01BD">
            <w:pPr>
              <w:snapToGrid w:val="0"/>
              <w:spacing w:line="240" w:lineRule="atLeast"/>
              <w:jc w:val="center"/>
              <w:rPr>
                <w:rFonts w:hint="default" w:ascii="Times New Roman" w:hAnsi="Times New Roman" w:eastAsia="黑体" w:cs="Times New Roman"/>
                <w:b w:val="0"/>
                <w:bCs w:val="0"/>
                <w:color w:val="000000"/>
                <w:sz w:val="21"/>
                <w:szCs w:val="21"/>
              </w:rPr>
            </w:pPr>
          </w:p>
        </w:tc>
        <w:tc>
          <w:tcPr>
            <w:tcW w:w="538" w:type="dxa"/>
            <w:vMerge w:val="continue"/>
            <w:noWrap w:val="0"/>
            <w:vAlign w:val="center"/>
          </w:tcPr>
          <w:p w14:paraId="76B01E6F">
            <w:pPr>
              <w:snapToGrid w:val="0"/>
              <w:spacing w:line="240" w:lineRule="atLeast"/>
              <w:jc w:val="center"/>
              <w:rPr>
                <w:rFonts w:hint="default" w:ascii="Times New Roman" w:hAnsi="Times New Roman" w:eastAsia="黑体" w:cs="Times New Roman"/>
                <w:b w:val="0"/>
                <w:bCs w:val="0"/>
                <w:color w:val="000000"/>
                <w:sz w:val="21"/>
                <w:szCs w:val="21"/>
              </w:rPr>
            </w:pPr>
          </w:p>
        </w:tc>
        <w:tc>
          <w:tcPr>
            <w:tcW w:w="705" w:type="dxa"/>
            <w:vMerge w:val="continue"/>
            <w:noWrap w:val="0"/>
            <w:vAlign w:val="center"/>
          </w:tcPr>
          <w:p w14:paraId="7B6F957D">
            <w:pPr>
              <w:snapToGrid w:val="0"/>
              <w:spacing w:line="240" w:lineRule="atLeast"/>
              <w:jc w:val="center"/>
              <w:rPr>
                <w:rFonts w:hint="default" w:ascii="Times New Roman" w:hAnsi="Times New Roman" w:eastAsia="黑体" w:cs="Times New Roman"/>
                <w:b w:val="0"/>
                <w:bCs w:val="0"/>
                <w:color w:val="000000"/>
                <w:sz w:val="21"/>
                <w:szCs w:val="21"/>
              </w:rPr>
            </w:pPr>
          </w:p>
        </w:tc>
        <w:tc>
          <w:tcPr>
            <w:tcW w:w="1484" w:type="dxa"/>
            <w:vMerge w:val="continue"/>
            <w:noWrap w:val="0"/>
            <w:vAlign w:val="center"/>
          </w:tcPr>
          <w:p w14:paraId="524FDC9C">
            <w:pPr>
              <w:snapToGrid w:val="0"/>
              <w:spacing w:line="240" w:lineRule="atLeast"/>
              <w:jc w:val="center"/>
              <w:rPr>
                <w:rFonts w:hint="default" w:ascii="Times New Roman" w:hAnsi="Times New Roman" w:eastAsia="黑体" w:cs="Times New Roman"/>
                <w:b w:val="0"/>
                <w:bCs w:val="0"/>
                <w:color w:val="000000"/>
                <w:sz w:val="21"/>
                <w:szCs w:val="21"/>
              </w:rPr>
            </w:pPr>
          </w:p>
        </w:tc>
        <w:tc>
          <w:tcPr>
            <w:tcW w:w="657" w:type="dxa"/>
            <w:vMerge w:val="continue"/>
            <w:noWrap w:val="0"/>
            <w:vAlign w:val="center"/>
          </w:tcPr>
          <w:p w14:paraId="6301B894">
            <w:pPr>
              <w:snapToGrid w:val="0"/>
              <w:spacing w:line="240" w:lineRule="atLeast"/>
              <w:jc w:val="center"/>
              <w:rPr>
                <w:rFonts w:hint="default" w:ascii="Times New Roman" w:hAnsi="Times New Roman" w:eastAsia="黑体" w:cs="Times New Roman"/>
                <w:b w:val="0"/>
                <w:bCs w:val="0"/>
                <w:color w:val="000000"/>
                <w:sz w:val="21"/>
                <w:szCs w:val="21"/>
              </w:rPr>
            </w:pPr>
          </w:p>
        </w:tc>
        <w:tc>
          <w:tcPr>
            <w:tcW w:w="708" w:type="dxa"/>
            <w:vMerge w:val="continue"/>
            <w:noWrap w:val="0"/>
            <w:vAlign w:val="center"/>
          </w:tcPr>
          <w:p w14:paraId="3BFF959F">
            <w:pPr>
              <w:snapToGrid w:val="0"/>
              <w:spacing w:line="240" w:lineRule="atLeast"/>
              <w:jc w:val="center"/>
              <w:rPr>
                <w:rFonts w:hint="default" w:ascii="Times New Roman" w:hAnsi="Times New Roman" w:eastAsia="黑体" w:cs="Times New Roman"/>
                <w:b w:val="0"/>
                <w:bCs w:val="0"/>
                <w:color w:val="000000"/>
                <w:sz w:val="21"/>
                <w:szCs w:val="21"/>
              </w:rPr>
            </w:pPr>
          </w:p>
        </w:tc>
        <w:tc>
          <w:tcPr>
            <w:tcW w:w="994" w:type="dxa"/>
            <w:vMerge w:val="continue"/>
            <w:noWrap w:val="0"/>
            <w:vAlign w:val="center"/>
          </w:tcPr>
          <w:p w14:paraId="7DF120F4">
            <w:pPr>
              <w:snapToGrid w:val="0"/>
              <w:spacing w:line="240" w:lineRule="atLeast"/>
              <w:jc w:val="center"/>
              <w:rPr>
                <w:rFonts w:hint="default" w:ascii="Times New Roman" w:hAnsi="Times New Roman" w:eastAsia="黑体" w:cs="Times New Roman"/>
                <w:b w:val="0"/>
                <w:bCs w:val="0"/>
                <w:color w:val="000000"/>
                <w:sz w:val="21"/>
                <w:szCs w:val="21"/>
              </w:rPr>
            </w:pPr>
          </w:p>
        </w:tc>
        <w:tc>
          <w:tcPr>
            <w:tcW w:w="472" w:type="dxa"/>
            <w:vMerge w:val="continue"/>
            <w:noWrap w:val="0"/>
            <w:vAlign w:val="center"/>
          </w:tcPr>
          <w:p w14:paraId="30E4DDCF">
            <w:pPr>
              <w:snapToGrid w:val="0"/>
              <w:spacing w:line="240" w:lineRule="atLeast"/>
              <w:jc w:val="center"/>
              <w:rPr>
                <w:rFonts w:hint="default" w:ascii="Times New Roman" w:hAnsi="Times New Roman" w:eastAsia="黑体" w:cs="Times New Roman"/>
                <w:b w:val="0"/>
                <w:bCs w:val="0"/>
                <w:color w:val="000000"/>
                <w:sz w:val="21"/>
                <w:szCs w:val="21"/>
              </w:rPr>
            </w:pPr>
          </w:p>
        </w:tc>
        <w:tc>
          <w:tcPr>
            <w:tcW w:w="455" w:type="dxa"/>
            <w:noWrap w:val="0"/>
            <w:vAlign w:val="center"/>
          </w:tcPr>
          <w:p w14:paraId="3C8131E1">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w:t>
            </w:r>
          </w:p>
        </w:tc>
        <w:tc>
          <w:tcPr>
            <w:tcW w:w="455" w:type="dxa"/>
            <w:noWrap w:val="0"/>
            <w:vAlign w:val="center"/>
          </w:tcPr>
          <w:p w14:paraId="0FEFE31C">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0.3</w:t>
            </w:r>
          </w:p>
        </w:tc>
        <w:tc>
          <w:tcPr>
            <w:tcW w:w="455" w:type="dxa"/>
            <w:noWrap w:val="0"/>
            <w:vAlign w:val="center"/>
          </w:tcPr>
          <w:p w14:paraId="146B1AD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0.6</w:t>
            </w:r>
          </w:p>
        </w:tc>
        <w:tc>
          <w:tcPr>
            <w:tcW w:w="472" w:type="dxa"/>
            <w:noWrap w:val="0"/>
            <w:vAlign w:val="center"/>
          </w:tcPr>
          <w:p w14:paraId="27D7E59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0.8</w:t>
            </w:r>
          </w:p>
        </w:tc>
        <w:tc>
          <w:tcPr>
            <w:tcW w:w="455" w:type="dxa"/>
            <w:noWrap w:val="0"/>
            <w:vAlign w:val="center"/>
          </w:tcPr>
          <w:p w14:paraId="2B47E24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1</w:t>
            </w:r>
          </w:p>
        </w:tc>
        <w:tc>
          <w:tcPr>
            <w:tcW w:w="1517" w:type="dxa"/>
            <w:vMerge w:val="continue"/>
            <w:noWrap w:val="0"/>
            <w:vAlign w:val="center"/>
          </w:tcPr>
          <w:p w14:paraId="493CAC5A">
            <w:pPr>
              <w:snapToGrid w:val="0"/>
              <w:spacing w:line="240" w:lineRule="atLeast"/>
              <w:jc w:val="center"/>
              <w:rPr>
                <w:rFonts w:hint="default" w:ascii="Times New Roman" w:hAnsi="Times New Roman" w:cs="Times New Roman"/>
                <w:b w:val="0"/>
                <w:bCs w:val="0"/>
                <w:color w:val="000000"/>
                <w:sz w:val="21"/>
                <w:szCs w:val="21"/>
              </w:rPr>
            </w:pPr>
          </w:p>
        </w:tc>
        <w:tc>
          <w:tcPr>
            <w:tcW w:w="404" w:type="dxa"/>
            <w:vMerge w:val="continue"/>
            <w:noWrap w:val="0"/>
            <w:vAlign w:val="center"/>
          </w:tcPr>
          <w:p w14:paraId="3D2183D9">
            <w:pPr>
              <w:snapToGrid w:val="0"/>
              <w:spacing w:line="240" w:lineRule="atLeast"/>
              <w:jc w:val="center"/>
              <w:rPr>
                <w:rFonts w:hint="default" w:ascii="Times New Roman" w:hAnsi="Times New Roman" w:cs="Times New Roman"/>
                <w:b w:val="0"/>
                <w:bCs w:val="0"/>
                <w:color w:val="000000"/>
                <w:sz w:val="21"/>
                <w:szCs w:val="21"/>
              </w:rPr>
            </w:pPr>
          </w:p>
        </w:tc>
        <w:tc>
          <w:tcPr>
            <w:tcW w:w="405" w:type="dxa"/>
            <w:vMerge w:val="continue"/>
            <w:noWrap w:val="0"/>
            <w:vAlign w:val="center"/>
          </w:tcPr>
          <w:p w14:paraId="6EF37422">
            <w:pPr>
              <w:snapToGrid w:val="0"/>
              <w:spacing w:line="240" w:lineRule="atLeast"/>
              <w:jc w:val="center"/>
              <w:rPr>
                <w:rFonts w:hint="default" w:ascii="Times New Roman" w:hAnsi="Times New Roman" w:cs="Times New Roman"/>
                <w:b w:val="0"/>
                <w:bCs w:val="0"/>
                <w:color w:val="000000"/>
                <w:sz w:val="21"/>
                <w:szCs w:val="21"/>
              </w:rPr>
            </w:pPr>
          </w:p>
        </w:tc>
        <w:tc>
          <w:tcPr>
            <w:tcW w:w="438" w:type="dxa"/>
            <w:vMerge w:val="continue"/>
            <w:noWrap w:val="0"/>
            <w:vAlign w:val="center"/>
          </w:tcPr>
          <w:p w14:paraId="5BA11E38">
            <w:pPr>
              <w:snapToGrid w:val="0"/>
              <w:spacing w:line="240" w:lineRule="atLeast"/>
              <w:jc w:val="center"/>
              <w:rPr>
                <w:rFonts w:hint="default" w:ascii="Times New Roman" w:hAnsi="Times New Roman" w:cs="Times New Roman"/>
                <w:b w:val="0"/>
                <w:bCs w:val="0"/>
                <w:color w:val="000000"/>
                <w:sz w:val="21"/>
                <w:szCs w:val="21"/>
              </w:rPr>
            </w:pPr>
          </w:p>
        </w:tc>
        <w:tc>
          <w:tcPr>
            <w:tcW w:w="371" w:type="dxa"/>
            <w:vMerge w:val="continue"/>
            <w:noWrap w:val="0"/>
            <w:vAlign w:val="center"/>
          </w:tcPr>
          <w:p w14:paraId="7359BBD3">
            <w:pPr>
              <w:snapToGrid w:val="0"/>
              <w:spacing w:line="240" w:lineRule="atLeast"/>
              <w:jc w:val="center"/>
              <w:rPr>
                <w:rFonts w:hint="default" w:ascii="Times New Roman" w:hAnsi="Times New Roman" w:cs="Times New Roman"/>
                <w:b w:val="0"/>
                <w:bCs w:val="0"/>
                <w:color w:val="000000"/>
                <w:sz w:val="21"/>
                <w:szCs w:val="21"/>
              </w:rPr>
            </w:pPr>
          </w:p>
        </w:tc>
        <w:tc>
          <w:tcPr>
            <w:tcW w:w="438" w:type="dxa"/>
            <w:vMerge w:val="continue"/>
            <w:noWrap w:val="0"/>
            <w:vAlign w:val="center"/>
          </w:tcPr>
          <w:p w14:paraId="565B3919">
            <w:pPr>
              <w:snapToGrid w:val="0"/>
              <w:spacing w:line="240" w:lineRule="atLeast"/>
              <w:jc w:val="center"/>
              <w:rPr>
                <w:rFonts w:hint="default" w:ascii="Times New Roman" w:hAnsi="Times New Roman" w:cs="Times New Roman"/>
                <w:b w:val="0"/>
                <w:bCs w:val="0"/>
                <w:color w:val="000000"/>
                <w:sz w:val="21"/>
                <w:szCs w:val="21"/>
              </w:rPr>
            </w:pPr>
          </w:p>
        </w:tc>
        <w:tc>
          <w:tcPr>
            <w:tcW w:w="472" w:type="dxa"/>
            <w:vMerge w:val="continue"/>
            <w:noWrap w:val="0"/>
            <w:vAlign w:val="center"/>
          </w:tcPr>
          <w:p w14:paraId="1731CC16">
            <w:pPr>
              <w:snapToGrid w:val="0"/>
              <w:spacing w:line="240" w:lineRule="atLeast"/>
              <w:jc w:val="center"/>
              <w:rPr>
                <w:rFonts w:hint="default" w:ascii="Times New Roman" w:hAnsi="Times New Roman" w:cs="Times New Roman"/>
                <w:b w:val="0"/>
                <w:bCs w:val="0"/>
                <w:color w:val="000000"/>
                <w:sz w:val="21"/>
                <w:szCs w:val="21"/>
              </w:rPr>
            </w:pPr>
          </w:p>
        </w:tc>
        <w:tc>
          <w:tcPr>
            <w:tcW w:w="641" w:type="dxa"/>
            <w:vMerge w:val="continue"/>
            <w:noWrap/>
            <w:vAlign w:val="center"/>
          </w:tcPr>
          <w:p w14:paraId="63262E69">
            <w:pPr>
              <w:snapToGrid w:val="0"/>
              <w:spacing w:line="240" w:lineRule="atLeast"/>
              <w:jc w:val="center"/>
              <w:rPr>
                <w:rFonts w:hint="default" w:ascii="Times New Roman" w:hAnsi="Times New Roman" w:cs="Times New Roman"/>
                <w:b w:val="0"/>
                <w:bCs w:val="0"/>
                <w:color w:val="000000"/>
                <w:sz w:val="21"/>
                <w:szCs w:val="21"/>
              </w:rPr>
            </w:pPr>
          </w:p>
        </w:tc>
        <w:tc>
          <w:tcPr>
            <w:tcW w:w="391" w:type="dxa"/>
            <w:vMerge w:val="continue"/>
            <w:noWrap/>
            <w:vAlign w:val="center"/>
          </w:tcPr>
          <w:p w14:paraId="2CDA401D">
            <w:pPr>
              <w:snapToGrid w:val="0"/>
              <w:spacing w:line="240" w:lineRule="atLeast"/>
              <w:jc w:val="center"/>
              <w:rPr>
                <w:rFonts w:hint="default" w:ascii="Times New Roman" w:hAnsi="Times New Roman" w:cs="Times New Roman"/>
                <w:b w:val="0"/>
                <w:bCs w:val="0"/>
                <w:color w:val="000000"/>
                <w:sz w:val="21"/>
                <w:szCs w:val="21"/>
              </w:rPr>
            </w:pPr>
          </w:p>
        </w:tc>
      </w:tr>
      <w:tr w14:paraId="635B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16" w:type="dxa"/>
            <w:vMerge w:val="restart"/>
            <w:noWrap w:val="0"/>
            <w:vAlign w:val="center"/>
          </w:tcPr>
          <w:p w14:paraId="73FC78E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6CE40CF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538" w:type="dxa"/>
            <w:vMerge w:val="restart"/>
            <w:noWrap w:val="0"/>
            <w:vAlign w:val="center"/>
          </w:tcPr>
          <w:p w14:paraId="41F9F84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项目决策</w:t>
            </w:r>
          </w:p>
        </w:tc>
        <w:tc>
          <w:tcPr>
            <w:tcW w:w="705" w:type="dxa"/>
            <w:noWrap w:val="0"/>
            <w:vAlign w:val="center"/>
          </w:tcPr>
          <w:p w14:paraId="33903FC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程序严密</w:t>
            </w:r>
          </w:p>
        </w:tc>
        <w:tc>
          <w:tcPr>
            <w:tcW w:w="1484" w:type="dxa"/>
            <w:noWrap w:val="0"/>
            <w:vAlign w:val="center"/>
          </w:tcPr>
          <w:p w14:paraId="2713D9C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657" w:type="dxa"/>
            <w:noWrap w:val="0"/>
            <w:vAlign w:val="center"/>
          </w:tcPr>
          <w:p w14:paraId="5BA92A9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708" w:type="dxa"/>
            <w:noWrap w:val="0"/>
            <w:vAlign w:val="center"/>
          </w:tcPr>
          <w:p w14:paraId="600E8C5C">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994" w:type="dxa"/>
            <w:noWrap w:val="0"/>
            <w:vAlign w:val="center"/>
          </w:tcPr>
          <w:p w14:paraId="3C9F655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项目设立是否经过严格评估论证，管理制度是否健全完善</w:t>
            </w:r>
          </w:p>
        </w:tc>
        <w:tc>
          <w:tcPr>
            <w:tcW w:w="472" w:type="dxa"/>
            <w:noWrap w:val="0"/>
            <w:vAlign w:val="center"/>
          </w:tcPr>
          <w:p w14:paraId="5703279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55" w:type="dxa"/>
            <w:noWrap w:val="0"/>
            <w:vAlign w:val="center"/>
          </w:tcPr>
          <w:p w14:paraId="341EF8D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不严密</w:t>
            </w:r>
          </w:p>
        </w:tc>
        <w:tc>
          <w:tcPr>
            <w:tcW w:w="455" w:type="dxa"/>
            <w:noWrap w:val="0"/>
            <w:vAlign w:val="center"/>
          </w:tcPr>
          <w:p w14:paraId="47C6629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3处及以上不严密</w:t>
            </w:r>
          </w:p>
        </w:tc>
        <w:tc>
          <w:tcPr>
            <w:tcW w:w="455" w:type="dxa"/>
            <w:noWrap w:val="0"/>
            <w:vAlign w:val="center"/>
          </w:tcPr>
          <w:p w14:paraId="337C66B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2处不严密</w:t>
            </w:r>
          </w:p>
        </w:tc>
        <w:tc>
          <w:tcPr>
            <w:tcW w:w="472" w:type="dxa"/>
            <w:noWrap w:val="0"/>
            <w:vAlign w:val="center"/>
          </w:tcPr>
          <w:p w14:paraId="1900051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1处不严密</w:t>
            </w:r>
          </w:p>
        </w:tc>
        <w:tc>
          <w:tcPr>
            <w:tcW w:w="455" w:type="dxa"/>
            <w:noWrap w:val="0"/>
            <w:vAlign w:val="center"/>
          </w:tcPr>
          <w:p w14:paraId="06EFFFD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1517" w:type="dxa"/>
            <w:noWrap w:val="0"/>
            <w:vAlign w:val="center"/>
          </w:tcPr>
          <w:p w14:paraId="10816E3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主要查看项目设立时是否经过事前评估或可行性论证，专项资金管理办法是否健全完善</w:t>
            </w:r>
          </w:p>
        </w:tc>
        <w:tc>
          <w:tcPr>
            <w:tcW w:w="404" w:type="dxa"/>
            <w:noWrap w:val="0"/>
            <w:vAlign w:val="center"/>
          </w:tcPr>
          <w:p w14:paraId="5965549B">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26440389">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0AAF047">
            <w:pPr>
              <w:snapToGrid w:val="0"/>
              <w:spacing w:line="240" w:lineRule="atLeast"/>
              <w:rPr>
                <w:rFonts w:hint="default" w:ascii="Times New Roman" w:hAnsi="Times New Roman" w:cs="Times New Roman"/>
                <w:b w:val="0"/>
                <w:bCs w:val="0"/>
                <w:color w:val="000000"/>
                <w:sz w:val="21"/>
                <w:szCs w:val="21"/>
              </w:rPr>
            </w:pPr>
          </w:p>
        </w:tc>
        <w:tc>
          <w:tcPr>
            <w:tcW w:w="371" w:type="dxa"/>
            <w:noWrap w:val="0"/>
            <w:vAlign w:val="center"/>
          </w:tcPr>
          <w:p w14:paraId="6969B543">
            <w:pPr>
              <w:snapToGrid w:val="0"/>
              <w:spacing w:line="240" w:lineRule="atLeast"/>
              <w:jc w:val="center"/>
              <w:rPr>
                <w:rFonts w:hint="default" w:ascii="Times New Roman" w:hAnsi="Times New Roman" w:cs="Times New Roman"/>
                <w:b w:val="0"/>
                <w:bCs w:val="0"/>
                <w:color w:val="000000"/>
                <w:sz w:val="21"/>
                <w:szCs w:val="21"/>
              </w:rPr>
            </w:pPr>
          </w:p>
        </w:tc>
        <w:tc>
          <w:tcPr>
            <w:tcW w:w="438" w:type="dxa"/>
            <w:noWrap w:val="0"/>
            <w:vAlign w:val="center"/>
          </w:tcPr>
          <w:p w14:paraId="50E5B42B">
            <w:pPr>
              <w:snapToGrid w:val="0"/>
              <w:spacing w:line="240" w:lineRule="atLeast"/>
              <w:jc w:val="center"/>
              <w:rPr>
                <w:rFonts w:hint="default" w:ascii="Times New Roman" w:hAnsi="Times New Roman" w:cs="Times New Roman"/>
                <w:b w:val="0"/>
                <w:bCs w:val="0"/>
                <w:color w:val="000000"/>
                <w:sz w:val="21"/>
                <w:szCs w:val="21"/>
              </w:rPr>
            </w:pPr>
          </w:p>
        </w:tc>
        <w:tc>
          <w:tcPr>
            <w:tcW w:w="472" w:type="dxa"/>
            <w:noWrap/>
            <w:vAlign w:val="center"/>
          </w:tcPr>
          <w:p w14:paraId="726FFC57">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6B01C983">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694E1FEE">
            <w:pPr>
              <w:widowControl/>
              <w:snapToGrid w:val="0"/>
              <w:spacing w:line="240" w:lineRule="atLeast"/>
              <w:jc w:val="righ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r>
      <w:tr w14:paraId="37E1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716" w:type="dxa"/>
            <w:vMerge w:val="continue"/>
            <w:noWrap w:val="0"/>
            <w:vAlign w:val="center"/>
          </w:tcPr>
          <w:p w14:paraId="70A202F3">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790F15A">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continue"/>
            <w:noWrap w:val="0"/>
            <w:vAlign w:val="center"/>
          </w:tcPr>
          <w:p w14:paraId="32665D23">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2AB2C3D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规划合理</w:t>
            </w:r>
          </w:p>
        </w:tc>
        <w:tc>
          <w:tcPr>
            <w:tcW w:w="1484" w:type="dxa"/>
            <w:noWrap w:val="0"/>
            <w:vAlign w:val="center"/>
          </w:tcPr>
          <w:p w14:paraId="05076EE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657" w:type="dxa"/>
            <w:noWrap w:val="0"/>
            <w:vAlign w:val="center"/>
          </w:tcPr>
          <w:p w14:paraId="3CABA84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708" w:type="dxa"/>
            <w:noWrap w:val="0"/>
            <w:vAlign w:val="center"/>
          </w:tcPr>
          <w:p w14:paraId="63A2FC5D">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994" w:type="dxa"/>
            <w:noWrap w:val="0"/>
            <w:vAlign w:val="center"/>
          </w:tcPr>
          <w:p w14:paraId="05B35803">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项目规划是否符合市委、市政府重大决策部署，是否与项目年度目标一致</w:t>
            </w:r>
          </w:p>
        </w:tc>
        <w:tc>
          <w:tcPr>
            <w:tcW w:w="472" w:type="dxa"/>
            <w:noWrap w:val="0"/>
            <w:vAlign w:val="center"/>
          </w:tcPr>
          <w:p w14:paraId="2F6D878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55" w:type="dxa"/>
            <w:noWrap w:val="0"/>
            <w:vAlign w:val="center"/>
          </w:tcPr>
          <w:p w14:paraId="2CA0263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不合理</w:t>
            </w:r>
          </w:p>
        </w:tc>
        <w:tc>
          <w:tcPr>
            <w:tcW w:w="455" w:type="dxa"/>
            <w:noWrap w:val="0"/>
            <w:vAlign w:val="center"/>
          </w:tcPr>
          <w:p w14:paraId="2A72C01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3处及以上不合理</w:t>
            </w:r>
          </w:p>
        </w:tc>
        <w:tc>
          <w:tcPr>
            <w:tcW w:w="455" w:type="dxa"/>
            <w:noWrap w:val="0"/>
            <w:vAlign w:val="center"/>
          </w:tcPr>
          <w:p w14:paraId="0FC72D4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2处不合理</w:t>
            </w:r>
          </w:p>
        </w:tc>
        <w:tc>
          <w:tcPr>
            <w:tcW w:w="472" w:type="dxa"/>
            <w:noWrap w:val="0"/>
            <w:vAlign w:val="center"/>
          </w:tcPr>
          <w:p w14:paraId="12CB06F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1处不合理</w:t>
            </w:r>
          </w:p>
        </w:tc>
        <w:tc>
          <w:tcPr>
            <w:tcW w:w="455" w:type="dxa"/>
            <w:noWrap w:val="0"/>
            <w:vAlign w:val="center"/>
          </w:tcPr>
          <w:p w14:paraId="6B36359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1517" w:type="dxa"/>
            <w:noWrap w:val="0"/>
            <w:vAlign w:val="center"/>
          </w:tcPr>
          <w:p w14:paraId="4B0C4A8E">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主要查看项目设立依据是否充分，符合市委、市政府重大决策部署和宏观政策规划，项目年度绩效目标与中长期规划是否一致</w:t>
            </w:r>
          </w:p>
        </w:tc>
        <w:tc>
          <w:tcPr>
            <w:tcW w:w="404" w:type="dxa"/>
            <w:noWrap w:val="0"/>
            <w:vAlign w:val="center"/>
          </w:tcPr>
          <w:p w14:paraId="154224A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1C063B78">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0D0A944E">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7706C63B">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2E2CB30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72" w:type="dxa"/>
            <w:noWrap/>
            <w:vAlign w:val="center"/>
          </w:tcPr>
          <w:p w14:paraId="158FA66C">
            <w:pPr>
              <w:snapToGrid w:val="0"/>
              <w:spacing w:line="240" w:lineRule="atLeast"/>
              <w:rPr>
                <w:rFonts w:hint="default" w:ascii="Times New Roman" w:hAnsi="Times New Roman" w:cs="Times New Roman"/>
                <w:b w:val="0"/>
                <w:bCs w:val="0"/>
                <w:color w:val="000000"/>
                <w:sz w:val="21"/>
                <w:szCs w:val="21"/>
              </w:rPr>
            </w:pPr>
          </w:p>
        </w:tc>
        <w:tc>
          <w:tcPr>
            <w:tcW w:w="641" w:type="dxa"/>
            <w:noWrap w:val="0"/>
            <w:vAlign w:val="center"/>
          </w:tcPr>
          <w:p w14:paraId="78629F7E">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4E1624C7">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4C7E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716" w:type="dxa"/>
            <w:vMerge w:val="restart"/>
            <w:noWrap w:val="0"/>
            <w:vAlign w:val="center"/>
          </w:tcPr>
          <w:p w14:paraId="26FC60C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22CDA51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538" w:type="dxa"/>
            <w:vMerge w:val="continue"/>
            <w:noWrap w:val="0"/>
            <w:vAlign w:val="center"/>
          </w:tcPr>
          <w:p w14:paraId="6C88B763">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3D928DD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结果符合</w:t>
            </w:r>
          </w:p>
        </w:tc>
        <w:tc>
          <w:tcPr>
            <w:tcW w:w="1484" w:type="dxa"/>
            <w:noWrap w:val="0"/>
            <w:vAlign w:val="center"/>
          </w:tcPr>
          <w:p w14:paraId="463D546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657" w:type="dxa"/>
            <w:noWrap w:val="0"/>
            <w:vAlign w:val="center"/>
          </w:tcPr>
          <w:p w14:paraId="5541720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708" w:type="dxa"/>
            <w:noWrap w:val="0"/>
            <w:vAlign w:val="center"/>
          </w:tcPr>
          <w:p w14:paraId="7DFCFEB1">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994" w:type="dxa"/>
            <w:noWrap w:val="0"/>
            <w:vAlign w:val="center"/>
          </w:tcPr>
          <w:p w14:paraId="4AE49BC3">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项目实施结果是否与规划计划一致</w:t>
            </w:r>
          </w:p>
        </w:tc>
        <w:tc>
          <w:tcPr>
            <w:tcW w:w="472" w:type="dxa"/>
            <w:noWrap w:val="0"/>
            <w:vAlign w:val="center"/>
          </w:tcPr>
          <w:p w14:paraId="6577EA2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92" w:type="dxa"/>
            <w:gridSpan w:val="5"/>
            <w:noWrap w:val="0"/>
            <w:vAlign w:val="center"/>
          </w:tcPr>
          <w:p w14:paraId="44ADF04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指标得分=项目实施结果符合规划的金额/项目总金额×100%*指标分值</w:t>
            </w:r>
          </w:p>
        </w:tc>
        <w:tc>
          <w:tcPr>
            <w:tcW w:w="1517" w:type="dxa"/>
            <w:noWrap w:val="0"/>
            <w:vAlign w:val="center"/>
          </w:tcPr>
          <w:p w14:paraId="05EB8546">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按项目法分配的项目，以所有项目点实施完成情况与规划计划情况进行对比。按因素法分配的项目和据实据效分配的项目，将资金分配方向与规划计划支持方向进行对比</w:t>
            </w:r>
          </w:p>
        </w:tc>
        <w:tc>
          <w:tcPr>
            <w:tcW w:w="404" w:type="dxa"/>
            <w:noWrap w:val="0"/>
            <w:vAlign w:val="center"/>
          </w:tcPr>
          <w:p w14:paraId="19627C0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3D3E8647">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6FBC4ED9">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1EB9B214">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B9E557E">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103A33DE">
            <w:pPr>
              <w:snapToGrid w:val="0"/>
              <w:spacing w:line="240" w:lineRule="atLeast"/>
              <w:rPr>
                <w:rFonts w:hint="default" w:ascii="Times New Roman" w:hAnsi="Times New Roman" w:cs="Times New Roman"/>
                <w:b w:val="0"/>
                <w:bCs w:val="0"/>
                <w:color w:val="000000"/>
                <w:sz w:val="21"/>
                <w:szCs w:val="21"/>
              </w:rPr>
            </w:pPr>
          </w:p>
        </w:tc>
        <w:tc>
          <w:tcPr>
            <w:tcW w:w="641" w:type="dxa"/>
            <w:noWrap w:val="0"/>
            <w:vAlign w:val="center"/>
          </w:tcPr>
          <w:p w14:paraId="6D56DD3E">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7373458D">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143B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716" w:type="dxa"/>
            <w:vMerge w:val="continue"/>
            <w:noWrap w:val="0"/>
            <w:vAlign w:val="center"/>
          </w:tcPr>
          <w:p w14:paraId="5EAE2C3D">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69BAFAC8">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restart"/>
            <w:noWrap w:val="0"/>
            <w:vAlign w:val="center"/>
          </w:tcPr>
          <w:p w14:paraId="65BA7AD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w:t>
            </w:r>
          </w:p>
        </w:tc>
        <w:tc>
          <w:tcPr>
            <w:tcW w:w="705" w:type="dxa"/>
            <w:noWrap w:val="0"/>
            <w:vAlign w:val="center"/>
          </w:tcPr>
          <w:p w14:paraId="1A74C74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执行有效</w:t>
            </w:r>
          </w:p>
        </w:tc>
        <w:tc>
          <w:tcPr>
            <w:tcW w:w="1484" w:type="dxa"/>
            <w:noWrap w:val="0"/>
            <w:vAlign w:val="center"/>
          </w:tcPr>
          <w:p w14:paraId="59E97FC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657" w:type="dxa"/>
            <w:noWrap w:val="0"/>
            <w:vAlign w:val="center"/>
          </w:tcPr>
          <w:p w14:paraId="19046FA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708" w:type="dxa"/>
            <w:noWrap w:val="0"/>
            <w:vAlign w:val="center"/>
          </w:tcPr>
          <w:p w14:paraId="130B212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994" w:type="dxa"/>
            <w:noWrap w:val="0"/>
            <w:vAlign w:val="center"/>
          </w:tcPr>
          <w:p w14:paraId="3931B61E">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项目实施是否符合相关管理制度规定</w:t>
            </w:r>
          </w:p>
        </w:tc>
        <w:tc>
          <w:tcPr>
            <w:tcW w:w="472" w:type="dxa"/>
            <w:noWrap w:val="0"/>
            <w:vAlign w:val="center"/>
          </w:tcPr>
          <w:p w14:paraId="06860E0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92" w:type="dxa"/>
            <w:gridSpan w:val="5"/>
            <w:noWrap w:val="0"/>
            <w:vAlign w:val="center"/>
          </w:tcPr>
          <w:p w14:paraId="05AAD44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517" w:type="dxa"/>
            <w:noWrap w:val="0"/>
            <w:vAlign w:val="center"/>
          </w:tcPr>
          <w:p w14:paraId="4E843CF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项目实施是否遵守相关法律法规；项目调整手续是否完备；项目合同、验收报告、技术鉴定等资料是否齐全并及时归档；项目实施的人员条件、场地设备、信息支撑等是否落实到位</w:t>
            </w:r>
          </w:p>
        </w:tc>
        <w:tc>
          <w:tcPr>
            <w:tcW w:w="404" w:type="dxa"/>
            <w:noWrap w:val="0"/>
            <w:vAlign w:val="center"/>
          </w:tcPr>
          <w:p w14:paraId="6DEA080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48216F47">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EC24D74">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1176C250">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3F53632">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67B44162">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145E1F6A">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2300173D">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2392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jc w:val="center"/>
        </w:trPr>
        <w:tc>
          <w:tcPr>
            <w:tcW w:w="716" w:type="dxa"/>
            <w:vMerge w:val="restart"/>
            <w:noWrap w:val="0"/>
            <w:vAlign w:val="center"/>
          </w:tcPr>
          <w:p w14:paraId="4D8883F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371DFC3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538" w:type="dxa"/>
            <w:vMerge w:val="continue"/>
            <w:noWrap w:val="0"/>
            <w:vAlign w:val="center"/>
          </w:tcPr>
          <w:p w14:paraId="7336960A">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25C93DE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使用合规</w:t>
            </w:r>
          </w:p>
        </w:tc>
        <w:tc>
          <w:tcPr>
            <w:tcW w:w="1484" w:type="dxa"/>
            <w:noWrap w:val="0"/>
            <w:vAlign w:val="center"/>
          </w:tcPr>
          <w:p w14:paraId="421160E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657" w:type="dxa"/>
            <w:noWrap w:val="0"/>
            <w:vAlign w:val="center"/>
          </w:tcPr>
          <w:p w14:paraId="1A2F222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708" w:type="dxa"/>
            <w:noWrap w:val="0"/>
            <w:vAlign w:val="center"/>
          </w:tcPr>
          <w:p w14:paraId="19CC83DE">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994" w:type="dxa"/>
            <w:noWrap w:val="0"/>
            <w:vAlign w:val="center"/>
          </w:tcPr>
          <w:p w14:paraId="458F7350">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项目资金使用是否符合相关的财务管理制度规定</w:t>
            </w:r>
          </w:p>
        </w:tc>
        <w:tc>
          <w:tcPr>
            <w:tcW w:w="472" w:type="dxa"/>
            <w:noWrap w:val="0"/>
            <w:vAlign w:val="center"/>
          </w:tcPr>
          <w:p w14:paraId="7274A90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92" w:type="dxa"/>
            <w:gridSpan w:val="5"/>
            <w:noWrap w:val="0"/>
            <w:vAlign w:val="center"/>
          </w:tcPr>
          <w:p w14:paraId="6C5CE5F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517" w:type="dxa"/>
            <w:noWrap w:val="0"/>
            <w:vAlign w:val="center"/>
          </w:tcPr>
          <w:p w14:paraId="18972BAB">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04" w:type="dxa"/>
            <w:noWrap w:val="0"/>
            <w:vAlign w:val="center"/>
          </w:tcPr>
          <w:p w14:paraId="70ECF83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12E623B6">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7731033">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1669F19D">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E6ED35A">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0085AC36">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6720D55A">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6CC96493">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1A40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716" w:type="dxa"/>
            <w:vMerge w:val="continue"/>
            <w:noWrap w:val="0"/>
            <w:vAlign w:val="center"/>
          </w:tcPr>
          <w:p w14:paraId="55F4C31E">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49055CAC">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restart"/>
            <w:noWrap w:val="0"/>
            <w:vAlign w:val="center"/>
          </w:tcPr>
          <w:p w14:paraId="40F89C4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w:t>
            </w:r>
          </w:p>
        </w:tc>
        <w:tc>
          <w:tcPr>
            <w:tcW w:w="705" w:type="dxa"/>
            <w:noWrap w:val="0"/>
            <w:vAlign w:val="center"/>
          </w:tcPr>
          <w:p w14:paraId="4ADAE0C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预算执行率</w:t>
            </w:r>
          </w:p>
        </w:tc>
        <w:tc>
          <w:tcPr>
            <w:tcW w:w="1484" w:type="dxa"/>
            <w:noWrap w:val="0"/>
            <w:vAlign w:val="center"/>
          </w:tcPr>
          <w:p w14:paraId="5A8D164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6</w:t>
            </w:r>
          </w:p>
        </w:tc>
        <w:tc>
          <w:tcPr>
            <w:tcW w:w="657" w:type="dxa"/>
            <w:noWrap w:val="0"/>
            <w:vAlign w:val="center"/>
          </w:tcPr>
          <w:p w14:paraId="605241D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708" w:type="dxa"/>
            <w:noWrap w:val="0"/>
            <w:vAlign w:val="center"/>
          </w:tcPr>
          <w:p w14:paraId="46D16B30">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994" w:type="dxa"/>
            <w:noWrap w:val="0"/>
            <w:vAlign w:val="center"/>
          </w:tcPr>
          <w:p w14:paraId="0BEC1E6C">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反映项目资金整体预算执行情况</w:t>
            </w:r>
          </w:p>
        </w:tc>
        <w:tc>
          <w:tcPr>
            <w:tcW w:w="472" w:type="dxa"/>
            <w:noWrap w:val="0"/>
            <w:vAlign w:val="center"/>
          </w:tcPr>
          <w:p w14:paraId="766E896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92" w:type="dxa"/>
            <w:gridSpan w:val="5"/>
            <w:noWrap w:val="0"/>
            <w:vAlign w:val="center"/>
          </w:tcPr>
          <w:p w14:paraId="71675AE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指标得分=实际拨付下达资金/预算安排资金总额×100%*指标分值（预算安排资金总额一般采用年初预算数，若存在政策变化等因素可采用调整预算数）</w:t>
            </w:r>
          </w:p>
        </w:tc>
        <w:tc>
          <w:tcPr>
            <w:tcW w:w="1517" w:type="dxa"/>
            <w:noWrap w:val="0"/>
            <w:vAlign w:val="center"/>
          </w:tcPr>
          <w:p w14:paraId="63E92650">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74FAB5B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4CD3BF7A">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2B7BFEAF">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5C835A14">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7D9119C">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767DAAAC">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30E41D72">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6D916568">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6</w:t>
            </w:r>
          </w:p>
        </w:tc>
      </w:tr>
      <w:tr w14:paraId="230E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noWrap w:val="0"/>
            <w:vAlign w:val="center"/>
          </w:tcPr>
          <w:p w14:paraId="3065C16E">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7CDB5EA2">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continue"/>
            <w:noWrap w:val="0"/>
            <w:vAlign w:val="center"/>
          </w:tcPr>
          <w:p w14:paraId="4A1D3153">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4B8D7B1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资金使用率</w:t>
            </w:r>
          </w:p>
        </w:tc>
        <w:tc>
          <w:tcPr>
            <w:tcW w:w="1484" w:type="dxa"/>
            <w:noWrap w:val="0"/>
            <w:vAlign w:val="center"/>
          </w:tcPr>
          <w:p w14:paraId="0D6B814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w:t>
            </w:r>
          </w:p>
        </w:tc>
        <w:tc>
          <w:tcPr>
            <w:tcW w:w="657" w:type="dxa"/>
            <w:noWrap w:val="0"/>
            <w:vAlign w:val="center"/>
          </w:tcPr>
          <w:p w14:paraId="2396AED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708" w:type="dxa"/>
            <w:noWrap w:val="0"/>
            <w:vAlign w:val="center"/>
          </w:tcPr>
          <w:p w14:paraId="077A69C7">
            <w:pPr>
              <w:snapToGrid w:val="0"/>
              <w:spacing w:line="240" w:lineRule="atLeast"/>
              <w:jc w:val="center"/>
              <w:rPr>
                <w:rFonts w:hint="default" w:ascii="Times New Roman" w:hAnsi="Times New Roman" w:cs="Times New Roman"/>
                <w:b w:val="0"/>
                <w:bCs w:val="0"/>
                <w:color w:val="000000"/>
                <w:sz w:val="21"/>
                <w:szCs w:val="21"/>
              </w:rPr>
            </w:pPr>
          </w:p>
        </w:tc>
        <w:tc>
          <w:tcPr>
            <w:tcW w:w="994" w:type="dxa"/>
            <w:noWrap w:val="0"/>
            <w:vAlign w:val="center"/>
          </w:tcPr>
          <w:p w14:paraId="48834393">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反映项目点获得资金的使用情况</w:t>
            </w:r>
          </w:p>
        </w:tc>
        <w:tc>
          <w:tcPr>
            <w:tcW w:w="472" w:type="dxa"/>
            <w:noWrap w:val="0"/>
            <w:vAlign w:val="center"/>
          </w:tcPr>
          <w:p w14:paraId="2070903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2292" w:type="dxa"/>
            <w:gridSpan w:val="5"/>
            <w:noWrap w:val="0"/>
            <w:vAlign w:val="center"/>
          </w:tcPr>
          <w:p w14:paraId="001EB34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9"/>
                <w:rFonts w:hint="default" w:ascii="Times New Roman" w:hAnsi="Times New Roman" w:cs="Times New Roman"/>
                <w:b w:val="0"/>
                <w:bCs w:val="0"/>
                <w:sz w:val="21"/>
                <w:szCs w:val="21"/>
                <w:lang w:bidi="ar"/>
              </w:rPr>
              <w:t>指标得分=项目点实际使用资金/获得补助资金总额×100%*指标分值</w:t>
            </w:r>
            <w:r>
              <w:rPr>
                <w:rStyle w:val="30"/>
                <w:rFonts w:hint="default" w:ascii="Times New Roman" w:hAnsi="Times New Roman" w:cs="Times New Roman"/>
                <w:b w:val="0"/>
                <w:bCs w:val="0"/>
                <w:color w:val="000000"/>
                <w:sz w:val="21"/>
                <w:szCs w:val="21"/>
                <w:lang w:bidi="ar"/>
              </w:rPr>
              <w:t>（后补助资金可不考核本指标）</w:t>
            </w:r>
          </w:p>
        </w:tc>
        <w:tc>
          <w:tcPr>
            <w:tcW w:w="1517" w:type="dxa"/>
            <w:noWrap w:val="0"/>
            <w:vAlign w:val="center"/>
          </w:tcPr>
          <w:p w14:paraId="10AB16D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不涉及的将分数调整到预算执行率内（6分）</w:t>
            </w:r>
          </w:p>
        </w:tc>
        <w:tc>
          <w:tcPr>
            <w:tcW w:w="404" w:type="dxa"/>
            <w:noWrap w:val="0"/>
            <w:vAlign w:val="center"/>
          </w:tcPr>
          <w:p w14:paraId="4E51334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3DE4EA74">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43AE8778">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1DD09419">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04D156A5">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672AEAE4">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525C3560">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7F3E6775">
            <w:pPr>
              <w:snapToGrid w:val="0"/>
              <w:spacing w:line="240" w:lineRule="atLeast"/>
              <w:rPr>
                <w:rFonts w:hint="default" w:ascii="Times New Roman" w:hAnsi="Times New Roman" w:cs="Times New Roman"/>
                <w:b w:val="0"/>
                <w:bCs w:val="0"/>
                <w:color w:val="000000"/>
                <w:sz w:val="21"/>
                <w:szCs w:val="21"/>
              </w:rPr>
            </w:pPr>
          </w:p>
        </w:tc>
      </w:tr>
      <w:tr w14:paraId="7E54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restart"/>
            <w:noWrap w:val="0"/>
            <w:vAlign w:val="center"/>
          </w:tcPr>
          <w:p w14:paraId="65E4DED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产出指标（20分）</w:t>
            </w:r>
          </w:p>
        </w:tc>
        <w:tc>
          <w:tcPr>
            <w:tcW w:w="350" w:type="dxa"/>
            <w:vMerge w:val="restart"/>
            <w:noWrap w:val="0"/>
            <w:vAlign w:val="center"/>
          </w:tcPr>
          <w:p w14:paraId="7DB4F09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538" w:type="dxa"/>
            <w:vMerge w:val="restart"/>
            <w:noWrap w:val="0"/>
            <w:vAlign w:val="center"/>
          </w:tcPr>
          <w:p w14:paraId="4EC9177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数量指标</w:t>
            </w:r>
          </w:p>
        </w:tc>
        <w:tc>
          <w:tcPr>
            <w:tcW w:w="705" w:type="dxa"/>
            <w:noWrap w:val="0"/>
            <w:vAlign w:val="center"/>
          </w:tcPr>
          <w:p w14:paraId="3E752D4F">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演员参与人数目</w:t>
            </w:r>
          </w:p>
        </w:tc>
        <w:tc>
          <w:tcPr>
            <w:tcW w:w="1484" w:type="dxa"/>
            <w:vMerge w:val="restart"/>
            <w:noWrap w:val="0"/>
            <w:vAlign w:val="center"/>
          </w:tcPr>
          <w:p w14:paraId="4D6E0713">
            <w:pPr>
              <w:keepNext w:val="0"/>
              <w:keepLines w:val="0"/>
              <w:widowControl/>
              <w:suppressLineNumbers w:val="0"/>
              <w:jc w:val="center"/>
              <w:textAlignment w:val="center"/>
              <w:rPr>
                <w:rFonts w:hint="default" w:ascii="Times New Roman" w:hAnsi="Times New Roman" w:cs="Times New Roman"/>
                <w:b w:val="0"/>
                <w:bCs w:val="0"/>
                <w:color w:val="000000"/>
                <w:sz w:val="21"/>
                <w:szCs w:val="21"/>
              </w:rPr>
            </w:pPr>
            <w:r>
              <w:rPr>
                <w:rFonts w:hint="eastAsia" w:ascii="宋体" w:hAnsi="宋体" w:eastAsia="宋体" w:cs="宋体"/>
                <w:i w:val="0"/>
                <w:iCs w:val="0"/>
                <w:color w:val="000000"/>
                <w:kern w:val="0"/>
                <w:sz w:val="22"/>
                <w:szCs w:val="22"/>
                <w:u w:val="none"/>
                <w:lang w:val="en-US" w:eastAsia="zh-CN" w:bidi="ar"/>
              </w:rPr>
              <w:t>5</w:t>
            </w:r>
          </w:p>
        </w:tc>
        <w:tc>
          <w:tcPr>
            <w:tcW w:w="657" w:type="dxa"/>
            <w:noWrap w:val="0"/>
            <w:vAlign w:val="center"/>
          </w:tcPr>
          <w:p w14:paraId="4A317338">
            <w:pPr>
              <w:keepNext w:val="0"/>
              <w:keepLines w:val="0"/>
              <w:widowControl/>
              <w:suppressLineNumbers w:val="0"/>
              <w:jc w:val="center"/>
              <w:textAlignment w:val="center"/>
              <w:rPr>
                <w:rFonts w:hint="default" w:ascii="Times New Roman" w:hAnsi="Times New Roman" w:cs="Times New Roman"/>
                <w:b w:val="0"/>
                <w:bCs w:val="0"/>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≥300人</w:t>
            </w:r>
          </w:p>
        </w:tc>
        <w:tc>
          <w:tcPr>
            <w:tcW w:w="708" w:type="dxa"/>
            <w:noWrap w:val="0"/>
            <w:vAlign w:val="center"/>
          </w:tcPr>
          <w:p w14:paraId="35CBF278">
            <w:pPr>
              <w:keepNext w:val="0"/>
              <w:keepLines w:val="0"/>
              <w:widowControl/>
              <w:suppressLineNumbers w:val="0"/>
              <w:jc w:val="center"/>
              <w:textAlignment w:val="center"/>
              <w:rPr>
                <w:rFonts w:hint="default" w:ascii="Times New Roman" w:hAnsi="Times New Roman" w:cs="Times New Roman"/>
                <w:b w:val="0"/>
                <w:bCs w:val="0"/>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490人</w:t>
            </w:r>
          </w:p>
        </w:tc>
        <w:tc>
          <w:tcPr>
            <w:tcW w:w="994" w:type="dxa"/>
            <w:noWrap w:val="0"/>
            <w:vAlign w:val="center"/>
          </w:tcPr>
          <w:p w14:paraId="672C65EE">
            <w:pPr>
              <w:snapToGrid w:val="0"/>
              <w:spacing w:line="240" w:lineRule="atLeast"/>
              <w:rPr>
                <w:rFonts w:hint="default" w:ascii="Times New Roman" w:hAnsi="Times New Roman" w:cs="Times New Roman"/>
                <w:b w:val="0"/>
                <w:bCs w:val="0"/>
                <w:color w:val="000000"/>
                <w:sz w:val="21"/>
                <w:szCs w:val="21"/>
              </w:rPr>
            </w:pPr>
          </w:p>
        </w:tc>
        <w:tc>
          <w:tcPr>
            <w:tcW w:w="472" w:type="dxa"/>
            <w:vMerge w:val="restart"/>
            <w:noWrap w:val="0"/>
            <w:vAlign w:val="center"/>
          </w:tcPr>
          <w:p w14:paraId="12E8D3EF">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53276EC2">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6F8019EF">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4A976989">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62443E29">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63C9AB69">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57BD9122">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215E4D2F">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450735AE">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7B62EF4E">
            <w:pPr>
              <w:snapToGrid w:val="0"/>
              <w:spacing w:line="240" w:lineRule="atLeast"/>
              <w:rPr>
                <w:rFonts w:hint="default" w:ascii="Times New Roman" w:hAnsi="Times New Roman" w:cs="Times New Roman"/>
                <w:b w:val="0"/>
                <w:bCs w:val="0"/>
                <w:color w:val="000000"/>
                <w:sz w:val="21"/>
                <w:szCs w:val="21"/>
              </w:rPr>
            </w:pPr>
          </w:p>
        </w:tc>
        <w:tc>
          <w:tcPr>
            <w:tcW w:w="391" w:type="dxa"/>
            <w:vMerge w:val="restart"/>
            <w:noWrap/>
            <w:vAlign w:val="center"/>
          </w:tcPr>
          <w:p w14:paraId="0DC501A5">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20</w:t>
            </w:r>
          </w:p>
        </w:tc>
      </w:tr>
      <w:tr w14:paraId="7B48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continue"/>
            <w:noWrap w:val="0"/>
            <w:vAlign w:val="center"/>
          </w:tcPr>
          <w:p w14:paraId="1A4E9C16">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350" w:type="dxa"/>
            <w:vMerge w:val="continue"/>
            <w:noWrap w:val="0"/>
            <w:vAlign w:val="center"/>
          </w:tcPr>
          <w:p w14:paraId="633BA86F">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538" w:type="dxa"/>
            <w:vMerge w:val="continue"/>
            <w:noWrap w:val="0"/>
            <w:vAlign w:val="center"/>
          </w:tcPr>
          <w:p w14:paraId="34DBD901">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705" w:type="dxa"/>
            <w:noWrap w:val="0"/>
            <w:vAlign w:val="center"/>
          </w:tcPr>
          <w:p w14:paraId="51A433C1">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开展“送文化下乡”文化惠民演出</w:t>
            </w:r>
          </w:p>
        </w:tc>
        <w:tc>
          <w:tcPr>
            <w:tcW w:w="1484" w:type="dxa"/>
            <w:vMerge w:val="continue"/>
            <w:noWrap w:val="0"/>
            <w:vAlign w:val="center"/>
          </w:tcPr>
          <w:p w14:paraId="120F8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57" w:type="dxa"/>
            <w:noWrap w:val="0"/>
            <w:vAlign w:val="center"/>
          </w:tcPr>
          <w:p w14:paraId="435408C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≥56场</w:t>
            </w:r>
          </w:p>
        </w:tc>
        <w:tc>
          <w:tcPr>
            <w:tcW w:w="708" w:type="dxa"/>
            <w:noWrap w:val="0"/>
            <w:vAlign w:val="center"/>
          </w:tcPr>
          <w:p w14:paraId="761481C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56场</w:t>
            </w:r>
          </w:p>
        </w:tc>
        <w:tc>
          <w:tcPr>
            <w:tcW w:w="994" w:type="dxa"/>
            <w:noWrap w:val="0"/>
            <w:vAlign w:val="center"/>
          </w:tcPr>
          <w:p w14:paraId="5CC67557">
            <w:pPr>
              <w:snapToGrid w:val="0"/>
              <w:spacing w:line="240" w:lineRule="atLeast"/>
              <w:rPr>
                <w:rFonts w:hint="default" w:ascii="Times New Roman" w:hAnsi="Times New Roman" w:cs="Times New Roman"/>
                <w:b w:val="0"/>
                <w:bCs w:val="0"/>
                <w:color w:val="000000"/>
                <w:sz w:val="21"/>
                <w:szCs w:val="21"/>
              </w:rPr>
            </w:pPr>
          </w:p>
        </w:tc>
        <w:tc>
          <w:tcPr>
            <w:tcW w:w="472" w:type="dxa"/>
            <w:vMerge w:val="continue"/>
            <w:noWrap w:val="0"/>
            <w:vAlign w:val="center"/>
          </w:tcPr>
          <w:p w14:paraId="5A7CE939">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0E2765C4">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5F65D89B">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588B89C">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7D9EC5A2">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71964C60">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2C050CF5">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1FF47A9">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01F41A9C">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687557D4">
            <w:pPr>
              <w:snapToGrid w:val="0"/>
              <w:spacing w:line="240" w:lineRule="atLeast"/>
              <w:rPr>
                <w:rFonts w:hint="default" w:ascii="Times New Roman" w:hAnsi="Times New Roman" w:cs="Times New Roman"/>
                <w:b w:val="0"/>
                <w:bCs w:val="0"/>
                <w:color w:val="000000"/>
                <w:sz w:val="21"/>
                <w:szCs w:val="21"/>
              </w:rPr>
            </w:pPr>
          </w:p>
        </w:tc>
        <w:tc>
          <w:tcPr>
            <w:tcW w:w="391" w:type="dxa"/>
            <w:vMerge w:val="continue"/>
            <w:noWrap/>
            <w:vAlign w:val="center"/>
          </w:tcPr>
          <w:p w14:paraId="134DBFD1">
            <w:pPr>
              <w:snapToGrid w:val="0"/>
              <w:spacing w:line="240" w:lineRule="atLeast"/>
              <w:jc w:val="center"/>
              <w:rPr>
                <w:rFonts w:hint="eastAsia" w:ascii="Times New Roman" w:hAnsi="Times New Roman" w:cs="Times New Roman"/>
                <w:b w:val="0"/>
                <w:bCs w:val="0"/>
                <w:color w:val="000000"/>
                <w:sz w:val="21"/>
                <w:szCs w:val="21"/>
                <w:lang w:val="en-US" w:eastAsia="zh-CN"/>
              </w:rPr>
            </w:pPr>
          </w:p>
        </w:tc>
      </w:tr>
      <w:tr w14:paraId="0C14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16" w:type="dxa"/>
            <w:vMerge w:val="continue"/>
            <w:noWrap w:val="0"/>
            <w:vAlign w:val="center"/>
          </w:tcPr>
          <w:p w14:paraId="165AB6CD">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38918F93">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restart"/>
            <w:noWrap w:val="0"/>
            <w:vAlign w:val="center"/>
          </w:tcPr>
          <w:p w14:paraId="171B827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质量指标</w:t>
            </w:r>
          </w:p>
        </w:tc>
        <w:tc>
          <w:tcPr>
            <w:tcW w:w="705" w:type="dxa"/>
            <w:noWrap w:val="0"/>
            <w:vAlign w:val="center"/>
          </w:tcPr>
          <w:p w14:paraId="3D2D155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“送文化下乡”演出群众参与率</w:t>
            </w:r>
          </w:p>
        </w:tc>
        <w:tc>
          <w:tcPr>
            <w:tcW w:w="1484" w:type="dxa"/>
            <w:vMerge w:val="restart"/>
            <w:noWrap w:val="0"/>
            <w:vAlign w:val="center"/>
          </w:tcPr>
          <w:p w14:paraId="5D18684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7" w:type="dxa"/>
            <w:noWrap w:val="0"/>
            <w:vAlign w:val="center"/>
          </w:tcPr>
          <w:p w14:paraId="6C80290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≥95%</w:t>
            </w:r>
          </w:p>
        </w:tc>
        <w:tc>
          <w:tcPr>
            <w:tcW w:w="708" w:type="dxa"/>
            <w:noWrap w:val="0"/>
            <w:vAlign w:val="center"/>
          </w:tcPr>
          <w:p w14:paraId="1C2D1F0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cs="宋体"/>
                <w:i w:val="0"/>
                <w:iCs w:val="0"/>
                <w:color w:val="000000"/>
                <w:kern w:val="0"/>
                <w:sz w:val="22"/>
                <w:szCs w:val="22"/>
                <w:u w:val="none"/>
                <w:lang w:val="en-US" w:eastAsia="zh-CN" w:bidi="ar"/>
              </w:rPr>
              <w:t>97</w:t>
            </w:r>
            <w:r>
              <w:rPr>
                <w:rFonts w:hint="eastAsia" w:ascii="宋体" w:hAnsi="宋体" w:eastAsia="宋体" w:cs="宋体"/>
                <w:i w:val="0"/>
                <w:iCs w:val="0"/>
                <w:color w:val="000000"/>
                <w:kern w:val="0"/>
                <w:sz w:val="22"/>
                <w:szCs w:val="22"/>
                <w:u w:val="none"/>
                <w:lang w:val="en-US" w:eastAsia="zh-CN" w:bidi="ar"/>
              </w:rPr>
              <w:t>%</w:t>
            </w:r>
          </w:p>
        </w:tc>
        <w:tc>
          <w:tcPr>
            <w:tcW w:w="994" w:type="dxa"/>
            <w:noWrap w:val="0"/>
            <w:vAlign w:val="center"/>
          </w:tcPr>
          <w:p w14:paraId="4D5B561A">
            <w:pPr>
              <w:snapToGrid w:val="0"/>
              <w:spacing w:line="240" w:lineRule="atLeast"/>
              <w:rPr>
                <w:rFonts w:hint="default" w:ascii="Times New Roman" w:hAnsi="Times New Roman" w:cs="Times New Roman"/>
                <w:b w:val="0"/>
                <w:bCs w:val="0"/>
                <w:color w:val="000000"/>
                <w:sz w:val="21"/>
                <w:szCs w:val="21"/>
              </w:rPr>
            </w:pPr>
          </w:p>
        </w:tc>
        <w:tc>
          <w:tcPr>
            <w:tcW w:w="472" w:type="dxa"/>
            <w:vMerge w:val="continue"/>
            <w:noWrap w:val="0"/>
            <w:vAlign w:val="center"/>
          </w:tcPr>
          <w:p w14:paraId="0324FC84">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79A2BCA8">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16B98470">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4366B2B">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69BFD1AA">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7001861">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6A31E502">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8744846">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43A447BD">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48CC3E88">
            <w:pPr>
              <w:snapToGrid w:val="0"/>
              <w:spacing w:line="240" w:lineRule="atLeast"/>
              <w:rPr>
                <w:rFonts w:hint="default" w:ascii="Times New Roman" w:hAnsi="Times New Roman" w:cs="Times New Roman"/>
                <w:b w:val="0"/>
                <w:bCs w:val="0"/>
                <w:color w:val="000000"/>
                <w:sz w:val="21"/>
                <w:szCs w:val="21"/>
              </w:rPr>
            </w:pPr>
          </w:p>
        </w:tc>
        <w:tc>
          <w:tcPr>
            <w:tcW w:w="391" w:type="dxa"/>
            <w:vMerge w:val="continue"/>
            <w:noWrap/>
            <w:vAlign w:val="center"/>
          </w:tcPr>
          <w:p w14:paraId="20FBB8A9">
            <w:pPr>
              <w:snapToGrid w:val="0"/>
              <w:spacing w:line="240" w:lineRule="atLeast"/>
              <w:rPr>
                <w:rFonts w:hint="default" w:ascii="Times New Roman" w:hAnsi="Times New Roman" w:cs="Times New Roman"/>
                <w:b w:val="0"/>
                <w:bCs w:val="0"/>
                <w:color w:val="000000"/>
                <w:sz w:val="21"/>
                <w:szCs w:val="21"/>
              </w:rPr>
            </w:pPr>
          </w:p>
        </w:tc>
      </w:tr>
      <w:tr w14:paraId="5061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16" w:type="dxa"/>
            <w:vMerge w:val="continue"/>
            <w:noWrap w:val="0"/>
            <w:vAlign w:val="center"/>
          </w:tcPr>
          <w:p w14:paraId="3D587843">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29FE2209">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continue"/>
            <w:noWrap w:val="0"/>
            <w:vAlign w:val="center"/>
          </w:tcPr>
          <w:p w14:paraId="2712A386">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705" w:type="dxa"/>
            <w:noWrap w:val="0"/>
            <w:vAlign w:val="center"/>
          </w:tcPr>
          <w:p w14:paraId="3B7B9B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参与演员服务达标率</w:t>
            </w:r>
          </w:p>
        </w:tc>
        <w:tc>
          <w:tcPr>
            <w:tcW w:w="1484" w:type="dxa"/>
            <w:vMerge w:val="continue"/>
            <w:noWrap w:val="0"/>
            <w:vAlign w:val="center"/>
          </w:tcPr>
          <w:p w14:paraId="31BFA7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57" w:type="dxa"/>
            <w:noWrap w:val="0"/>
            <w:vAlign w:val="center"/>
          </w:tcPr>
          <w:p w14:paraId="03F415B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708" w:type="dxa"/>
            <w:noWrap w:val="0"/>
            <w:vAlign w:val="center"/>
          </w:tcPr>
          <w:p w14:paraId="59492C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100</w:t>
            </w:r>
            <w:r>
              <w:rPr>
                <w:rFonts w:hint="eastAsia" w:ascii="宋体" w:hAnsi="宋体" w:eastAsia="宋体" w:cs="宋体"/>
                <w:i w:val="0"/>
                <w:iCs w:val="0"/>
                <w:color w:val="000000"/>
                <w:kern w:val="0"/>
                <w:sz w:val="22"/>
                <w:szCs w:val="22"/>
                <w:u w:val="none"/>
                <w:lang w:val="en-US" w:eastAsia="zh-CN" w:bidi="ar"/>
              </w:rPr>
              <w:t>%</w:t>
            </w:r>
          </w:p>
        </w:tc>
        <w:tc>
          <w:tcPr>
            <w:tcW w:w="994" w:type="dxa"/>
            <w:noWrap w:val="0"/>
            <w:vAlign w:val="center"/>
          </w:tcPr>
          <w:p w14:paraId="075031FD">
            <w:pPr>
              <w:snapToGrid w:val="0"/>
              <w:spacing w:line="240" w:lineRule="atLeast"/>
              <w:rPr>
                <w:rFonts w:hint="default" w:ascii="Times New Roman" w:hAnsi="Times New Roman" w:cs="Times New Roman"/>
                <w:b w:val="0"/>
                <w:bCs w:val="0"/>
                <w:color w:val="000000"/>
                <w:sz w:val="21"/>
                <w:szCs w:val="21"/>
              </w:rPr>
            </w:pPr>
          </w:p>
        </w:tc>
        <w:tc>
          <w:tcPr>
            <w:tcW w:w="472" w:type="dxa"/>
            <w:vMerge w:val="continue"/>
            <w:noWrap w:val="0"/>
            <w:vAlign w:val="center"/>
          </w:tcPr>
          <w:p w14:paraId="75D4B736">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5C953609">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27C66B1E">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53BFC344">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5BF50EAC">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14A8B3F">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5D1BB7F1">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BB1C1B5">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2AE11219">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524BD0FA">
            <w:pPr>
              <w:snapToGrid w:val="0"/>
              <w:spacing w:line="240" w:lineRule="atLeast"/>
              <w:rPr>
                <w:rFonts w:hint="default" w:ascii="Times New Roman" w:hAnsi="Times New Roman" w:cs="Times New Roman"/>
                <w:b w:val="0"/>
                <w:bCs w:val="0"/>
                <w:color w:val="000000"/>
                <w:sz w:val="21"/>
                <w:szCs w:val="21"/>
              </w:rPr>
            </w:pPr>
          </w:p>
        </w:tc>
        <w:tc>
          <w:tcPr>
            <w:tcW w:w="391" w:type="dxa"/>
            <w:vMerge w:val="continue"/>
            <w:noWrap/>
            <w:vAlign w:val="center"/>
          </w:tcPr>
          <w:p w14:paraId="38CF626A">
            <w:pPr>
              <w:snapToGrid w:val="0"/>
              <w:spacing w:line="240" w:lineRule="atLeast"/>
              <w:rPr>
                <w:rFonts w:hint="default" w:ascii="Times New Roman" w:hAnsi="Times New Roman" w:cs="Times New Roman"/>
                <w:b w:val="0"/>
                <w:bCs w:val="0"/>
                <w:color w:val="000000"/>
                <w:sz w:val="21"/>
                <w:szCs w:val="21"/>
              </w:rPr>
            </w:pPr>
          </w:p>
        </w:tc>
      </w:tr>
      <w:tr w14:paraId="4C9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716" w:type="dxa"/>
            <w:vMerge w:val="continue"/>
            <w:noWrap w:val="0"/>
            <w:vAlign w:val="center"/>
          </w:tcPr>
          <w:p w14:paraId="54E6AA5F">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386B94AF">
            <w:pPr>
              <w:snapToGrid w:val="0"/>
              <w:spacing w:line="240" w:lineRule="atLeast"/>
              <w:jc w:val="center"/>
              <w:rPr>
                <w:rFonts w:hint="default" w:ascii="Times New Roman" w:hAnsi="Times New Roman" w:cs="Times New Roman"/>
                <w:b w:val="0"/>
                <w:bCs w:val="0"/>
                <w:color w:val="000000"/>
                <w:sz w:val="21"/>
                <w:szCs w:val="21"/>
              </w:rPr>
            </w:pPr>
          </w:p>
        </w:tc>
        <w:tc>
          <w:tcPr>
            <w:tcW w:w="538" w:type="dxa"/>
            <w:noWrap w:val="0"/>
            <w:vAlign w:val="center"/>
          </w:tcPr>
          <w:p w14:paraId="410A0F9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成本指标</w:t>
            </w:r>
          </w:p>
        </w:tc>
        <w:tc>
          <w:tcPr>
            <w:tcW w:w="705" w:type="dxa"/>
            <w:noWrap w:val="0"/>
            <w:vAlign w:val="center"/>
          </w:tcPr>
          <w:p w14:paraId="65255AE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每场活动成本</w:t>
            </w:r>
          </w:p>
        </w:tc>
        <w:tc>
          <w:tcPr>
            <w:tcW w:w="1484" w:type="dxa"/>
            <w:noWrap w:val="0"/>
            <w:vAlign w:val="center"/>
          </w:tcPr>
          <w:p w14:paraId="726E2838">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7" w:type="dxa"/>
            <w:noWrap w:val="0"/>
            <w:vAlign w:val="center"/>
          </w:tcPr>
          <w:p w14:paraId="133BD4E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≤0.35万元</w:t>
            </w:r>
          </w:p>
        </w:tc>
        <w:tc>
          <w:tcPr>
            <w:tcW w:w="708" w:type="dxa"/>
            <w:noWrap w:val="0"/>
            <w:vAlign w:val="center"/>
          </w:tcPr>
          <w:p w14:paraId="6816F2D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0.35万元</w:t>
            </w:r>
          </w:p>
        </w:tc>
        <w:tc>
          <w:tcPr>
            <w:tcW w:w="994" w:type="dxa"/>
            <w:noWrap w:val="0"/>
            <w:vAlign w:val="center"/>
          </w:tcPr>
          <w:p w14:paraId="4F35080C">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 xml:space="preserve"> </w:t>
            </w:r>
          </w:p>
        </w:tc>
        <w:tc>
          <w:tcPr>
            <w:tcW w:w="472" w:type="dxa"/>
            <w:vMerge w:val="continue"/>
            <w:noWrap w:val="0"/>
            <w:vAlign w:val="center"/>
          </w:tcPr>
          <w:p w14:paraId="362C7B7C">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top"/>
          </w:tcPr>
          <w:p w14:paraId="3D609F92">
            <w:pPr>
              <w:snapToGrid w:val="0"/>
              <w:spacing w:line="240" w:lineRule="atLeast"/>
              <w:rPr>
                <w:rFonts w:hint="default" w:ascii="Times New Roman" w:hAnsi="Times New Roman" w:cs="Times New Roman"/>
                <w:b w:val="0"/>
                <w:bCs w:val="0"/>
                <w:color w:val="000000"/>
                <w:sz w:val="21"/>
                <w:szCs w:val="21"/>
              </w:rPr>
            </w:pPr>
          </w:p>
        </w:tc>
        <w:tc>
          <w:tcPr>
            <w:tcW w:w="1517" w:type="dxa"/>
            <w:noWrap w:val="0"/>
            <w:vAlign w:val="center"/>
          </w:tcPr>
          <w:p w14:paraId="77A4A9A4">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C04CE45">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49867A45">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6ED5D90A">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5CDFE3D6">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334A6BC">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69E0D7A4">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78DB0202">
            <w:pPr>
              <w:snapToGrid w:val="0"/>
              <w:spacing w:line="240" w:lineRule="atLeast"/>
              <w:rPr>
                <w:rFonts w:hint="default" w:ascii="Times New Roman" w:hAnsi="Times New Roman" w:cs="Times New Roman"/>
                <w:b w:val="0"/>
                <w:bCs w:val="0"/>
                <w:color w:val="000000"/>
                <w:sz w:val="21"/>
                <w:szCs w:val="21"/>
              </w:rPr>
            </w:pPr>
          </w:p>
        </w:tc>
        <w:tc>
          <w:tcPr>
            <w:tcW w:w="391" w:type="dxa"/>
            <w:vMerge w:val="continue"/>
            <w:noWrap/>
            <w:vAlign w:val="center"/>
          </w:tcPr>
          <w:p w14:paraId="6218F179">
            <w:pPr>
              <w:snapToGrid w:val="0"/>
              <w:spacing w:line="240" w:lineRule="atLeast"/>
              <w:rPr>
                <w:rFonts w:hint="default" w:ascii="Times New Roman" w:hAnsi="Times New Roman" w:cs="Times New Roman"/>
                <w:b w:val="0"/>
                <w:bCs w:val="0"/>
                <w:color w:val="000000"/>
                <w:sz w:val="21"/>
                <w:szCs w:val="21"/>
              </w:rPr>
            </w:pPr>
          </w:p>
        </w:tc>
      </w:tr>
      <w:tr w14:paraId="1695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716" w:type="dxa"/>
            <w:vMerge w:val="continue"/>
            <w:noWrap w:val="0"/>
            <w:vAlign w:val="center"/>
          </w:tcPr>
          <w:p w14:paraId="1AB12A20">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EE35CEB">
            <w:pPr>
              <w:snapToGrid w:val="0"/>
              <w:spacing w:line="240" w:lineRule="atLeast"/>
              <w:jc w:val="center"/>
              <w:rPr>
                <w:rFonts w:hint="default" w:ascii="Times New Roman" w:hAnsi="Times New Roman" w:cs="Times New Roman"/>
                <w:b w:val="0"/>
                <w:bCs w:val="0"/>
                <w:color w:val="000000"/>
                <w:sz w:val="21"/>
                <w:szCs w:val="21"/>
              </w:rPr>
            </w:pPr>
          </w:p>
        </w:tc>
        <w:tc>
          <w:tcPr>
            <w:tcW w:w="538" w:type="dxa"/>
            <w:noWrap w:val="0"/>
            <w:vAlign w:val="center"/>
          </w:tcPr>
          <w:p w14:paraId="66E5A3F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时效指标</w:t>
            </w:r>
          </w:p>
        </w:tc>
        <w:tc>
          <w:tcPr>
            <w:tcW w:w="705" w:type="dxa"/>
            <w:noWrap w:val="0"/>
            <w:vAlign w:val="center"/>
          </w:tcPr>
          <w:p w14:paraId="6A3B6C6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演出完成及时率</w:t>
            </w:r>
          </w:p>
        </w:tc>
        <w:tc>
          <w:tcPr>
            <w:tcW w:w="1484" w:type="dxa"/>
            <w:noWrap w:val="0"/>
            <w:vAlign w:val="center"/>
          </w:tcPr>
          <w:p w14:paraId="5EC8FB1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657" w:type="dxa"/>
            <w:noWrap w:val="0"/>
            <w:vAlign w:val="center"/>
          </w:tcPr>
          <w:p w14:paraId="0C15DCE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708" w:type="dxa"/>
            <w:noWrap w:val="0"/>
            <w:vAlign w:val="center"/>
          </w:tcPr>
          <w:p w14:paraId="0BDF448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994" w:type="dxa"/>
            <w:noWrap w:val="0"/>
            <w:vAlign w:val="center"/>
          </w:tcPr>
          <w:p w14:paraId="605C475E">
            <w:pPr>
              <w:snapToGrid w:val="0"/>
              <w:spacing w:line="240" w:lineRule="atLeast"/>
              <w:rPr>
                <w:rFonts w:hint="default" w:ascii="Times New Roman" w:hAnsi="Times New Roman" w:cs="Times New Roman"/>
                <w:b w:val="0"/>
                <w:bCs w:val="0"/>
                <w:color w:val="000000"/>
                <w:sz w:val="21"/>
                <w:szCs w:val="21"/>
              </w:rPr>
            </w:pPr>
          </w:p>
        </w:tc>
        <w:tc>
          <w:tcPr>
            <w:tcW w:w="472" w:type="dxa"/>
            <w:vMerge w:val="continue"/>
            <w:noWrap w:val="0"/>
            <w:vAlign w:val="center"/>
          </w:tcPr>
          <w:p w14:paraId="4759501D">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54D8916B">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59B8012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F88F157">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12802F8E">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17A06AF">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72EC3087">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5B27D45">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15A22034">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41F821B9">
            <w:pPr>
              <w:snapToGrid w:val="0"/>
              <w:spacing w:line="240" w:lineRule="atLeast"/>
              <w:rPr>
                <w:rFonts w:hint="default" w:ascii="Times New Roman" w:hAnsi="Times New Roman" w:cs="Times New Roman"/>
                <w:b w:val="0"/>
                <w:bCs w:val="0"/>
                <w:color w:val="000000"/>
                <w:sz w:val="21"/>
                <w:szCs w:val="21"/>
              </w:rPr>
            </w:pPr>
          </w:p>
        </w:tc>
        <w:tc>
          <w:tcPr>
            <w:tcW w:w="391" w:type="dxa"/>
            <w:vMerge w:val="continue"/>
            <w:noWrap/>
            <w:vAlign w:val="center"/>
          </w:tcPr>
          <w:p w14:paraId="2B6DBE4D">
            <w:pPr>
              <w:snapToGrid w:val="0"/>
              <w:spacing w:line="240" w:lineRule="atLeast"/>
              <w:rPr>
                <w:rFonts w:hint="default" w:ascii="Times New Roman" w:hAnsi="Times New Roman" w:cs="Times New Roman"/>
                <w:b w:val="0"/>
                <w:bCs w:val="0"/>
                <w:color w:val="000000"/>
                <w:sz w:val="21"/>
                <w:szCs w:val="21"/>
              </w:rPr>
            </w:pPr>
          </w:p>
        </w:tc>
      </w:tr>
      <w:tr w14:paraId="1742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716" w:type="dxa"/>
            <w:vMerge w:val="restart"/>
            <w:noWrap w:val="0"/>
            <w:vAlign w:val="center"/>
          </w:tcPr>
          <w:p w14:paraId="2676787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效益指标（50分）</w:t>
            </w:r>
          </w:p>
        </w:tc>
        <w:tc>
          <w:tcPr>
            <w:tcW w:w="350" w:type="dxa"/>
            <w:vMerge w:val="restart"/>
            <w:noWrap w:val="0"/>
            <w:vAlign w:val="center"/>
          </w:tcPr>
          <w:p w14:paraId="4A0D18C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至少填写一栏效益</w:t>
            </w:r>
          </w:p>
        </w:tc>
        <w:tc>
          <w:tcPr>
            <w:tcW w:w="538" w:type="dxa"/>
            <w:vMerge w:val="restart"/>
            <w:noWrap w:val="0"/>
            <w:vAlign w:val="center"/>
          </w:tcPr>
          <w:p w14:paraId="13C8F18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社会效益</w:t>
            </w:r>
          </w:p>
        </w:tc>
        <w:tc>
          <w:tcPr>
            <w:tcW w:w="705" w:type="dxa"/>
            <w:noWrap w:val="0"/>
            <w:vAlign w:val="center"/>
          </w:tcPr>
          <w:p w14:paraId="3D79AA6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“送文化下乡”演出覆盖率</w:t>
            </w:r>
          </w:p>
        </w:tc>
        <w:tc>
          <w:tcPr>
            <w:tcW w:w="1484" w:type="dxa"/>
            <w:noWrap w:val="0"/>
            <w:vAlign w:val="center"/>
          </w:tcPr>
          <w:p w14:paraId="222C23D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657" w:type="dxa"/>
            <w:noWrap w:val="0"/>
            <w:vAlign w:val="center"/>
          </w:tcPr>
          <w:p w14:paraId="4C1C263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w:t>
            </w:r>
          </w:p>
        </w:tc>
        <w:tc>
          <w:tcPr>
            <w:tcW w:w="708" w:type="dxa"/>
            <w:noWrap w:val="0"/>
            <w:vAlign w:val="center"/>
          </w:tcPr>
          <w:p w14:paraId="57505D3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w:t>
            </w:r>
          </w:p>
        </w:tc>
        <w:tc>
          <w:tcPr>
            <w:tcW w:w="994" w:type="dxa"/>
            <w:noWrap w:val="0"/>
            <w:vAlign w:val="center"/>
          </w:tcPr>
          <w:p w14:paraId="54B3BA8A">
            <w:pPr>
              <w:snapToGrid w:val="0"/>
              <w:spacing w:line="240" w:lineRule="atLeast"/>
              <w:rPr>
                <w:rFonts w:hint="default" w:ascii="Times New Roman" w:hAnsi="Times New Roman" w:cs="Times New Roman"/>
                <w:b w:val="0"/>
                <w:bCs w:val="0"/>
                <w:color w:val="000000"/>
                <w:sz w:val="21"/>
                <w:szCs w:val="21"/>
              </w:rPr>
            </w:pPr>
          </w:p>
        </w:tc>
        <w:tc>
          <w:tcPr>
            <w:tcW w:w="472" w:type="dxa"/>
            <w:noWrap w:val="0"/>
            <w:vAlign w:val="center"/>
          </w:tcPr>
          <w:p w14:paraId="3BDB0002">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363AB648">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45B49C6B">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4E5BE5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64A7E40C">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14A8727">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0F4467CC">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BD092DE">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6C514B22">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4F588472">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0177C0CD">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50</w:t>
            </w:r>
          </w:p>
        </w:tc>
      </w:tr>
      <w:tr w14:paraId="2EF9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16" w:type="dxa"/>
            <w:vMerge w:val="continue"/>
            <w:noWrap w:val="0"/>
            <w:vAlign w:val="center"/>
          </w:tcPr>
          <w:p w14:paraId="657DE578">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5F1F4A3">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restart"/>
            <w:noWrap w:val="0"/>
            <w:vAlign w:val="center"/>
          </w:tcPr>
          <w:p w14:paraId="014C3F7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经济效益</w:t>
            </w:r>
          </w:p>
        </w:tc>
        <w:tc>
          <w:tcPr>
            <w:tcW w:w="705" w:type="dxa"/>
            <w:noWrap w:val="0"/>
            <w:vAlign w:val="center"/>
          </w:tcPr>
          <w:p w14:paraId="0A6665E0">
            <w:pPr>
              <w:snapToGrid w:val="0"/>
              <w:spacing w:line="240" w:lineRule="atLeast"/>
              <w:jc w:val="center"/>
              <w:rPr>
                <w:rFonts w:hint="default" w:ascii="Times New Roman" w:hAnsi="Times New Roman" w:cs="Times New Roman"/>
                <w:b w:val="0"/>
                <w:bCs w:val="0"/>
                <w:color w:val="000000"/>
                <w:sz w:val="21"/>
                <w:szCs w:val="21"/>
              </w:rPr>
            </w:pPr>
          </w:p>
        </w:tc>
        <w:tc>
          <w:tcPr>
            <w:tcW w:w="1484" w:type="dxa"/>
            <w:noWrap w:val="0"/>
            <w:vAlign w:val="center"/>
          </w:tcPr>
          <w:p w14:paraId="0D611FD7">
            <w:pPr>
              <w:snapToGrid w:val="0"/>
              <w:spacing w:line="240" w:lineRule="atLeast"/>
              <w:jc w:val="center"/>
              <w:rPr>
                <w:rFonts w:hint="default" w:ascii="Times New Roman" w:hAnsi="Times New Roman" w:cs="Times New Roman"/>
                <w:b w:val="0"/>
                <w:bCs w:val="0"/>
                <w:color w:val="000000"/>
                <w:sz w:val="21"/>
                <w:szCs w:val="21"/>
              </w:rPr>
            </w:pPr>
          </w:p>
        </w:tc>
        <w:tc>
          <w:tcPr>
            <w:tcW w:w="657" w:type="dxa"/>
            <w:noWrap w:val="0"/>
            <w:vAlign w:val="center"/>
          </w:tcPr>
          <w:p w14:paraId="0D99797A">
            <w:pPr>
              <w:snapToGrid w:val="0"/>
              <w:spacing w:line="240" w:lineRule="atLeast"/>
              <w:jc w:val="center"/>
              <w:rPr>
                <w:rFonts w:hint="default" w:ascii="Times New Roman" w:hAnsi="Times New Roman" w:cs="Times New Roman"/>
                <w:b w:val="0"/>
                <w:bCs w:val="0"/>
                <w:color w:val="000000"/>
                <w:sz w:val="21"/>
                <w:szCs w:val="21"/>
              </w:rPr>
            </w:pPr>
          </w:p>
        </w:tc>
        <w:tc>
          <w:tcPr>
            <w:tcW w:w="708" w:type="dxa"/>
            <w:noWrap w:val="0"/>
            <w:vAlign w:val="center"/>
          </w:tcPr>
          <w:p w14:paraId="030A4C8F">
            <w:pPr>
              <w:snapToGrid w:val="0"/>
              <w:spacing w:line="240" w:lineRule="atLeast"/>
              <w:jc w:val="center"/>
              <w:rPr>
                <w:rFonts w:hint="default" w:ascii="Times New Roman" w:hAnsi="Times New Roman" w:cs="Times New Roman"/>
                <w:b w:val="0"/>
                <w:bCs w:val="0"/>
                <w:color w:val="000000"/>
                <w:sz w:val="21"/>
                <w:szCs w:val="21"/>
              </w:rPr>
            </w:pPr>
          </w:p>
        </w:tc>
        <w:tc>
          <w:tcPr>
            <w:tcW w:w="994" w:type="dxa"/>
            <w:noWrap w:val="0"/>
            <w:vAlign w:val="center"/>
          </w:tcPr>
          <w:p w14:paraId="3A152811">
            <w:pPr>
              <w:snapToGrid w:val="0"/>
              <w:spacing w:line="240" w:lineRule="atLeast"/>
              <w:rPr>
                <w:rFonts w:hint="default" w:ascii="Times New Roman" w:hAnsi="Times New Roman" w:cs="Times New Roman"/>
                <w:b w:val="0"/>
                <w:bCs w:val="0"/>
                <w:color w:val="000000"/>
                <w:sz w:val="21"/>
                <w:szCs w:val="21"/>
              </w:rPr>
            </w:pPr>
          </w:p>
        </w:tc>
        <w:tc>
          <w:tcPr>
            <w:tcW w:w="472" w:type="dxa"/>
            <w:noWrap w:val="0"/>
            <w:vAlign w:val="center"/>
          </w:tcPr>
          <w:p w14:paraId="6809EA75">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236C633C">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7AFDFB61">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4453E48E">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4AFB7556">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22CF7674">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3755941F">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42EEED7">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5959E5EA">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4E3C6D35">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15013A3D">
            <w:pPr>
              <w:snapToGrid w:val="0"/>
              <w:spacing w:line="240" w:lineRule="atLeast"/>
              <w:rPr>
                <w:rFonts w:hint="default" w:ascii="Times New Roman" w:hAnsi="Times New Roman" w:cs="Times New Roman"/>
                <w:b w:val="0"/>
                <w:bCs w:val="0"/>
                <w:color w:val="000000"/>
                <w:sz w:val="21"/>
                <w:szCs w:val="21"/>
              </w:rPr>
            </w:pPr>
          </w:p>
        </w:tc>
      </w:tr>
      <w:tr w14:paraId="4191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16" w:type="dxa"/>
            <w:vMerge w:val="continue"/>
            <w:noWrap w:val="0"/>
            <w:vAlign w:val="center"/>
          </w:tcPr>
          <w:p w14:paraId="256EE2FC">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70430F45">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continue"/>
            <w:noWrap w:val="0"/>
            <w:vAlign w:val="center"/>
          </w:tcPr>
          <w:p w14:paraId="7FB27976">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0EC7BD05">
            <w:pPr>
              <w:snapToGrid w:val="0"/>
              <w:spacing w:line="240" w:lineRule="atLeast"/>
              <w:jc w:val="center"/>
              <w:rPr>
                <w:rFonts w:hint="default" w:ascii="Times New Roman" w:hAnsi="Times New Roman" w:cs="Times New Roman"/>
                <w:b w:val="0"/>
                <w:bCs w:val="0"/>
                <w:color w:val="000000"/>
                <w:sz w:val="21"/>
                <w:szCs w:val="21"/>
              </w:rPr>
            </w:pPr>
          </w:p>
        </w:tc>
        <w:tc>
          <w:tcPr>
            <w:tcW w:w="1484" w:type="dxa"/>
            <w:noWrap w:val="0"/>
            <w:vAlign w:val="center"/>
          </w:tcPr>
          <w:p w14:paraId="5E316A16">
            <w:pPr>
              <w:snapToGrid w:val="0"/>
              <w:spacing w:line="240" w:lineRule="atLeast"/>
              <w:jc w:val="center"/>
              <w:rPr>
                <w:rFonts w:hint="default" w:ascii="Times New Roman" w:hAnsi="Times New Roman" w:cs="Times New Roman"/>
                <w:b w:val="0"/>
                <w:bCs w:val="0"/>
                <w:color w:val="000000"/>
                <w:sz w:val="21"/>
                <w:szCs w:val="21"/>
              </w:rPr>
            </w:pPr>
          </w:p>
        </w:tc>
        <w:tc>
          <w:tcPr>
            <w:tcW w:w="657" w:type="dxa"/>
            <w:noWrap w:val="0"/>
            <w:vAlign w:val="center"/>
          </w:tcPr>
          <w:p w14:paraId="125F031E">
            <w:pPr>
              <w:snapToGrid w:val="0"/>
              <w:spacing w:line="240" w:lineRule="atLeast"/>
              <w:jc w:val="center"/>
              <w:rPr>
                <w:rFonts w:hint="default" w:ascii="Times New Roman" w:hAnsi="Times New Roman" w:cs="Times New Roman"/>
                <w:b w:val="0"/>
                <w:bCs w:val="0"/>
                <w:color w:val="000000"/>
                <w:sz w:val="21"/>
                <w:szCs w:val="21"/>
              </w:rPr>
            </w:pPr>
          </w:p>
        </w:tc>
        <w:tc>
          <w:tcPr>
            <w:tcW w:w="708" w:type="dxa"/>
            <w:noWrap w:val="0"/>
            <w:vAlign w:val="center"/>
          </w:tcPr>
          <w:p w14:paraId="017B0349">
            <w:pPr>
              <w:snapToGrid w:val="0"/>
              <w:spacing w:line="240" w:lineRule="atLeast"/>
              <w:jc w:val="center"/>
              <w:rPr>
                <w:rFonts w:hint="default" w:ascii="Times New Roman" w:hAnsi="Times New Roman" w:cs="Times New Roman"/>
                <w:b w:val="0"/>
                <w:bCs w:val="0"/>
                <w:color w:val="000000"/>
                <w:sz w:val="21"/>
                <w:szCs w:val="21"/>
              </w:rPr>
            </w:pPr>
          </w:p>
        </w:tc>
        <w:tc>
          <w:tcPr>
            <w:tcW w:w="994" w:type="dxa"/>
            <w:noWrap w:val="0"/>
            <w:vAlign w:val="center"/>
          </w:tcPr>
          <w:p w14:paraId="5A8A9FEE">
            <w:pPr>
              <w:snapToGrid w:val="0"/>
              <w:spacing w:line="240" w:lineRule="atLeast"/>
              <w:rPr>
                <w:rFonts w:hint="default" w:ascii="Times New Roman" w:hAnsi="Times New Roman" w:cs="Times New Roman"/>
                <w:b w:val="0"/>
                <w:bCs w:val="0"/>
                <w:color w:val="000000"/>
                <w:sz w:val="21"/>
                <w:szCs w:val="21"/>
              </w:rPr>
            </w:pPr>
          </w:p>
        </w:tc>
        <w:tc>
          <w:tcPr>
            <w:tcW w:w="472" w:type="dxa"/>
            <w:noWrap w:val="0"/>
            <w:vAlign w:val="center"/>
          </w:tcPr>
          <w:p w14:paraId="475BDD43">
            <w:pPr>
              <w:snapToGrid w:val="0"/>
              <w:spacing w:line="240" w:lineRule="atLeast"/>
              <w:jc w:val="center"/>
              <w:rPr>
                <w:rFonts w:hint="default" w:ascii="Times New Roman" w:hAnsi="Times New Roman" w:cs="Times New Roman"/>
                <w:b w:val="0"/>
                <w:bCs w:val="0"/>
                <w:color w:val="000000"/>
                <w:sz w:val="21"/>
                <w:szCs w:val="21"/>
              </w:rPr>
            </w:pPr>
          </w:p>
        </w:tc>
        <w:tc>
          <w:tcPr>
            <w:tcW w:w="2292" w:type="dxa"/>
            <w:gridSpan w:val="5"/>
            <w:noWrap w:val="0"/>
            <w:vAlign w:val="center"/>
          </w:tcPr>
          <w:p w14:paraId="14FCBA6A">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2D1A581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0045CCC">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4242A957">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02EAD857">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5BE3D620">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8CD088A">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75FD90EE">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005BF2EA">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6DAC1115">
            <w:pPr>
              <w:snapToGrid w:val="0"/>
              <w:spacing w:line="240" w:lineRule="atLeast"/>
              <w:rPr>
                <w:rFonts w:hint="default" w:ascii="Times New Roman" w:hAnsi="Times New Roman" w:cs="Times New Roman"/>
                <w:b w:val="0"/>
                <w:bCs w:val="0"/>
                <w:color w:val="000000"/>
                <w:sz w:val="21"/>
                <w:szCs w:val="21"/>
              </w:rPr>
            </w:pPr>
          </w:p>
        </w:tc>
      </w:tr>
      <w:tr w14:paraId="0173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16" w:type="dxa"/>
            <w:vMerge w:val="continue"/>
            <w:noWrap w:val="0"/>
            <w:vAlign w:val="center"/>
          </w:tcPr>
          <w:p w14:paraId="6BC91A31">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0D065C1F">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restart"/>
            <w:noWrap w:val="0"/>
            <w:vAlign w:val="center"/>
          </w:tcPr>
          <w:p w14:paraId="4A6375B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生态效益</w:t>
            </w:r>
          </w:p>
        </w:tc>
        <w:tc>
          <w:tcPr>
            <w:tcW w:w="705" w:type="dxa"/>
            <w:noWrap w:val="0"/>
            <w:vAlign w:val="center"/>
          </w:tcPr>
          <w:p w14:paraId="3CAD5748">
            <w:pPr>
              <w:snapToGrid w:val="0"/>
              <w:spacing w:line="240" w:lineRule="atLeast"/>
              <w:jc w:val="center"/>
              <w:rPr>
                <w:rFonts w:hint="default" w:ascii="Times New Roman" w:hAnsi="Times New Roman" w:cs="Times New Roman"/>
                <w:b w:val="0"/>
                <w:bCs w:val="0"/>
                <w:color w:val="000000"/>
                <w:sz w:val="21"/>
                <w:szCs w:val="21"/>
              </w:rPr>
            </w:pPr>
          </w:p>
        </w:tc>
        <w:tc>
          <w:tcPr>
            <w:tcW w:w="1484" w:type="dxa"/>
            <w:noWrap w:val="0"/>
            <w:vAlign w:val="center"/>
          </w:tcPr>
          <w:p w14:paraId="11677EFF">
            <w:pPr>
              <w:snapToGrid w:val="0"/>
              <w:spacing w:line="240" w:lineRule="atLeast"/>
              <w:jc w:val="center"/>
              <w:rPr>
                <w:rFonts w:hint="default" w:ascii="Times New Roman" w:hAnsi="Times New Roman" w:cs="Times New Roman"/>
                <w:b w:val="0"/>
                <w:bCs w:val="0"/>
                <w:color w:val="000000"/>
                <w:sz w:val="21"/>
                <w:szCs w:val="21"/>
              </w:rPr>
            </w:pPr>
          </w:p>
        </w:tc>
        <w:tc>
          <w:tcPr>
            <w:tcW w:w="657" w:type="dxa"/>
            <w:noWrap w:val="0"/>
            <w:vAlign w:val="center"/>
          </w:tcPr>
          <w:p w14:paraId="3C1C4393">
            <w:pPr>
              <w:snapToGrid w:val="0"/>
              <w:spacing w:line="240" w:lineRule="atLeast"/>
              <w:jc w:val="center"/>
              <w:rPr>
                <w:rFonts w:hint="default" w:ascii="Times New Roman" w:hAnsi="Times New Roman" w:cs="Times New Roman"/>
                <w:b w:val="0"/>
                <w:bCs w:val="0"/>
                <w:color w:val="000000"/>
                <w:sz w:val="21"/>
                <w:szCs w:val="21"/>
              </w:rPr>
            </w:pPr>
          </w:p>
        </w:tc>
        <w:tc>
          <w:tcPr>
            <w:tcW w:w="708" w:type="dxa"/>
            <w:noWrap w:val="0"/>
            <w:vAlign w:val="center"/>
          </w:tcPr>
          <w:p w14:paraId="1D8B063D">
            <w:pPr>
              <w:snapToGrid w:val="0"/>
              <w:spacing w:line="240" w:lineRule="atLeast"/>
              <w:jc w:val="center"/>
              <w:rPr>
                <w:rFonts w:hint="default" w:ascii="Times New Roman" w:hAnsi="Times New Roman" w:cs="Times New Roman"/>
                <w:b w:val="0"/>
                <w:bCs w:val="0"/>
                <w:color w:val="000000"/>
                <w:sz w:val="21"/>
                <w:szCs w:val="21"/>
              </w:rPr>
            </w:pPr>
          </w:p>
        </w:tc>
        <w:tc>
          <w:tcPr>
            <w:tcW w:w="994" w:type="dxa"/>
            <w:noWrap w:val="0"/>
            <w:vAlign w:val="center"/>
          </w:tcPr>
          <w:p w14:paraId="5B7E11A1">
            <w:pPr>
              <w:snapToGrid w:val="0"/>
              <w:spacing w:line="240" w:lineRule="atLeast"/>
              <w:rPr>
                <w:rFonts w:hint="default" w:ascii="Times New Roman" w:hAnsi="Times New Roman" w:cs="Times New Roman"/>
                <w:b w:val="0"/>
                <w:bCs w:val="0"/>
                <w:color w:val="000000"/>
                <w:sz w:val="21"/>
                <w:szCs w:val="21"/>
              </w:rPr>
            </w:pPr>
          </w:p>
        </w:tc>
        <w:tc>
          <w:tcPr>
            <w:tcW w:w="472" w:type="dxa"/>
            <w:noWrap w:val="0"/>
            <w:vAlign w:val="center"/>
          </w:tcPr>
          <w:p w14:paraId="2FBFC72E">
            <w:pPr>
              <w:snapToGrid w:val="0"/>
              <w:spacing w:line="240" w:lineRule="atLeast"/>
              <w:rPr>
                <w:rFonts w:hint="default" w:ascii="Times New Roman" w:hAnsi="Times New Roman" w:cs="Times New Roman"/>
                <w:b w:val="0"/>
                <w:bCs w:val="0"/>
                <w:color w:val="000000"/>
                <w:sz w:val="21"/>
                <w:szCs w:val="21"/>
              </w:rPr>
            </w:pPr>
          </w:p>
        </w:tc>
        <w:tc>
          <w:tcPr>
            <w:tcW w:w="2292" w:type="dxa"/>
            <w:gridSpan w:val="5"/>
            <w:noWrap w:val="0"/>
            <w:vAlign w:val="center"/>
          </w:tcPr>
          <w:p w14:paraId="5AEAE1EC">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280B96FA">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4AA2DC71">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76E62D75">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BA22BE7">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68B7B814">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C955D98">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0C599A76">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1303BAE9">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435ED186">
            <w:pPr>
              <w:snapToGrid w:val="0"/>
              <w:spacing w:line="240" w:lineRule="atLeast"/>
              <w:rPr>
                <w:rFonts w:hint="default" w:ascii="Times New Roman" w:hAnsi="Times New Roman" w:cs="Times New Roman"/>
                <w:b w:val="0"/>
                <w:bCs w:val="0"/>
                <w:color w:val="000000"/>
                <w:sz w:val="21"/>
                <w:szCs w:val="21"/>
              </w:rPr>
            </w:pPr>
          </w:p>
        </w:tc>
      </w:tr>
      <w:tr w14:paraId="6F14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16" w:type="dxa"/>
            <w:vMerge w:val="continue"/>
            <w:noWrap w:val="0"/>
            <w:vAlign w:val="center"/>
          </w:tcPr>
          <w:p w14:paraId="5246C06B">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13196FF2">
            <w:pPr>
              <w:snapToGrid w:val="0"/>
              <w:spacing w:line="240" w:lineRule="atLeast"/>
              <w:jc w:val="center"/>
              <w:rPr>
                <w:rFonts w:hint="default" w:ascii="Times New Roman" w:hAnsi="Times New Roman" w:cs="Times New Roman"/>
                <w:b w:val="0"/>
                <w:bCs w:val="0"/>
                <w:color w:val="000000"/>
                <w:sz w:val="21"/>
                <w:szCs w:val="21"/>
              </w:rPr>
            </w:pPr>
          </w:p>
        </w:tc>
        <w:tc>
          <w:tcPr>
            <w:tcW w:w="538" w:type="dxa"/>
            <w:vMerge w:val="continue"/>
            <w:noWrap w:val="0"/>
            <w:vAlign w:val="center"/>
          </w:tcPr>
          <w:p w14:paraId="38F1A188">
            <w:pPr>
              <w:snapToGrid w:val="0"/>
              <w:spacing w:line="240" w:lineRule="atLeast"/>
              <w:jc w:val="center"/>
              <w:rPr>
                <w:rFonts w:hint="default" w:ascii="Times New Roman" w:hAnsi="Times New Roman" w:cs="Times New Roman"/>
                <w:b w:val="0"/>
                <w:bCs w:val="0"/>
                <w:color w:val="000000"/>
                <w:sz w:val="21"/>
                <w:szCs w:val="21"/>
              </w:rPr>
            </w:pPr>
          </w:p>
        </w:tc>
        <w:tc>
          <w:tcPr>
            <w:tcW w:w="705" w:type="dxa"/>
            <w:noWrap w:val="0"/>
            <w:vAlign w:val="center"/>
          </w:tcPr>
          <w:p w14:paraId="71C4AE69">
            <w:pPr>
              <w:snapToGrid w:val="0"/>
              <w:spacing w:line="240" w:lineRule="atLeast"/>
              <w:jc w:val="center"/>
              <w:rPr>
                <w:rFonts w:hint="default" w:ascii="Times New Roman" w:hAnsi="Times New Roman" w:cs="Times New Roman"/>
                <w:b w:val="0"/>
                <w:bCs w:val="0"/>
                <w:color w:val="000000"/>
                <w:sz w:val="21"/>
                <w:szCs w:val="21"/>
              </w:rPr>
            </w:pPr>
          </w:p>
        </w:tc>
        <w:tc>
          <w:tcPr>
            <w:tcW w:w="1484" w:type="dxa"/>
            <w:noWrap w:val="0"/>
            <w:vAlign w:val="center"/>
          </w:tcPr>
          <w:p w14:paraId="3DA9071D">
            <w:pPr>
              <w:snapToGrid w:val="0"/>
              <w:spacing w:line="240" w:lineRule="atLeast"/>
              <w:jc w:val="center"/>
              <w:rPr>
                <w:rFonts w:hint="default" w:ascii="Times New Roman" w:hAnsi="Times New Roman" w:cs="Times New Roman"/>
                <w:b w:val="0"/>
                <w:bCs w:val="0"/>
                <w:color w:val="000000"/>
                <w:sz w:val="21"/>
                <w:szCs w:val="21"/>
              </w:rPr>
            </w:pPr>
          </w:p>
        </w:tc>
        <w:tc>
          <w:tcPr>
            <w:tcW w:w="657" w:type="dxa"/>
            <w:noWrap w:val="0"/>
            <w:vAlign w:val="center"/>
          </w:tcPr>
          <w:p w14:paraId="40EE56F6">
            <w:pPr>
              <w:snapToGrid w:val="0"/>
              <w:spacing w:line="240" w:lineRule="atLeast"/>
              <w:jc w:val="center"/>
              <w:rPr>
                <w:rFonts w:hint="default" w:ascii="Times New Roman" w:hAnsi="Times New Roman" w:cs="Times New Roman"/>
                <w:b w:val="0"/>
                <w:bCs w:val="0"/>
                <w:color w:val="000000"/>
                <w:sz w:val="21"/>
                <w:szCs w:val="21"/>
              </w:rPr>
            </w:pPr>
          </w:p>
        </w:tc>
        <w:tc>
          <w:tcPr>
            <w:tcW w:w="708" w:type="dxa"/>
            <w:noWrap w:val="0"/>
            <w:vAlign w:val="center"/>
          </w:tcPr>
          <w:p w14:paraId="2C76EDD5">
            <w:pPr>
              <w:snapToGrid w:val="0"/>
              <w:spacing w:line="240" w:lineRule="atLeast"/>
              <w:jc w:val="center"/>
              <w:rPr>
                <w:rFonts w:hint="default" w:ascii="Times New Roman" w:hAnsi="Times New Roman" w:cs="Times New Roman"/>
                <w:b w:val="0"/>
                <w:bCs w:val="0"/>
                <w:color w:val="000000"/>
                <w:sz w:val="21"/>
                <w:szCs w:val="21"/>
              </w:rPr>
            </w:pPr>
          </w:p>
        </w:tc>
        <w:tc>
          <w:tcPr>
            <w:tcW w:w="994" w:type="dxa"/>
            <w:noWrap w:val="0"/>
            <w:vAlign w:val="center"/>
          </w:tcPr>
          <w:p w14:paraId="3D47ECE5">
            <w:pPr>
              <w:snapToGrid w:val="0"/>
              <w:spacing w:line="240" w:lineRule="atLeast"/>
              <w:rPr>
                <w:rFonts w:hint="default" w:ascii="Times New Roman" w:hAnsi="Times New Roman" w:cs="Times New Roman"/>
                <w:b w:val="0"/>
                <w:bCs w:val="0"/>
                <w:color w:val="000000"/>
                <w:sz w:val="21"/>
                <w:szCs w:val="21"/>
              </w:rPr>
            </w:pPr>
          </w:p>
        </w:tc>
        <w:tc>
          <w:tcPr>
            <w:tcW w:w="472" w:type="dxa"/>
            <w:noWrap w:val="0"/>
            <w:vAlign w:val="center"/>
          </w:tcPr>
          <w:p w14:paraId="0936574F">
            <w:pPr>
              <w:snapToGrid w:val="0"/>
              <w:spacing w:line="240" w:lineRule="atLeast"/>
              <w:rPr>
                <w:rFonts w:hint="default" w:ascii="Times New Roman" w:hAnsi="Times New Roman" w:cs="Times New Roman"/>
                <w:b w:val="0"/>
                <w:bCs w:val="0"/>
                <w:color w:val="000000"/>
                <w:sz w:val="21"/>
                <w:szCs w:val="21"/>
              </w:rPr>
            </w:pPr>
          </w:p>
        </w:tc>
        <w:tc>
          <w:tcPr>
            <w:tcW w:w="2292" w:type="dxa"/>
            <w:gridSpan w:val="5"/>
            <w:noWrap w:val="0"/>
            <w:vAlign w:val="center"/>
          </w:tcPr>
          <w:p w14:paraId="45AAC8C5">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51152C02">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B9650E8">
            <w:pPr>
              <w:snapToGrid w:val="0"/>
              <w:spacing w:line="240" w:lineRule="atLeast"/>
              <w:jc w:val="center"/>
              <w:rPr>
                <w:rFonts w:hint="default" w:ascii="Times New Roman" w:hAnsi="Times New Roman" w:cs="Times New Roman"/>
                <w:b w:val="0"/>
                <w:bCs w:val="0"/>
                <w:color w:val="000000"/>
                <w:sz w:val="21"/>
                <w:szCs w:val="21"/>
              </w:rPr>
            </w:pPr>
          </w:p>
        </w:tc>
        <w:tc>
          <w:tcPr>
            <w:tcW w:w="405" w:type="dxa"/>
            <w:noWrap w:val="0"/>
            <w:vAlign w:val="center"/>
          </w:tcPr>
          <w:p w14:paraId="62829AB0">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57BFA82A">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78E4D636">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2C8D2B5">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06EA5AD0">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3D2D3004">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77583B4F">
            <w:pPr>
              <w:snapToGrid w:val="0"/>
              <w:spacing w:line="240" w:lineRule="atLeast"/>
              <w:rPr>
                <w:rFonts w:hint="default" w:ascii="Times New Roman" w:hAnsi="Times New Roman" w:cs="Times New Roman"/>
                <w:b w:val="0"/>
                <w:bCs w:val="0"/>
                <w:color w:val="000000"/>
                <w:sz w:val="21"/>
                <w:szCs w:val="21"/>
              </w:rPr>
            </w:pPr>
          </w:p>
        </w:tc>
      </w:tr>
      <w:tr w14:paraId="1FC4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noWrap w:val="0"/>
            <w:vAlign w:val="center"/>
          </w:tcPr>
          <w:p w14:paraId="44C3E5A9">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满意度（10分）</w:t>
            </w:r>
          </w:p>
        </w:tc>
        <w:tc>
          <w:tcPr>
            <w:tcW w:w="350" w:type="dxa"/>
            <w:noWrap w:val="0"/>
            <w:vAlign w:val="center"/>
          </w:tcPr>
          <w:p w14:paraId="26B92B2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538" w:type="dxa"/>
            <w:noWrap w:val="0"/>
            <w:vAlign w:val="center"/>
          </w:tcPr>
          <w:p w14:paraId="27BCD82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满意</w:t>
            </w:r>
            <w:r>
              <w:rPr>
                <w:rFonts w:hint="default" w:ascii="Times New Roman" w:hAnsi="Times New Roman" w:cs="Times New Roman"/>
                <w:b w:val="0"/>
                <w:bCs w:val="0"/>
                <w:color w:val="000000"/>
                <w:sz w:val="21"/>
                <w:szCs w:val="21"/>
                <w:lang w:bidi="ar"/>
              </w:rPr>
              <w:t>度</w:t>
            </w:r>
          </w:p>
        </w:tc>
        <w:tc>
          <w:tcPr>
            <w:tcW w:w="705" w:type="dxa"/>
            <w:noWrap w:val="0"/>
            <w:vAlign w:val="center"/>
          </w:tcPr>
          <w:p w14:paraId="50531375">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各乡镇群众满意度</w:t>
            </w:r>
          </w:p>
        </w:tc>
        <w:tc>
          <w:tcPr>
            <w:tcW w:w="1484" w:type="dxa"/>
            <w:noWrap w:val="0"/>
            <w:vAlign w:val="center"/>
          </w:tcPr>
          <w:p w14:paraId="4DD1D200">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w:t>
            </w:r>
          </w:p>
        </w:tc>
        <w:tc>
          <w:tcPr>
            <w:tcW w:w="657" w:type="dxa"/>
            <w:noWrap w:val="0"/>
            <w:vAlign w:val="center"/>
          </w:tcPr>
          <w:p w14:paraId="0B2A9C04">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≥98%</w:t>
            </w:r>
          </w:p>
        </w:tc>
        <w:tc>
          <w:tcPr>
            <w:tcW w:w="708" w:type="dxa"/>
            <w:noWrap w:val="0"/>
            <w:vAlign w:val="center"/>
          </w:tcPr>
          <w:p w14:paraId="633E62A5">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98%</w:t>
            </w:r>
          </w:p>
        </w:tc>
        <w:tc>
          <w:tcPr>
            <w:tcW w:w="994" w:type="dxa"/>
            <w:noWrap w:val="0"/>
            <w:vAlign w:val="center"/>
          </w:tcPr>
          <w:p w14:paraId="0585CD5A">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eastAsia="zh-CN" w:bidi="ar-SA"/>
              </w:rPr>
            </w:pPr>
          </w:p>
        </w:tc>
        <w:tc>
          <w:tcPr>
            <w:tcW w:w="472" w:type="dxa"/>
            <w:noWrap w:val="0"/>
            <w:vAlign w:val="center"/>
          </w:tcPr>
          <w:p w14:paraId="2D75E71A">
            <w:pPr>
              <w:snapToGrid w:val="0"/>
              <w:spacing w:line="240" w:lineRule="atLeast"/>
              <w:rPr>
                <w:rFonts w:hint="default" w:ascii="Times New Roman" w:hAnsi="Times New Roman" w:cs="Times New Roman"/>
                <w:b w:val="0"/>
                <w:bCs w:val="0"/>
                <w:color w:val="000000"/>
                <w:sz w:val="21"/>
                <w:szCs w:val="21"/>
              </w:rPr>
            </w:pPr>
          </w:p>
        </w:tc>
        <w:tc>
          <w:tcPr>
            <w:tcW w:w="2292" w:type="dxa"/>
            <w:gridSpan w:val="5"/>
            <w:noWrap w:val="0"/>
            <w:vAlign w:val="center"/>
          </w:tcPr>
          <w:p w14:paraId="7B0E45F5">
            <w:pPr>
              <w:snapToGrid w:val="0"/>
              <w:spacing w:line="240" w:lineRule="atLeast"/>
              <w:jc w:val="center"/>
              <w:rPr>
                <w:rFonts w:hint="default" w:ascii="Times New Roman" w:hAnsi="Times New Roman" w:cs="Times New Roman"/>
                <w:b w:val="0"/>
                <w:bCs w:val="0"/>
                <w:color w:val="000000"/>
                <w:sz w:val="21"/>
                <w:szCs w:val="21"/>
              </w:rPr>
            </w:pPr>
          </w:p>
        </w:tc>
        <w:tc>
          <w:tcPr>
            <w:tcW w:w="1517" w:type="dxa"/>
            <w:noWrap w:val="0"/>
            <w:vAlign w:val="center"/>
          </w:tcPr>
          <w:p w14:paraId="29361041">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58AD43A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05" w:type="dxa"/>
            <w:noWrap w:val="0"/>
            <w:vAlign w:val="center"/>
          </w:tcPr>
          <w:p w14:paraId="0BAACD69">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3B4569C4">
            <w:pPr>
              <w:snapToGrid w:val="0"/>
              <w:spacing w:line="240" w:lineRule="atLeast"/>
              <w:rPr>
                <w:rFonts w:hint="default" w:ascii="Times New Roman" w:hAnsi="Times New Roman" w:cs="Times New Roman"/>
                <w:b w:val="0"/>
                <w:bCs w:val="0"/>
                <w:color w:val="000000"/>
                <w:sz w:val="21"/>
                <w:szCs w:val="21"/>
              </w:rPr>
            </w:pPr>
          </w:p>
        </w:tc>
        <w:tc>
          <w:tcPr>
            <w:tcW w:w="371" w:type="dxa"/>
            <w:noWrap/>
            <w:vAlign w:val="center"/>
          </w:tcPr>
          <w:p w14:paraId="109BA9AB">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28D38EA5">
            <w:pPr>
              <w:snapToGrid w:val="0"/>
              <w:spacing w:line="240" w:lineRule="atLeast"/>
              <w:rPr>
                <w:rFonts w:hint="default" w:ascii="Times New Roman" w:hAnsi="Times New Roman" w:cs="Times New Roman"/>
                <w:b w:val="0"/>
                <w:bCs w:val="0"/>
                <w:color w:val="000000"/>
                <w:sz w:val="21"/>
                <w:szCs w:val="21"/>
              </w:rPr>
            </w:pPr>
          </w:p>
        </w:tc>
        <w:tc>
          <w:tcPr>
            <w:tcW w:w="472" w:type="dxa"/>
            <w:noWrap/>
            <w:vAlign w:val="center"/>
          </w:tcPr>
          <w:p w14:paraId="1ADC1611">
            <w:pPr>
              <w:snapToGrid w:val="0"/>
              <w:spacing w:line="240" w:lineRule="atLeast"/>
              <w:rPr>
                <w:rFonts w:hint="default" w:ascii="Times New Roman" w:hAnsi="Times New Roman" w:cs="Times New Roman"/>
                <w:b w:val="0"/>
                <w:bCs w:val="0"/>
                <w:color w:val="000000"/>
                <w:sz w:val="21"/>
                <w:szCs w:val="21"/>
              </w:rPr>
            </w:pPr>
          </w:p>
        </w:tc>
        <w:tc>
          <w:tcPr>
            <w:tcW w:w="641" w:type="dxa"/>
            <w:noWrap/>
            <w:vAlign w:val="center"/>
          </w:tcPr>
          <w:p w14:paraId="2C84F314">
            <w:pPr>
              <w:snapToGrid w:val="0"/>
              <w:spacing w:line="240" w:lineRule="atLeast"/>
              <w:rPr>
                <w:rFonts w:hint="default" w:ascii="Times New Roman" w:hAnsi="Times New Roman" w:cs="Times New Roman"/>
                <w:b w:val="0"/>
                <w:bCs w:val="0"/>
                <w:color w:val="000000"/>
                <w:sz w:val="21"/>
                <w:szCs w:val="21"/>
              </w:rPr>
            </w:pPr>
          </w:p>
        </w:tc>
        <w:tc>
          <w:tcPr>
            <w:tcW w:w="391" w:type="dxa"/>
            <w:noWrap/>
            <w:vAlign w:val="center"/>
          </w:tcPr>
          <w:p w14:paraId="4294B385">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w:t>
            </w:r>
          </w:p>
        </w:tc>
      </w:tr>
    </w:tbl>
    <w:p w14:paraId="1272BEF5">
      <w:pPr>
        <w:pStyle w:val="16"/>
        <w:rPr>
          <w:rFonts w:hint="eastAsia"/>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7FE9F7E9">
      <w:pPr>
        <w:widowControl/>
        <w:suppressAutoHyphens/>
        <w:overflowPunct w:val="0"/>
        <w:autoSpaceDE/>
        <w:autoSpaceDN/>
        <w:bidi w:val="0"/>
        <w:adjustRightInd w:val="0"/>
        <w:snapToGrid w:val="0"/>
        <w:spacing w:before="335" w:beforeLines="50" w:line="560" w:lineRule="atLeast"/>
        <w:jc w:val="center"/>
        <w:rPr>
          <w:rFonts w:hint="default" w:ascii="Times New Roman" w:hAnsi="Times New Roman" w:eastAsia="方正小标宋简体" w:cs="Times New Roman"/>
          <w:kern w:val="0"/>
          <w:sz w:val="44"/>
          <w:szCs w:val="44"/>
          <w:shd w:val="clear" w:color="auto" w:fill="FFFFFF"/>
        </w:rPr>
      </w:pPr>
      <w:r>
        <w:rPr>
          <w:rFonts w:hint="default" w:ascii="Times New Roman" w:hAnsi="Times New Roman" w:eastAsia="方正小标宋简体" w:cs="Times New Roman"/>
          <w:kern w:val="0"/>
          <w:sz w:val="44"/>
          <w:szCs w:val="44"/>
          <w:shd w:val="clear" w:color="auto" w:fill="FFFFFF"/>
        </w:rPr>
        <w:t>部门预算项目支出绩效自评报告</w:t>
      </w:r>
    </w:p>
    <w:p w14:paraId="0E8AD361">
      <w:pPr>
        <w:widowControl/>
        <w:tabs>
          <w:tab w:val="left" w:pos="3885"/>
        </w:tabs>
        <w:suppressAutoHyphens/>
        <w:overflowPunct w:val="0"/>
        <w:autoSpaceDE/>
        <w:autoSpaceDN/>
        <w:bidi w:val="0"/>
        <w:adjustRightInd w:val="0"/>
        <w:snapToGrid w:val="0"/>
        <w:spacing w:line="560" w:lineRule="atLeast"/>
        <w:jc w:val="center"/>
        <w:rPr>
          <w:rFonts w:hint="eastAsia" w:ascii="仿宋_GB2312" w:hAnsi="仿宋_GB2312" w:eastAsia="仿宋_GB2312" w:cs="仿宋_GB2312"/>
          <w:kern w:val="0"/>
          <w:sz w:val="32"/>
          <w:szCs w:val="32"/>
          <w:shd w:val="clear" w:color="auto" w:fill="FFFFFF"/>
        </w:rPr>
      </w:pPr>
      <w:r>
        <w:rPr>
          <w:rFonts w:hint="eastAsia" w:ascii="Times New Roman" w:hAnsi="Times New Roman" w:eastAsia="方正小标宋简体" w:cs="Times New Roman"/>
          <w:kern w:val="0"/>
          <w:sz w:val="44"/>
          <w:szCs w:val="44"/>
          <w:shd w:val="clear" w:color="auto" w:fill="FFFFFF"/>
        </w:rPr>
        <w:t>（</w:t>
      </w:r>
      <w:r>
        <w:rPr>
          <w:rFonts w:hint="eastAsia" w:ascii="Times New Roman" w:hAnsi="Times New Roman" w:eastAsia="方正小标宋简体" w:cs="Times New Roman"/>
          <w:kern w:val="0"/>
          <w:sz w:val="44"/>
          <w:szCs w:val="44"/>
          <w:shd w:val="clear" w:color="auto" w:fill="FFFFFF"/>
          <w:lang w:val="en-US" w:eastAsia="zh-CN"/>
        </w:rPr>
        <w:t>市级</w:t>
      </w:r>
      <w:r>
        <w:rPr>
          <w:rFonts w:hint="eastAsia" w:ascii="Times New Roman" w:hAnsi="Times New Roman" w:eastAsia="方正小标宋简体" w:cs="Times New Roman"/>
          <w:kern w:val="0"/>
          <w:sz w:val="44"/>
          <w:szCs w:val="44"/>
          <w:shd w:val="clear" w:color="auto" w:fill="FFFFFF"/>
        </w:rPr>
        <w:t>文化旅游发展资金（非物质文化遗产保护）桃子龙传承保护补助资金项目</w:t>
      </w:r>
      <w:r>
        <w:rPr>
          <w:rFonts w:hint="eastAsia" w:ascii="仿宋_GB2312" w:hAnsi="仿宋_GB2312" w:eastAsia="仿宋_GB2312" w:cs="仿宋_GB2312"/>
          <w:kern w:val="0"/>
          <w:sz w:val="32"/>
          <w:szCs w:val="32"/>
          <w:shd w:val="clear" w:color="auto" w:fill="FFFFFF"/>
        </w:rPr>
        <w:t>）</w:t>
      </w:r>
    </w:p>
    <w:p w14:paraId="4D22BB48">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ascii="Times New Roman" w:hAnsi="Times New Roman" w:eastAsia="黑体" w:cs="Times New Roman"/>
          <w:kern w:val="0"/>
          <w:sz w:val="32"/>
          <w:szCs w:val="32"/>
        </w:rPr>
      </w:pPr>
    </w:p>
    <w:p w14:paraId="561F01E9">
      <w:pPr>
        <w:keepNext w:val="0"/>
        <w:keepLines w:val="0"/>
        <w:pageBreakBefore w:val="0"/>
        <w:widowControl/>
        <w:numPr>
          <w:ilvl w:val="0"/>
          <w:numId w:val="0"/>
        </w:numPr>
        <w:tabs>
          <w:tab w:val="left" w:pos="3885"/>
        </w:tabs>
        <w:suppressAutoHyphens/>
        <w:kinsoku/>
        <w:wordWrap/>
        <w:overflowPunct w:val="0"/>
        <w:topLinePunct w:val="0"/>
        <w:autoSpaceDE/>
        <w:autoSpaceDN/>
        <w:bidi w:val="0"/>
        <w:adjustRightInd/>
        <w:snapToGrid w:val="0"/>
        <w:spacing w:line="520" w:lineRule="exact"/>
        <w:ind w:firstLine="640" w:firstLineChars="200"/>
        <w:jc w:val="both"/>
        <w:textAlignment w:val="auto"/>
        <w:rPr>
          <w:rFonts w:hint="default"/>
        </w:rPr>
      </w:pPr>
      <w:r>
        <w:rPr>
          <w:rFonts w:hint="default" w:ascii="Times New Roman" w:hAnsi="Times New Roman" w:eastAsia="黑体" w:cs="Times New Roman"/>
          <w:kern w:val="0"/>
          <w:sz w:val="32"/>
          <w:szCs w:val="32"/>
        </w:rPr>
        <w:t>一、基本情况</w:t>
      </w:r>
    </w:p>
    <w:p w14:paraId="5EFB15BD">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0"/>
          <w:sz w:val="32"/>
          <w:szCs w:val="32"/>
          <w:lang w:val="en-US" w:eastAsia="zh-CN"/>
        </w:rPr>
        <w:t>（一）</w:t>
      </w:r>
      <w:r>
        <w:rPr>
          <w:rFonts w:hint="eastAsia" w:ascii="楷体_GB2312" w:hAnsi="楷体_GB2312" w:eastAsia="楷体_GB2312" w:cs="楷体_GB2312"/>
          <w:b/>
          <w:bCs/>
          <w:kern w:val="0"/>
          <w:sz w:val="32"/>
          <w:szCs w:val="32"/>
        </w:rPr>
        <w:t>项目概况</w:t>
      </w:r>
    </w:p>
    <w:p w14:paraId="74BB26CC">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outlineLvl w:val="9"/>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shd w:val="clear" w:color="auto" w:fill="FFFFFF"/>
        </w:rPr>
        <w:t>市级文化旅游发展资金（非物质文化遗产保护）桃子龙传承保护补助资金</w:t>
      </w:r>
      <w:r>
        <w:rPr>
          <w:rFonts w:hint="eastAsia" w:ascii="仿宋_GB2312" w:hAnsi="仿宋_GB2312" w:eastAsia="仿宋_GB2312" w:cs="仿宋_GB2312"/>
          <w:kern w:val="0"/>
          <w:sz w:val="32"/>
          <w:szCs w:val="32"/>
          <w:lang w:val="en-US" w:eastAsia="zh-CN"/>
        </w:rPr>
        <w:t>8万元，主要用于“船山桃子龙”重塑活动，开展代表性传承人调查记录、</w:t>
      </w:r>
      <w:r>
        <w:rPr>
          <w:rFonts w:hint="eastAsia" w:ascii="仿宋_GB2312" w:hAnsi="宋体" w:eastAsia="仿宋_GB2312" w:cs="Times New Roman"/>
          <w:kern w:val="0"/>
          <w:sz w:val="32"/>
          <w:szCs w:val="32"/>
          <w:lang w:val="en-US" w:eastAsia="zh-CN"/>
        </w:rPr>
        <w:t>两条龙道具制作</w:t>
      </w:r>
      <w:r>
        <w:rPr>
          <w:rFonts w:hint="eastAsia" w:ascii="仿宋_GB2312" w:hAnsi="仿宋_GB2312" w:eastAsia="仿宋_GB2312" w:cs="仿宋_GB2312"/>
          <w:kern w:val="0"/>
          <w:sz w:val="32"/>
          <w:szCs w:val="32"/>
          <w:vertAlign w:val="baseline"/>
          <w:lang w:val="en-US" w:eastAsia="zh-CN"/>
        </w:rPr>
        <w:t>（龙头、龙宝、龙尾、桃子）</w:t>
      </w:r>
      <w:r>
        <w:rPr>
          <w:rFonts w:hint="eastAsia" w:ascii="仿宋_GB2312" w:hAnsi="宋体" w:eastAsia="仿宋_GB2312" w:cs="Times New Roman"/>
          <w:kern w:val="0"/>
          <w:sz w:val="32"/>
          <w:szCs w:val="32"/>
          <w:lang w:val="en-US" w:eastAsia="zh-CN"/>
        </w:rPr>
        <w:t>及传承队伍培训</w:t>
      </w:r>
      <w:r>
        <w:rPr>
          <w:rFonts w:hint="eastAsia" w:ascii="仿宋_GB2312" w:hAnsi="仿宋_GB2312" w:eastAsia="仿宋_GB2312" w:cs="仿宋_GB2312"/>
          <w:kern w:val="0"/>
          <w:sz w:val="32"/>
          <w:szCs w:val="32"/>
          <w:lang w:val="en-US" w:eastAsia="zh-CN"/>
        </w:rPr>
        <w:t>，增强对省级非物质文化遗产“船山桃子龙”保护传承，扩大传承队伍，同时吸引更多群众积极参与非物质文化遗产保护，增强非物质文化遗产保护意识。</w:t>
      </w:r>
      <w:r>
        <w:rPr>
          <w:rFonts w:hint="eastAsia" w:ascii="仿宋_GB2312" w:hAnsi="仿宋_GB2312" w:eastAsia="仿宋_GB2312" w:cs="仿宋_GB2312"/>
          <w:kern w:val="0"/>
          <w:sz w:val="32"/>
          <w:szCs w:val="32"/>
        </w:rPr>
        <w:t>区文化广电旅游局作为</w:t>
      </w:r>
      <w:r>
        <w:rPr>
          <w:rFonts w:hint="eastAsia" w:ascii="仿宋_GB2312" w:hAnsi="仿宋_GB2312" w:eastAsia="仿宋_GB2312" w:cs="仿宋_GB2312"/>
          <w:kern w:val="0"/>
          <w:sz w:val="32"/>
          <w:szCs w:val="32"/>
          <w:shd w:val="clear" w:color="auto" w:fill="FFFFFF"/>
        </w:rPr>
        <w:t>市级文化旅游发展资金（非物质文化遗产保护）桃子龙传承保护补助资金</w:t>
      </w:r>
      <w:r>
        <w:rPr>
          <w:rFonts w:hint="eastAsia" w:ascii="Times New Roman" w:hAnsi="Times New Roman" w:eastAsia="仿宋_GB2312" w:cs="Times New Roman"/>
          <w:b w:val="0"/>
          <w:bCs w:val="0"/>
          <w:kern w:val="0"/>
          <w:sz w:val="32"/>
          <w:szCs w:val="32"/>
          <w:lang w:val="en-US" w:eastAsia="zh-CN"/>
        </w:rPr>
        <w:t>项目</w:t>
      </w:r>
      <w:r>
        <w:rPr>
          <w:rFonts w:hint="eastAsia" w:ascii="仿宋_GB2312" w:hAnsi="仿宋_GB2312" w:eastAsia="仿宋_GB2312" w:cs="仿宋_GB2312"/>
          <w:kern w:val="0"/>
          <w:sz w:val="32"/>
          <w:szCs w:val="32"/>
        </w:rPr>
        <w:t>的主管部门，承担活动的规划和组织、实施、监督等职能，确保高质量完成工作任务</w:t>
      </w:r>
      <w:r>
        <w:rPr>
          <w:rFonts w:hint="eastAsia" w:ascii="仿宋_GB2312" w:hAnsi="仿宋_GB2312" w:eastAsia="仿宋_GB2312" w:cs="仿宋_GB2312"/>
          <w:kern w:val="0"/>
          <w:sz w:val="32"/>
          <w:szCs w:val="32"/>
          <w:lang w:eastAsia="zh-CN"/>
        </w:rPr>
        <w:t>。</w:t>
      </w:r>
    </w:p>
    <w:p w14:paraId="7C788377">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outlineLvl w:val="9"/>
        <w:rPr>
          <w:rFonts w:hint="eastAsia" w:ascii="楷体_GB2312" w:hAnsi="楷体_GB2312" w:eastAsia="楷体_GB2312" w:cs="楷体_GB2312"/>
          <w:b/>
          <w:bCs/>
          <w:kern w:val="0"/>
          <w:sz w:val="32"/>
          <w:szCs w:val="32"/>
          <w:lang w:val="en-US" w:eastAsia="zh-CN"/>
        </w:rPr>
      </w:pPr>
      <w:r>
        <w:rPr>
          <w:rFonts w:hint="eastAsia" w:ascii="楷体_GB2312" w:hAnsi="楷体_GB2312" w:eastAsia="楷体_GB2312" w:cs="楷体_GB2312"/>
          <w:b/>
          <w:bCs/>
          <w:kern w:val="0"/>
          <w:sz w:val="32"/>
          <w:szCs w:val="32"/>
          <w:lang w:val="en-US" w:eastAsia="zh-CN"/>
        </w:rPr>
        <w:t>（二）项目实施情况</w:t>
      </w:r>
    </w:p>
    <w:p w14:paraId="70C86DE0">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shd w:val="clear" w:color="auto" w:fill="FFFFFF"/>
          <w:lang w:val="en-US" w:eastAsia="zh-CN" w:bidi="ar-SA"/>
        </w:rPr>
        <w:t>市级文化旅游发展资金（非物质文化遗产保护）桃子龙传承保护补助资金</w:t>
      </w:r>
      <w:r>
        <w:rPr>
          <w:rFonts w:hint="eastAsia" w:ascii="仿宋_GB2312" w:hAnsi="仿宋_GB2312" w:eastAsia="仿宋_GB2312" w:cs="仿宋_GB2312"/>
          <w:sz w:val="32"/>
          <w:szCs w:val="32"/>
          <w:lang w:val="en-US" w:eastAsia="zh-CN" w:bidi="ar-SA"/>
        </w:rPr>
        <w:t>由</w:t>
      </w:r>
      <w:r>
        <w:rPr>
          <w:rFonts w:hint="eastAsia" w:ascii="仿宋_GB2312" w:hAnsi="仿宋_GB2312" w:eastAsia="仿宋_GB2312" w:cs="仿宋_GB2312"/>
          <w:color w:val="000000"/>
          <w:kern w:val="2"/>
          <w:sz w:val="32"/>
          <w:szCs w:val="32"/>
          <w:lang w:val="en-US" w:eastAsia="zh-CN" w:bidi="ar-SA"/>
        </w:rPr>
        <w:t>区文化广电旅游局牵头，区文化馆具体实施，组织开展</w:t>
      </w:r>
      <w:r>
        <w:rPr>
          <w:rFonts w:hint="eastAsia" w:ascii="仿宋_GB2312" w:hAnsi="仿宋_GB2312" w:eastAsia="仿宋_GB2312" w:cs="仿宋_GB2312"/>
          <w:sz w:val="32"/>
          <w:szCs w:val="32"/>
          <w:lang w:val="en-US" w:eastAsia="zh-CN" w:bidi="ar-SA"/>
        </w:rPr>
        <w:t>“船山桃子龙”重塑活动，完成对省级代表性传承人调查记录，完成</w:t>
      </w:r>
      <w:r>
        <w:rPr>
          <w:rFonts w:hint="eastAsia" w:ascii="仿宋_GB2312" w:hAnsi="宋体" w:eastAsia="仿宋_GB2312" w:cs="Times New Roman"/>
          <w:sz w:val="32"/>
          <w:szCs w:val="32"/>
          <w:lang w:val="en-US" w:eastAsia="zh-CN" w:bidi="ar-SA"/>
        </w:rPr>
        <w:t>两条龙道具制作</w:t>
      </w:r>
      <w:r>
        <w:rPr>
          <w:rFonts w:hint="eastAsia" w:ascii="仿宋_GB2312" w:hAnsi="仿宋_GB2312" w:eastAsia="仿宋_GB2312" w:cs="仿宋_GB2312"/>
          <w:sz w:val="32"/>
          <w:szCs w:val="32"/>
          <w:vertAlign w:val="baseline"/>
          <w:lang w:val="en-US" w:eastAsia="zh-CN" w:bidi="ar-SA"/>
        </w:rPr>
        <w:t>（龙头、龙宝、龙尾、桃子）</w:t>
      </w:r>
      <w:r>
        <w:rPr>
          <w:rFonts w:hint="eastAsia" w:ascii="仿宋_GB2312" w:hAnsi="宋体" w:eastAsia="仿宋_GB2312" w:cs="Times New Roman"/>
          <w:sz w:val="32"/>
          <w:szCs w:val="32"/>
          <w:lang w:val="en-US" w:eastAsia="zh-CN" w:bidi="ar-SA"/>
        </w:rPr>
        <w:t>及传承队伍培训，提高对我区省级非遗项目“船山桃子龙”的保护力度，为今后申报国家级非遗奠定基础</w:t>
      </w:r>
      <w:r>
        <w:rPr>
          <w:rFonts w:hint="eastAsia" w:ascii="仿宋_GB2312" w:hAnsi="仿宋_GB2312" w:eastAsia="仿宋_GB2312" w:cs="仿宋_GB2312"/>
          <w:sz w:val="32"/>
          <w:szCs w:val="32"/>
          <w:lang w:val="en-US" w:eastAsia="zh-CN" w:bidi="ar-SA"/>
        </w:rPr>
        <w:t>。</w:t>
      </w:r>
    </w:p>
    <w:p w14:paraId="0AA72518">
      <w:pPr>
        <w:keepNext w:val="0"/>
        <w:keepLines w:val="0"/>
        <w:pageBreakBefore w:val="0"/>
        <w:widowControl w:val="0"/>
        <w:kinsoku/>
        <w:wordWrap/>
        <w:topLinePunct w:val="0"/>
        <w:autoSpaceDE w:val="0"/>
        <w:autoSpaceDN w:val="0"/>
        <w:bidi w:val="0"/>
        <w:adjustRightInd w:val="0"/>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（三）资金投入使用情况</w:t>
      </w:r>
    </w:p>
    <w:p w14:paraId="46B7D28A">
      <w:pPr>
        <w:keepNext w:val="0"/>
        <w:keepLines w:val="0"/>
        <w:pageBreakBefore w:val="0"/>
        <w:widowControl w:val="0"/>
        <w:suppressAutoHyphens/>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1、资金到位情况。共到位</w:t>
      </w:r>
      <w:r>
        <w:rPr>
          <w:rFonts w:hint="eastAsia" w:ascii="仿宋_GB2312" w:hAnsi="仿宋_GB2312" w:eastAsia="仿宋_GB2312" w:cs="仿宋_GB2312"/>
          <w:kern w:val="0"/>
          <w:sz w:val="32"/>
          <w:szCs w:val="32"/>
          <w:shd w:val="clear" w:color="auto" w:fill="FFFFFF"/>
        </w:rPr>
        <w:t>市级文化旅游发展资金（非物质文化遗产保护）桃子龙传承保护补助资金</w:t>
      </w:r>
      <w:r>
        <w:rPr>
          <w:rFonts w:hint="eastAsia" w:ascii="仿宋_GB2312" w:hAnsi="仿宋_GB2312" w:eastAsia="仿宋_GB2312" w:cs="仿宋_GB2312"/>
          <w:b w:val="0"/>
          <w:bCs w:val="0"/>
          <w:kern w:val="2"/>
          <w:sz w:val="32"/>
          <w:szCs w:val="32"/>
          <w:lang w:val="en-US" w:eastAsia="zh-CN" w:bidi="ar-SA"/>
        </w:rPr>
        <w:t>8万元。</w:t>
      </w:r>
    </w:p>
    <w:p w14:paraId="50F59A2B">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2、资金使用情况。共计支出8万元，</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用于</w:t>
      </w:r>
      <w:r>
        <w:rPr>
          <w:rFonts w:hint="eastAsia" w:ascii="仿宋_GB2312" w:hAnsi="仿宋_GB2312" w:eastAsia="仿宋_GB2312" w:cs="仿宋_GB2312"/>
          <w:sz w:val="32"/>
          <w:szCs w:val="32"/>
          <w:lang w:val="en-US" w:eastAsia="zh-CN" w:bidi="ar-SA"/>
        </w:rPr>
        <w:t>省级代表性传承人调查记录、</w:t>
      </w:r>
      <w:r>
        <w:rPr>
          <w:rFonts w:hint="eastAsia" w:ascii="仿宋_GB2312" w:hAnsi="宋体" w:eastAsia="仿宋_GB2312" w:cs="Times New Roman"/>
          <w:sz w:val="32"/>
          <w:szCs w:val="32"/>
          <w:lang w:val="en-US" w:eastAsia="zh-CN" w:bidi="ar-SA"/>
        </w:rPr>
        <w:t>两条龙道具制作及传承队伍培训</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等相关费用</w:t>
      </w:r>
      <w:r>
        <w:rPr>
          <w:rFonts w:hint="eastAsia" w:ascii="仿宋_GB2312" w:hAnsi="仿宋_GB2312" w:eastAsia="仿宋_GB2312" w:cs="仿宋_GB2312"/>
          <w:b w:val="0"/>
          <w:bCs w:val="0"/>
          <w:kern w:val="2"/>
          <w:sz w:val="32"/>
          <w:szCs w:val="32"/>
          <w:lang w:val="en-US" w:eastAsia="zh-CN" w:bidi="ar-SA"/>
        </w:rPr>
        <w:t>。</w:t>
      </w:r>
    </w:p>
    <w:p w14:paraId="6FAB4C79">
      <w:pPr>
        <w:keepNext w:val="0"/>
        <w:keepLines w:val="0"/>
        <w:pageBreakBefore w:val="0"/>
        <w:widowControl w:val="0"/>
        <w:kinsoku/>
        <w:wordWrap/>
        <w:topLinePunct w:val="0"/>
        <w:autoSpaceDE w:val="0"/>
        <w:autoSpaceDN w:val="0"/>
        <w:bidi w:val="0"/>
        <w:adjustRightInd w:val="0"/>
        <w:spacing w:line="520" w:lineRule="exact"/>
        <w:ind w:firstLine="643" w:firstLineChars="200"/>
        <w:textAlignment w:val="auto"/>
        <w:outlineLvl w:val="9"/>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（四）项目绩效目标</w:t>
      </w:r>
    </w:p>
    <w:p w14:paraId="6764C3B1">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完成2名</w:t>
      </w:r>
      <w:r>
        <w:rPr>
          <w:rFonts w:hint="eastAsia" w:ascii="仿宋_GB2312" w:hAnsi="仿宋_GB2312" w:eastAsia="仿宋_GB2312" w:cs="仿宋_GB2312"/>
          <w:sz w:val="32"/>
          <w:szCs w:val="32"/>
          <w:lang w:val="en-US" w:eastAsia="zh-CN" w:bidi="ar-SA"/>
        </w:rPr>
        <w:t>省级代表性传承人调查记录，完成</w:t>
      </w:r>
      <w:r>
        <w:rPr>
          <w:rFonts w:hint="eastAsia" w:ascii="仿宋_GB2312" w:hAnsi="宋体" w:eastAsia="仿宋_GB2312" w:cs="Times New Roman"/>
          <w:sz w:val="32"/>
          <w:szCs w:val="32"/>
          <w:lang w:val="en-US" w:eastAsia="zh-CN" w:bidi="ar-SA"/>
        </w:rPr>
        <w:t>两条龙道具制作</w:t>
      </w:r>
      <w:r>
        <w:rPr>
          <w:rFonts w:hint="eastAsia" w:ascii="仿宋_GB2312" w:hAnsi="仿宋_GB2312" w:eastAsia="仿宋_GB2312" w:cs="仿宋_GB2312"/>
          <w:sz w:val="32"/>
          <w:szCs w:val="32"/>
          <w:vertAlign w:val="baseline"/>
          <w:lang w:val="en-US" w:eastAsia="zh-CN" w:bidi="ar-SA"/>
        </w:rPr>
        <w:t>（龙头、龙宝、龙尾、桃子）</w:t>
      </w:r>
      <w:r>
        <w:rPr>
          <w:rFonts w:hint="eastAsia" w:ascii="仿宋_GB2312" w:hAnsi="宋体" w:eastAsia="仿宋_GB2312" w:cs="Times New Roman"/>
          <w:sz w:val="32"/>
          <w:szCs w:val="32"/>
          <w:lang w:val="en-US" w:eastAsia="zh-CN" w:bidi="ar-SA"/>
        </w:rPr>
        <w:t>及传承队伍培训</w:t>
      </w:r>
      <w:r>
        <w:rPr>
          <w:rFonts w:hint="eastAsia" w:ascii="仿宋_GB2312" w:hAnsi="仿宋_GB2312" w:eastAsia="仿宋_GB2312" w:cs="仿宋_GB2312"/>
          <w:sz w:val="32"/>
          <w:szCs w:val="32"/>
          <w:lang w:val="en-US" w:eastAsia="zh-CN" w:bidi="ar-SA"/>
        </w:rPr>
        <w:t>，项目完成及时率100%，项目总成本≤8万元，</w:t>
      </w:r>
      <w:r>
        <w:rPr>
          <w:rFonts w:hint="eastAsia" w:ascii="仿宋_GB2312" w:hAnsi="仿宋_GB2312" w:eastAsia="仿宋_GB2312" w:cs="仿宋_GB2312"/>
          <w:b w:val="0"/>
          <w:bCs w:val="0"/>
          <w:kern w:val="2"/>
          <w:sz w:val="32"/>
          <w:szCs w:val="32"/>
          <w:lang w:val="en-US" w:eastAsia="zh-CN" w:bidi="ar-SA"/>
        </w:rPr>
        <w:t>提高对非物质文化遗产保护率97%，传承人满意度100%，群众满意度≥96%。</w:t>
      </w:r>
    </w:p>
    <w:p w14:paraId="173DED7E">
      <w:pPr>
        <w:keepNext w:val="0"/>
        <w:keepLines w:val="0"/>
        <w:pageBreakBefore w:val="0"/>
        <w:widowControl w:val="0"/>
        <w:kinsoku/>
        <w:wordWrap/>
        <w:topLinePunct w:val="0"/>
        <w:autoSpaceDE w:val="0"/>
        <w:autoSpaceDN w:val="0"/>
        <w:bidi w:val="0"/>
        <w:adjustRightInd w:val="0"/>
        <w:snapToGrid w:val="0"/>
        <w:spacing w:line="520" w:lineRule="exact"/>
        <w:ind w:firstLine="640" w:firstLineChars="200"/>
        <w:jc w:val="left"/>
        <w:textAlignment w:val="auto"/>
        <w:rPr>
          <w:rFonts w:hint="default" w:ascii="Times" w:hAnsi="Times" w:eastAsia="宋体" w:cs="Times New Roman"/>
          <w:sz w:val="18"/>
          <w:szCs w:val="18"/>
          <w:lang w:val="en-US" w:eastAsia="zh-CN" w:bidi="ar-SA"/>
        </w:rPr>
      </w:pPr>
      <w:r>
        <w:rPr>
          <w:rFonts w:hint="eastAsia" w:ascii="仿宋_GB2312" w:hAnsi="仿宋_GB2312" w:eastAsia="仿宋_GB2312" w:cs="仿宋_GB2312"/>
          <w:sz w:val="32"/>
          <w:szCs w:val="32"/>
          <w:lang w:val="en-US" w:eastAsia="zh-CN" w:bidi="ar-SA"/>
        </w:rPr>
        <w:t>为保障该项目高质量完成，该项目从数量、质量、时效、成本、社会效益、可持续影响、满意度等多个维度对项目实现目标进行了量化，且申报内容与实际相符，目标具有可行性。</w:t>
      </w:r>
    </w:p>
    <w:p w14:paraId="720F2BBC">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二、评价工作开展情况</w:t>
      </w:r>
    </w:p>
    <w:p w14:paraId="00435CFA">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Times New Roman" w:hAnsi="Times New Roman" w:eastAsia="宋体" w:cs="Times New Roman"/>
          <w:b/>
          <w:bCs/>
          <w:sz w:val="32"/>
          <w:lang w:val="en-US" w:eastAsia="zh-CN" w:bidi="ar-SA"/>
        </w:rPr>
      </w:pPr>
      <w:r>
        <w:rPr>
          <w:rFonts w:hint="eastAsia" w:ascii="楷体_GB2312" w:hAnsi="楷体_GB2312" w:eastAsia="楷体_GB2312" w:cs="楷体_GB2312"/>
          <w:b/>
          <w:bCs/>
          <w:sz w:val="32"/>
          <w:szCs w:val="32"/>
          <w:lang w:val="en-US" w:eastAsia="zh-CN" w:bidi="ar-SA"/>
        </w:rPr>
        <w:t>（一）评价组织情况</w:t>
      </w:r>
    </w:p>
    <w:p w14:paraId="22192F7B">
      <w:pPr>
        <w:keepNext w:val="0"/>
        <w:keepLines w:val="0"/>
        <w:pageBreakBefore w:val="0"/>
        <w:tabs>
          <w:tab w:val="left" w:pos="3885"/>
        </w:tabs>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根据资金使用及绩效评价相关规定，按照“专款专用，谁实施、谁负责”的原则，区文化广电旅游局作为</w:t>
      </w:r>
      <w:r>
        <w:rPr>
          <w:rFonts w:hint="eastAsia" w:ascii="仿宋_GB2312" w:hAnsi="仿宋_GB2312" w:eastAsia="仿宋_GB2312" w:cs="仿宋_GB2312"/>
          <w:kern w:val="0"/>
          <w:sz w:val="32"/>
          <w:szCs w:val="32"/>
          <w:shd w:val="clear" w:color="auto" w:fill="FFFFFF"/>
        </w:rPr>
        <w:t>市级文化旅游发展资金（非物质文化遗产保护）桃子龙传承保护补助</w:t>
      </w:r>
      <w:r>
        <w:rPr>
          <w:rFonts w:hint="eastAsia" w:ascii="Times New Roman" w:hAnsi="Times New Roman" w:eastAsia="仿宋_GB2312" w:cs="Times New Roman"/>
          <w:kern w:val="0"/>
          <w:sz w:val="32"/>
          <w:szCs w:val="32"/>
          <w:lang w:val="en-US" w:eastAsia="zh-CN"/>
        </w:rPr>
        <w:t>项</w:t>
      </w:r>
      <w:r>
        <w:rPr>
          <w:rFonts w:hint="eastAsia" w:ascii="仿宋_GB2312" w:hAnsi="宋体" w:eastAsia="仿宋_GB2312" w:cs="Times New Roman"/>
          <w:kern w:val="0"/>
          <w:sz w:val="32"/>
          <w:szCs w:val="32"/>
          <w:lang w:val="en-US" w:eastAsia="zh-CN" w:bidi="ar-SA"/>
        </w:rPr>
        <w:t>目的主管部门，</w:t>
      </w:r>
      <w:r>
        <w:rPr>
          <w:rFonts w:hint="eastAsia" w:ascii="Times New Roman" w:hAnsi="Times New Roman" w:eastAsia="仿宋_GB2312" w:cs="Times New Roman"/>
          <w:kern w:val="0"/>
          <w:sz w:val="32"/>
          <w:szCs w:val="32"/>
          <w:lang w:val="en-US" w:eastAsia="zh-CN"/>
        </w:rPr>
        <w:t>组建工作专班，明确专人负责对本项目的统筹谋划，全程监督管理和开展绩效评价。</w:t>
      </w:r>
    </w:p>
    <w:p w14:paraId="0AB02B69">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（二）评价指标体系</w:t>
      </w:r>
    </w:p>
    <w:p w14:paraId="12AE5D34">
      <w:pPr>
        <w:keepNext w:val="0"/>
        <w:keepLines w:val="0"/>
        <w:pageBreakBefore w:val="0"/>
        <w:tabs>
          <w:tab w:val="left" w:pos="3885"/>
        </w:tabs>
        <w:suppressAutoHyphens/>
        <w:kinsoku/>
        <w:wordWrap/>
        <w:overflowPunct w:val="0"/>
        <w:topLinePunct w:val="0"/>
        <w:autoSpaceDE/>
        <w:autoSpaceDN/>
        <w:bidi w:val="0"/>
        <w:adjustRightInd w:val="0"/>
        <w:snapToGrid w:val="0"/>
        <w:spacing w:line="520" w:lineRule="exact"/>
        <w:ind w:firstLine="640" w:firstLineChars="200"/>
        <w:jc w:val="both"/>
        <w:textAlignment w:val="auto"/>
        <w:rPr>
          <w:rFonts w:hint="eastAsia"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指标体系主要集中在</w:t>
      </w:r>
      <w:r>
        <w:rPr>
          <w:rFonts w:hint="eastAsia" w:ascii="仿宋_GB2312" w:hAnsi="仿宋_GB2312" w:eastAsia="仿宋_GB2312" w:cs="仿宋_GB2312"/>
          <w:color w:val="000000"/>
          <w:kern w:val="2"/>
          <w:sz w:val="32"/>
          <w:szCs w:val="32"/>
          <w:lang w:val="en-US" w:eastAsia="zh-CN" w:bidi="ar-SA"/>
        </w:rPr>
        <w:t>项目决策、实施项目、项目预算、数量、质量、时效、成本、社会效益</w:t>
      </w:r>
      <w:r>
        <w:rPr>
          <w:rFonts w:hint="eastAsia" w:ascii="Times New Roman" w:hAnsi="Times New Roman" w:eastAsia="仿宋_GB2312" w:cs="Times New Roman"/>
          <w:kern w:val="0"/>
          <w:sz w:val="32"/>
          <w:szCs w:val="32"/>
          <w:lang w:val="en-US" w:eastAsia="zh-CN"/>
        </w:rPr>
        <w:t>、社会公众及受惠群众满意度。</w:t>
      </w:r>
    </w:p>
    <w:p w14:paraId="080A12BC">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项目决策</w:t>
      </w:r>
      <w:r>
        <w:rPr>
          <w:rFonts w:hint="eastAsia"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lang w:val="en-US" w:eastAsia="zh-CN"/>
        </w:rPr>
        <w:t>目标决策程序严密管理制度健全完善</w:t>
      </w:r>
      <w:r>
        <w:rPr>
          <w:rFonts w:hint="eastAsia" w:ascii="Times New Roman" w:hAnsi="Times New Roman" w:eastAsia="仿宋_GB2312" w:cs="Times New Roman"/>
          <w:kern w:val="0"/>
          <w:sz w:val="32"/>
          <w:szCs w:val="32"/>
          <w:lang w:val="en-US" w:eastAsia="zh-CN"/>
        </w:rPr>
        <w:t>、规划合理符合市委、市政府及区委、区政府重大决策部署，项目实施结果与项目年度目标一致、</w:t>
      </w:r>
      <w:r>
        <w:rPr>
          <w:rFonts w:hint="default" w:ascii="Times New Roman" w:hAnsi="Times New Roman" w:eastAsia="仿宋_GB2312" w:cs="Times New Roman"/>
          <w:kern w:val="0"/>
          <w:sz w:val="32"/>
          <w:szCs w:val="32"/>
          <w:lang w:val="en-US" w:eastAsia="zh-CN"/>
        </w:rPr>
        <w:t>与规划计划一致</w:t>
      </w:r>
      <w:r>
        <w:rPr>
          <w:rFonts w:hint="eastAsia" w:ascii="Times New Roman" w:hAnsi="Times New Roman" w:eastAsia="仿宋_GB2312" w:cs="Times New Roman"/>
          <w:kern w:val="0"/>
          <w:sz w:val="32"/>
          <w:szCs w:val="32"/>
          <w:lang w:val="en-US" w:eastAsia="zh-CN"/>
        </w:rPr>
        <w:t>。自评得分</w:t>
      </w:r>
      <w:r>
        <w:rPr>
          <w:rFonts w:hint="eastAsia" w:ascii="仿宋_GB2312" w:hAnsi="仿宋_GB2312" w:eastAsia="仿宋_GB2312" w:cs="仿宋_GB2312"/>
          <w:kern w:val="0"/>
          <w:sz w:val="32"/>
          <w:szCs w:val="32"/>
          <w:lang w:val="en-US" w:eastAsia="zh-CN"/>
        </w:rPr>
        <w:t>：6分。</w:t>
      </w:r>
    </w:p>
    <w:p w14:paraId="1B3FE4BD">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宋体"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项目实施：项目实施符合相关管理制度规定，项目实施人员、场地等落实到位，项目手续完备，有项目合同、验收报告等资料，并归纳建档；项目资金使用符合相关的财务管理制度规定，资金拨付程序手续完整资金拨付程序、手续完整，符合项目预算批复，无挤占、挪用等情况。自评得分</w:t>
      </w:r>
      <w:r>
        <w:rPr>
          <w:rFonts w:hint="eastAsia" w:ascii="仿宋_GB2312" w:hAnsi="仿宋_GB2312" w:eastAsia="仿宋_GB2312" w:cs="仿宋_GB2312"/>
          <w:kern w:val="0"/>
          <w:sz w:val="32"/>
          <w:szCs w:val="32"/>
          <w:lang w:val="en-US" w:eastAsia="zh-CN"/>
        </w:rPr>
        <w:t>：8分。</w:t>
      </w:r>
    </w:p>
    <w:p w14:paraId="12C50449">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项目预算执行：完成年初预算，预算执行率100%。自评得分：6分。</w:t>
      </w:r>
    </w:p>
    <w:p w14:paraId="4217CBD2">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数量指标：组织开展船山桃子龙座谈会、研讨会，</w:t>
      </w:r>
      <w:r>
        <w:rPr>
          <w:rFonts w:hint="eastAsia" w:ascii="仿宋_GB2312" w:hAnsi="仿宋_GB2312" w:eastAsia="仿宋_GB2312" w:cs="仿宋_GB2312"/>
          <w:b w:val="0"/>
          <w:bCs w:val="0"/>
          <w:kern w:val="2"/>
          <w:sz w:val="32"/>
          <w:szCs w:val="32"/>
          <w:lang w:val="en-US" w:eastAsia="zh-CN" w:bidi="ar-SA"/>
        </w:rPr>
        <w:t>完成2名</w:t>
      </w:r>
      <w:r>
        <w:rPr>
          <w:rFonts w:hint="eastAsia" w:ascii="仿宋_GB2312" w:hAnsi="仿宋_GB2312" w:eastAsia="仿宋_GB2312" w:cs="仿宋_GB2312"/>
          <w:kern w:val="0"/>
          <w:sz w:val="32"/>
          <w:szCs w:val="32"/>
          <w:lang w:val="en-US" w:eastAsia="zh-CN"/>
        </w:rPr>
        <w:t>省级代表性传承人调查记录，完成</w:t>
      </w:r>
      <w:r>
        <w:rPr>
          <w:rFonts w:hint="eastAsia" w:ascii="仿宋_GB2312" w:hAnsi="宋体" w:eastAsia="仿宋_GB2312" w:cs="Times New Roman"/>
          <w:kern w:val="0"/>
          <w:sz w:val="32"/>
          <w:szCs w:val="32"/>
          <w:lang w:val="en-US" w:eastAsia="zh-CN"/>
        </w:rPr>
        <w:t>两条龙道具制作</w:t>
      </w:r>
      <w:r>
        <w:rPr>
          <w:rFonts w:hint="eastAsia" w:ascii="仿宋_GB2312" w:hAnsi="仿宋_GB2312" w:eastAsia="仿宋_GB2312" w:cs="仿宋_GB2312"/>
          <w:kern w:val="0"/>
          <w:sz w:val="32"/>
          <w:szCs w:val="32"/>
          <w:vertAlign w:val="baseline"/>
          <w:lang w:val="en-US" w:eastAsia="zh-CN"/>
        </w:rPr>
        <w:t>（龙头、龙宝、龙尾、桃子）</w:t>
      </w:r>
      <w:r>
        <w:rPr>
          <w:rFonts w:hint="eastAsia" w:ascii="仿宋_GB2312" w:hAnsi="宋体" w:eastAsia="仿宋_GB2312" w:cs="Times New Roman"/>
          <w:kern w:val="0"/>
          <w:sz w:val="32"/>
          <w:szCs w:val="32"/>
          <w:lang w:val="en-US" w:eastAsia="zh-CN"/>
        </w:rPr>
        <w:t>及传承队伍培训，培训传承人</w:t>
      </w:r>
      <w:r>
        <w:rPr>
          <w:rFonts w:hint="eastAsia" w:ascii="仿宋_GB2312" w:hAnsi="仿宋_GB2312" w:eastAsia="仿宋_GB2312" w:cs="仿宋_GB2312"/>
          <w:kern w:val="0"/>
          <w:sz w:val="32"/>
          <w:szCs w:val="32"/>
          <w:lang w:val="en-US" w:eastAsia="zh-CN"/>
        </w:rPr>
        <w:t>24名</w:t>
      </w:r>
      <w:r>
        <w:rPr>
          <w:rFonts w:hint="eastAsia" w:ascii="仿宋_GB2312" w:hAnsi="宋体" w:eastAsia="仿宋_GB2312" w:cs="Times New Roman"/>
          <w:kern w:val="0"/>
          <w:sz w:val="32"/>
          <w:szCs w:val="32"/>
          <w:lang w:val="en-US" w:eastAsia="zh-CN"/>
        </w:rPr>
        <w:t>，结合“船山桃子龙”保护传承实际，制作背景音乐1首</w:t>
      </w:r>
      <w:r>
        <w:rPr>
          <w:rFonts w:hint="eastAsia" w:ascii="仿宋_GB2312" w:hAnsi="仿宋_GB2312" w:eastAsia="仿宋_GB2312" w:cs="仿宋_GB2312"/>
          <w:kern w:val="0"/>
          <w:sz w:val="32"/>
          <w:szCs w:val="32"/>
          <w:lang w:val="en-US" w:eastAsia="zh-CN"/>
        </w:rPr>
        <w:t>。自评得分：5分。</w:t>
      </w:r>
    </w:p>
    <w:p w14:paraId="4D39B05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outlineLvl w:val="9"/>
        <w:rPr>
          <w:rFonts w:hint="eastAsia"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质量</w:t>
      </w:r>
      <w:r>
        <w:rPr>
          <w:rFonts w:hint="eastAsia" w:ascii="Times New Roman" w:hAnsi="Times New Roman" w:eastAsia="仿宋_GB2312" w:cs="Times New Roman"/>
          <w:kern w:val="0"/>
          <w:sz w:val="32"/>
          <w:szCs w:val="32"/>
          <w:lang w:val="en-US" w:eastAsia="zh-CN"/>
        </w:rPr>
        <w:t>指标</w:t>
      </w:r>
      <w:r>
        <w:rPr>
          <w:rFonts w:hint="default" w:ascii="Times New Roman" w:hAnsi="Times New Roman" w:eastAsia="仿宋_GB2312" w:cs="Times New Roman"/>
          <w:kern w:val="0"/>
          <w:sz w:val="32"/>
          <w:szCs w:val="32"/>
          <w:lang w:val="en-US" w:eastAsia="zh-CN"/>
        </w:rPr>
        <w:t>：</w:t>
      </w:r>
      <w:r>
        <w:rPr>
          <w:rFonts w:hint="eastAsia" w:ascii="仿宋_GB2312" w:hAnsi="仿宋_GB2312" w:eastAsia="仿宋_GB2312" w:cs="仿宋_GB2312"/>
          <w:kern w:val="0"/>
          <w:sz w:val="32"/>
          <w:szCs w:val="32"/>
          <w:shd w:val="clear" w:color="auto" w:fill="FFFFFF"/>
        </w:rPr>
        <w:t>市级文化旅游发展资金（非物质文化遗产保护）桃子龙传承保护补助</w:t>
      </w:r>
      <w:r>
        <w:rPr>
          <w:rFonts w:hint="eastAsia" w:ascii="Times New Roman" w:hAnsi="Times New Roman" w:eastAsia="仿宋_GB2312" w:cs="Times New Roman"/>
          <w:kern w:val="0"/>
          <w:sz w:val="32"/>
          <w:szCs w:val="32"/>
          <w:lang w:val="en-US" w:eastAsia="zh-CN"/>
        </w:rPr>
        <w:t>项</w:t>
      </w:r>
      <w:r>
        <w:rPr>
          <w:rFonts w:hint="eastAsia" w:ascii="仿宋_GB2312" w:hAnsi="宋体" w:eastAsia="仿宋_GB2312" w:cs="Times New Roman"/>
          <w:kern w:val="0"/>
          <w:sz w:val="32"/>
          <w:szCs w:val="32"/>
          <w:lang w:val="en-US" w:eastAsia="zh-CN" w:bidi="ar-SA"/>
        </w:rPr>
        <w:t>目</w:t>
      </w:r>
      <w:r>
        <w:rPr>
          <w:rFonts w:hint="eastAsia" w:ascii="Times New Roman" w:hAnsi="Times New Roman" w:eastAsia="仿宋_GB2312" w:cs="Times New Roman"/>
          <w:b w:val="0"/>
          <w:bCs w:val="0"/>
          <w:kern w:val="0"/>
          <w:sz w:val="32"/>
          <w:szCs w:val="32"/>
          <w:lang w:val="en-US" w:eastAsia="zh-CN"/>
        </w:rPr>
        <w:t>已完成，</w:t>
      </w:r>
      <w:r>
        <w:rPr>
          <w:rFonts w:hint="eastAsia" w:ascii="仿宋_GB2312" w:hAnsi="仿宋_GB2312" w:eastAsia="仿宋_GB2312" w:cs="仿宋_GB2312"/>
          <w:kern w:val="0"/>
          <w:sz w:val="32"/>
          <w:szCs w:val="32"/>
          <w:lang w:val="en-US" w:eastAsia="zh-CN"/>
        </w:rPr>
        <w:t>资金发放准确率100%%。自评得分：5分。</w:t>
      </w:r>
    </w:p>
    <w:p w14:paraId="30F21A20">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New Roman" w:hAnsi="Times New Roman" w:eastAsia="仿宋_GB2312" w:cs="Times New Roman"/>
          <w:kern w:val="0"/>
          <w:sz w:val="32"/>
          <w:szCs w:val="32"/>
          <w:lang w:val="en-US" w:eastAsia="zh-CN"/>
        </w:rPr>
      </w:pPr>
      <w:r>
        <w:rPr>
          <w:rFonts w:hint="eastAsia" w:ascii="Times New Roman" w:hAnsi="Times New Roman" w:eastAsia="仿宋_GB2312" w:cs="Times New Roman"/>
          <w:kern w:val="0"/>
          <w:sz w:val="32"/>
          <w:szCs w:val="32"/>
          <w:lang w:val="en-US" w:eastAsia="zh-CN"/>
        </w:rPr>
        <w:t>时效指标：</w:t>
      </w:r>
      <w:r>
        <w:rPr>
          <w:rFonts w:hint="eastAsia" w:ascii="仿宋_GB2312" w:hAnsi="仿宋_GB2312" w:eastAsia="仿宋_GB2312" w:cs="仿宋_GB2312"/>
          <w:kern w:val="0"/>
          <w:sz w:val="32"/>
          <w:szCs w:val="32"/>
          <w:shd w:val="clear" w:color="auto" w:fill="FFFFFF"/>
        </w:rPr>
        <w:t>（非物质文化遗产保护）桃子龙传承保护</w:t>
      </w:r>
      <w:r>
        <w:rPr>
          <w:rFonts w:hint="eastAsia" w:ascii="仿宋_GB2312" w:hAnsi="仿宋_GB2312" w:eastAsia="仿宋_GB2312" w:cs="仿宋_GB2312"/>
          <w:b w:val="0"/>
          <w:bCs w:val="0"/>
          <w:kern w:val="2"/>
          <w:sz w:val="32"/>
          <w:szCs w:val="32"/>
          <w:lang w:val="en-US" w:eastAsia="zh-CN" w:bidi="ar-SA"/>
        </w:rPr>
        <w:t>完成2名</w:t>
      </w:r>
      <w:r>
        <w:rPr>
          <w:rFonts w:hint="eastAsia" w:ascii="仿宋_GB2312" w:hAnsi="仿宋_GB2312" w:eastAsia="仿宋_GB2312" w:cs="仿宋_GB2312"/>
          <w:kern w:val="0"/>
          <w:sz w:val="32"/>
          <w:szCs w:val="32"/>
          <w:lang w:val="en-US" w:eastAsia="zh-CN"/>
        </w:rPr>
        <w:t>省级代表性传承人调查记录，完成</w:t>
      </w:r>
      <w:r>
        <w:rPr>
          <w:rFonts w:hint="eastAsia" w:ascii="仿宋_GB2312" w:hAnsi="宋体" w:eastAsia="仿宋_GB2312" w:cs="Times New Roman"/>
          <w:kern w:val="0"/>
          <w:sz w:val="32"/>
          <w:szCs w:val="32"/>
          <w:lang w:val="en-US" w:eastAsia="zh-CN"/>
        </w:rPr>
        <w:t>两条龙道具制作</w:t>
      </w:r>
      <w:r>
        <w:rPr>
          <w:rFonts w:hint="eastAsia" w:ascii="仿宋_GB2312" w:hAnsi="仿宋_GB2312" w:eastAsia="仿宋_GB2312" w:cs="仿宋_GB2312"/>
          <w:kern w:val="0"/>
          <w:sz w:val="32"/>
          <w:szCs w:val="32"/>
          <w:vertAlign w:val="baseline"/>
          <w:lang w:val="en-US" w:eastAsia="zh-CN"/>
        </w:rPr>
        <w:t>（龙头、龙宝、龙尾、桃子）</w:t>
      </w:r>
      <w:r>
        <w:rPr>
          <w:rFonts w:hint="eastAsia" w:ascii="仿宋_GB2312" w:hAnsi="宋体" w:eastAsia="仿宋_GB2312" w:cs="Times New Roman"/>
          <w:kern w:val="0"/>
          <w:sz w:val="32"/>
          <w:szCs w:val="32"/>
          <w:lang w:val="en-US" w:eastAsia="zh-CN"/>
        </w:rPr>
        <w:t>及传承队伍培训</w:t>
      </w:r>
      <w:r>
        <w:rPr>
          <w:rFonts w:hint="eastAsia" w:ascii="仿宋_GB2312" w:hAnsi="仿宋_GB2312" w:eastAsia="仿宋_GB2312" w:cs="仿宋_GB2312"/>
          <w:kern w:val="0"/>
          <w:sz w:val="32"/>
          <w:szCs w:val="32"/>
          <w:lang w:val="en-US" w:eastAsia="zh-CN"/>
        </w:rPr>
        <w:t>，完成及时率100%。自评得分：5分。</w:t>
      </w:r>
    </w:p>
    <w:p w14:paraId="3C1F7CE9">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default" w:ascii="仿宋_GB2312" w:hAnsi="仿宋_GB2312" w:eastAsia="仿宋_GB2312" w:cs="仿宋_GB2312"/>
          <w:b w:val="0"/>
          <w:bCs w:val="0"/>
          <w:kern w:val="0"/>
          <w:sz w:val="32"/>
          <w:szCs w:val="32"/>
          <w:lang w:val="en-US" w:eastAsia="zh-CN"/>
        </w:rPr>
        <w:t>成本</w:t>
      </w:r>
      <w:r>
        <w:rPr>
          <w:rFonts w:hint="eastAsia" w:ascii="仿宋_GB2312" w:hAnsi="仿宋_GB2312" w:eastAsia="仿宋_GB2312" w:cs="仿宋_GB2312"/>
          <w:b w:val="0"/>
          <w:bCs w:val="0"/>
          <w:kern w:val="0"/>
          <w:sz w:val="32"/>
          <w:szCs w:val="32"/>
          <w:lang w:val="en-US" w:eastAsia="zh-CN"/>
        </w:rPr>
        <w:t>指标</w:t>
      </w:r>
      <w:r>
        <w:rPr>
          <w:rFonts w:hint="default"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kern w:val="0"/>
          <w:sz w:val="32"/>
          <w:szCs w:val="32"/>
          <w:shd w:val="clear" w:color="auto" w:fill="FFFFFF"/>
        </w:rPr>
        <w:t>市级文化旅游发展资金（非物质文化遗产保护）桃子龙传承保护</w:t>
      </w:r>
      <w:r>
        <w:rPr>
          <w:rFonts w:hint="eastAsia" w:ascii="仿宋_GB2312" w:hAnsi="仿宋_GB2312" w:eastAsia="仿宋_GB2312" w:cs="仿宋_GB2312"/>
          <w:b w:val="0"/>
          <w:bCs w:val="0"/>
          <w:kern w:val="0"/>
          <w:sz w:val="32"/>
          <w:szCs w:val="32"/>
          <w:lang w:val="en-US" w:eastAsia="zh-CN"/>
        </w:rPr>
        <w:t>项目支出总成本</w:t>
      </w:r>
      <w:r>
        <w:rPr>
          <w:rFonts w:hint="eastAsia" w:ascii="仿宋_GB2312" w:hAnsi="宋体" w:eastAsia="仿宋_GB2312" w:cs="Times New Roman"/>
          <w:kern w:val="0"/>
          <w:sz w:val="32"/>
          <w:szCs w:val="32"/>
          <w:lang w:val="en-US" w:eastAsia="zh-CN" w:bidi="ar-SA"/>
        </w:rPr>
        <w:t>8万</w:t>
      </w:r>
      <w:r>
        <w:rPr>
          <w:rFonts w:hint="eastAsia" w:ascii="仿宋_GB2312" w:hAnsi="仿宋_GB2312" w:eastAsia="仿宋_GB2312" w:cs="仿宋_GB2312"/>
          <w:b w:val="0"/>
          <w:bCs w:val="0"/>
          <w:kern w:val="0"/>
          <w:sz w:val="32"/>
          <w:szCs w:val="32"/>
          <w:lang w:val="en-US" w:eastAsia="zh-CN"/>
        </w:rPr>
        <w:t>元，完成年初预算。</w:t>
      </w:r>
      <w:r>
        <w:rPr>
          <w:rFonts w:hint="eastAsia" w:ascii="仿宋_GB2312" w:hAnsi="仿宋_GB2312" w:eastAsia="仿宋_GB2312" w:cs="仿宋_GB2312"/>
          <w:kern w:val="0"/>
          <w:sz w:val="32"/>
          <w:szCs w:val="32"/>
          <w:lang w:val="en-US" w:eastAsia="zh-CN"/>
        </w:rPr>
        <w:t>自评得分：5分。</w:t>
      </w:r>
    </w:p>
    <w:p w14:paraId="444596A5">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社会效益指标：通过</w:t>
      </w:r>
      <w:r>
        <w:rPr>
          <w:rFonts w:hint="eastAsia" w:ascii="仿宋_GB2312" w:hAnsi="仿宋_GB2312" w:eastAsia="仿宋_GB2312" w:cs="仿宋_GB2312"/>
          <w:kern w:val="0"/>
          <w:sz w:val="32"/>
          <w:szCs w:val="32"/>
          <w:shd w:val="clear" w:color="auto" w:fill="FFFFFF"/>
        </w:rPr>
        <w:t>桃子龙传承保护</w:t>
      </w:r>
      <w:r>
        <w:rPr>
          <w:rFonts w:hint="eastAsia" w:ascii="仿宋_GB2312" w:hAnsi="仿宋_GB2312" w:eastAsia="仿宋_GB2312" w:cs="仿宋_GB2312"/>
          <w:b w:val="0"/>
          <w:bCs w:val="0"/>
          <w:kern w:val="0"/>
          <w:sz w:val="32"/>
          <w:szCs w:val="32"/>
          <w:lang w:val="en-US" w:eastAsia="zh-CN"/>
        </w:rPr>
        <w:t>项目的开展，</w:t>
      </w:r>
      <w:r>
        <w:rPr>
          <w:rFonts w:hint="eastAsia" w:ascii="仿宋_GB2312" w:hAnsi="仿宋_GB2312" w:eastAsia="仿宋_GB2312" w:cs="仿宋_GB2312"/>
          <w:kern w:val="0"/>
          <w:sz w:val="32"/>
          <w:szCs w:val="32"/>
          <w:lang w:val="en-US" w:eastAsia="zh-CN"/>
        </w:rPr>
        <w:t>增强对省级非物质文化遗产“船山桃子龙”保护传承，进一步完善健全船山区非物质文化遗产保护传承体系，提高对非物质文化遗产保护率</w:t>
      </w:r>
      <w:r>
        <w:rPr>
          <w:rFonts w:hint="eastAsia" w:ascii="仿宋_GB2312" w:hAnsi="仿宋_GB2312" w:eastAsia="仿宋_GB2312" w:cs="仿宋_GB2312"/>
          <w:b w:val="0"/>
          <w:bCs w:val="0"/>
          <w:kern w:val="0"/>
          <w:sz w:val="32"/>
          <w:szCs w:val="32"/>
          <w:lang w:val="en-US" w:eastAsia="zh-CN"/>
        </w:rPr>
        <w:t>。</w:t>
      </w:r>
      <w:r>
        <w:rPr>
          <w:rFonts w:hint="eastAsia" w:ascii="仿宋_GB2312" w:hAnsi="仿宋_GB2312" w:eastAsia="仿宋_GB2312" w:cs="仿宋_GB2312"/>
          <w:kern w:val="0"/>
          <w:sz w:val="32"/>
          <w:szCs w:val="32"/>
          <w:lang w:val="en-US" w:eastAsia="zh-CN"/>
        </w:rPr>
        <w:t>自评得分：25分。</w:t>
      </w:r>
    </w:p>
    <w:p w14:paraId="1B524E8D">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可持续性指标：内控管理制度健全性。</w:t>
      </w:r>
      <w:r>
        <w:rPr>
          <w:rFonts w:hint="eastAsia" w:ascii="仿宋_GB2312" w:hAnsi="仿宋_GB2312" w:eastAsia="仿宋_GB2312" w:cs="仿宋_GB2312"/>
          <w:kern w:val="0"/>
          <w:sz w:val="32"/>
          <w:szCs w:val="32"/>
          <w:lang w:val="en-US" w:eastAsia="zh-CN"/>
        </w:rPr>
        <w:t>自评得分：25分。</w:t>
      </w:r>
    </w:p>
    <w:p w14:paraId="777B08BF">
      <w:pPr>
        <w:keepNext w:val="0"/>
        <w:keepLines w:val="0"/>
        <w:pageBreakBefore w:val="0"/>
        <w:widowControl/>
        <w:suppressAutoHyphens/>
        <w:kinsoku/>
        <w:wordWrap/>
        <w:overflowPunct/>
        <w:topLinePunct w:val="0"/>
        <w:autoSpaceDE/>
        <w:autoSpaceDN/>
        <w:bidi w:val="0"/>
        <w:adjustRightInd w:val="0"/>
        <w:snapToGrid w:val="0"/>
        <w:spacing w:line="520" w:lineRule="exact"/>
        <w:ind w:firstLine="640" w:firstLineChars="200"/>
        <w:contextualSpacing/>
        <w:jc w:val="both"/>
        <w:textAlignment w:val="auto"/>
        <w:rPr>
          <w:rFonts w:hint="default" w:ascii="Times" w:hAnsi="Times"/>
          <w:kern w:val="0"/>
          <w:sz w:val="32"/>
          <w:szCs w:val="20"/>
          <w:lang w:val="en-US" w:eastAsia="zh-CN"/>
        </w:rPr>
      </w:pPr>
      <w:r>
        <w:rPr>
          <w:rFonts w:hint="eastAsia" w:ascii="仿宋_GB2312" w:hAnsi="仿宋_GB2312" w:eastAsia="仿宋_GB2312" w:cs="仿宋_GB2312"/>
          <w:b w:val="0"/>
          <w:bCs w:val="0"/>
          <w:kern w:val="0"/>
          <w:sz w:val="32"/>
          <w:szCs w:val="32"/>
          <w:lang w:val="en-US" w:eastAsia="zh-CN"/>
        </w:rPr>
        <w:t>满意度：通过</w:t>
      </w:r>
      <w:r>
        <w:rPr>
          <w:rFonts w:hint="eastAsia" w:ascii="仿宋_GB2312" w:hAnsi="仿宋_GB2312" w:eastAsia="仿宋_GB2312" w:cs="仿宋_GB2312"/>
          <w:kern w:val="0"/>
          <w:sz w:val="32"/>
          <w:szCs w:val="32"/>
          <w:shd w:val="clear" w:color="auto" w:fill="FFFFFF"/>
        </w:rPr>
        <w:t>桃子龙传承保护</w:t>
      </w:r>
      <w:r>
        <w:rPr>
          <w:rFonts w:hint="eastAsia" w:ascii="仿宋_GB2312" w:hAnsi="仿宋_GB2312" w:eastAsia="仿宋_GB2312" w:cs="仿宋_GB2312"/>
          <w:b w:val="0"/>
          <w:bCs w:val="0"/>
          <w:kern w:val="0"/>
          <w:sz w:val="32"/>
          <w:szCs w:val="32"/>
          <w:lang w:val="en-US" w:eastAsia="zh-CN"/>
        </w:rPr>
        <w:t>项目的开展，对传承人的记录调查、队伍培训，</w:t>
      </w:r>
      <w:r>
        <w:rPr>
          <w:rFonts w:hint="eastAsia" w:ascii="仿宋_GB2312" w:hAnsi="仿宋_GB2312" w:eastAsia="仿宋_GB2312" w:cs="仿宋_GB2312"/>
          <w:kern w:val="0"/>
          <w:sz w:val="32"/>
          <w:szCs w:val="32"/>
          <w:lang w:val="en-US" w:eastAsia="zh-CN"/>
        </w:rPr>
        <w:t>增强对省级非物质文化遗产“船山桃子龙”保护传承</w:t>
      </w:r>
      <w:r>
        <w:rPr>
          <w:rFonts w:hint="eastAsia" w:ascii="仿宋_GB2312" w:hAnsi="仿宋_GB2312" w:eastAsia="仿宋_GB2312" w:cs="仿宋_GB2312"/>
          <w:b w:val="0"/>
          <w:bCs w:val="0"/>
          <w:kern w:val="0"/>
          <w:sz w:val="32"/>
          <w:szCs w:val="32"/>
          <w:lang w:val="en-US" w:eastAsia="zh-CN"/>
        </w:rPr>
        <w:t>，传承人满意度达100%。项目的实施，有效保护我区传统文化、非物质文化遗产，吸引更多群众加入保护队伍，群众满意度达98%。</w:t>
      </w:r>
      <w:r>
        <w:rPr>
          <w:rFonts w:hint="eastAsia" w:ascii="仿宋_GB2312" w:hAnsi="仿宋_GB2312" w:eastAsia="仿宋_GB2312" w:cs="仿宋_GB2312"/>
          <w:kern w:val="0"/>
          <w:sz w:val="32"/>
          <w:szCs w:val="32"/>
          <w:lang w:val="en-US" w:eastAsia="zh-CN"/>
        </w:rPr>
        <w:t>自评得分：10分。</w:t>
      </w:r>
    </w:p>
    <w:p w14:paraId="5C14D231">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（三）评价方法</w:t>
      </w:r>
    </w:p>
    <w:p w14:paraId="192B1E2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sz w:val="32"/>
          <w:lang w:val="en-US" w:eastAsia="zh-CN" w:bidi="ar-SA"/>
        </w:rPr>
      </w:pPr>
      <w:r>
        <w:rPr>
          <w:rFonts w:hint="eastAsia" w:ascii="仿宋_GB2312" w:hAnsi="仿宋_GB2312" w:eastAsia="仿宋_GB2312" w:cs="仿宋_GB2312"/>
          <w:b/>
          <w:bCs/>
          <w:sz w:val="32"/>
          <w:lang w:val="en-US" w:eastAsia="zh-CN" w:bidi="ar-SA"/>
        </w:rPr>
        <w:t>一是</w:t>
      </w:r>
      <w:r>
        <w:rPr>
          <w:rFonts w:hint="eastAsia" w:ascii="仿宋_GB2312" w:hAnsi="仿宋_GB2312" w:eastAsia="仿宋_GB2312" w:cs="仿宋_GB2312"/>
          <w:sz w:val="32"/>
          <w:lang w:val="en-US" w:eastAsia="zh-CN" w:bidi="ar-SA"/>
        </w:rPr>
        <w:t>根据自评评价的工作计划及安排制定调查方案，开展实际调查工作，收集评估所需的各种资料和数据。</w:t>
      </w:r>
      <w:r>
        <w:rPr>
          <w:rFonts w:hint="eastAsia" w:ascii="仿宋_GB2312" w:hAnsi="仿宋_GB2312" w:eastAsia="仿宋_GB2312" w:cs="仿宋_GB2312"/>
          <w:b/>
          <w:bCs/>
          <w:sz w:val="32"/>
          <w:lang w:val="en-US" w:eastAsia="zh-CN" w:bidi="ar-SA"/>
        </w:rPr>
        <w:t>二是</w:t>
      </w:r>
      <w:r>
        <w:rPr>
          <w:rFonts w:hint="eastAsia" w:ascii="仿宋_GB2312" w:hAnsi="仿宋_GB2312" w:eastAsia="仿宋_GB2312" w:cs="仿宋_GB2312"/>
          <w:sz w:val="32"/>
          <w:lang w:val="en-US" w:eastAsia="zh-CN" w:bidi="ar-SA"/>
        </w:rPr>
        <w:t>采用定量和定性分析方法，针对问题进行深入分析研究。</w:t>
      </w:r>
      <w:r>
        <w:rPr>
          <w:rFonts w:hint="eastAsia" w:ascii="仿宋_GB2312" w:hAnsi="仿宋_GB2312" w:eastAsia="仿宋_GB2312" w:cs="仿宋_GB2312"/>
          <w:b/>
          <w:bCs/>
          <w:sz w:val="32"/>
          <w:lang w:val="en-US" w:eastAsia="zh-CN" w:bidi="ar-SA"/>
        </w:rPr>
        <w:t>三是</w:t>
      </w:r>
      <w:r>
        <w:rPr>
          <w:rFonts w:hint="eastAsia" w:ascii="仿宋_GB2312" w:hAnsi="仿宋_GB2312" w:eastAsia="仿宋_GB2312" w:cs="仿宋_GB2312"/>
          <w:sz w:val="32"/>
          <w:lang w:val="en-US" w:eastAsia="zh-CN" w:bidi="ar-SA"/>
        </w:rPr>
        <w:t>编制评估报告</w:t>
      </w:r>
      <w:r>
        <w:rPr>
          <w:rFonts w:hint="eastAsia" w:ascii="仿宋_GB2312" w:hAnsi="仿宋_GB2312" w:eastAsia="仿宋_GB2312" w:cs="仿宋_GB2312"/>
          <w:sz w:val="32"/>
          <w:szCs w:val="32"/>
          <w:lang w:val="en-US" w:eastAsia="zh-CN" w:bidi="ar-SA"/>
        </w:rPr>
        <w:t>。</w:t>
      </w:r>
      <w:r>
        <w:rPr>
          <w:rFonts w:hint="eastAsia" w:ascii="仿宋_GB2312" w:hAnsi="仿宋_GB2312" w:eastAsia="仿宋_GB2312" w:cs="仿宋_GB2312"/>
          <w:b w:val="0"/>
          <w:bCs w:val="0"/>
          <w:kern w:val="0"/>
          <w:sz w:val="32"/>
          <w:szCs w:val="32"/>
          <w:lang w:val="en-US" w:eastAsia="zh-CN" w:bidi="ar-SA"/>
        </w:rPr>
        <w:t>根据年初预算下达的部门预算绩效目标，逐项对标对表检查，</w:t>
      </w:r>
      <w:r>
        <w:rPr>
          <w:rFonts w:hint="eastAsia" w:ascii="仿宋_GB2312" w:hAnsi="仿宋_GB2312" w:eastAsia="仿宋_GB2312" w:cs="仿宋_GB2312"/>
          <w:sz w:val="32"/>
          <w:szCs w:val="32"/>
          <w:lang w:val="en-US" w:eastAsia="zh-CN" w:bidi="ar-SA"/>
        </w:rPr>
        <w:t>将分析研究的结果进行汇总、整理，编制出项目评</w:t>
      </w:r>
      <w:r>
        <w:rPr>
          <w:rFonts w:hint="eastAsia" w:ascii="仿宋_GB2312" w:hAnsi="仿宋_GB2312" w:eastAsia="仿宋_GB2312" w:cs="仿宋_GB2312"/>
          <w:sz w:val="32"/>
          <w:lang w:val="en-US" w:eastAsia="zh-CN" w:bidi="ar-SA"/>
        </w:rPr>
        <w:t>估报告。</w:t>
      </w:r>
    </w:p>
    <w:p w14:paraId="02C5372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楷体_GB2312" w:hAnsi="楷体_GB2312" w:eastAsia="楷体_GB2312" w:cs="楷体_GB2312"/>
          <w:b/>
          <w:bCs/>
          <w:sz w:val="32"/>
          <w:szCs w:val="32"/>
          <w:lang w:val="en-US" w:eastAsia="zh-CN" w:bidi="ar-SA"/>
        </w:rPr>
      </w:pPr>
      <w:r>
        <w:rPr>
          <w:rFonts w:hint="eastAsia" w:ascii="楷体_GB2312" w:hAnsi="楷体_GB2312" w:eastAsia="楷体_GB2312" w:cs="楷体_GB2312"/>
          <w:b/>
          <w:bCs/>
          <w:sz w:val="32"/>
          <w:szCs w:val="32"/>
          <w:lang w:val="en-US" w:eastAsia="zh-CN" w:bidi="ar-SA"/>
        </w:rPr>
        <w:t>（四）评价标准</w:t>
      </w:r>
    </w:p>
    <w:p w14:paraId="55910012">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default" w:ascii="Times New Roman" w:hAnsi="Times New Roman" w:eastAsia="仿宋_GB2312" w:cs="Times New Roman"/>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完成</w:t>
      </w:r>
      <w:r>
        <w:rPr>
          <w:rFonts w:hint="eastAsia" w:ascii="仿宋_GB2312" w:hAnsi="仿宋_GB2312" w:eastAsia="仿宋_GB2312" w:cs="仿宋_GB2312"/>
          <w:sz w:val="32"/>
          <w:szCs w:val="32"/>
          <w:lang w:val="en-US" w:eastAsia="zh-CN" w:bidi="ar-SA"/>
        </w:rPr>
        <w:t>代表性传承人调查记录，完成</w:t>
      </w:r>
      <w:r>
        <w:rPr>
          <w:rFonts w:hint="eastAsia" w:ascii="仿宋_GB2312" w:hAnsi="宋体" w:eastAsia="仿宋_GB2312" w:cs="Times New Roman"/>
          <w:sz w:val="32"/>
          <w:szCs w:val="32"/>
          <w:lang w:val="en-US" w:eastAsia="zh-CN" w:bidi="ar-SA"/>
        </w:rPr>
        <w:t>两条龙道具制作</w:t>
      </w:r>
      <w:r>
        <w:rPr>
          <w:rFonts w:hint="eastAsia" w:ascii="仿宋_GB2312" w:hAnsi="仿宋_GB2312" w:eastAsia="仿宋_GB2312" w:cs="仿宋_GB2312"/>
          <w:sz w:val="32"/>
          <w:szCs w:val="32"/>
          <w:vertAlign w:val="baseline"/>
          <w:lang w:val="en-US" w:eastAsia="zh-CN" w:bidi="ar-SA"/>
        </w:rPr>
        <w:t>（龙头、龙宝、龙尾、桃子）</w:t>
      </w:r>
      <w:r>
        <w:rPr>
          <w:rFonts w:hint="eastAsia" w:ascii="仿宋_GB2312" w:hAnsi="宋体" w:eastAsia="仿宋_GB2312" w:cs="Times New Roman"/>
          <w:sz w:val="32"/>
          <w:szCs w:val="32"/>
          <w:lang w:val="en-US" w:eastAsia="zh-CN" w:bidi="ar-SA"/>
        </w:rPr>
        <w:t>及传承队伍培训</w:t>
      </w:r>
      <w:r>
        <w:rPr>
          <w:rFonts w:hint="eastAsia" w:ascii="仿宋_GB2312" w:hAnsi="仿宋_GB2312" w:eastAsia="仿宋_GB2312" w:cs="仿宋_GB2312"/>
          <w:sz w:val="32"/>
          <w:szCs w:val="32"/>
          <w:lang w:val="en-US" w:eastAsia="zh-CN" w:bidi="ar-SA"/>
        </w:rPr>
        <w:t>，项目完成及时率100%，项目总成本≤8万元，</w:t>
      </w:r>
      <w:r>
        <w:rPr>
          <w:rFonts w:hint="eastAsia" w:ascii="仿宋_GB2312" w:hAnsi="仿宋_GB2312" w:eastAsia="仿宋_GB2312" w:cs="仿宋_GB2312"/>
          <w:b w:val="0"/>
          <w:bCs w:val="0"/>
          <w:kern w:val="2"/>
          <w:sz w:val="32"/>
          <w:szCs w:val="32"/>
          <w:lang w:val="en-US" w:eastAsia="zh-CN" w:bidi="ar-SA"/>
        </w:rPr>
        <w:t>提高对非物质文化遗产保护率≥96%，传承人满意度≥96%，群众满意度≥96%。</w:t>
      </w:r>
    </w:p>
    <w:p w14:paraId="108C965F">
      <w:pPr>
        <w:keepNext w:val="0"/>
        <w:keepLines w:val="0"/>
        <w:pageBreakBefore w:val="0"/>
        <w:widowControl/>
        <w:numPr>
          <w:ilvl w:val="0"/>
          <w:numId w:val="18"/>
        </w:numPr>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综合评价结论（附评分表）</w:t>
      </w:r>
    </w:p>
    <w:p w14:paraId="54E49C43">
      <w:pPr>
        <w:keepNext w:val="0"/>
        <w:keepLines w:val="0"/>
        <w:pageBreakBefore w:val="0"/>
        <w:suppressAutoHyphens/>
        <w:kinsoku/>
        <w:wordWrap/>
        <w:topLinePunct w:val="0"/>
        <w:autoSpaceDE/>
        <w:autoSpaceDN/>
        <w:bidi w:val="0"/>
        <w:adjustRightInd w:val="0"/>
        <w:spacing w:line="560" w:lineRule="exact"/>
        <w:ind w:firstLine="640" w:firstLineChars="200"/>
        <w:jc w:val="left"/>
        <w:textAlignment w:val="auto"/>
        <w:rPr>
          <w:rFonts w:hint="default" w:ascii="仿宋_GB2312" w:hAnsi="仿宋_GB2312" w:eastAsia="仿宋_GB2312" w:cs="仿宋_GB2312"/>
          <w:kern w:val="0"/>
          <w:sz w:val="32"/>
          <w:szCs w:val="32"/>
          <w:lang w:val="en-US"/>
        </w:rPr>
      </w:pPr>
      <w:r>
        <w:rPr>
          <w:rFonts w:hint="eastAsia" w:ascii="仿宋_GB2312" w:hAnsi="Times" w:eastAsia="仿宋_GB2312"/>
          <w:kern w:val="2"/>
          <w:sz w:val="32"/>
          <w:szCs w:val="32"/>
          <w:lang w:val="zh-CN"/>
        </w:rPr>
        <w:t>项目实施</w:t>
      </w:r>
      <w:r>
        <w:rPr>
          <w:rFonts w:hint="default" w:ascii="仿宋_GB2312" w:hAnsi="仿宋_GB2312" w:eastAsia="仿宋_GB2312" w:cs="仿宋_GB2312"/>
          <w:kern w:val="0"/>
          <w:sz w:val="32"/>
          <w:szCs w:val="32"/>
        </w:rPr>
        <w:t>符合中省市区政策部署，有</w:t>
      </w:r>
      <w:r>
        <w:rPr>
          <w:rFonts w:hint="default" w:ascii="仿宋_GB2312" w:hAnsi="仿宋_GB2312" w:eastAsia="仿宋_GB2312" w:cs="仿宋_GB2312"/>
          <w:kern w:val="0"/>
          <w:sz w:val="32"/>
          <w:szCs w:val="32"/>
          <w:lang w:eastAsia="zh-CN"/>
        </w:rPr>
        <w:t>相关法律法规</w:t>
      </w:r>
      <w:r>
        <w:rPr>
          <w:rFonts w:hint="default" w:ascii="仿宋_GB2312" w:hAnsi="仿宋_GB2312" w:eastAsia="仿宋_GB2312" w:cs="仿宋_GB2312"/>
          <w:kern w:val="0"/>
          <w:sz w:val="32"/>
          <w:szCs w:val="32"/>
        </w:rPr>
        <w:t>作支撑，是满足</w:t>
      </w:r>
      <w:r>
        <w:rPr>
          <w:rFonts w:hint="eastAsia" w:ascii="仿宋_GB2312" w:hAnsi="仿宋_GB2312" w:eastAsia="仿宋_GB2312" w:cs="仿宋_GB2312"/>
          <w:kern w:val="0"/>
          <w:sz w:val="32"/>
          <w:szCs w:val="32"/>
          <w:shd w:val="clear" w:color="auto" w:fill="FFFFFF"/>
        </w:rPr>
        <w:t>文化旅游发展</w:t>
      </w:r>
      <w:r>
        <w:rPr>
          <w:rFonts w:hint="eastAsia" w:ascii="仿宋_GB2312" w:hAnsi="仿宋_GB2312" w:eastAsia="仿宋_GB2312" w:cs="仿宋_GB2312"/>
          <w:kern w:val="0"/>
          <w:sz w:val="32"/>
          <w:szCs w:val="32"/>
          <w:shd w:val="clear" w:color="auto" w:fill="FFFFFF"/>
          <w:lang w:eastAsia="zh-CN"/>
        </w:rPr>
        <w:t>的</w:t>
      </w:r>
      <w:r>
        <w:rPr>
          <w:rFonts w:hint="default" w:ascii="仿宋_GB2312" w:hAnsi="仿宋_GB2312" w:eastAsia="仿宋_GB2312" w:cs="仿宋_GB2312"/>
          <w:kern w:val="0"/>
          <w:sz w:val="32"/>
          <w:szCs w:val="32"/>
        </w:rPr>
        <w:t>项目，</w:t>
      </w:r>
      <w:r>
        <w:rPr>
          <w:rFonts w:hint="default" w:ascii="仿宋_GB2312" w:hAnsi="仿宋_GB2312" w:eastAsia="仿宋_GB2312" w:cs="仿宋_GB2312"/>
          <w:kern w:val="0"/>
          <w:sz w:val="32"/>
          <w:szCs w:val="32"/>
          <w:lang w:eastAsia="zh-CN"/>
        </w:rPr>
        <w:t>资金</w:t>
      </w:r>
      <w:r>
        <w:rPr>
          <w:rFonts w:hint="default" w:ascii="仿宋_GB2312" w:hAnsi="仿宋_GB2312" w:eastAsia="仿宋_GB2312" w:cs="仿宋_GB2312"/>
          <w:kern w:val="0"/>
          <w:sz w:val="32"/>
          <w:szCs w:val="32"/>
        </w:rPr>
        <w:t>严格按照中央文件精神执行，保障</w:t>
      </w:r>
      <w:r>
        <w:rPr>
          <w:rFonts w:hint="default" w:ascii="仿宋_GB2312" w:hAnsi="仿宋_GB2312" w:eastAsia="仿宋_GB2312" w:cs="仿宋_GB2312"/>
          <w:kern w:val="0"/>
          <w:sz w:val="32"/>
          <w:szCs w:val="32"/>
          <w:lang w:eastAsia="zh-CN"/>
        </w:rPr>
        <w:t>项目</w:t>
      </w:r>
      <w:r>
        <w:rPr>
          <w:rFonts w:hint="default" w:ascii="仿宋_GB2312" w:hAnsi="仿宋_GB2312" w:eastAsia="仿宋_GB2312" w:cs="仿宋_GB2312"/>
          <w:kern w:val="0"/>
          <w:sz w:val="32"/>
          <w:szCs w:val="32"/>
        </w:rPr>
        <w:t>内容全部实现</w:t>
      </w:r>
      <w:r>
        <w:rPr>
          <w:rFonts w:hint="eastAsia" w:ascii="仿宋_GB2312" w:hAnsi="仿宋_GB2312" w:eastAsia="仿宋_GB2312" w:cs="仿宋_GB2312"/>
          <w:kern w:val="0"/>
          <w:sz w:val="32"/>
          <w:szCs w:val="32"/>
          <w:lang w:eastAsia="zh-CN"/>
        </w:rPr>
        <w:t>。</w:t>
      </w:r>
      <w:r>
        <w:rPr>
          <w:rFonts w:hint="default" w:ascii="仿宋_GB2312" w:hAnsi="仿宋_GB2312" w:eastAsia="仿宋_GB2312" w:cs="仿宋_GB2312"/>
          <w:b w:val="0"/>
          <w:bCs w:val="0"/>
          <w:kern w:val="2"/>
          <w:sz w:val="32"/>
          <w:szCs w:val="32"/>
          <w:lang w:val="en-US" w:eastAsia="zh-CN"/>
        </w:rPr>
        <w:t>项目建设完成后</w:t>
      </w:r>
      <w:r>
        <w:rPr>
          <w:rFonts w:hint="default"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lang w:val="en-US" w:eastAsia="zh-CN"/>
        </w:rPr>
        <w:t>数量、质量、成本、社会效益、可持续影响、满意度等指标完成均达标。</w:t>
      </w:r>
      <w:r>
        <w:rPr>
          <w:rFonts w:hint="default" w:ascii="仿宋_GB2312" w:hAnsi="仿宋_GB2312" w:eastAsia="仿宋_GB2312" w:cs="仿宋_GB2312"/>
          <w:kern w:val="0"/>
          <w:sz w:val="32"/>
          <w:szCs w:val="32"/>
          <w:lang w:val="en-US" w:eastAsia="zh-CN"/>
        </w:rPr>
        <w:t>该项目综合</w:t>
      </w:r>
      <w:r>
        <w:rPr>
          <w:rFonts w:hint="default" w:ascii="仿宋_GB2312" w:hAnsi="仿宋_GB2312" w:eastAsia="仿宋_GB2312" w:cs="仿宋_GB2312"/>
          <w:kern w:val="0"/>
          <w:sz w:val="32"/>
          <w:szCs w:val="32"/>
        </w:rPr>
        <w:t>评估等级为优秀。</w:t>
      </w:r>
    </w:p>
    <w:p w14:paraId="18DE86E4">
      <w:pPr>
        <w:keepNext w:val="0"/>
        <w:keepLines w:val="0"/>
        <w:pageBreakBefore w:val="0"/>
        <w:widowControl/>
        <w:suppressAutoHyphens/>
        <w:kinsoku/>
        <w:wordWrap/>
        <w:overflowPunct w:val="0"/>
        <w:topLinePunct w:val="0"/>
        <w:autoSpaceDE/>
        <w:autoSpaceDN/>
        <w:bidi w:val="0"/>
        <w:adjustRightInd/>
        <w:snapToGrid w:val="0"/>
        <w:spacing w:line="520" w:lineRule="exact"/>
        <w:ind w:firstLine="646" w:firstLineChars="0"/>
        <w:jc w:val="both"/>
        <w:textAlignment w:val="auto"/>
        <w:rPr>
          <w:rFonts w:hint="default" w:ascii="Times New Roman" w:hAnsi="Times New Roman" w:eastAsia="黑体" w:cs="Times New Roman"/>
          <w:bCs w:val="0"/>
          <w:kern w:val="0"/>
          <w:sz w:val="32"/>
          <w:szCs w:val="32"/>
        </w:rPr>
      </w:pPr>
      <w:r>
        <w:rPr>
          <w:rFonts w:hint="default" w:ascii="Times New Roman" w:hAnsi="Times New Roman" w:eastAsia="黑体" w:cs="Times New Roman"/>
          <w:bCs w:val="0"/>
          <w:kern w:val="0"/>
          <w:sz w:val="32"/>
          <w:szCs w:val="32"/>
        </w:rPr>
        <w:t>四、绩效评价分析</w:t>
      </w:r>
    </w:p>
    <w:p w14:paraId="673B1751">
      <w:pPr>
        <w:keepNext w:val="0"/>
        <w:keepLines w:val="0"/>
        <w:pageBreakBefore w:val="0"/>
        <w:widowControl/>
        <w:suppressAutoHyphens/>
        <w:kinsoku/>
        <w:wordWrap/>
        <w:overflowPunct w:val="0"/>
        <w:topLinePunct w:val="0"/>
        <w:autoSpaceDE/>
        <w:autoSpaceDN/>
        <w:bidi w:val="0"/>
        <w:adjustRightInd/>
        <w:snapToGrid w:val="0"/>
        <w:spacing w:line="520" w:lineRule="exact"/>
        <w:ind w:firstLine="607" w:firstLineChars="189"/>
        <w:jc w:val="both"/>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（一）项目决策情况</w:t>
      </w:r>
    </w:p>
    <w:p w14:paraId="08FA8EB0">
      <w:pPr>
        <w:keepNext w:val="0"/>
        <w:keepLines w:val="0"/>
        <w:pageBreakBefore w:val="0"/>
        <w:widowControl w:val="0"/>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项目为</w:t>
      </w:r>
      <w:r>
        <w:rPr>
          <w:rFonts w:hint="eastAsia" w:ascii="仿宋_GB2312" w:hAnsi="仿宋_GB2312" w:eastAsia="仿宋_GB2312" w:cs="仿宋_GB2312"/>
          <w:sz w:val="32"/>
          <w:szCs w:val="32"/>
          <w:shd w:val="clear" w:color="auto" w:fill="FFFFFF"/>
          <w:lang w:val="en-US" w:eastAsia="zh-CN" w:bidi="ar-SA"/>
        </w:rPr>
        <w:t>市级文化旅游发展（非物质文化遗产保护）桃子龙传承保护</w:t>
      </w:r>
      <w:r>
        <w:rPr>
          <w:rFonts w:hint="eastAsia" w:ascii="仿宋_GB2312" w:hAnsi="仿宋_GB2312" w:eastAsia="仿宋_GB2312" w:cs="仿宋_GB2312"/>
          <w:color w:val="000000"/>
          <w:kern w:val="2"/>
          <w:sz w:val="32"/>
          <w:szCs w:val="32"/>
          <w:lang w:val="en-US" w:eastAsia="zh-CN" w:bidi="ar-SA"/>
        </w:rPr>
        <w:t>项目，</w:t>
      </w:r>
      <w:r>
        <w:rPr>
          <w:rFonts w:hint="eastAsia" w:ascii="仿宋_GB2312" w:hAnsi="仿宋_GB2312" w:eastAsia="仿宋_GB2312" w:cs="仿宋_GB2312"/>
          <w:b w:val="0"/>
          <w:bCs w:val="0"/>
          <w:kern w:val="2"/>
          <w:sz w:val="32"/>
          <w:szCs w:val="32"/>
          <w:lang w:val="en-US" w:eastAsia="zh-CN" w:bidi="ar-SA"/>
        </w:rPr>
        <w:t>由区文广旅游局党组负责统筹安排，按程序决策资金分配和使用。</w:t>
      </w:r>
    </w:p>
    <w:p w14:paraId="09318330">
      <w:pPr>
        <w:keepNext w:val="0"/>
        <w:keepLines w:val="0"/>
        <w:pageBreakBefore w:val="0"/>
        <w:widowControl w:val="0"/>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b w:val="0"/>
          <w:bCs w:val="0"/>
          <w:sz w:val="32"/>
          <w:lang w:val="en-US" w:eastAsia="zh-CN" w:bidi="ar-SA"/>
        </w:rPr>
        <w:t>1.目标决策必要性：该项目为</w:t>
      </w:r>
      <w:r>
        <w:rPr>
          <w:rFonts w:hint="eastAsia" w:ascii="仿宋_GB2312" w:hAnsi="仿宋_GB2312" w:eastAsia="仿宋_GB2312" w:cs="仿宋_GB2312"/>
          <w:sz w:val="32"/>
          <w:szCs w:val="32"/>
          <w:shd w:val="clear" w:color="auto" w:fill="FFFFFF"/>
          <w:lang w:val="en-US" w:eastAsia="zh-CN" w:bidi="ar-SA"/>
        </w:rPr>
        <w:t>市级文化旅游发展</w:t>
      </w:r>
      <w:r>
        <w:rPr>
          <w:rFonts w:hint="eastAsia" w:ascii="仿宋_GB2312" w:hAnsi="仿宋_GB2312" w:eastAsia="仿宋_GB2312" w:cs="仿宋_GB2312"/>
          <w:color w:val="000000"/>
          <w:kern w:val="2"/>
          <w:sz w:val="32"/>
          <w:szCs w:val="32"/>
          <w:lang w:val="en-US" w:eastAsia="zh-CN" w:bidi="ar-SA"/>
        </w:rPr>
        <w:t>项目，</w:t>
      </w:r>
      <w:r>
        <w:rPr>
          <w:rFonts w:hint="eastAsia" w:ascii="仿宋_GB2312" w:hAnsi="宋体" w:eastAsia="仿宋_GB2312" w:cs="Times New Roman"/>
          <w:sz w:val="32"/>
          <w:szCs w:val="32"/>
          <w:lang w:val="en-US" w:eastAsia="zh-CN" w:bidi="ar-SA"/>
        </w:rPr>
        <w:t>根据市委、市政府及区委、区政府的安排，</w:t>
      </w:r>
      <w:r>
        <w:rPr>
          <w:rFonts w:hint="eastAsia" w:ascii="仿宋_GB2312" w:hAnsi="仿宋_GB2312" w:eastAsia="仿宋_GB2312" w:cs="仿宋_GB2312"/>
          <w:b w:val="0"/>
          <w:bCs w:val="0"/>
          <w:kern w:val="2"/>
          <w:sz w:val="32"/>
          <w:szCs w:val="32"/>
          <w:lang w:val="en-US" w:eastAsia="zh-CN" w:bidi="ar-SA"/>
        </w:rPr>
        <w:t>有计划、有目的的实施。</w:t>
      </w:r>
      <w:r>
        <w:rPr>
          <w:rFonts w:hint="default" w:ascii="Times New Roman" w:hAnsi="Times New Roman" w:eastAsia="仿宋_GB2312" w:cs="Times New Roman"/>
          <w:b w:val="0"/>
          <w:bCs w:val="0"/>
          <w:kern w:val="0"/>
          <w:sz w:val="32"/>
          <w:szCs w:val="32"/>
          <w:lang w:val="en-US" w:eastAsia="zh-CN" w:bidi="ar-SA"/>
        </w:rPr>
        <w:t>活动</w:t>
      </w:r>
      <w:r>
        <w:rPr>
          <w:rFonts w:hint="eastAsia" w:ascii="仿宋_GB2312" w:hAnsi="宋体" w:eastAsia="仿宋_GB2312" w:cs="Times New Roman"/>
          <w:sz w:val="32"/>
          <w:szCs w:val="32"/>
          <w:lang w:val="en-US" w:eastAsia="zh-CN" w:bidi="ar-SA"/>
        </w:rPr>
        <w:t>由区文化广电旅游局牵头组织实施。</w:t>
      </w:r>
      <w:r>
        <w:rPr>
          <w:rFonts w:hint="eastAsia" w:ascii="仿宋_GB2312" w:hAnsi="仿宋_GB2312" w:eastAsia="仿宋_GB2312" w:cs="仿宋_GB2312"/>
          <w:sz w:val="32"/>
          <w:szCs w:val="32"/>
          <w:lang w:val="en-US" w:eastAsia="zh-CN" w:bidi="ar-SA"/>
        </w:rPr>
        <w:t>区文化广电旅游局作为</w:t>
      </w:r>
      <w:r>
        <w:rPr>
          <w:rFonts w:hint="eastAsia" w:ascii="仿宋_GB2312" w:hAnsi="仿宋_GB2312" w:eastAsia="仿宋_GB2312" w:cs="仿宋_GB2312"/>
          <w:sz w:val="32"/>
          <w:szCs w:val="32"/>
          <w:shd w:val="clear" w:color="auto" w:fill="FFFFFF"/>
          <w:lang w:val="en-US" w:eastAsia="zh-CN" w:bidi="ar-SA"/>
        </w:rPr>
        <w:t>（非物质文化遗产保护）桃子龙传承保护</w:t>
      </w:r>
      <w:r>
        <w:rPr>
          <w:rFonts w:hint="eastAsia" w:ascii="仿宋_GB2312" w:hAnsi="仿宋_GB2312" w:eastAsia="仿宋_GB2312" w:cs="仿宋_GB2312"/>
          <w:color w:val="000000"/>
          <w:kern w:val="2"/>
          <w:sz w:val="32"/>
          <w:szCs w:val="32"/>
          <w:lang w:val="en-US" w:eastAsia="zh-CN" w:bidi="ar-SA"/>
        </w:rPr>
        <w:t>项目</w:t>
      </w:r>
      <w:r>
        <w:rPr>
          <w:rFonts w:hint="eastAsia" w:ascii="仿宋_GB2312" w:hAnsi="仿宋_GB2312" w:eastAsia="仿宋_GB2312" w:cs="仿宋_GB2312"/>
          <w:sz w:val="32"/>
          <w:szCs w:val="32"/>
          <w:lang w:val="en-US" w:eastAsia="zh-CN" w:bidi="ar-SA"/>
        </w:rPr>
        <w:t>的主管部门，</w:t>
      </w:r>
      <w:r>
        <w:rPr>
          <w:rFonts w:hint="eastAsia" w:ascii="仿宋_GB2312" w:hAnsi="仿宋_GB2312" w:eastAsia="仿宋_GB2312" w:cs="仿宋_GB2312"/>
          <w:b w:val="0"/>
          <w:bCs w:val="0"/>
          <w:kern w:val="2"/>
          <w:sz w:val="32"/>
          <w:szCs w:val="32"/>
          <w:lang w:val="en-US" w:eastAsia="zh-CN" w:bidi="ar-SA"/>
        </w:rPr>
        <w:t>负责统筹安排，按程序决策资金分配和使用</w:t>
      </w:r>
      <w:r>
        <w:rPr>
          <w:rFonts w:hint="eastAsia" w:ascii="仿宋_GB2312" w:hAnsi="仿宋_GB2312" w:eastAsia="仿宋_GB2312" w:cs="仿宋_GB2312"/>
          <w:sz w:val="32"/>
          <w:szCs w:val="32"/>
          <w:lang w:val="en-US" w:eastAsia="zh-CN" w:bidi="ar-SA"/>
        </w:rPr>
        <w:t>，确保高质量完成工作任务。</w:t>
      </w:r>
    </w:p>
    <w:p w14:paraId="410C536C">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2.目标决策可行性：该项目实施目标设置符合我市文化旅游发展，有利于宣传展示船山非遗文化，提高对非物质文化遗产保护率，项目开展充分考虑项目开展需要人力、物力等条件，因地制宜实施，具有可行性。</w:t>
      </w:r>
    </w:p>
    <w:p w14:paraId="74DA5147">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sz w:val="32"/>
          <w:lang w:val="en-US" w:eastAsia="zh-CN" w:bidi="ar-SA"/>
        </w:rPr>
        <w:t>3.绩效目标明确性：</w:t>
      </w:r>
      <w:r>
        <w:rPr>
          <w:rFonts w:hint="default" w:ascii="仿宋_GB2312" w:hAnsi="仿宋_GB2312" w:eastAsia="仿宋_GB2312" w:cs="仿宋_GB2312"/>
          <w:b w:val="0"/>
          <w:bCs w:val="0"/>
          <w:kern w:val="0"/>
          <w:sz w:val="32"/>
          <w:szCs w:val="32"/>
          <w:lang w:val="en-US" w:eastAsia="zh-CN" w:bidi="ar-SA"/>
        </w:rPr>
        <w:t>项目为</w:t>
      </w:r>
      <w:r>
        <w:rPr>
          <w:rFonts w:hint="eastAsia" w:ascii="仿宋_GB2312" w:hAnsi="仿宋_GB2312" w:eastAsia="仿宋_GB2312" w:cs="仿宋_GB2312"/>
          <w:b w:val="0"/>
          <w:bCs w:val="0"/>
          <w:sz w:val="32"/>
          <w:lang w:val="en-US" w:eastAsia="zh-CN" w:bidi="ar-SA"/>
        </w:rPr>
        <w:t>促进我市文化旅游发展项目</w:t>
      </w:r>
      <w:r>
        <w:rPr>
          <w:rFonts w:hint="default" w:ascii="仿宋_GB2312" w:hAnsi="仿宋_GB2312" w:eastAsia="仿宋_GB2312" w:cs="仿宋_GB2312"/>
          <w:b w:val="0"/>
          <w:bCs w:val="0"/>
          <w:kern w:val="0"/>
          <w:sz w:val="32"/>
          <w:szCs w:val="32"/>
          <w:highlight w:val="none"/>
          <w:lang w:val="en-US" w:eastAsia="zh-CN" w:bidi="ar-SA"/>
        </w:rPr>
        <w:t>，</w:t>
      </w:r>
      <w:r>
        <w:rPr>
          <w:rFonts w:hint="eastAsia" w:ascii="仿宋_GB2312" w:hAnsi="仿宋_GB2312" w:eastAsia="仿宋_GB2312" w:cs="仿宋_GB2312"/>
          <w:b w:val="0"/>
          <w:bCs w:val="0"/>
          <w:kern w:val="0"/>
          <w:sz w:val="32"/>
          <w:szCs w:val="32"/>
          <w:highlight w:val="none"/>
          <w:lang w:val="en-US" w:eastAsia="zh-CN" w:bidi="ar-SA"/>
        </w:rPr>
        <w:t>市</w:t>
      </w:r>
      <w:r>
        <w:rPr>
          <w:rFonts w:hint="default" w:ascii="仿宋_GB2312" w:hAnsi="仿宋_GB2312" w:eastAsia="仿宋_GB2312" w:cs="仿宋_GB2312"/>
          <w:b w:val="0"/>
          <w:bCs w:val="0"/>
          <w:kern w:val="0"/>
          <w:sz w:val="32"/>
          <w:szCs w:val="32"/>
          <w:highlight w:val="none"/>
          <w:lang w:val="en-US" w:eastAsia="zh-CN" w:bidi="ar-SA"/>
        </w:rPr>
        <w:t>级资金</w:t>
      </w:r>
      <w:r>
        <w:rPr>
          <w:rFonts w:hint="default" w:ascii="仿宋_GB2312" w:hAnsi="仿宋_GB2312" w:eastAsia="仿宋_GB2312" w:cs="仿宋_GB2312"/>
          <w:b w:val="0"/>
          <w:bCs w:val="0"/>
          <w:kern w:val="0"/>
          <w:sz w:val="32"/>
          <w:szCs w:val="32"/>
          <w:lang w:val="en-US" w:eastAsia="zh-CN" w:bidi="ar-SA"/>
        </w:rPr>
        <w:t>作为项目资金的组成部分，按照年初任务安排，统筹安排资金</w:t>
      </w:r>
      <w:r>
        <w:rPr>
          <w:rFonts w:hint="eastAsia" w:ascii="仿宋_GB2312" w:hAnsi="仿宋_GB2312" w:eastAsia="仿宋_GB2312" w:cs="仿宋_GB2312"/>
          <w:b w:val="0"/>
          <w:bCs w:val="0"/>
          <w:kern w:val="0"/>
          <w:sz w:val="32"/>
          <w:szCs w:val="32"/>
          <w:lang w:val="en-US" w:eastAsia="zh-CN" w:bidi="ar-SA"/>
        </w:rPr>
        <w:t>，</w:t>
      </w:r>
      <w:r>
        <w:rPr>
          <w:rFonts w:hint="eastAsia" w:ascii="Times New Roman" w:hAnsi="Times New Roman" w:eastAsia="仿宋_GB2312" w:cs="Times New Roman"/>
          <w:b w:val="0"/>
          <w:bCs w:val="0"/>
          <w:sz w:val="32"/>
          <w:szCs w:val="32"/>
          <w:lang w:val="zh-CN" w:eastAsia="zh-CN" w:bidi="ar-SA"/>
        </w:rPr>
        <w:t>明确产出、效益与满意度三大指标，包括</w:t>
      </w:r>
      <w:r>
        <w:rPr>
          <w:rFonts w:hint="eastAsia" w:ascii="仿宋_GB2312" w:hAnsi="仿宋_GB2312" w:eastAsia="仿宋_GB2312" w:cs="仿宋_GB2312"/>
          <w:sz w:val="32"/>
          <w:szCs w:val="32"/>
          <w:lang w:val="en-US" w:eastAsia="zh-CN" w:bidi="ar-SA"/>
        </w:rPr>
        <w:t>代表性传承人调查记录人数、</w:t>
      </w:r>
      <w:r>
        <w:rPr>
          <w:rFonts w:hint="eastAsia" w:ascii="仿宋_GB2312" w:hAnsi="宋体" w:eastAsia="仿宋_GB2312" w:cs="Times New Roman"/>
          <w:sz w:val="32"/>
          <w:szCs w:val="32"/>
          <w:lang w:val="en-US" w:eastAsia="zh-CN" w:bidi="ar-SA"/>
        </w:rPr>
        <w:t>道具制作</w:t>
      </w:r>
      <w:r>
        <w:rPr>
          <w:rFonts w:hint="eastAsia" w:ascii="仿宋_GB2312" w:hAnsi="仿宋_GB2312" w:eastAsia="仿宋_GB2312" w:cs="仿宋_GB2312"/>
          <w:sz w:val="32"/>
          <w:szCs w:val="32"/>
          <w:vertAlign w:val="baseline"/>
          <w:lang w:val="en-US" w:eastAsia="zh-CN" w:bidi="ar-SA"/>
        </w:rPr>
        <w:t>（龙头、龙宝、龙尾、桃子）数量</w:t>
      </w:r>
      <w:r>
        <w:rPr>
          <w:rFonts w:hint="eastAsia" w:ascii="仿宋_GB2312" w:hAnsi="宋体" w:eastAsia="仿宋_GB2312" w:cs="Times New Roman"/>
          <w:sz w:val="32"/>
          <w:szCs w:val="32"/>
          <w:lang w:val="en-US" w:eastAsia="zh-CN" w:bidi="ar-SA"/>
        </w:rPr>
        <w:t>、传承队伍培训</w:t>
      </w:r>
      <w:r>
        <w:rPr>
          <w:rFonts w:hint="eastAsia" w:ascii="仿宋_GB2312" w:hAnsi="仿宋_GB2312" w:eastAsia="仿宋_GB2312" w:cs="仿宋_GB2312"/>
          <w:sz w:val="32"/>
          <w:szCs w:val="32"/>
          <w:lang w:val="en-US" w:eastAsia="zh-CN" w:bidi="ar-SA"/>
        </w:rPr>
        <w:t>、项目完成及时率、项目总成本、</w:t>
      </w:r>
      <w:r>
        <w:rPr>
          <w:rFonts w:hint="eastAsia" w:ascii="仿宋_GB2312" w:hAnsi="仿宋_GB2312" w:eastAsia="仿宋_GB2312" w:cs="仿宋_GB2312"/>
          <w:b w:val="0"/>
          <w:bCs w:val="0"/>
          <w:kern w:val="2"/>
          <w:sz w:val="32"/>
          <w:szCs w:val="32"/>
          <w:lang w:val="en-US" w:eastAsia="zh-CN" w:bidi="ar-SA"/>
        </w:rPr>
        <w:t>提高对非物质文化遗产保护率、传承人满意度、群众满意度等。</w:t>
      </w:r>
    </w:p>
    <w:p w14:paraId="507EC2FF">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default" w:ascii="Times" w:hAnsi="Times" w:eastAsia="方正仿宋简体" w:cs="Times New Roman"/>
          <w:sz w:val="32"/>
          <w:lang w:val="en-US" w:eastAsia="zh-CN" w:bidi="ar-SA"/>
        </w:rPr>
      </w:pPr>
      <w:r>
        <w:rPr>
          <w:rFonts w:hint="eastAsia" w:ascii="仿宋_GB2312" w:hAnsi="仿宋_GB2312" w:eastAsia="仿宋_GB2312" w:cs="仿宋_GB2312"/>
          <w:kern w:val="36"/>
          <w:sz w:val="32"/>
          <w:szCs w:val="32"/>
          <w:lang w:val="en-US" w:eastAsia="zh-CN" w:bidi="ar-SA"/>
        </w:rPr>
        <w:t>4.绩效目标合理性：</w:t>
      </w:r>
      <w:r>
        <w:rPr>
          <w:rFonts w:hint="eastAsia" w:ascii="仿宋_GB2312" w:hAnsi="仿宋_GB2312" w:eastAsia="仿宋_GB2312" w:cs="仿宋_GB2312"/>
          <w:b w:val="0"/>
          <w:bCs w:val="0"/>
          <w:kern w:val="2"/>
          <w:sz w:val="32"/>
          <w:szCs w:val="32"/>
          <w:lang w:val="en-US" w:eastAsia="zh-CN" w:bidi="ar-SA"/>
        </w:rPr>
        <w:t>完成</w:t>
      </w:r>
      <w:r>
        <w:rPr>
          <w:rFonts w:hint="eastAsia" w:ascii="仿宋_GB2312" w:hAnsi="仿宋_GB2312" w:eastAsia="仿宋_GB2312" w:cs="仿宋_GB2312"/>
          <w:sz w:val="32"/>
          <w:szCs w:val="32"/>
          <w:lang w:val="en-US" w:eastAsia="zh-CN" w:bidi="ar-SA"/>
        </w:rPr>
        <w:t>代表性传承人调查记录，完成</w:t>
      </w:r>
      <w:r>
        <w:rPr>
          <w:rFonts w:hint="eastAsia" w:ascii="仿宋_GB2312" w:hAnsi="宋体" w:eastAsia="仿宋_GB2312" w:cs="Times New Roman"/>
          <w:sz w:val="32"/>
          <w:szCs w:val="32"/>
          <w:lang w:val="en-US" w:eastAsia="zh-CN" w:bidi="ar-SA"/>
        </w:rPr>
        <w:t>两条龙道具制作</w:t>
      </w:r>
      <w:r>
        <w:rPr>
          <w:rFonts w:hint="eastAsia" w:ascii="仿宋_GB2312" w:hAnsi="仿宋_GB2312" w:eastAsia="仿宋_GB2312" w:cs="仿宋_GB2312"/>
          <w:sz w:val="32"/>
          <w:szCs w:val="32"/>
          <w:vertAlign w:val="baseline"/>
          <w:lang w:val="en-US" w:eastAsia="zh-CN" w:bidi="ar-SA"/>
        </w:rPr>
        <w:t>（龙头、龙宝、龙尾、桃子）</w:t>
      </w:r>
      <w:r>
        <w:rPr>
          <w:rFonts w:hint="eastAsia" w:ascii="仿宋_GB2312" w:hAnsi="宋体" w:eastAsia="仿宋_GB2312" w:cs="Times New Roman"/>
          <w:sz w:val="32"/>
          <w:szCs w:val="32"/>
          <w:lang w:val="en-US" w:eastAsia="zh-CN" w:bidi="ar-SA"/>
        </w:rPr>
        <w:t>及传承队伍培训</w:t>
      </w:r>
      <w:r>
        <w:rPr>
          <w:rFonts w:hint="eastAsia" w:ascii="仿宋_GB2312" w:hAnsi="仿宋_GB2312" w:eastAsia="仿宋_GB2312" w:cs="仿宋_GB2312"/>
          <w:sz w:val="32"/>
          <w:szCs w:val="32"/>
          <w:lang w:val="en-US" w:eastAsia="zh-CN" w:bidi="ar-SA"/>
        </w:rPr>
        <w:t>，项目完成及时率100%，项目总成本≤8万元，</w:t>
      </w:r>
      <w:r>
        <w:rPr>
          <w:rFonts w:hint="eastAsia" w:ascii="仿宋_GB2312" w:hAnsi="仿宋_GB2312" w:eastAsia="仿宋_GB2312" w:cs="仿宋_GB2312"/>
          <w:b w:val="0"/>
          <w:bCs w:val="0"/>
          <w:kern w:val="2"/>
          <w:sz w:val="32"/>
          <w:szCs w:val="32"/>
          <w:lang w:val="en-US" w:eastAsia="zh-CN" w:bidi="ar-SA"/>
        </w:rPr>
        <w:t>提高对非物质文化遗产保护率≥96%，传承人满意度≥96%，群众满意度≥96%。各项绩效目标已量化可考核，具有合理性。</w:t>
      </w:r>
    </w:p>
    <w:p w14:paraId="1472DD22">
      <w:pPr>
        <w:keepNext w:val="0"/>
        <w:keepLines w:val="0"/>
        <w:pageBreakBefore w:val="0"/>
        <w:widowControl/>
        <w:numPr>
          <w:ilvl w:val="0"/>
          <w:numId w:val="0"/>
        </w:numPr>
        <w:suppressAutoHyphens/>
        <w:kinsoku/>
        <w:wordWrap/>
        <w:overflowPunct w:val="0"/>
        <w:topLinePunct w:val="0"/>
        <w:autoSpaceDE/>
        <w:autoSpaceDN/>
        <w:bidi w:val="0"/>
        <w:adjustRightInd/>
        <w:snapToGrid w:val="0"/>
        <w:spacing w:line="520" w:lineRule="exact"/>
        <w:ind w:firstLine="643" w:firstLineChars="200"/>
        <w:jc w:val="both"/>
        <w:textAlignment w:val="auto"/>
        <w:rPr>
          <w:rFonts w:hint="default"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lang w:eastAsia="zh-CN"/>
        </w:rPr>
        <w:t>（</w:t>
      </w:r>
      <w:r>
        <w:rPr>
          <w:rFonts w:hint="eastAsia" w:ascii="Times New Roman" w:hAnsi="Times New Roman" w:eastAsia="楷体_GB2312" w:cs="Times New Roman"/>
          <w:b/>
          <w:bCs/>
          <w:kern w:val="0"/>
          <w:sz w:val="32"/>
          <w:szCs w:val="32"/>
          <w:lang w:val="en-US" w:eastAsia="zh-CN"/>
        </w:rPr>
        <w:t>二</w:t>
      </w:r>
      <w:r>
        <w:rPr>
          <w:rFonts w:hint="eastAsia" w:ascii="Times New Roman" w:hAnsi="Times New Roman" w:eastAsia="楷体_GB2312" w:cs="Times New Roman"/>
          <w:b/>
          <w:bCs/>
          <w:kern w:val="0"/>
          <w:sz w:val="32"/>
          <w:szCs w:val="32"/>
          <w:lang w:eastAsia="zh-CN"/>
        </w:rPr>
        <w:t>）</w:t>
      </w:r>
      <w:r>
        <w:rPr>
          <w:rFonts w:hint="default" w:ascii="Times New Roman" w:hAnsi="Times New Roman" w:eastAsia="楷体_GB2312" w:cs="Times New Roman"/>
          <w:b/>
          <w:bCs/>
          <w:kern w:val="0"/>
          <w:sz w:val="32"/>
          <w:szCs w:val="32"/>
        </w:rPr>
        <w:t>项目管理情况</w:t>
      </w:r>
    </w:p>
    <w:p w14:paraId="7F903AC6">
      <w:pPr>
        <w:keepNext w:val="0"/>
        <w:keepLines w:val="0"/>
        <w:pageBreakBefore w:val="0"/>
        <w:widowControl/>
        <w:numPr>
          <w:ilvl w:val="0"/>
          <w:numId w:val="0"/>
        </w:numPr>
        <w:shd w:val="clear" w:color="auto" w:fill="FFFFFF"/>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2"/>
          <w:sz w:val="32"/>
          <w:szCs w:val="32"/>
          <w:lang w:val="en-US" w:eastAsia="zh-CN" w:bidi="ar-SA"/>
        </w:rPr>
        <w:t>区文化广电旅游局</w:t>
      </w:r>
      <w:r>
        <w:rPr>
          <w:rFonts w:hint="eastAsia" w:ascii="仿宋_GB2312" w:hAnsi="仿宋_GB2312" w:eastAsia="仿宋_GB2312" w:cs="仿宋_GB2312"/>
          <w:color w:val="000000" w:themeColor="text1"/>
          <w:kern w:val="0"/>
          <w:sz w:val="32"/>
          <w:szCs w:val="32"/>
          <w:lang w:val="zh-CN"/>
          <w14:textFill>
            <w14:solidFill>
              <w14:schemeClr w14:val="tx1"/>
            </w14:solidFill>
          </w14:textFill>
        </w:rPr>
        <w:t>负责整个项目的统筹安排、</w:t>
      </w:r>
      <w:r>
        <w:rPr>
          <w:rFonts w:hint="eastAsia" w:ascii="仿宋_GB2312" w:hAnsi="仿宋_GB2312" w:eastAsia="仿宋_GB2312" w:cs="仿宋_GB2312"/>
          <w:kern w:val="0"/>
          <w:sz w:val="32"/>
          <w:szCs w:val="32"/>
          <w:lang w:val="en-US" w:eastAsia="zh-CN"/>
        </w:rPr>
        <w:t>监督管理、规划验收</w:t>
      </w:r>
      <w:r>
        <w:rPr>
          <w:rFonts w:hint="eastAsia" w:ascii="仿宋_GB2312" w:hAnsi="仿宋_GB2312" w:eastAsia="仿宋_GB2312" w:cs="仿宋_GB2312"/>
          <w:color w:val="000000" w:themeColor="text1"/>
          <w:kern w:val="0"/>
          <w:sz w:val="32"/>
          <w:szCs w:val="32"/>
          <w:lang w:val="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为保证项目的顺利实施，</w:t>
      </w:r>
      <w:r>
        <w:rPr>
          <w:rFonts w:hint="eastAsia" w:ascii="仿宋_GB2312" w:hAnsi="仿宋_GB2312" w:eastAsia="仿宋_GB2312" w:cs="仿宋_GB2312"/>
          <w:color w:val="000000"/>
          <w:kern w:val="2"/>
          <w:sz w:val="32"/>
          <w:szCs w:val="32"/>
          <w:lang w:val="en-US" w:eastAsia="zh-CN" w:bidi="ar-SA"/>
        </w:rPr>
        <w:t>区文化广电旅游局</w:t>
      </w:r>
      <w:r>
        <w:rPr>
          <w:rFonts w:hint="eastAsia" w:ascii="仿宋_GB2312" w:hAnsi="仿宋_GB2312" w:eastAsia="仿宋_GB2312" w:cs="仿宋_GB2312"/>
          <w:color w:val="000000" w:themeColor="text1"/>
          <w:kern w:val="0"/>
          <w:sz w:val="32"/>
          <w:szCs w:val="32"/>
          <w14:textFill>
            <w14:solidFill>
              <w14:schemeClr w14:val="tx1"/>
            </w14:solidFill>
          </w14:textFill>
        </w:rPr>
        <w:t>制定了《</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“船山桃子龙”代表性传承人调查记录实施方案</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“船山桃子龙”道具制作及传承队伍培训实施方案</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确定工作目标和工作进度</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，由区文化馆负责具体实施。</w:t>
      </w:r>
      <w:r>
        <w:rPr>
          <w:rFonts w:hint="eastAsia" w:ascii="仿宋_GB2312" w:hAnsi="仿宋_GB2312" w:eastAsia="仿宋_GB2312" w:cs="仿宋_GB2312"/>
          <w:color w:val="000000"/>
          <w:kern w:val="0"/>
          <w:sz w:val="32"/>
          <w:szCs w:val="32"/>
        </w:rPr>
        <w:t>项目严格执行事业单位财务管理制度</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 项目资金按规定实行了项目单独核算，账务处理及时</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会计核算规范，支出符合规定，资金按计划、方案及完成结果进行支付。</w:t>
      </w:r>
    </w:p>
    <w:p w14:paraId="3DB83ADE">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1.资金分配及资金来源：该项目</w:t>
      </w:r>
      <w:r>
        <w:rPr>
          <w:rFonts w:hint="eastAsia" w:ascii="仿宋_GB2312" w:hAnsi="仿宋_GB2312" w:eastAsia="仿宋_GB2312" w:cs="仿宋_GB2312"/>
          <w:b w:val="0"/>
          <w:bCs w:val="0"/>
          <w:kern w:val="2"/>
          <w:sz w:val="32"/>
          <w:szCs w:val="32"/>
          <w:lang w:val="en-US" w:eastAsia="zh-CN" w:bidi="ar-SA"/>
        </w:rPr>
        <w:t>计划将市级文化旅游发展（非物质文化遗产保护）桃子龙传承保护项目</w:t>
      </w:r>
      <w:r>
        <w:rPr>
          <w:rFonts w:hint="eastAsia" w:ascii="仿宋_GB2312" w:hAnsi="仿宋_GB2312" w:eastAsia="仿宋_GB2312" w:cs="仿宋_GB2312"/>
          <w:b w:val="0"/>
          <w:bCs w:val="0"/>
          <w:kern w:val="0"/>
          <w:sz w:val="32"/>
          <w:szCs w:val="32"/>
          <w:lang w:val="en-US" w:eastAsia="zh-CN" w:bidi="ar-SA"/>
        </w:rPr>
        <w:t>专项资金8万</w:t>
      </w:r>
      <w:r>
        <w:rPr>
          <w:rFonts w:hint="eastAsia" w:ascii="仿宋_GB2312" w:hAnsi="仿宋_GB2312" w:eastAsia="仿宋_GB2312" w:cs="仿宋_GB2312"/>
          <w:b w:val="0"/>
          <w:bCs w:val="0"/>
          <w:kern w:val="2"/>
          <w:sz w:val="32"/>
          <w:szCs w:val="32"/>
          <w:lang w:val="en-US" w:eastAsia="zh-CN" w:bidi="ar-SA"/>
        </w:rPr>
        <w:t>元用于开展“船山桃子龙”代表性传承人调查记录、道具制作及传承队伍培训活动。</w:t>
      </w:r>
    </w:p>
    <w:p w14:paraId="713518AD">
      <w:pPr>
        <w:keepNext w:val="0"/>
        <w:keepLines w:val="0"/>
        <w:pageBreakBefore w:val="0"/>
        <w:suppressAutoHyphens/>
        <w:kinsoku/>
        <w:wordWrap/>
        <w:topLinePunct w:val="0"/>
        <w:autoSpaceDE/>
        <w:autoSpaceDN/>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0"/>
          <w:sz w:val="32"/>
          <w:szCs w:val="20"/>
        </w:rPr>
      </w:pPr>
      <w:r>
        <w:rPr>
          <w:rFonts w:hint="eastAsia" w:ascii="仿宋_GB2312" w:hAnsi="仿宋_GB2312" w:eastAsia="仿宋_GB2312" w:cs="仿宋_GB2312"/>
          <w:b w:val="0"/>
          <w:bCs w:val="0"/>
          <w:kern w:val="0"/>
          <w:sz w:val="32"/>
          <w:szCs w:val="20"/>
          <w:lang w:val="en-US" w:eastAsia="zh-CN"/>
        </w:rPr>
        <w:t>2.</w:t>
      </w:r>
      <w:r>
        <w:rPr>
          <w:rFonts w:hint="eastAsia" w:ascii="仿宋_GB2312" w:hAnsi="仿宋_GB2312" w:eastAsia="仿宋_GB2312" w:cs="仿宋_GB2312"/>
          <w:b w:val="0"/>
          <w:bCs w:val="0"/>
          <w:kern w:val="0"/>
          <w:sz w:val="32"/>
          <w:szCs w:val="20"/>
        </w:rPr>
        <w:t>资金到位：</w:t>
      </w:r>
      <w:r>
        <w:rPr>
          <w:rFonts w:hint="eastAsia" w:ascii="仿宋_GB2312" w:hAnsi="仿宋_GB2312" w:eastAsia="仿宋_GB2312" w:cs="仿宋_GB2312"/>
          <w:b w:val="0"/>
          <w:bCs w:val="0"/>
          <w:kern w:val="0"/>
          <w:sz w:val="32"/>
          <w:szCs w:val="20"/>
          <w:lang w:eastAsia="zh-CN"/>
        </w:rPr>
        <w:t>该项目</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到位</w:t>
      </w:r>
      <w:r>
        <w:rPr>
          <w:rFonts w:hint="eastAsia" w:ascii="仿宋_GB2312" w:hAnsi="仿宋_GB2312" w:eastAsia="仿宋_GB2312" w:cs="仿宋_GB2312"/>
          <w:b w:val="0"/>
          <w:bCs w:val="0"/>
          <w:kern w:val="2"/>
          <w:sz w:val="32"/>
          <w:szCs w:val="32"/>
          <w:lang w:eastAsia="zh-CN"/>
        </w:rPr>
        <w:t>市级文化旅游发展（非物质文化遗产保护）桃子龙传承保护</w:t>
      </w:r>
      <w:r>
        <w:rPr>
          <w:rFonts w:hint="eastAsia" w:ascii="仿宋_GB2312" w:hAnsi="仿宋_GB2312" w:eastAsia="仿宋_GB2312" w:cs="仿宋_GB2312"/>
          <w:b w:val="0"/>
          <w:bCs w:val="0"/>
          <w:kern w:val="2"/>
          <w:sz w:val="32"/>
          <w:szCs w:val="32"/>
          <w:lang w:val="en-US" w:eastAsia="zh-CN"/>
        </w:rPr>
        <w:t>项目</w:t>
      </w:r>
      <w:r>
        <w:rPr>
          <w:rFonts w:hint="eastAsia" w:ascii="仿宋_GB2312" w:hAnsi="仿宋_GB2312" w:eastAsia="仿宋_GB2312" w:cs="仿宋_GB2312"/>
          <w:b w:val="0"/>
          <w:bCs w:val="0"/>
          <w:kern w:val="0"/>
          <w:sz w:val="32"/>
          <w:szCs w:val="32"/>
          <w:lang w:val="en-US" w:eastAsia="zh-CN"/>
        </w:rPr>
        <w:t>专项资金8万</w:t>
      </w:r>
      <w:r>
        <w:rPr>
          <w:rFonts w:hint="eastAsia" w:ascii="仿宋_GB2312" w:hAnsi="仿宋_GB2312" w:eastAsia="仿宋_GB2312" w:cs="仿宋_GB2312"/>
          <w:b w:val="0"/>
          <w:bCs w:val="0"/>
          <w:kern w:val="2"/>
          <w:sz w:val="32"/>
          <w:szCs w:val="32"/>
          <w:lang w:val="en-US" w:eastAsia="zh-CN"/>
        </w:rPr>
        <w:t>元</w:t>
      </w:r>
      <w:r>
        <w:rPr>
          <w:rFonts w:hint="eastAsia" w:ascii="仿宋_GB2312" w:hAnsi="仿宋_GB2312" w:eastAsia="仿宋_GB2312" w:cs="仿宋_GB2312"/>
          <w:kern w:val="0"/>
          <w:sz w:val="32"/>
          <w:szCs w:val="32"/>
          <w:lang w:val="en-US" w:eastAsia="zh-CN"/>
        </w:rPr>
        <w:t>，项目资金实际到位率为100%。</w:t>
      </w:r>
    </w:p>
    <w:p w14:paraId="28604854">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3.资金使用：严格按照流程规范开展“船山桃子龙”重塑活动，</w:t>
      </w:r>
      <w:r>
        <w:rPr>
          <w:rFonts w:hint="eastAsia" w:ascii="仿宋_GB2312" w:hAnsi="仿宋_GB2312" w:eastAsia="仿宋_GB2312" w:cs="仿宋_GB2312"/>
          <w:b w:val="0"/>
          <w:bCs w:val="0"/>
          <w:kern w:val="2"/>
          <w:sz w:val="32"/>
          <w:szCs w:val="32"/>
          <w:lang w:val="en-US" w:eastAsia="zh-CN" w:bidi="ar-SA"/>
        </w:rPr>
        <w:t>市级文化旅游发展（非物质文化遗产保护）桃子龙传承保护项目</w:t>
      </w:r>
      <w:r>
        <w:rPr>
          <w:rFonts w:hint="eastAsia" w:ascii="仿宋_GB2312" w:hAnsi="仿宋_GB2312" w:eastAsia="仿宋_GB2312" w:cs="仿宋_GB2312"/>
          <w:b w:val="0"/>
          <w:bCs w:val="0"/>
          <w:kern w:val="0"/>
          <w:sz w:val="32"/>
          <w:szCs w:val="32"/>
          <w:lang w:val="en-US" w:eastAsia="zh-CN" w:bidi="ar-SA"/>
        </w:rPr>
        <w:t>专项</w:t>
      </w:r>
      <w:r>
        <w:rPr>
          <w:rFonts w:hint="default" w:ascii="Times New Roman" w:hAnsi="Times New Roman" w:eastAsia="仿宋_GB2312" w:cs="Times New Roman"/>
          <w:b w:val="0"/>
          <w:bCs w:val="0"/>
          <w:kern w:val="0"/>
          <w:sz w:val="32"/>
          <w:szCs w:val="32"/>
          <w:lang w:val="en-US" w:eastAsia="zh-CN" w:bidi="ar-SA"/>
        </w:rPr>
        <w:t>资金</w:t>
      </w:r>
      <w:r>
        <w:rPr>
          <w:rFonts w:hint="eastAsia" w:ascii="仿宋_GB2312" w:hAnsi="仿宋_GB2312" w:eastAsia="仿宋_GB2312" w:cs="仿宋_GB2312"/>
          <w:b w:val="0"/>
          <w:bCs w:val="0"/>
          <w:sz w:val="32"/>
          <w:lang w:val="en-US" w:eastAsia="zh-CN" w:bidi="ar-SA"/>
        </w:rPr>
        <w:t>共支出</w:t>
      </w:r>
      <w:r>
        <w:rPr>
          <w:rFonts w:hint="eastAsia" w:ascii="仿宋_GB2312" w:hAnsi="仿宋_GB2312" w:eastAsia="仿宋_GB2312" w:cs="仿宋_GB2312"/>
          <w:b w:val="0"/>
          <w:bCs w:val="0"/>
          <w:kern w:val="0"/>
          <w:sz w:val="32"/>
          <w:szCs w:val="32"/>
          <w:lang w:val="en-US" w:eastAsia="zh-CN" w:bidi="ar-SA"/>
        </w:rPr>
        <w:t>8万</w:t>
      </w:r>
      <w:r>
        <w:rPr>
          <w:rFonts w:hint="eastAsia" w:ascii="仿宋_GB2312" w:hAnsi="仿宋_GB2312" w:eastAsia="仿宋_GB2312" w:cs="仿宋_GB2312"/>
          <w:b w:val="0"/>
          <w:bCs w:val="0"/>
          <w:sz w:val="32"/>
          <w:lang w:val="en-US" w:eastAsia="zh-CN" w:bidi="ar-SA"/>
        </w:rPr>
        <w:t>元。</w:t>
      </w:r>
    </w:p>
    <w:p w14:paraId="478CB63D">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outlineLvl w:val="1"/>
        <w:rPr>
          <w:rFonts w:hint="eastAsia" w:ascii="仿宋_GB2312" w:hAnsi="仿宋_GB2312" w:eastAsia="仿宋_GB2312" w:cs="仿宋_GB2312"/>
          <w:b w:val="0"/>
          <w:bCs w:val="0"/>
          <w:sz w:val="32"/>
          <w:lang w:val="en-US" w:eastAsia="zh-CN" w:bidi="ar-SA"/>
        </w:rPr>
      </w:pPr>
      <w:r>
        <w:rPr>
          <w:rFonts w:hint="eastAsia" w:ascii="仿宋_GB2312" w:hAnsi="仿宋_GB2312" w:eastAsia="仿宋_GB2312" w:cs="仿宋_GB2312"/>
          <w:b w:val="0"/>
          <w:bCs w:val="0"/>
          <w:sz w:val="32"/>
          <w:lang w:val="en-US" w:eastAsia="zh-CN" w:bidi="ar-SA"/>
        </w:rPr>
        <w:t>4.财务制度：区文化广电旅游局为确保专款专用，</w:t>
      </w:r>
      <w:r>
        <w:rPr>
          <w:rFonts w:hint="eastAsia" w:ascii="仿宋_GB2312" w:hAnsi="仿宋_GB2312" w:eastAsia="仿宋_GB2312" w:cs="仿宋_GB2312"/>
          <w:b w:val="0"/>
          <w:bCs w:val="0"/>
          <w:color w:val="auto"/>
          <w:kern w:val="0"/>
          <w:sz w:val="32"/>
          <w:szCs w:val="32"/>
          <w:lang w:val="en-US" w:eastAsia="zh-CN" w:bidi="ar-SA"/>
        </w:rPr>
        <w:t>严格按照专项资金管理相关规定执行，</w:t>
      </w:r>
      <w:r>
        <w:rPr>
          <w:rFonts w:hint="eastAsia" w:ascii="仿宋_GB2312" w:hAnsi="仿宋_GB2312" w:eastAsia="仿宋_GB2312" w:cs="仿宋_GB2312"/>
          <w:b w:val="0"/>
          <w:bCs w:val="0"/>
          <w:sz w:val="32"/>
          <w:lang w:val="en-US" w:eastAsia="zh-CN" w:bidi="ar-SA"/>
        </w:rPr>
        <w:t>建立专账核算、专人管理的资金使用管理体系，严格报账流程，确保资金透明、合规使用。</w:t>
      </w:r>
    </w:p>
    <w:p w14:paraId="7B993195">
      <w:pPr>
        <w:keepNext w:val="0"/>
        <w:keepLines w:val="0"/>
        <w:pageBreakBefore w:val="0"/>
        <w:widowControl/>
        <w:suppressAutoHyphens/>
        <w:kinsoku/>
        <w:wordWrap/>
        <w:overflowPunct w:val="0"/>
        <w:topLinePunct w:val="0"/>
        <w:autoSpaceDE/>
        <w:autoSpaceDN/>
        <w:bidi w:val="0"/>
        <w:adjustRightInd/>
        <w:snapToGrid w:val="0"/>
        <w:spacing w:line="560" w:lineRule="exact"/>
        <w:ind w:firstLine="640" w:firstLineChars="200"/>
        <w:jc w:val="both"/>
        <w:textAlignment w:val="auto"/>
        <w:rPr>
          <w:rFonts w:hint="default" w:ascii="Times" w:hAnsi="Times"/>
          <w:kern w:val="0"/>
          <w:sz w:val="32"/>
          <w:szCs w:val="20"/>
        </w:rPr>
      </w:pPr>
      <w:r>
        <w:rPr>
          <w:rFonts w:hint="eastAsia" w:ascii="仿宋_GB2312" w:hAnsi="仿宋_GB2312" w:eastAsia="仿宋_GB2312" w:cs="仿宋_GB2312"/>
          <w:b w:val="0"/>
          <w:bCs w:val="0"/>
          <w:kern w:val="0"/>
          <w:sz w:val="32"/>
          <w:szCs w:val="20"/>
          <w:lang w:val="en-US" w:eastAsia="zh-CN"/>
        </w:rPr>
        <w:t>5.</w:t>
      </w:r>
      <w:r>
        <w:rPr>
          <w:rFonts w:hint="eastAsia" w:ascii="仿宋_GB2312" w:hAnsi="仿宋_GB2312" w:eastAsia="仿宋_GB2312" w:cs="仿宋_GB2312"/>
          <w:b w:val="0"/>
          <w:bCs w:val="0"/>
          <w:kern w:val="0"/>
          <w:sz w:val="32"/>
          <w:szCs w:val="20"/>
        </w:rPr>
        <w:t>执行规范：</w:t>
      </w:r>
      <w:r>
        <w:rPr>
          <w:rFonts w:hint="eastAsia" w:ascii="仿宋_GB2312" w:hAnsi="仿宋_GB2312" w:eastAsia="仿宋_GB2312" w:cs="仿宋_GB2312"/>
          <w:b w:val="0"/>
          <w:bCs w:val="0"/>
          <w:kern w:val="0"/>
          <w:sz w:val="32"/>
          <w:szCs w:val="20"/>
          <w:lang w:eastAsia="zh-CN"/>
        </w:rPr>
        <w:t>一是项目立项合规。项目经市委、市政府及区委区政府、区财政批准立项，遵循了合法程序。二是</w:t>
      </w:r>
      <w:r>
        <w:rPr>
          <w:rFonts w:hint="eastAsia" w:ascii="仿宋_GB2312" w:hAnsi="仿宋_GB2312" w:eastAsia="仿宋_GB2312" w:cs="仿宋_GB2312"/>
          <w:b w:val="0"/>
          <w:bCs w:val="0"/>
          <w:kern w:val="0"/>
          <w:sz w:val="32"/>
          <w:szCs w:val="32"/>
          <w:lang w:val="en-US" w:eastAsia="zh-CN"/>
        </w:rPr>
        <w:t>项目严格执行事业单位财务管理制度，项目资金按规定实行了项目单独核算，账务处理及时，会计核算规范，支出符合规定</w:t>
      </w:r>
      <w:r>
        <w:rPr>
          <w:rFonts w:hint="eastAsia" w:ascii="仿宋_GB2312" w:hAnsi="黑体" w:eastAsia="仿宋_GB2312" w:cs="Times New Roman"/>
          <w:b w:val="0"/>
          <w:bCs w:val="0"/>
          <w:kern w:val="0"/>
          <w:sz w:val="32"/>
          <w:szCs w:val="32"/>
          <w:lang w:val="zh-CN" w:eastAsia="zh-CN"/>
        </w:rPr>
        <w:t>。</w:t>
      </w:r>
    </w:p>
    <w:p w14:paraId="40DFD7C7">
      <w:pPr>
        <w:keepNext w:val="0"/>
        <w:keepLines w:val="0"/>
        <w:pageBreakBefore w:val="0"/>
        <w:widowControl/>
        <w:numPr>
          <w:ilvl w:val="0"/>
          <w:numId w:val="0"/>
        </w:numPr>
        <w:suppressAutoHyphens/>
        <w:kinsoku/>
        <w:wordWrap/>
        <w:overflowPunct w:val="0"/>
        <w:topLinePunct w:val="0"/>
        <w:autoSpaceDE/>
        <w:autoSpaceDN/>
        <w:bidi w:val="0"/>
        <w:adjustRightInd/>
        <w:snapToGrid w:val="0"/>
        <w:spacing w:line="520" w:lineRule="exact"/>
        <w:ind w:firstLine="643" w:firstLineChars="200"/>
        <w:jc w:val="both"/>
        <w:textAlignment w:val="auto"/>
        <w:rPr>
          <w:rFonts w:hint="default"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lang w:eastAsia="zh-CN"/>
        </w:rPr>
        <w:t>（</w:t>
      </w:r>
      <w:r>
        <w:rPr>
          <w:rFonts w:hint="eastAsia" w:ascii="Times New Roman" w:hAnsi="Times New Roman" w:eastAsia="楷体_GB2312" w:cs="Times New Roman"/>
          <w:b/>
          <w:bCs/>
          <w:kern w:val="0"/>
          <w:sz w:val="32"/>
          <w:szCs w:val="32"/>
          <w:lang w:val="en-US" w:eastAsia="zh-CN"/>
        </w:rPr>
        <w:t>三</w:t>
      </w:r>
      <w:r>
        <w:rPr>
          <w:rFonts w:hint="eastAsia" w:ascii="Times New Roman" w:hAnsi="Times New Roman" w:eastAsia="楷体_GB2312" w:cs="Times New Roman"/>
          <w:b/>
          <w:bCs/>
          <w:kern w:val="0"/>
          <w:sz w:val="32"/>
          <w:szCs w:val="32"/>
          <w:lang w:eastAsia="zh-CN"/>
        </w:rPr>
        <w:t>）</w:t>
      </w:r>
      <w:r>
        <w:rPr>
          <w:rFonts w:hint="default" w:ascii="Times New Roman" w:hAnsi="Times New Roman" w:eastAsia="楷体_GB2312" w:cs="Times New Roman"/>
          <w:b/>
          <w:bCs/>
          <w:kern w:val="0"/>
          <w:sz w:val="32"/>
          <w:szCs w:val="32"/>
        </w:rPr>
        <w:t>项目产出情况</w:t>
      </w:r>
    </w:p>
    <w:p w14:paraId="2F8E7538">
      <w:pPr>
        <w:keepNext w:val="0"/>
        <w:keepLines w:val="0"/>
        <w:pageBreakBefore w:val="0"/>
        <w:widowControl w:val="0"/>
        <w:numPr>
          <w:ilvl w:val="0"/>
          <w:numId w:val="0"/>
        </w:numPr>
        <w:kinsoku/>
        <w:wordWrap/>
        <w:topLinePunct w:val="0"/>
        <w:autoSpaceDE w:val="0"/>
        <w:autoSpaceDN w:val="0"/>
        <w:bidi w:val="0"/>
        <w:adjustRightInd w:val="0"/>
        <w:spacing w:line="52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数量指标达成：申报支持的</w:t>
      </w:r>
      <w:r>
        <w:rPr>
          <w:rFonts w:hint="eastAsia" w:ascii="仿宋_GB2312" w:hAnsi="仿宋_GB2312" w:eastAsia="仿宋_GB2312" w:cs="仿宋_GB2312"/>
          <w:b w:val="0"/>
          <w:bCs w:val="0"/>
          <w:sz w:val="32"/>
          <w:lang w:val="en-US" w:eastAsia="zh-CN" w:bidi="ar-SA"/>
        </w:rPr>
        <w:t>“船山桃子龙”重塑</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项目已完成，满足申报数量要求，</w:t>
      </w:r>
      <w:r>
        <w:rPr>
          <w:rFonts w:hint="eastAsia" w:ascii="仿宋_GB2312" w:hAnsi="仿宋_GB2312" w:eastAsia="仿宋_GB2312" w:cs="仿宋_GB2312"/>
          <w:b w:val="0"/>
          <w:bCs w:val="0"/>
          <w:kern w:val="2"/>
          <w:sz w:val="32"/>
          <w:szCs w:val="32"/>
          <w:lang w:val="en-US" w:eastAsia="zh-CN" w:bidi="ar-SA"/>
        </w:rPr>
        <w:t>完成</w:t>
      </w: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2名</w:t>
      </w:r>
      <w:r>
        <w:rPr>
          <w:rFonts w:hint="eastAsia" w:ascii="仿宋_GB2312" w:hAnsi="仿宋_GB2312" w:eastAsia="仿宋_GB2312" w:cs="仿宋_GB2312"/>
          <w:sz w:val="32"/>
          <w:szCs w:val="32"/>
          <w:lang w:val="en-US" w:eastAsia="zh-CN" w:bidi="ar-SA"/>
        </w:rPr>
        <w:t>代表性传承人调查记录，完成</w:t>
      </w:r>
      <w:r>
        <w:rPr>
          <w:rFonts w:hint="eastAsia" w:ascii="仿宋_GB2312" w:hAnsi="宋体" w:eastAsia="仿宋_GB2312" w:cs="Times New Roman"/>
          <w:sz w:val="32"/>
          <w:szCs w:val="32"/>
          <w:lang w:val="en-US" w:eastAsia="zh-CN" w:bidi="ar-SA"/>
        </w:rPr>
        <w:t>两条龙道具制作</w:t>
      </w:r>
      <w:r>
        <w:rPr>
          <w:rFonts w:hint="eastAsia" w:ascii="仿宋_GB2312" w:hAnsi="仿宋_GB2312" w:eastAsia="仿宋_GB2312" w:cs="仿宋_GB2312"/>
          <w:sz w:val="32"/>
          <w:szCs w:val="32"/>
          <w:vertAlign w:val="baseline"/>
          <w:lang w:val="en-US" w:eastAsia="zh-CN" w:bidi="ar-SA"/>
        </w:rPr>
        <w:t>（龙头、龙宝、龙尾、桃子）</w:t>
      </w:r>
      <w:r>
        <w:rPr>
          <w:rFonts w:hint="eastAsia" w:ascii="仿宋_GB2312" w:hAnsi="宋体" w:eastAsia="仿宋_GB2312" w:cs="Times New Roman"/>
          <w:sz w:val="32"/>
          <w:szCs w:val="32"/>
          <w:lang w:val="en-US" w:eastAsia="zh-CN" w:bidi="ar-SA"/>
        </w:rPr>
        <w:t>及传承队伍培训</w:t>
      </w:r>
      <w:r>
        <w:rPr>
          <w:rFonts w:hint="eastAsia" w:ascii="仿宋_GB2312" w:hAnsi="仿宋_GB2312" w:eastAsia="仿宋_GB2312" w:cs="仿宋_GB2312"/>
          <w:sz w:val="32"/>
          <w:szCs w:val="32"/>
          <w:lang w:val="en-US" w:eastAsia="zh-CN" w:bidi="ar-SA"/>
        </w:rPr>
        <w:t>，培训24名传承人</w:t>
      </w:r>
      <w:r>
        <w:rPr>
          <w:rFonts w:hint="eastAsia" w:ascii="仿宋_GB2312" w:hAnsi="仿宋_GB2312" w:eastAsia="仿宋_GB2312" w:cs="仿宋_GB2312"/>
          <w:b w:val="0"/>
          <w:bCs w:val="0"/>
          <w:kern w:val="2"/>
          <w:sz w:val="32"/>
          <w:szCs w:val="32"/>
          <w:lang w:val="en-US" w:eastAsia="zh-CN" w:bidi="ar-SA"/>
        </w:rPr>
        <w:t>。</w:t>
      </w:r>
    </w:p>
    <w:p w14:paraId="1AEC8524">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0"/>
          <w:sz w:val="32"/>
          <w:szCs w:val="32"/>
          <w:lang w:val="zh-CN" w:eastAsia="zh-CN"/>
        </w:rPr>
        <w:t>质量指标达标：所有项目均完成，整体项目质量符合申报目标</w:t>
      </w:r>
      <w:r>
        <w:rPr>
          <w:rFonts w:hint="eastAsia" w:ascii="仿宋_GB2312" w:hAnsi="仿宋_GB2312" w:eastAsia="仿宋_GB2312" w:cs="仿宋_GB2312"/>
          <w:kern w:val="0"/>
          <w:sz w:val="32"/>
          <w:szCs w:val="32"/>
          <w:lang w:val="en-US" w:eastAsia="zh-CN"/>
        </w:rPr>
        <w:t>，资金发放准确率100%</w:t>
      </w:r>
      <w:r>
        <w:rPr>
          <w:rFonts w:hint="eastAsia" w:ascii="仿宋_GB2312" w:hAnsi="仿宋_GB2312" w:eastAsia="仿宋_GB2312" w:cs="仿宋_GB2312"/>
          <w:b w:val="0"/>
          <w:bCs w:val="0"/>
          <w:kern w:val="2"/>
          <w:sz w:val="32"/>
          <w:szCs w:val="32"/>
          <w:lang w:val="en-US" w:eastAsia="zh-CN"/>
        </w:rPr>
        <w:t>。</w:t>
      </w:r>
    </w:p>
    <w:p w14:paraId="1787A189">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outlineLvl w:val="1"/>
        <w:rPr>
          <w:rFonts w:hint="eastAsia" w:ascii="华文楷体" w:hAnsi="Times" w:eastAsia="华文楷体" w:cs="Times New Roman"/>
          <w:b/>
          <w:bCs/>
          <w:sz w:val="32"/>
          <w:lang w:val="en-US" w:eastAsia="zh-CN" w:bidi="ar-SA"/>
        </w:rPr>
      </w:pPr>
      <w:r>
        <w:rPr>
          <w:rFonts w:hint="eastAsia" w:ascii="仿宋_GB2312" w:hAnsi="仿宋_GB2312" w:eastAsia="仿宋_GB2312" w:cs="仿宋_GB2312"/>
          <w:b w:val="0"/>
          <w:bCs w:val="0"/>
          <w:sz w:val="32"/>
          <w:szCs w:val="32"/>
          <w:lang w:val="zh-CN" w:eastAsia="zh-CN" w:bidi="ar-SA"/>
        </w:rPr>
        <w:t>时效指标完成：项目实施进度与计划吻合，实施时效完成率</w:t>
      </w:r>
      <w:r>
        <w:rPr>
          <w:rFonts w:hint="eastAsia" w:ascii="仿宋_GB2312" w:hAnsi="仿宋_GB2312" w:eastAsia="仿宋_GB2312" w:cs="仿宋_GB2312"/>
          <w:b w:val="0"/>
          <w:bCs w:val="0"/>
          <w:sz w:val="32"/>
          <w:szCs w:val="32"/>
          <w:lang w:val="en-US" w:eastAsia="zh-CN" w:bidi="ar-SA"/>
        </w:rPr>
        <w:t>100</w:t>
      </w:r>
      <w:r>
        <w:rPr>
          <w:rFonts w:hint="eastAsia" w:ascii="仿宋_GB2312" w:hAnsi="仿宋_GB2312" w:eastAsia="仿宋_GB2312" w:cs="仿宋_GB2312"/>
          <w:b w:val="0"/>
          <w:bCs w:val="0"/>
          <w:sz w:val="32"/>
          <w:szCs w:val="32"/>
          <w:lang w:val="zh-CN" w:eastAsia="zh-CN" w:bidi="ar-SA"/>
        </w:rPr>
        <w:t>%，确保了项目按期推进并完成。</w:t>
      </w:r>
    </w:p>
    <w:p w14:paraId="77B4F242">
      <w:pPr>
        <w:keepNext w:val="0"/>
        <w:keepLines w:val="0"/>
        <w:pageBreakBefore w:val="0"/>
        <w:suppressAutoHyphens/>
        <w:kinsoku/>
        <w:wordWrap/>
        <w:topLinePunct w:val="0"/>
        <w:autoSpaceDE w:val="0"/>
        <w:autoSpaceDN w:val="0"/>
        <w:bidi w:val="0"/>
        <w:adjustRightInd w:val="0"/>
        <w:spacing w:line="520" w:lineRule="exact"/>
        <w:ind w:firstLine="640" w:firstLineChars="200"/>
        <w:jc w:val="left"/>
        <w:textAlignment w:val="auto"/>
        <w:rPr>
          <w:rFonts w:hint="eastAsia" w:ascii="Times New Roman" w:hAnsi="Times New Roman" w:eastAsia="仿宋_GB2312" w:cs="Times New Roman"/>
          <w:b w:val="0"/>
          <w:bCs w:val="0"/>
          <w:kern w:val="0"/>
          <w:sz w:val="32"/>
          <w:szCs w:val="32"/>
          <w:lang w:val="zh-CN" w:eastAsia="zh-CN"/>
        </w:rPr>
      </w:pPr>
      <w:r>
        <w:rPr>
          <w:rFonts w:hint="eastAsia" w:ascii="仿宋_GB2312" w:hAnsi="仿宋_GB2312" w:eastAsia="仿宋_GB2312" w:cs="仿宋_GB2312"/>
          <w:b w:val="0"/>
          <w:bCs w:val="0"/>
          <w:kern w:val="0"/>
          <w:sz w:val="32"/>
          <w:szCs w:val="32"/>
          <w:lang w:val="zh-CN" w:eastAsia="zh-CN"/>
        </w:rPr>
        <w:t>成本指标完成：</w:t>
      </w:r>
      <w:r>
        <w:rPr>
          <w:rFonts w:hint="eastAsia" w:ascii="仿宋_GB2312" w:hAnsi="仿宋_GB2312" w:eastAsia="仿宋_GB2312" w:cs="仿宋_GB2312"/>
          <w:b w:val="0"/>
          <w:bCs w:val="0"/>
          <w:kern w:val="0"/>
          <w:sz w:val="32"/>
          <w:szCs w:val="32"/>
          <w:lang w:val="en-US" w:eastAsia="zh-CN"/>
        </w:rPr>
        <w:t>项目经费已全部按照相关规定实施，专项资金共计支出8万元，所有资金使用支付范围、标准、进度及依据严格按照专项资金管理相关规定执行，与年初预算基本相符，</w:t>
      </w:r>
      <w:r>
        <w:rPr>
          <w:rFonts w:hint="eastAsia" w:ascii="Times New Roman" w:hAnsi="Times New Roman" w:eastAsia="仿宋_GB2312" w:cs="Times New Roman"/>
          <w:b w:val="0"/>
          <w:bCs w:val="0"/>
          <w:kern w:val="0"/>
          <w:sz w:val="32"/>
          <w:szCs w:val="32"/>
          <w:lang w:val="zh-CN" w:eastAsia="zh-CN"/>
        </w:rPr>
        <w:t>确保了资金的有效利用。</w:t>
      </w:r>
    </w:p>
    <w:p w14:paraId="51D1A2B2">
      <w:pPr>
        <w:keepNext w:val="0"/>
        <w:keepLines w:val="0"/>
        <w:pageBreakBefore w:val="0"/>
        <w:widowControl/>
        <w:numPr>
          <w:ilvl w:val="0"/>
          <w:numId w:val="0"/>
        </w:numPr>
        <w:suppressAutoHyphens/>
        <w:kinsoku/>
        <w:wordWrap/>
        <w:overflowPunct w:val="0"/>
        <w:topLinePunct w:val="0"/>
        <w:autoSpaceDE/>
        <w:autoSpaceDN/>
        <w:bidi w:val="0"/>
        <w:adjustRightInd/>
        <w:snapToGrid w:val="0"/>
        <w:spacing w:line="520" w:lineRule="exact"/>
        <w:ind w:firstLine="643" w:firstLineChars="200"/>
        <w:jc w:val="both"/>
        <w:textAlignment w:val="auto"/>
        <w:rPr>
          <w:rFonts w:hint="default"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lang w:eastAsia="zh-CN"/>
        </w:rPr>
        <w:t>（</w:t>
      </w:r>
      <w:r>
        <w:rPr>
          <w:rFonts w:hint="eastAsia" w:ascii="Times New Roman" w:hAnsi="Times New Roman" w:eastAsia="楷体_GB2312" w:cs="Times New Roman"/>
          <w:b/>
          <w:bCs/>
          <w:kern w:val="0"/>
          <w:sz w:val="32"/>
          <w:szCs w:val="32"/>
          <w:lang w:val="en-US" w:eastAsia="zh-CN"/>
        </w:rPr>
        <w:t>四</w:t>
      </w:r>
      <w:r>
        <w:rPr>
          <w:rFonts w:hint="eastAsia" w:ascii="Times New Roman" w:hAnsi="Times New Roman" w:eastAsia="楷体_GB2312" w:cs="Times New Roman"/>
          <w:b/>
          <w:bCs/>
          <w:kern w:val="0"/>
          <w:sz w:val="32"/>
          <w:szCs w:val="32"/>
          <w:lang w:eastAsia="zh-CN"/>
        </w:rPr>
        <w:t>）</w:t>
      </w:r>
      <w:r>
        <w:rPr>
          <w:rFonts w:hint="default" w:ascii="Times New Roman" w:hAnsi="Times New Roman" w:eastAsia="楷体_GB2312" w:cs="Times New Roman"/>
          <w:b/>
          <w:bCs/>
          <w:kern w:val="0"/>
          <w:sz w:val="32"/>
          <w:szCs w:val="32"/>
        </w:rPr>
        <w:t>项目效益情况</w:t>
      </w:r>
    </w:p>
    <w:p w14:paraId="043B85CE">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项目的开展实施以来，有效保护传承我区省级非物质文化遗产“船山桃子龙”，扩大传承队伍，同时吸引我区群众积极参与非物质文化遗产保护，增强非物质文化遗产保护意识。项目开展以来深受群众好评和各界认可。传承人满意度达100%，群众满意度达98%。</w:t>
      </w:r>
    </w:p>
    <w:p w14:paraId="3486FF1A">
      <w:pPr>
        <w:widowControl/>
        <w:numPr>
          <w:ilvl w:val="0"/>
          <w:numId w:val="0"/>
        </w:numPr>
        <w:suppressAutoHyphens/>
        <w:overflowPunct w:val="0"/>
        <w:autoSpaceDE/>
        <w:autoSpaceDN/>
        <w:bidi w:val="0"/>
        <w:adjustRightInd/>
        <w:snapToGrid w:val="0"/>
        <w:spacing w:line="560" w:lineRule="atLeast"/>
        <w:ind w:left="646" w:leftChars="0"/>
        <w:jc w:val="both"/>
        <w:rPr>
          <w:rFonts w:hint="default" w:ascii="Times New Roman" w:hAnsi="Times New Roman" w:eastAsia="黑体" w:cs="Times New Roman"/>
          <w:kern w:val="0"/>
          <w:sz w:val="32"/>
          <w:szCs w:val="32"/>
        </w:rPr>
      </w:pPr>
      <w:r>
        <w:rPr>
          <w:rFonts w:hint="eastAsia" w:ascii="Times New Roman" w:hAnsi="Times New Roman" w:eastAsia="黑体" w:cs="Times New Roman"/>
          <w:kern w:val="0"/>
          <w:sz w:val="32"/>
          <w:szCs w:val="32"/>
          <w:lang w:val="en-US" w:eastAsia="zh-CN"/>
        </w:rPr>
        <w:t>五、</w:t>
      </w:r>
      <w:r>
        <w:rPr>
          <w:rFonts w:hint="default" w:ascii="Times New Roman" w:hAnsi="Times New Roman" w:eastAsia="黑体" w:cs="Times New Roman"/>
          <w:kern w:val="0"/>
          <w:sz w:val="32"/>
          <w:szCs w:val="32"/>
        </w:rPr>
        <w:t>存在主要问题</w:t>
      </w:r>
    </w:p>
    <w:p w14:paraId="6EF43C86">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在“船山桃子龙”保护传承工作中存在人力、物力、财力投入不足，导致存在技艺流失的风险，传承后继乏人。</w:t>
      </w:r>
    </w:p>
    <w:p w14:paraId="5B055449">
      <w:pPr>
        <w:widowControl/>
        <w:numPr>
          <w:ilvl w:val="0"/>
          <w:numId w:val="0"/>
        </w:numPr>
        <w:suppressAutoHyphens/>
        <w:overflowPunct w:val="0"/>
        <w:autoSpaceDE/>
        <w:autoSpaceDN/>
        <w:bidi w:val="0"/>
        <w:adjustRightInd/>
        <w:snapToGrid w:val="0"/>
        <w:spacing w:line="560" w:lineRule="atLeast"/>
        <w:ind w:left="646" w:leftChars="0"/>
        <w:jc w:val="both"/>
        <w:rPr>
          <w:rFonts w:hint="default" w:ascii="Times New Roman" w:hAnsi="Times New Roman" w:eastAsia="黑体" w:cs="Times New Roman"/>
          <w:kern w:val="0"/>
          <w:sz w:val="32"/>
          <w:szCs w:val="32"/>
        </w:rPr>
      </w:pPr>
      <w:r>
        <w:rPr>
          <w:rFonts w:hint="eastAsia" w:ascii="Times New Roman" w:hAnsi="Times New Roman" w:eastAsia="黑体" w:cs="Times New Roman"/>
          <w:kern w:val="0"/>
          <w:sz w:val="32"/>
          <w:szCs w:val="32"/>
          <w:lang w:val="en-US" w:eastAsia="zh-CN"/>
        </w:rPr>
        <w:t>六、</w:t>
      </w:r>
      <w:r>
        <w:rPr>
          <w:rFonts w:hint="default" w:ascii="Times New Roman" w:hAnsi="Times New Roman" w:eastAsia="黑体" w:cs="Times New Roman"/>
          <w:kern w:val="0"/>
          <w:sz w:val="32"/>
          <w:szCs w:val="32"/>
        </w:rPr>
        <w:t>相关措施建议</w:t>
      </w:r>
    </w:p>
    <w:p w14:paraId="2C1FBBCE">
      <w:pPr>
        <w:keepNext w:val="0"/>
        <w:keepLines w:val="0"/>
        <w:pageBreakBefore w:val="0"/>
        <w:widowControl w:val="0"/>
        <w:kinsoku/>
        <w:wordWrap/>
        <w:topLinePunct w:val="0"/>
        <w:autoSpaceDE w:val="0"/>
        <w:autoSpaceDN w:val="0"/>
        <w:bidi w:val="0"/>
        <w:adjustRightInd w:val="0"/>
        <w:spacing w:line="520" w:lineRule="exact"/>
        <w:ind w:left="0" w:leftChars="0" w:firstLine="640" w:firstLineChars="200"/>
        <w:textAlignment w:val="auto"/>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建议在往后的专项活动中加大经费以及人力、物力等投入。着重提高保护力度，提高影响力，深化社会效益。</w:t>
      </w:r>
    </w:p>
    <w:p w14:paraId="5DE58CF6">
      <w:pPr>
        <w:pStyle w:val="32"/>
        <w:rPr>
          <w:rFonts w:hint="eastAsia" w:ascii="仿宋_GB2312" w:hAnsi="仿宋_GB2312" w:eastAsia="仿宋_GB2312" w:cs="仿宋_GB2312"/>
          <w:b w:val="0"/>
          <w:bCs w:val="0"/>
          <w:color w:val="auto"/>
          <w:kern w:val="0"/>
          <w:sz w:val="32"/>
          <w:szCs w:val="32"/>
          <w:lang w:val="en-US" w:eastAsia="zh-CN" w:bidi="ar-SA"/>
        </w:rPr>
      </w:pPr>
    </w:p>
    <w:p w14:paraId="2FD99F61">
      <w:pPr>
        <w:pStyle w:val="16"/>
        <w:ind w:firstLine="640" w:firstLineChars="200"/>
        <w:rPr>
          <w:rFonts w:hint="default"/>
          <w:lang w:val="en-US" w:eastAsia="zh-CN"/>
        </w:rPr>
      </w:pPr>
      <w:r>
        <w:rPr>
          <w:rFonts w:hint="eastAsia" w:ascii="仿宋_GB2312" w:hAnsi="仿宋_GB2312" w:eastAsia="仿宋_GB2312" w:cs="仿宋_GB2312"/>
          <w:sz w:val="32"/>
          <w:szCs w:val="32"/>
          <w:lang w:val="en-US" w:eastAsia="zh-CN"/>
        </w:rPr>
        <w:t>附表：文化旅游发展资金（非物质文化遗产保护）桃子龙传承保护补助资金项目支出绩效评价指标体系</w:t>
      </w:r>
    </w:p>
    <w:p w14:paraId="795B19DF">
      <w:pPr>
        <w:pStyle w:val="33"/>
        <w:rPr>
          <w:rFonts w:hint="eastAsia" w:ascii="仿宋_GB2312" w:hAnsi="仿宋_GB2312" w:eastAsia="仿宋_GB2312" w:cs="仿宋_GB2312"/>
          <w:b w:val="0"/>
          <w:bCs w:val="0"/>
          <w:color w:val="auto"/>
          <w:kern w:val="0"/>
          <w:sz w:val="32"/>
          <w:szCs w:val="32"/>
          <w:lang w:val="en-US" w:eastAsia="zh-CN" w:bidi="ar-SA"/>
        </w:rPr>
      </w:pPr>
    </w:p>
    <w:p w14:paraId="65AFE46B">
      <w:pPr>
        <w:rPr>
          <w:rFonts w:hint="eastAsia" w:ascii="仿宋_GB2312" w:hAnsi="仿宋_GB2312" w:eastAsia="仿宋_GB2312" w:cs="仿宋_GB2312"/>
          <w:b w:val="0"/>
          <w:bCs w:val="0"/>
          <w:color w:val="auto"/>
          <w:kern w:val="0"/>
          <w:sz w:val="32"/>
          <w:szCs w:val="32"/>
          <w:lang w:val="en-US" w:eastAsia="zh-CN" w:bidi="ar-SA"/>
        </w:rPr>
      </w:pPr>
    </w:p>
    <w:p w14:paraId="50017A84">
      <w:pPr>
        <w:pStyle w:val="32"/>
        <w:rPr>
          <w:rFonts w:hint="eastAsia" w:ascii="仿宋_GB2312" w:hAnsi="仿宋_GB2312" w:eastAsia="仿宋_GB2312" w:cs="仿宋_GB2312"/>
          <w:b w:val="0"/>
          <w:bCs w:val="0"/>
          <w:color w:val="auto"/>
          <w:kern w:val="0"/>
          <w:sz w:val="32"/>
          <w:szCs w:val="32"/>
          <w:lang w:val="en-US" w:eastAsia="zh-CN" w:bidi="ar-SA"/>
        </w:rPr>
      </w:pPr>
    </w:p>
    <w:p w14:paraId="12EEC2DB">
      <w:pPr>
        <w:pStyle w:val="33"/>
        <w:rPr>
          <w:rFonts w:hint="eastAsia" w:ascii="仿宋_GB2312" w:hAnsi="仿宋_GB2312" w:eastAsia="仿宋_GB2312" w:cs="仿宋_GB2312"/>
          <w:b w:val="0"/>
          <w:bCs w:val="0"/>
          <w:color w:val="auto"/>
          <w:kern w:val="0"/>
          <w:sz w:val="32"/>
          <w:szCs w:val="32"/>
          <w:lang w:val="en-US" w:eastAsia="zh-CN" w:bidi="ar-SA"/>
        </w:rPr>
      </w:pPr>
    </w:p>
    <w:p w14:paraId="09370E03">
      <w:pPr>
        <w:rPr>
          <w:rFonts w:hint="eastAsia" w:ascii="仿宋_GB2312" w:hAnsi="仿宋_GB2312" w:eastAsia="仿宋_GB2312" w:cs="仿宋_GB2312"/>
          <w:b w:val="0"/>
          <w:bCs w:val="0"/>
          <w:color w:val="auto"/>
          <w:kern w:val="0"/>
          <w:sz w:val="32"/>
          <w:szCs w:val="32"/>
          <w:lang w:val="en-US" w:eastAsia="zh-CN" w:bidi="ar-SA"/>
        </w:rPr>
      </w:pPr>
    </w:p>
    <w:p w14:paraId="05018EB6">
      <w:pPr>
        <w:pStyle w:val="32"/>
        <w:rPr>
          <w:rFonts w:hint="eastAsia" w:ascii="仿宋_GB2312" w:hAnsi="仿宋_GB2312" w:eastAsia="仿宋_GB2312" w:cs="仿宋_GB2312"/>
          <w:b w:val="0"/>
          <w:bCs w:val="0"/>
          <w:color w:val="auto"/>
          <w:kern w:val="0"/>
          <w:sz w:val="32"/>
          <w:szCs w:val="32"/>
          <w:lang w:val="en-US" w:eastAsia="zh-CN" w:bidi="ar-SA"/>
        </w:rPr>
      </w:pPr>
    </w:p>
    <w:p w14:paraId="1932A9CA">
      <w:pPr>
        <w:pStyle w:val="33"/>
        <w:rPr>
          <w:rFonts w:hint="eastAsia" w:ascii="仿宋_GB2312" w:hAnsi="仿宋_GB2312" w:eastAsia="仿宋_GB2312" w:cs="仿宋_GB2312"/>
          <w:b w:val="0"/>
          <w:bCs w:val="0"/>
          <w:color w:val="auto"/>
          <w:kern w:val="0"/>
          <w:sz w:val="32"/>
          <w:szCs w:val="32"/>
          <w:lang w:val="en-US" w:eastAsia="zh-CN" w:bidi="ar-SA"/>
        </w:rPr>
      </w:pPr>
    </w:p>
    <w:p w14:paraId="5017B21E">
      <w:pPr>
        <w:rPr>
          <w:rFonts w:hint="eastAsia" w:ascii="仿宋_GB2312" w:hAnsi="仿宋_GB2312" w:eastAsia="仿宋_GB2312" w:cs="仿宋_GB2312"/>
          <w:b w:val="0"/>
          <w:bCs w:val="0"/>
          <w:color w:val="auto"/>
          <w:kern w:val="0"/>
          <w:sz w:val="32"/>
          <w:szCs w:val="32"/>
          <w:lang w:val="en-US" w:eastAsia="zh-CN" w:bidi="ar-SA"/>
        </w:rPr>
      </w:pPr>
    </w:p>
    <w:p w14:paraId="719DADC9">
      <w:pPr>
        <w:pStyle w:val="32"/>
        <w:rPr>
          <w:rFonts w:hint="eastAsia" w:ascii="仿宋_GB2312" w:hAnsi="仿宋_GB2312" w:eastAsia="仿宋_GB2312" w:cs="仿宋_GB2312"/>
          <w:b w:val="0"/>
          <w:bCs w:val="0"/>
          <w:color w:val="auto"/>
          <w:kern w:val="0"/>
          <w:sz w:val="32"/>
          <w:szCs w:val="32"/>
          <w:lang w:val="en-US" w:eastAsia="zh-CN" w:bidi="ar-SA"/>
        </w:rPr>
      </w:pPr>
    </w:p>
    <w:p w14:paraId="6D9EFBD0">
      <w:pPr>
        <w:pStyle w:val="33"/>
        <w:rPr>
          <w:rFonts w:hint="eastAsia" w:ascii="仿宋_GB2312" w:hAnsi="仿宋_GB2312" w:eastAsia="仿宋_GB2312" w:cs="仿宋_GB2312"/>
          <w:b w:val="0"/>
          <w:bCs w:val="0"/>
          <w:color w:val="auto"/>
          <w:kern w:val="0"/>
          <w:sz w:val="32"/>
          <w:szCs w:val="32"/>
          <w:lang w:val="en-US" w:eastAsia="zh-CN" w:bidi="ar-SA"/>
        </w:rPr>
      </w:pPr>
    </w:p>
    <w:p w14:paraId="05E131BD">
      <w:pPr>
        <w:rPr>
          <w:rFonts w:hint="eastAsia" w:ascii="仿宋_GB2312" w:hAnsi="仿宋_GB2312" w:eastAsia="仿宋_GB2312" w:cs="仿宋_GB2312"/>
          <w:b w:val="0"/>
          <w:bCs w:val="0"/>
          <w:color w:val="auto"/>
          <w:kern w:val="0"/>
          <w:sz w:val="32"/>
          <w:szCs w:val="32"/>
          <w:lang w:val="en-US" w:eastAsia="zh-CN" w:bidi="ar-SA"/>
        </w:rPr>
      </w:pPr>
    </w:p>
    <w:p w14:paraId="257A4698">
      <w:pPr>
        <w:tabs>
          <w:tab w:val="left" w:pos="29185"/>
        </w:tabs>
        <w:jc w:val="center"/>
        <w:rPr>
          <w:rFonts w:hint="default" w:ascii="Times New Roman" w:hAnsi="Times New Roman" w:eastAsia="方正小标宋简体" w:cs="Times New Roman"/>
          <w:color w:val="000000"/>
          <w:sz w:val="44"/>
          <w:szCs w:val="44"/>
          <w:lang w:bidi="ar"/>
        </w:rPr>
        <w:sectPr>
          <w:pgSz w:w="11906" w:h="16838"/>
          <w:pgMar w:top="1440" w:right="1803" w:bottom="1440" w:left="1803" w:header="851" w:footer="992" w:gutter="0"/>
          <w:pgNumType w:fmt="decimal"/>
          <w:cols w:space="0" w:num="1"/>
          <w:rtlGutter w:val="0"/>
          <w:docGrid w:type="lines" w:linePitch="319" w:charSpace="0"/>
        </w:sectPr>
      </w:pPr>
    </w:p>
    <w:p w14:paraId="0D0EFBC5">
      <w:pPr>
        <w:keepNext w:val="0"/>
        <w:keepLines w:val="0"/>
        <w:pageBreakBefore w:val="0"/>
        <w:widowControl w:val="0"/>
        <w:tabs>
          <w:tab w:val="left" w:pos="29185"/>
        </w:tabs>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sz w:val="44"/>
          <w:szCs w:val="44"/>
        </w:rPr>
      </w:pPr>
      <w:r>
        <w:rPr>
          <w:rFonts w:hint="eastAsia" w:ascii="Times New Roman" w:hAnsi="Times New Roman" w:eastAsia="方正小标宋简体" w:cs="Times New Roman"/>
          <w:sz w:val="44"/>
          <w:szCs w:val="44"/>
          <w:shd w:val="clear" w:color="auto" w:fill="FFFFFF"/>
        </w:rPr>
        <w:t>文化旅游发展资金（非物质文化遗产保护）桃子龙传承保护补助资金</w:t>
      </w:r>
      <w:r>
        <w:rPr>
          <w:rFonts w:hint="default" w:ascii="Times New Roman" w:hAnsi="Times New Roman" w:eastAsia="方正小标宋简体" w:cs="Times New Roman"/>
          <w:color w:val="000000"/>
          <w:sz w:val="44"/>
          <w:szCs w:val="44"/>
          <w:lang w:bidi="ar"/>
        </w:rPr>
        <w:t>项目支出绩效评价指标体系</w:t>
      </w:r>
    </w:p>
    <w:tbl>
      <w:tblPr>
        <w:tblStyle w:val="11"/>
        <w:tblW w:w="13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0"/>
        <w:gridCol w:w="654"/>
        <w:gridCol w:w="1803"/>
        <w:gridCol w:w="607"/>
        <w:gridCol w:w="724"/>
        <w:gridCol w:w="691"/>
        <w:gridCol w:w="894"/>
        <w:gridCol w:w="404"/>
        <w:gridCol w:w="489"/>
        <w:gridCol w:w="489"/>
        <w:gridCol w:w="455"/>
        <w:gridCol w:w="404"/>
        <w:gridCol w:w="388"/>
        <w:gridCol w:w="1483"/>
        <w:gridCol w:w="404"/>
        <w:gridCol w:w="371"/>
        <w:gridCol w:w="388"/>
        <w:gridCol w:w="354"/>
        <w:gridCol w:w="438"/>
        <w:gridCol w:w="455"/>
        <w:gridCol w:w="657"/>
        <w:gridCol w:w="375"/>
      </w:tblGrid>
      <w:tr w14:paraId="0D17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523" w:type="dxa"/>
            <w:gridSpan w:val="4"/>
            <w:noWrap w:val="0"/>
            <w:vAlign w:val="center"/>
          </w:tcPr>
          <w:p w14:paraId="7E4F9AFD">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分层分类指标</w:t>
            </w:r>
          </w:p>
        </w:tc>
        <w:tc>
          <w:tcPr>
            <w:tcW w:w="607" w:type="dxa"/>
            <w:vMerge w:val="restart"/>
            <w:noWrap w:val="0"/>
            <w:vAlign w:val="center"/>
          </w:tcPr>
          <w:p w14:paraId="75F3F163">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分值</w:t>
            </w:r>
          </w:p>
        </w:tc>
        <w:tc>
          <w:tcPr>
            <w:tcW w:w="724" w:type="dxa"/>
            <w:vMerge w:val="restart"/>
            <w:noWrap w:val="0"/>
            <w:vAlign w:val="center"/>
          </w:tcPr>
          <w:p w14:paraId="6CC68127">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目标值</w:t>
            </w:r>
          </w:p>
        </w:tc>
        <w:tc>
          <w:tcPr>
            <w:tcW w:w="691" w:type="dxa"/>
            <w:vMerge w:val="restart"/>
            <w:noWrap w:val="0"/>
            <w:vAlign w:val="center"/>
          </w:tcPr>
          <w:p w14:paraId="7CAEB27C">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完成值</w:t>
            </w:r>
          </w:p>
        </w:tc>
        <w:tc>
          <w:tcPr>
            <w:tcW w:w="894" w:type="dxa"/>
            <w:vMerge w:val="restart"/>
            <w:noWrap w:val="0"/>
            <w:vAlign w:val="center"/>
          </w:tcPr>
          <w:p w14:paraId="1410E7C0">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指标解释</w:t>
            </w:r>
          </w:p>
        </w:tc>
        <w:tc>
          <w:tcPr>
            <w:tcW w:w="2629" w:type="dxa"/>
            <w:gridSpan w:val="6"/>
            <w:noWrap w:val="0"/>
            <w:vAlign w:val="center"/>
          </w:tcPr>
          <w:p w14:paraId="3D58B6A9">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评分方法</w:t>
            </w:r>
          </w:p>
        </w:tc>
        <w:tc>
          <w:tcPr>
            <w:tcW w:w="1483" w:type="dxa"/>
            <w:vMerge w:val="restart"/>
            <w:noWrap w:val="0"/>
            <w:vAlign w:val="center"/>
          </w:tcPr>
          <w:p w14:paraId="7DA43E41">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评价要点及说明</w:t>
            </w:r>
          </w:p>
        </w:tc>
        <w:tc>
          <w:tcPr>
            <w:tcW w:w="404" w:type="dxa"/>
            <w:noWrap w:val="0"/>
            <w:vAlign w:val="center"/>
          </w:tcPr>
          <w:p w14:paraId="0FD41C8A">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评价属性</w:t>
            </w:r>
          </w:p>
        </w:tc>
        <w:tc>
          <w:tcPr>
            <w:tcW w:w="2006" w:type="dxa"/>
            <w:gridSpan w:val="5"/>
            <w:noWrap/>
            <w:vAlign w:val="center"/>
          </w:tcPr>
          <w:p w14:paraId="00C421DD">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定量评价标准</w:t>
            </w:r>
          </w:p>
        </w:tc>
        <w:tc>
          <w:tcPr>
            <w:tcW w:w="657" w:type="dxa"/>
            <w:vMerge w:val="restart"/>
            <w:noWrap/>
            <w:vAlign w:val="center"/>
          </w:tcPr>
          <w:p w14:paraId="14C87283">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评价过程（只写扣分项的原因）</w:t>
            </w:r>
          </w:p>
        </w:tc>
        <w:tc>
          <w:tcPr>
            <w:tcW w:w="375" w:type="dxa"/>
            <w:vMerge w:val="restart"/>
            <w:noWrap/>
            <w:vAlign w:val="center"/>
          </w:tcPr>
          <w:p w14:paraId="3011504B">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自评得分</w:t>
            </w:r>
          </w:p>
        </w:tc>
      </w:tr>
      <w:tr w14:paraId="7EE5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restart"/>
            <w:noWrap w:val="0"/>
            <w:vAlign w:val="center"/>
          </w:tcPr>
          <w:p w14:paraId="14F4A6F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分层指标</w:t>
            </w:r>
          </w:p>
        </w:tc>
        <w:tc>
          <w:tcPr>
            <w:tcW w:w="350" w:type="dxa"/>
            <w:vMerge w:val="restart"/>
            <w:noWrap w:val="0"/>
            <w:vAlign w:val="center"/>
          </w:tcPr>
          <w:p w14:paraId="005E3A6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适用范围</w:t>
            </w:r>
          </w:p>
        </w:tc>
        <w:tc>
          <w:tcPr>
            <w:tcW w:w="654" w:type="dxa"/>
            <w:vMerge w:val="restart"/>
            <w:noWrap w:val="0"/>
            <w:vAlign w:val="center"/>
          </w:tcPr>
          <w:p w14:paraId="48AD25CF">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一级指标</w:t>
            </w:r>
          </w:p>
        </w:tc>
        <w:tc>
          <w:tcPr>
            <w:tcW w:w="1803" w:type="dxa"/>
            <w:vMerge w:val="restart"/>
            <w:noWrap w:val="0"/>
            <w:vAlign w:val="center"/>
          </w:tcPr>
          <w:p w14:paraId="1F3B8E8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二级指标</w:t>
            </w:r>
          </w:p>
        </w:tc>
        <w:tc>
          <w:tcPr>
            <w:tcW w:w="607" w:type="dxa"/>
            <w:vMerge w:val="continue"/>
            <w:noWrap w:val="0"/>
            <w:vAlign w:val="center"/>
          </w:tcPr>
          <w:p w14:paraId="173C5467">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0C5E73A7">
            <w:pPr>
              <w:snapToGrid w:val="0"/>
              <w:spacing w:line="240" w:lineRule="atLeast"/>
              <w:jc w:val="center"/>
              <w:rPr>
                <w:rFonts w:hint="default" w:ascii="Times New Roman" w:hAnsi="Times New Roman" w:eastAsia="黑体" w:cs="Times New Roman"/>
                <w:b w:val="0"/>
                <w:bCs w:val="0"/>
                <w:color w:val="000000"/>
                <w:sz w:val="21"/>
                <w:szCs w:val="21"/>
              </w:rPr>
            </w:pPr>
          </w:p>
        </w:tc>
        <w:tc>
          <w:tcPr>
            <w:tcW w:w="691" w:type="dxa"/>
            <w:vMerge w:val="continue"/>
            <w:noWrap w:val="0"/>
            <w:vAlign w:val="center"/>
          </w:tcPr>
          <w:p w14:paraId="29741AF3">
            <w:pPr>
              <w:snapToGrid w:val="0"/>
              <w:spacing w:line="240" w:lineRule="atLeast"/>
              <w:jc w:val="center"/>
              <w:rPr>
                <w:rFonts w:hint="default" w:ascii="Times New Roman" w:hAnsi="Times New Roman" w:eastAsia="黑体" w:cs="Times New Roman"/>
                <w:b w:val="0"/>
                <w:bCs w:val="0"/>
                <w:color w:val="000000"/>
                <w:sz w:val="21"/>
                <w:szCs w:val="21"/>
              </w:rPr>
            </w:pPr>
          </w:p>
        </w:tc>
        <w:tc>
          <w:tcPr>
            <w:tcW w:w="894" w:type="dxa"/>
            <w:vMerge w:val="continue"/>
            <w:noWrap w:val="0"/>
            <w:vAlign w:val="center"/>
          </w:tcPr>
          <w:p w14:paraId="01ADD33D">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154166E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方法归类</w:t>
            </w:r>
          </w:p>
        </w:tc>
        <w:tc>
          <w:tcPr>
            <w:tcW w:w="2225" w:type="dxa"/>
            <w:gridSpan w:val="5"/>
            <w:noWrap w:val="0"/>
            <w:vAlign w:val="center"/>
          </w:tcPr>
          <w:p w14:paraId="07301F36">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计算公式</w:t>
            </w:r>
          </w:p>
        </w:tc>
        <w:tc>
          <w:tcPr>
            <w:tcW w:w="1483" w:type="dxa"/>
            <w:vMerge w:val="continue"/>
            <w:noWrap w:val="0"/>
            <w:vAlign w:val="center"/>
          </w:tcPr>
          <w:p w14:paraId="2C190E8B">
            <w:pPr>
              <w:snapToGrid w:val="0"/>
              <w:spacing w:line="240" w:lineRule="atLeast"/>
              <w:rPr>
                <w:rFonts w:hint="default" w:ascii="Times New Roman" w:hAnsi="Times New Roman" w:eastAsia="黑体" w:cs="Times New Roman"/>
                <w:b w:val="0"/>
                <w:bCs w:val="0"/>
                <w:color w:val="000000"/>
                <w:sz w:val="21"/>
                <w:szCs w:val="21"/>
              </w:rPr>
            </w:pPr>
          </w:p>
        </w:tc>
        <w:tc>
          <w:tcPr>
            <w:tcW w:w="404" w:type="dxa"/>
            <w:vMerge w:val="restart"/>
            <w:noWrap w:val="0"/>
            <w:vAlign w:val="center"/>
          </w:tcPr>
          <w:p w14:paraId="07CE91A4">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定量评价</w:t>
            </w:r>
          </w:p>
        </w:tc>
        <w:tc>
          <w:tcPr>
            <w:tcW w:w="371" w:type="dxa"/>
            <w:vMerge w:val="restart"/>
            <w:noWrap w:val="0"/>
            <w:vAlign w:val="center"/>
          </w:tcPr>
          <w:p w14:paraId="55EA8925">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国家标准</w:t>
            </w:r>
          </w:p>
        </w:tc>
        <w:tc>
          <w:tcPr>
            <w:tcW w:w="388" w:type="dxa"/>
            <w:vMerge w:val="restart"/>
            <w:noWrap w:val="0"/>
            <w:vAlign w:val="center"/>
          </w:tcPr>
          <w:p w14:paraId="182E3480">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行业标准</w:t>
            </w:r>
          </w:p>
        </w:tc>
        <w:tc>
          <w:tcPr>
            <w:tcW w:w="354" w:type="dxa"/>
            <w:vMerge w:val="restart"/>
            <w:noWrap w:val="0"/>
            <w:vAlign w:val="center"/>
          </w:tcPr>
          <w:p w14:paraId="5FB42452">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地方标准</w:t>
            </w:r>
          </w:p>
        </w:tc>
        <w:tc>
          <w:tcPr>
            <w:tcW w:w="438" w:type="dxa"/>
            <w:vMerge w:val="restart"/>
            <w:noWrap w:val="0"/>
            <w:vAlign w:val="center"/>
          </w:tcPr>
          <w:p w14:paraId="297DCB67">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申报标准</w:t>
            </w:r>
          </w:p>
        </w:tc>
        <w:tc>
          <w:tcPr>
            <w:tcW w:w="455" w:type="dxa"/>
            <w:vMerge w:val="restart"/>
            <w:noWrap w:val="0"/>
            <w:vAlign w:val="center"/>
          </w:tcPr>
          <w:p w14:paraId="43B38D77">
            <w:pPr>
              <w:widowControl/>
              <w:snapToGrid w:val="0"/>
              <w:spacing w:line="240" w:lineRule="atLeast"/>
              <w:jc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历史均值</w:t>
            </w:r>
          </w:p>
        </w:tc>
        <w:tc>
          <w:tcPr>
            <w:tcW w:w="657" w:type="dxa"/>
            <w:vMerge w:val="continue"/>
            <w:noWrap/>
            <w:vAlign w:val="center"/>
          </w:tcPr>
          <w:p w14:paraId="0A8BE0A6">
            <w:pPr>
              <w:snapToGrid w:val="0"/>
              <w:spacing w:line="240" w:lineRule="atLeast"/>
              <w:jc w:val="center"/>
              <w:rPr>
                <w:rFonts w:hint="default" w:ascii="Times New Roman" w:hAnsi="Times New Roman" w:cs="Times New Roman"/>
                <w:b w:val="0"/>
                <w:bCs w:val="0"/>
                <w:color w:val="000000"/>
                <w:sz w:val="21"/>
                <w:szCs w:val="21"/>
              </w:rPr>
            </w:pPr>
          </w:p>
        </w:tc>
        <w:tc>
          <w:tcPr>
            <w:tcW w:w="375" w:type="dxa"/>
            <w:vMerge w:val="continue"/>
            <w:noWrap/>
            <w:vAlign w:val="center"/>
          </w:tcPr>
          <w:p w14:paraId="341CAFF7">
            <w:pPr>
              <w:snapToGrid w:val="0"/>
              <w:spacing w:line="240" w:lineRule="atLeast"/>
              <w:jc w:val="center"/>
              <w:rPr>
                <w:rFonts w:hint="default" w:ascii="Times New Roman" w:hAnsi="Times New Roman" w:cs="Times New Roman"/>
                <w:b w:val="0"/>
                <w:bCs w:val="0"/>
                <w:color w:val="000000"/>
                <w:sz w:val="21"/>
                <w:szCs w:val="21"/>
              </w:rPr>
            </w:pPr>
          </w:p>
        </w:tc>
      </w:tr>
      <w:tr w14:paraId="572A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716" w:type="dxa"/>
            <w:vMerge w:val="continue"/>
            <w:noWrap w:val="0"/>
            <w:vAlign w:val="center"/>
          </w:tcPr>
          <w:p w14:paraId="0E8851B7">
            <w:pPr>
              <w:snapToGrid w:val="0"/>
              <w:spacing w:line="240" w:lineRule="atLeast"/>
              <w:jc w:val="center"/>
              <w:rPr>
                <w:rFonts w:hint="default" w:ascii="Times New Roman" w:hAnsi="Times New Roman" w:eastAsia="黑体" w:cs="Times New Roman"/>
                <w:b w:val="0"/>
                <w:bCs w:val="0"/>
                <w:color w:val="000000"/>
                <w:sz w:val="21"/>
                <w:szCs w:val="21"/>
              </w:rPr>
            </w:pPr>
          </w:p>
        </w:tc>
        <w:tc>
          <w:tcPr>
            <w:tcW w:w="350" w:type="dxa"/>
            <w:vMerge w:val="continue"/>
            <w:noWrap w:val="0"/>
            <w:vAlign w:val="center"/>
          </w:tcPr>
          <w:p w14:paraId="73602EAD">
            <w:pPr>
              <w:snapToGrid w:val="0"/>
              <w:spacing w:line="240" w:lineRule="atLeast"/>
              <w:jc w:val="center"/>
              <w:rPr>
                <w:rFonts w:hint="default" w:ascii="Times New Roman" w:hAnsi="Times New Roman" w:eastAsia="黑体" w:cs="Times New Roman"/>
                <w:b w:val="0"/>
                <w:bCs w:val="0"/>
                <w:color w:val="000000"/>
                <w:sz w:val="21"/>
                <w:szCs w:val="21"/>
              </w:rPr>
            </w:pPr>
          </w:p>
        </w:tc>
        <w:tc>
          <w:tcPr>
            <w:tcW w:w="654" w:type="dxa"/>
            <w:vMerge w:val="continue"/>
            <w:noWrap w:val="0"/>
            <w:vAlign w:val="center"/>
          </w:tcPr>
          <w:p w14:paraId="5C3F43B7">
            <w:pPr>
              <w:snapToGrid w:val="0"/>
              <w:spacing w:line="240" w:lineRule="atLeast"/>
              <w:jc w:val="center"/>
              <w:rPr>
                <w:rFonts w:hint="default" w:ascii="Times New Roman" w:hAnsi="Times New Roman" w:eastAsia="黑体" w:cs="Times New Roman"/>
                <w:b w:val="0"/>
                <w:bCs w:val="0"/>
                <w:color w:val="000000"/>
                <w:sz w:val="21"/>
                <w:szCs w:val="21"/>
              </w:rPr>
            </w:pPr>
          </w:p>
        </w:tc>
        <w:tc>
          <w:tcPr>
            <w:tcW w:w="1803" w:type="dxa"/>
            <w:vMerge w:val="continue"/>
            <w:noWrap w:val="0"/>
            <w:vAlign w:val="center"/>
          </w:tcPr>
          <w:p w14:paraId="7EFEA880">
            <w:pPr>
              <w:snapToGrid w:val="0"/>
              <w:spacing w:line="240" w:lineRule="atLeast"/>
              <w:jc w:val="center"/>
              <w:rPr>
                <w:rFonts w:hint="default" w:ascii="Times New Roman" w:hAnsi="Times New Roman" w:eastAsia="黑体" w:cs="Times New Roman"/>
                <w:b w:val="0"/>
                <w:bCs w:val="0"/>
                <w:color w:val="000000"/>
                <w:sz w:val="21"/>
                <w:szCs w:val="21"/>
              </w:rPr>
            </w:pPr>
          </w:p>
        </w:tc>
        <w:tc>
          <w:tcPr>
            <w:tcW w:w="607" w:type="dxa"/>
            <w:vMerge w:val="continue"/>
            <w:noWrap w:val="0"/>
            <w:vAlign w:val="center"/>
          </w:tcPr>
          <w:p w14:paraId="1A712750">
            <w:pPr>
              <w:snapToGrid w:val="0"/>
              <w:spacing w:line="240" w:lineRule="atLeast"/>
              <w:jc w:val="center"/>
              <w:rPr>
                <w:rFonts w:hint="default" w:ascii="Times New Roman" w:hAnsi="Times New Roman" w:eastAsia="黑体" w:cs="Times New Roman"/>
                <w:b w:val="0"/>
                <w:bCs w:val="0"/>
                <w:color w:val="000000"/>
                <w:sz w:val="21"/>
                <w:szCs w:val="21"/>
              </w:rPr>
            </w:pPr>
          </w:p>
        </w:tc>
        <w:tc>
          <w:tcPr>
            <w:tcW w:w="724" w:type="dxa"/>
            <w:vMerge w:val="continue"/>
            <w:noWrap w:val="0"/>
            <w:vAlign w:val="center"/>
          </w:tcPr>
          <w:p w14:paraId="5F30C94E">
            <w:pPr>
              <w:snapToGrid w:val="0"/>
              <w:spacing w:line="240" w:lineRule="atLeast"/>
              <w:jc w:val="center"/>
              <w:rPr>
                <w:rFonts w:hint="default" w:ascii="Times New Roman" w:hAnsi="Times New Roman" w:eastAsia="黑体" w:cs="Times New Roman"/>
                <w:b w:val="0"/>
                <w:bCs w:val="0"/>
                <w:color w:val="000000"/>
                <w:sz w:val="21"/>
                <w:szCs w:val="21"/>
              </w:rPr>
            </w:pPr>
          </w:p>
        </w:tc>
        <w:tc>
          <w:tcPr>
            <w:tcW w:w="691" w:type="dxa"/>
            <w:vMerge w:val="continue"/>
            <w:noWrap w:val="0"/>
            <w:vAlign w:val="center"/>
          </w:tcPr>
          <w:p w14:paraId="575F464D">
            <w:pPr>
              <w:snapToGrid w:val="0"/>
              <w:spacing w:line="240" w:lineRule="atLeast"/>
              <w:jc w:val="center"/>
              <w:rPr>
                <w:rFonts w:hint="default" w:ascii="Times New Roman" w:hAnsi="Times New Roman" w:eastAsia="黑体" w:cs="Times New Roman"/>
                <w:b w:val="0"/>
                <w:bCs w:val="0"/>
                <w:color w:val="000000"/>
                <w:sz w:val="21"/>
                <w:szCs w:val="21"/>
              </w:rPr>
            </w:pPr>
          </w:p>
        </w:tc>
        <w:tc>
          <w:tcPr>
            <w:tcW w:w="894" w:type="dxa"/>
            <w:vMerge w:val="continue"/>
            <w:noWrap w:val="0"/>
            <w:vAlign w:val="center"/>
          </w:tcPr>
          <w:p w14:paraId="773A71E9">
            <w:pPr>
              <w:snapToGrid w:val="0"/>
              <w:spacing w:line="240" w:lineRule="atLeast"/>
              <w:jc w:val="center"/>
              <w:rPr>
                <w:rFonts w:hint="default" w:ascii="Times New Roman" w:hAnsi="Times New Roman" w:eastAsia="黑体" w:cs="Times New Roman"/>
                <w:b w:val="0"/>
                <w:bCs w:val="0"/>
                <w:color w:val="000000"/>
                <w:sz w:val="21"/>
                <w:szCs w:val="21"/>
              </w:rPr>
            </w:pPr>
          </w:p>
        </w:tc>
        <w:tc>
          <w:tcPr>
            <w:tcW w:w="404" w:type="dxa"/>
            <w:vMerge w:val="continue"/>
            <w:noWrap w:val="0"/>
            <w:vAlign w:val="center"/>
          </w:tcPr>
          <w:p w14:paraId="5F7E51E6">
            <w:pPr>
              <w:snapToGrid w:val="0"/>
              <w:spacing w:line="240" w:lineRule="atLeast"/>
              <w:jc w:val="center"/>
              <w:rPr>
                <w:rFonts w:hint="default" w:ascii="Times New Roman" w:hAnsi="Times New Roman" w:eastAsia="黑体" w:cs="Times New Roman"/>
                <w:b w:val="0"/>
                <w:bCs w:val="0"/>
                <w:color w:val="000000"/>
                <w:sz w:val="21"/>
                <w:szCs w:val="21"/>
              </w:rPr>
            </w:pPr>
          </w:p>
        </w:tc>
        <w:tc>
          <w:tcPr>
            <w:tcW w:w="489" w:type="dxa"/>
            <w:noWrap w:val="0"/>
            <w:vAlign w:val="center"/>
          </w:tcPr>
          <w:p w14:paraId="7ECF079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w:t>
            </w:r>
          </w:p>
        </w:tc>
        <w:tc>
          <w:tcPr>
            <w:tcW w:w="489" w:type="dxa"/>
            <w:noWrap w:val="0"/>
            <w:vAlign w:val="center"/>
          </w:tcPr>
          <w:p w14:paraId="6FF7177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0.3</w:t>
            </w:r>
          </w:p>
        </w:tc>
        <w:tc>
          <w:tcPr>
            <w:tcW w:w="455" w:type="dxa"/>
            <w:noWrap w:val="0"/>
            <w:vAlign w:val="center"/>
          </w:tcPr>
          <w:p w14:paraId="6C4C3D14">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0.6</w:t>
            </w:r>
          </w:p>
        </w:tc>
        <w:tc>
          <w:tcPr>
            <w:tcW w:w="404" w:type="dxa"/>
            <w:noWrap w:val="0"/>
            <w:vAlign w:val="center"/>
          </w:tcPr>
          <w:p w14:paraId="25AD13E2">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0.8</w:t>
            </w:r>
          </w:p>
        </w:tc>
        <w:tc>
          <w:tcPr>
            <w:tcW w:w="388" w:type="dxa"/>
            <w:noWrap w:val="0"/>
            <w:vAlign w:val="center"/>
          </w:tcPr>
          <w:p w14:paraId="139EAB9B">
            <w:pPr>
              <w:widowControl/>
              <w:snapToGrid w:val="0"/>
              <w:spacing w:line="240" w:lineRule="atLeast"/>
              <w:jc w:val="center"/>
              <w:textAlignment w:val="center"/>
              <w:rPr>
                <w:rFonts w:hint="default" w:ascii="Times New Roman" w:hAnsi="Times New Roman" w:eastAsia="黑体" w:cs="Times New Roman"/>
                <w:b w:val="0"/>
                <w:bCs w:val="0"/>
                <w:color w:val="000000"/>
                <w:sz w:val="21"/>
                <w:szCs w:val="21"/>
              </w:rPr>
            </w:pPr>
            <w:r>
              <w:rPr>
                <w:rFonts w:hint="default" w:ascii="Times New Roman" w:hAnsi="Times New Roman" w:eastAsia="黑体" w:cs="Times New Roman"/>
                <w:b w:val="0"/>
                <w:bCs w:val="0"/>
                <w:color w:val="000000"/>
                <w:sz w:val="21"/>
                <w:szCs w:val="21"/>
                <w:lang w:bidi="ar"/>
              </w:rPr>
              <w:t>1</w:t>
            </w:r>
          </w:p>
        </w:tc>
        <w:tc>
          <w:tcPr>
            <w:tcW w:w="1483" w:type="dxa"/>
            <w:vMerge w:val="continue"/>
            <w:noWrap w:val="0"/>
            <w:vAlign w:val="center"/>
          </w:tcPr>
          <w:p w14:paraId="440BACC4">
            <w:pPr>
              <w:snapToGrid w:val="0"/>
              <w:spacing w:line="240" w:lineRule="atLeast"/>
              <w:jc w:val="center"/>
              <w:rPr>
                <w:rFonts w:hint="default" w:ascii="Times New Roman" w:hAnsi="Times New Roman" w:cs="Times New Roman"/>
                <w:b w:val="0"/>
                <w:bCs w:val="0"/>
                <w:color w:val="000000"/>
                <w:sz w:val="21"/>
                <w:szCs w:val="21"/>
              </w:rPr>
            </w:pPr>
          </w:p>
        </w:tc>
        <w:tc>
          <w:tcPr>
            <w:tcW w:w="404" w:type="dxa"/>
            <w:vMerge w:val="continue"/>
            <w:noWrap w:val="0"/>
            <w:vAlign w:val="center"/>
          </w:tcPr>
          <w:p w14:paraId="728AB0A9">
            <w:pPr>
              <w:snapToGrid w:val="0"/>
              <w:spacing w:line="240" w:lineRule="atLeast"/>
              <w:jc w:val="center"/>
              <w:rPr>
                <w:rFonts w:hint="default" w:ascii="Times New Roman" w:hAnsi="Times New Roman" w:cs="Times New Roman"/>
                <w:b w:val="0"/>
                <w:bCs w:val="0"/>
                <w:color w:val="000000"/>
                <w:sz w:val="21"/>
                <w:szCs w:val="21"/>
              </w:rPr>
            </w:pPr>
          </w:p>
        </w:tc>
        <w:tc>
          <w:tcPr>
            <w:tcW w:w="371" w:type="dxa"/>
            <w:vMerge w:val="continue"/>
            <w:noWrap w:val="0"/>
            <w:vAlign w:val="center"/>
          </w:tcPr>
          <w:p w14:paraId="3FBDCC4B">
            <w:pPr>
              <w:snapToGrid w:val="0"/>
              <w:spacing w:line="240" w:lineRule="atLeast"/>
              <w:jc w:val="center"/>
              <w:rPr>
                <w:rFonts w:hint="default" w:ascii="Times New Roman" w:hAnsi="Times New Roman" w:cs="Times New Roman"/>
                <w:b w:val="0"/>
                <w:bCs w:val="0"/>
                <w:color w:val="000000"/>
                <w:sz w:val="21"/>
                <w:szCs w:val="21"/>
              </w:rPr>
            </w:pPr>
          </w:p>
        </w:tc>
        <w:tc>
          <w:tcPr>
            <w:tcW w:w="388" w:type="dxa"/>
            <w:vMerge w:val="continue"/>
            <w:noWrap w:val="0"/>
            <w:vAlign w:val="center"/>
          </w:tcPr>
          <w:p w14:paraId="6A7BF4EC">
            <w:pPr>
              <w:snapToGrid w:val="0"/>
              <w:spacing w:line="240" w:lineRule="atLeast"/>
              <w:jc w:val="center"/>
              <w:rPr>
                <w:rFonts w:hint="default" w:ascii="Times New Roman" w:hAnsi="Times New Roman" w:cs="Times New Roman"/>
                <w:b w:val="0"/>
                <w:bCs w:val="0"/>
                <w:color w:val="000000"/>
                <w:sz w:val="21"/>
                <w:szCs w:val="21"/>
              </w:rPr>
            </w:pPr>
          </w:p>
        </w:tc>
        <w:tc>
          <w:tcPr>
            <w:tcW w:w="354" w:type="dxa"/>
            <w:vMerge w:val="continue"/>
            <w:noWrap w:val="0"/>
            <w:vAlign w:val="center"/>
          </w:tcPr>
          <w:p w14:paraId="3FD3B5E9">
            <w:pPr>
              <w:snapToGrid w:val="0"/>
              <w:spacing w:line="240" w:lineRule="atLeast"/>
              <w:jc w:val="center"/>
              <w:rPr>
                <w:rFonts w:hint="default" w:ascii="Times New Roman" w:hAnsi="Times New Roman" w:cs="Times New Roman"/>
                <w:b w:val="0"/>
                <w:bCs w:val="0"/>
                <w:color w:val="000000"/>
                <w:sz w:val="21"/>
                <w:szCs w:val="21"/>
              </w:rPr>
            </w:pPr>
          </w:p>
        </w:tc>
        <w:tc>
          <w:tcPr>
            <w:tcW w:w="438" w:type="dxa"/>
            <w:vMerge w:val="continue"/>
            <w:noWrap w:val="0"/>
            <w:vAlign w:val="center"/>
          </w:tcPr>
          <w:p w14:paraId="2DD101B4">
            <w:pPr>
              <w:snapToGrid w:val="0"/>
              <w:spacing w:line="240" w:lineRule="atLeast"/>
              <w:jc w:val="center"/>
              <w:rPr>
                <w:rFonts w:hint="default" w:ascii="Times New Roman" w:hAnsi="Times New Roman" w:cs="Times New Roman"/>
                <w:b w:val="0"/>
                <w:bCs w:val="0"/>
                <w:color w:val="000000"/>
                <w:sz w:val="21"/>
                <w:szCs w:val="21"/>
              </w:rPr>
            </w:pPr>
          </w:p>
        </w:tc>
        <w:tc>
          <w:tcPr>
            <w:tcW w:w="455" w:type="dxa"/>
            <w:vMerge w:val="continue"/>
            <w:noWrap w:val="0"/>
            <w:vAlign w:val="center"/>
          </w:tcPr>
          <w:p w14:paraId="47F17FD4">
            <w:pPr>
              <w:snapToGrid w:val="0"/>
              <w:spacing w:line="240" w:lineRule="atLeast"/>
              <w:jc w:val="center"/>
              <w:rPr>
                <w:rFonts w:hint="default" w:ascii="Times New Roman" w:hAnsi="Times New Roman" w:cs="Times New Roman"/>
                <w:b w:val="0"/>
                <w:bCs w:val="0"/>
                <w:color w:val="000000"/>
                <w:sz w:val="21"/>
                <w:szCs w:val="21"/>
              </w:rPr>
            </w:pPr>
          </w:p>
        </w:tc>
        <w:tc>
          <w:tcPr>
            <w:tcW w:w="657" w:type="dxa"/>
            <w:vMerge w:val="continue"/>
            <w:noWrap/>
            <w:vAlign w:val="center"/>
          </w:tcPr>
          <w:p w14:paraId="2A830CEC">
            <w:pPr>
              <w:snapToGrid w:val="0"/>
              <w:spacing w:line="240" w:lineRule="atLeast"/>
              <w:jc w:val="center"/>
              <w:rPr>
                <w:rFonts w:hint="default" w:ascii="Times New Roman" w:hAnsi="Times New Roman" w:cs="Times New Roman"/>
                <w:b w:val="0"/>
                <w:bCs w:val="0"/>
                <w:color w:val="000000"/>
                <w:sz w:val="21"/>
                <w:szCs w:val="21"/>
              </w:rPr>
            </w:pPr>
          </w:p>
        </w:tc>
        <w:tc>
          <w:tcPr>
            <w:tcW w:w="375" w:type="dxa"/>
            <w:vMerge w:val="continue"/>
            <w:noWrap/>
            <w:vAlign w:val="center"/>
          </w:tcPr>
          <w:p w14:paraId="7A8C5660">
            <w:pPr>
              <w:snapToGrid w:val="0"/>
              <w:spacing w:line="240" w:lineRule="atLeast"/>
              <w:jc w:val="center"/>
              <w:rPr>
                <w:rFonts w:hint="default" w:ascii="Times New Roman" w:hAnsi="Times New Roman" w:cs="Times New Roman"/>
                <w:b w:val="0"/>
                <w:bCs w:val="0"/>
                <w:color w:val="000000"/>
                <w:sz w:val="21"/>
                <w:szCs w:val="21"/>
              </w:rPr>
            </w:pPr>
          </w:p>
        </w:tc>
      </w:tr>
      <w:tr w14:paraId="316A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716" w:type="dxa"/>
            <w:vMerge w:val="restart"/>
            <w:noWrap w:val="0"/>
            <w:vAlign w:val="center"/>
          </w:tcPr>
          <w:p w14:paraId="54BDD92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6C07541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restart"/>
            <w:noWrap w:val="0"/>
            <w:vAlign w:val="center"/>
          </w:tcPr>
          <w:p w14:paraId="5980D1A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项目决策</w:t>
            </w:r>
          </w:p>
        </w:tc>
        <w:tc>
          <w:tcPr>
            <w:tcW w:w="1803" w:type="dxa"/>
            <w:noWrap w:val="0"/>
            <w:vAlign w:val="center"/>
          </w:tcPr>
          <w:p w14:paraId="6123AC9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程序严密</w:t>
            </w:r>
          </w:p>
        </w:tc>
        <w:tc>
          <w:tcPr>
            <w:tcW w:w="607" w:type="dxa"/>
            <w:noWrap w:val="0"/>
            <w:vAlign w:val="center"/>
          </w:tcPr>
          <w:p w14:paraId="7051706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69E1B94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691" w:type="dxa"/>
            <w:noWrap w:val="0"/>
            <w:vAlign w:val="center"/>
          </w:tcPr>
          <w:p w14:paraId="616F7F40">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894" w:type="dxa"/>
            <w:noWrap w:val="0"/>
            <w:vAlign w:val="center"/>
          </w:tcPr>
          <w:p w14:paraId="7873B25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项目设立是否经过严格评估论证，管理制度是否健全完善</w:t>
            </w:r>
          </w:p>
        </w:tc>
        <w:tc>
          <w:tcPr>
            <w:tcW w:w="404" w:type="dxa"/>
            <w:noWrap w:val="0"/>
            <w:vAlign w:val="center"/>
          </w:tcPr>
          <w:p w14:paraId="3DAF569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20C8B0A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不严密</w:t>
            </w:r>
          </w:p>
        </w:tc>
        <w:tc>
          <w:tcPr>
            <w:tcW w:w="489" w:type="dxa"/>
            <w:noWrap w:val="0"/>
            <w:vAlign w:val="center"/>
          </w:tcPr>
          <w:p w14:paraId="494E074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3处及以上不严密</w:t>
            </w:r>
          </w:p>
        </w:tc>
        <w:tc>
          <w:tcPr>
            <w:tcW w:w="455" w:type="dxa"/>
            <w:noWrap w:val="0"/>
            <w:vAlign w:val="center"/>
          </w:tcPr>
          <w:p w14:paraId="5F4036F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2处不严密</w:t>
            </w:r>
          </w:p>
        </w:tc>
        <w:tc>
          <w:tcPr>
            <w:tcW w:w="404" w:type="dxa"/>
            <w:noWrap w:val="0"/>
            <w:vAlign w:val="center"/>
          </w:tcPr>
          <w:p w14:paraId="449E670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1处不严密</w:t>
            </w:r>
          </w:p>
        </w:tc>
        <w:tc>
          <w:tcPr>
            <w:tcW w:w="388" w:type="dxa"/>
            <w:noWrap w:val="0"/>
            <w:vAlign w:val="center"/>
          </w:tcPr>
          <w:p w14:paraId="0A30F8F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严密</w:t>
            </w:r>
          </w:p>
        </w:tc>
        <w:tc>
          <w:tcPr>
            <w:tcW w:w="1483" w:type="dxa"/>
            <w:noWrap w:val="0"/>
            <w:vAlign w:val="center"/>
          </w:tcPr>
          <w:p w14:paraId="707F4AE2">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主要查看项目设立时是否经过事前评估或可行性论证，专项资金管理办法是否健全完善</w:t>
            </w:r>
          </w:p>
        </w:tc>
        <w:tc>
          <w:tcPr>
            <w:tcW w:w="404" w:type="dxa"/>
            <w:noWrap w:val="0"/>
            <w:vAlign w:val="center"/>
          </w:tcPr>
          <w:p w14:paraId="0051BE85">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5E5A11F8">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0BFD7C7">
            <w:pPr>
              <w:snapToGrid w:val="0"/>
              <w:spacing w:line="240" w:lineRule="atLeast"/>
              <w:rPr>
                <w:rFonts w:hint="default" w:ascii="Times New Roman" w:hAnsi="Times New Roman" w:cs="Times New Roman"/>
                <w:b w:val="0"/>
                <w:bCs w:val="0"/>
                <w:color w:val="000000"/>
                <w:sz w:val="21"/>
                <w:szCs w:val="21"/>
              </w:rPr>
            </w:pPr>
          </w:p>
        </w:tc>
        <w:tc>
          <w:tcPr>
            <w:tcW w:w="354" w:type="dxa"/>
            <w:noWrap w:val="0"/>
            <w:vAlign w:val="center"/>
          </w:tcPr>
          <w:p w14:paraId="2DC8B8DE">
            <w:pPr>
              <w:snapToGrid w:val="0"/>
              <w:spacing w:line="240" w:lineRule="atLeast"/>
              <w:jc w:val="center"/>
              <w:rPr>
                <w:rFonts w:hint="default" w:ascii="Times New Roman" w:hAnsi="Times New Roman" w:cs="Times New Roman"/>
                <w:b w:val="0"/>
                <w:bCs w:val="0"/>
                <w:color w:val="000000"/>
                <w:sz w:val="21"/>
                <w:szCs w:val="21"/>
              </w:rPr>
            </w:pPr>
          </w:p>
        </w:tc>
        <w:tc>
          <w:tcPr>
            <w:tcW w:w="438" w:type="dxa"/>
            <w:noWrap w:val="0"/>
            <w:vAlign w:val="center"/>
          </w:tcPr>
          <w:p w14:paraId="6FC48B92">
            <w:pPr>
              <w:snapToGrid w:val="0"/>
              <w:spacing w:line="240" w:lineRule="atLeast"/>
              <w:jc w:val="center"/>
              <w:rPr>
                <w:rFonts w:hint="default" w:ascii="Times New Roman" w:hAnsi="Times New Roman" w:cs="Times New Roman"/>
                <w:b w:val="0"/>
                <w:bCs w:val="0"/>
                <w:color w:val="000000"/>
                <w:sz w:val="21"/>
                <w:szCs w:val="21"/>
              </w:rPr>
            </w:pPr>
          </w:p>
        </w:tc>
        <w:tc>
          <w:tcPr>
            <w:tcW w:w="455" w:type="dxa"/>
            <w:noWrap/>
            <w:vAlign w:val="center"/>
          </w:tcPr>
          <w:p w14:paraId="0B5E0718">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12BC4FC9">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3925B641">
            <w:pPr>
              <w:widowControl/>
              <w:snapToGrid w:val="0"/>
              <w:spacing w:line="240" w:lineRule="atLeast"/>
              <w:jc w:val="righ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r>
      <w:tr w14:paraId="122F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16" w:type="dxa"/>
            <w:vMerge w:val="continue"/>
            <w:noWrap w:val="0"/>
            <w:vAlign w:val="center"/>
          </w:tcPr>
          <w:p w14:paraId="700BC0CF">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7A85A89E">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0B2861B8">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4EE93C3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规划合理</w:t>
            </w:r>
          </w:p>
        </w:tc>
        <w:tc>
          <w:tcPr>
            <w:tcW w:w="607" w:type="dxa"/>
            <w:noWrap w:val="0"/>
            <w:vAlign w:val="center"/>
          </w:tcPr>
          <w:p w14:paraId="371DD73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6C6202C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691" w:type="dxa"/>
            <w:noWrap w:val="0"/>
            <w:vAlign w:val="center"/>
          </w:tcPr>
          <w:p w14:paraId="45D6546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894" w:type="dxa"/>
            <w:noWrap w:val="0"/>
            <w:vAlign w:val="center"/>
          </w:tcPr>
          <w:p w14:paraId="5A7029C4">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项目规划是否符合市委、市政府重大决策部署，是否与项目年度目标一致</w:t>
            </w:r>
          </w:p>
        </w:tc>
        <w:tc>
          <w:tcPr>
            <w:tcW w:w="404" w:type="dxa"/>
            <w:noWrap w:val="0"/>
            <w:vAlign w:val="center"/>
          </w:tcPr>
          <w:p w14:paraId="4EEA9299">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489" w:type="dxa"/>
            <w:noWrap w:val="0"/>
            <w:vAlign w:val="center"/>
          </w:tcPr>
          <w:p w14:paraId="0744056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不合理</w:t>
            </w:r>
          </w:p>
        </w:tc>
        <w:tc>
          <w:tcPr>
            <w:tcW w:w="489" w:type="dxa"/>
            <w:noWrap w:val="0"/>
            <w:vAlign w:val="center"/>
          </w:tcPr>
          <w:p w14:paraId="5DA4571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3处及以上不合理</w:t>
            </w:r>
          </w:p>
        </w:tc>
        <w:tc>
          <w:tcPr>
            <w:tcW w:w="455" w:type="dxa"/>
            <w:noWrap w:val="0"/>
            <w:vAlign w:val="center"/>
          </w:tcPr>
          <w:p w14:paraId="6D58720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2处不合理</w:t>
            </w:r>
          </w:p>
        </w:tc>
        <w:tc>
          <w:tcPr>
            <w:tcW w:w="404" w:type="dxa"/>
            <w:noWrap w:val="0"/>
            <w:vAlign w:val="center"/>
          </w:tcPr>
          <w:p w14:paraId="08038AE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1处不合理</w:t>
            </w:r>
          </w:p>
        </w:tc>
        <w:tc>
          <w:tcPr>
            <w:tcW w:w="388" w:type="dxa"/>
            <w:noWrap w:val="0"/>
            <w:vAlign w:val="center"/>
          </w:tcPr>
          <w:p w14:paraId="1DC094A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合理</w:t>
            </w:r>
          </w:p>
        </w:tc>
        <w:tc>
          <w:tcPr>
            <w:tcW w:w="1483" w:type="dxa"/>
            <w:noWrap w:val="0"/>
            <w:vAlign w:val="center"/>
          </w:tcPr>
          <w:p w14:paraId="6913450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主要查看项目设立依据是否充分，符合市委、市政府重大决策部署和宏观政策规划，项目年度绩效目标与中长期规划是否一致</w:t>
            </w:r>
          </w:p>
        </w:tc>
        <w:tc>
          <w:tcPr>
            <w:tcW w:w="404" w:type="dxa"/>
            <w:noWrap w:val="0"/>
            <w:vAlign w:val="center"/>
          </w:tcPr>
          <w:p w14:paraId="4322DBD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662AEE68">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3FF155A2">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2B9CEF8E">
            <w:pPr>
              <w:snapToGrid w:val="0"/>
              <w:spacing w:line="240" w:lineRule="atLeast"/>
              <w:rPr>
                <w:rFonts w:hint="default" w:ascii="Times New Roman" w:hAnsi="Times New Roman" w:cs="Times New Roman"/>
                <w:b w:val="0"/>
                <w:bCs w:val="0"/>
                <w:color w:val="000000"/>
                <w:sz w:val="21"/>
                <w:szCs w:val="21"/>
              </w:rPr>
            </w:pPr>
          </w:p>
        </w:tc>
        <w:tc>
          <w:tcPr>
            <w:tcW w:w="438" w:type="dxa"/>
            <w:noWrap w:val="0"/>
            <w:vAlign w:val="center"/>
          </w:tcPr>
          <w:p w14:paraId="73A0BCE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455" w:type="dxa"/>
            <w:noWrap/>
            <w:vAlign w:val="center"/>
          </w:tcPr>
          <w:p w14:paraId="28BB7330">
            <w:pPr>
              <w:snapToGrid w:val="0"/>
              <w:spacing w:line="240" w:lineRule="atLeast"/>
              <w:rPr>
                <w:rFonts w:hint="default" w:ascii="Times New Roman" w:hAnsi="Times New Roman" w:cs="Times New Roman"/>
                <w:b w:val="0"/>
                <w:bCs w:val="0"/>
                <w:color w:val="000000"/>
                <w:sz w:val="21"/>
                <w:szCs w:val="21"/>
              </w:rPr>
            </w:pPr>
          </w:p>
        </w:tc>
        <w:tc>
          <w:tcPr>
            <w:tcW w:w="657" w:type="dxa"/>
            <w:noWrap w:val="0"/>
            <w:vAlign w:val="center"/>
          </w:tcPr>
          <w:p w14:paraId="529C51C0">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14C8AB5E">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0C2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716" w:type="dxa"/>
            <w:vMerge w:val="restart"/>
            <w:noWrap w:val="0"/>
            <w:vAlign w:val="center"/>
          </w:tcPr>
          <w:p w14:paraId="532D915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3D6904C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48D2B5A6">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30D9CAA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结果符合</w:t>
            </w:r>
          </w:p>
        </w:tc>
        <w:tc>
          <w:tcPr>
            <w:tcW w:w="607" w:type="dxa"/>
            <w:noWrap w:val="0"/>
            <w:vAlign w:val="center"/>
          </w:tcPr>
          <w:p w14:paraId="14A63B1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2</w:t>
            </w:r>
          </w:p>
        </w:tc>
        <w:tc>
          <w:tcPr>
            <w:tcW w:w="724" w:type="dxa"/>
            <w:noWrap w:val="0"/>
            <w:vAlign w:val="center"/>
          </w:tcPr>
          <w:p w14:paraId="4EE7E95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691" w:type="dxa"/>
            <w:noWrap w:val="0"/>
            <w:vAlign w:val="center"/>
          </w:tcPr>
          <w:p w14:paraId="6715B687">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符合</w:t>
            </w:r>
          </w:p>
        </w:tc>
        <w:tc>
          <w:tcPr>
            <w:tcW w:w="894" w:type="dxa"/>
            <w:noWrap w:val="0"/>
            <w:vAlign w:val="center"/>
          </w:tcPr>
          <w:p w14:paraId="1518CFA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项目实施结果是否与规划计划一致</w:t>
            </w:r>
          </w:p>
        </w:tc>
        <w:tc>
          <w:tcPr>
            <w:tcW w:w="404" w:type="dxa"/>
            <w:noWrap w:val="0"/>
            <w:vAlign w:val="center"/>
          </w:tcPr>
          <w:p w14:paraId="79A3043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25" w:type="dxa"/>
            <w:gridSpan w:val="5"/>
            <w:noWrap w:val="0"/>
            <w:vAlign w:val="center"/>
          </w:tcPr>
          <w:p w14:paraId="5206834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指标得分=项目实施结果符合规划的金额/项目总金额×100%*指标分值</w:t>
            </w:r>
          </w:p>
        </w:tc>
        <w:tc>
          <w:tcPr>
            <w:tcW w:w="1483" w:type="dxa"/>
            <w:noWrap w:val="0"/>
            <w:vAlign w:val="center"/>
          </w:tcPr>
          <w:p w14:paraId="5DEF1518">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按项目法分配的项目，以所有项目点实施完成情况与规划计划情况进行对比。按因素法分配的项目和据实据效分配的项目，将资金分配方向与规划计划支持方向进行对比</w:t>
            </w:r>
          </w:p>
        </w:tc>
        <w:tc>
          <w:tcPr>
            <w:tcW w:w="404" w:type="dxa"/>
            <w:noWrap w:val="0"/>
            <w:vAlign w:val="center"/>
          </w:tcPr>
          <w:p w14:paraId="2366CDF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64DF089C">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21F68528">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9E1EF10">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7A317CC">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5F39C673">
            <w:pPr>
              <w:snapToGrid w:val="0"/>
              <w:spacing w:line="240" w:lineRule="atLeast"/>
              <w:rPr>
                <w:rFonts w:hint="default" w:ascii="Times New Roman" w:hAnsi="Times New Roman" w:cs="Times New Roman"/>
                <w:b w:val="0"/>
                <w:bCs w:val="0"/>
                <w:color w:val="000000"/>
                <w:sz w:val="21"/>
                <w:szCs w:val="21"/>
              </w:rPr>
            </w:pPr>
          </w:p>
        </w:tc>
        <w:tc>
          <w:tcPr>
            <w:tcW w:w="657" w:type="dxa"/>
            <w:noWrap w:val="0"/>
            <w:vAlign w:val="center"/>
          </w:tcPr>
          <w:p w14:paraId="4CFB15B6">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115AC7AE">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r w14:paraId="08B8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716" w:type="dxa"/>
            <w:vMerge w:val="continue"/>
            <w:noWrap w:val="0"/>
            <w:vAlign w:val="center"/>
          </w:tcPr>
          <w:p w14:paraId="74D5732C">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13A18862">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60248DF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w:t>
            </w:r>
          </w:p>
        </w:tc>
        <w:tc>
          <w:tcPr>
            <w:tcW w:w="1803" w:type="dxa"/>
            <w:noWrap w:val="0"/>
            <w:vAlign w:val="center"/>
          </w:tcPr>
          <w:p w14:paraId="5374FB1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执行有效</w:t>
            </w:r>
          </w:p>
        </w:tc>
        <w:tc>
          <w:tcPr>
            <w:tcW w:w="607" w:type="dxa"/>
            <w:noWrap w:val="0"/>
            <w:vAlign w:val="center"/>
          </w:tcPr>
          <w:p w14:paraId="0865FB2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22534DD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691" w:type="dxa"/>
            <w:noWrap w:val="0"/>
            <w:vAlign w:val="center"/>
          </w:tcPr>
          <w:p w14:paraId="53614800">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有效</w:t>
            </w:r>
          </w:p>
        </w:tc>
        <w:tc>
          <w:tcPr>
            <w:tcW w:w="894" w:type="dxa"/>
            <w:noWrap w:val="0"/>
            <w:vAlign w:val="center"/>
          </w:tcPr>
          <w:p w14:paraId="4F3AD069">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项目实施是否符合相关管理制度规定</w:t>
            </w:r>
          </w:p>
        </w:tc>
        <w:tc>
          <w:tcPr>
            <w:tcW w:w="404" w:type="dxa"/>
            <w:noWrap w:val="0"/>
            <w:vAlign w:val="center"/>
          </w:tcPr>
          <w:p w14:paraId="7FEECBF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25" w:type="dxa"/>
            <w:gridSpan w:val="5"/>
            <w:noWrap w:val="0"/>
            <w:vAlign w:val="center"/>
          </w:tcPr>
          <w:p w14:paraId="17C2EDA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483" w:type="dxa"/>
            <w:noWrap w:val="0"/>
            <w:vAlign w:val="center"/>
          </w:tcPr>
          <w:p w14:paraId="1002B0FA">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项目实施是否遵守相关法律法规；项目调整手续是否完备；项目合同、验收报告、技术鉴定等资料是否齐全并及时归档；项目实施的人员条件、场地设备、信息支撑等是否落实到位</w:t>
            </w:r>
          </w:p>
        </w:tc>
        <w:tc>
          <w:tcPr>
            <w:tcW w:w="404" w:type="dxa"/>
            <w:noWrap w:val="0"/>
            <w:vAlign w:val="center"/>
          </w:tcPr>
          <w:p w14:paraId="6B1C255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332D77EC">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2C98831">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410F5428">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87A8856">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0AE8B391">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C31DBE4">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793F0BE2">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5389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jc w:val="center"/>
        </w:trPr>
        <w:tc>
          <w:tcPr>
            <w:tcW w:w="716" w:type="dxa"/>
            <w:vMerge w:val="restart"/>
            <w:noWrap w:val="0"/>
            <w:vAlign w:val="center"/>
          </w:tcPr>
          <w:p w14:paraId="2F79D77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7"/>
                <w:rFonts w:hint="default" w:ascii="Times New Roman" w:hAnsi="Times New Roman" w:cs="Times New Roman"/>
                <w:b w:val="0"/>
                <w:bCs w:val="0"/>
                <w:sz w:val="21"/>
                <w:szCs w:val="21"/>
                <w:lang w:bidi="ar"/>
              </w:rPr>
              <w:t>通用指标（20分）</w:t>
            </w:r>
            <w:r>
              <w:rPr>
                <w:rStyle w:val="28"/>
                <w:rFonts w:hint="default" w:ascii="Times New Roman" w:hAnsi="Times New Roman" w:cs="Times New Roman"/>
                <w:b w:val="0"/>
                <w:bCs w:val="0"/>
                <w:color w:val="000000"/>
                <w:sz w:val="21"/>
                <w:szCs w:val="21"/>
                <w:lang w:bidi="ar"/>
              </w:rPr>
              <w:t>不能修改</w:t>
            </w:r>
          </w:p>
        </w:tc>
        <w:tc>
          <w:tcPr>
            <w:tcW w:w="350" w:type="dxa"/>
            <w:vMerge w:val="restart"/>
            <w:noWrap w:val="0"/>
            <w:vAlign w:val="center"/>
          </w:tcPr>
          <w:p w14:paraId="38F7316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continue"/>
            <w:noWrap w:val="0"/>
            <w:vAlign w:val="center"/>
          </w:tcPr>
          <w:p w14:paraId="5A8E5DDB">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7C04E93A">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使用合规</w:t>
            </w:r>
          </w:p>
        </w:tc>
        <w:tc>
          <w:tcPr>
            <w:tcW w:w="607" w:type="dxa"/>
            <w:noWrap w:val="0"/>
            <w:vAlign w:val="center"/>
          </w:tcPr>
          <w:p w14:paraId="5DB13A1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4</w:t>
            </w:r>
          </w:p>
        </w:tc>
        <w:tc>
          <w:tcPr>
            <w:tcW w:w="724" w:type="dxa"/>
            <w:noWrap w:val="0"/>
            <w:vAlign w:val="center"/>
          </w:tcPr>
          <w:p w14:paraId="0C9F0C2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691" w:type="dxa"/>
            <w:noWrap w:val="0"/>
            <w:vAlign w:val="center"/>
          </w:tcPr>
          <w:p w14:paraId="5277A302">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合规</w:t>
            </w:r>
          </w:p>
        </w:tc>
        <w:tc>
          <w:tcPr>
            <w:tcW w:w="894" w:type="dxa"/>
            <w:noWrap w:val="0"/>
            <w:vAlign w:val="center"/>
          </w:tcPr>
          <w:p w14:paraId="0DB5EBA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项目资金使用是否符合相关的财务管理制度规定</w:t>
            </w:r>
          </w:p>
        </w:tc>
        <w:tc>
          <w:tcPr>
            <w:tcW w:w="404" w:type="dxa"/>
            <w:noWrap w:val="0"/>
            <w:vAlign w:val="center"/>
          </w:tcPr>
          <w:p w14:paraId="353DE5E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缺（错）项扣分法</w:t>
            </w:r>
          </w:p>
        </w:tc>
        <w:tc>
          <w:tcPr>
            <w:tcW w:w="2225" w:type="dxa"/>
            <w:gridSpan w:val="5"/>
            <w:noWrap w:val="0"/>
            <w:vAlign w:val="center"/>
          </w:tcPr>
          <w:p w14:paraId="6A6EFF60">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发现一处扣0.5分，直至扣完</w:t>
            </w:r>
          </w:p>
        </w:tc>
        <w:tc>
          <w:tcPr>
            <w:tcW w:w="1483" w:type="dxa"/>
            <w:noWrap w:val="0"/>
            <w:vAlign w:val="center"/>
          </w:tcPr>
          <w:p w14:paraId="33D64FE2">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项目资金是否符合国家财经法规和财务管理制度及有关专项资金管理办法规定；资金拨付是否有完整的审批程序和手续；是否符合项目预算批复或合同规定用途；是否存在截留、挤占、挪用、虚列支出等情况</w:t>
            </w:r>
          </w:p>
        </w:tc>
        <w:tc>
          <w:tcPr>
            <w:tcW w:w="404" w:type="dxa"/>
            <w:noWrap w:val="0"/>
            <w:vAlign w:val="center"/>
          </w:tcPr>
          <w:p w14:paraId="5E1F5E5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0A92BA9D">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04B0CB40">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75A8CA6F">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6DA816BA">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4D124B67">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440ED494">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7299097B">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4</w:t>
            </w:r>
          </w:p>
        </w:tc>
      </w:tr>
      <w:tr w14:paraId="15F9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716" w:type="dxa"/>
            <w:vMerge w:val="continue"/>
            <w:noWrap w:val="0"/>
            <w:vAlign w:val="center"/>
          </w:tcPr>
          <w:p w14:paraId="4D843529">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AF9CE04">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restart"/>
            <w:noWrap w:val="0"/>
            <w:vAlign w:val="center"/>
          </w:tcPr>
          <w:p w14:paraId="0CB2247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w:t>
            </w:r>
          </w:p>
        </w:tc>
        <w:tc>
          <w:tcPr>
            <w:tcW w:w="1803" w:type="dxa"/>
            <w:noWrap w:val="0"/>
            <w:vAlign w:val="center"/>
          </w:tcPr>
          <w:p w14:paraId="3EA1D0D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预算执行率</w:t>
            </w:r>
          </w:p>
        </w:tc>
        <w:tc>
          <w:tcPr>
            <w:tcW w:w="607" w:type="dxa"/>
            <w:noWrap w:val="0"/>
            <w:vAlign w:val="center"/>
          </w:tcPr>
          <w:p w14:paraId="15CC56A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6</w:t>
            </w:r>
          </w:p>
        </w:tc>
        <w:tc>
          <w:tcPr>
            <w:tcW w:w="724" w:type="dxa"/>
            <w:noWrap w:val="0"/>
            <w:vAlign w:val="center"/>
          </w:tcPr>
          <w:p w14:paraId="0EFCDC0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691" w:type="dxa"/>
            <w:noWrap w:val="0"/>
            <w:vAlign w:val="center"/>
          </w:tcPr>
          <w:p w14:paraId="28BCC6FB">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894" w:type="dxa"/>
            <w:noWrap w:val="0"/>
            <w:vAlign w:val="center"/>
          </w:tcPr>
          <w:p w14:paraId="268A52ED">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反映项目资金整体预算执行情况</w:t>
            </w:r>
          </w:p>
        </w:tc>
        <w:tc>
          <w:tcPr>
            <w:tcW w:w="404" w:type="dxa"/>
            <w:noWrap w:val="0"/>
            <w:vAlign w:val="center"/>
          </w:tcPr>
          <w:p w14:paraId="7430CCB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比率分值法</w:t>
            </w:r>
          </w:p>
        </w:tc>
        <w:tc>
          <w:tcPr>
            <w:tcW w:w="2225" w:type="dxa"/>
            <w:gridSpan w:val="5"/>
            <w:noWrap w:val="0"/>
            <w:vAlign w:val="center"/>
          </w:tcPr>
          <w:p w14:paraId="142AF5C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指标得分=实际拨付下达资金/预算安排资金总额×100%*指标分值（预算安排资金总额一般采用年初预算数，若存在政策变化等因素可采用调整预算数）</w:t>
            </w:r>
          </w:p>
        </w:tc>
        <w:tc>
          <w:tcPr>
            <w:tcW w:w="1483" w:type="dxa"/>
            <w:noWrap w:val="0"/>
            <w:vAlign w:val="center"/>
          </w:tcPr>
          <w:p w14:paraId="288DB9FF">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4F5A5ED">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1AAFE27F">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D6F37C7">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2235D18E">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2AE90BED">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54A1FE1B">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9E42299">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11130DE4">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6</w:t>
            </w:r>
          </w:p>
        </w:tc>
      </w:tr>
      <w:tr w14:paraId="73B0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noWrap w:val="0"/>
            <w:vAlign w:val="center"/>
          </w:tcPr>
          <w:p w14:paraId="79F19816">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16AD844F">
            <w:pPr>
              <w:snapToGrid w:val="0"/>
              <w:spacing w:line="240" w:lineRule="atLeast"/>
              <w:jc w:val="center"/>
              <w:rPr>
                <w:rFonts w:hint="default" w:ascii="Times New Roman" w:hAnsi="Times New Roman" w:cs="Times New Roman"/>
                <w:b w:val="0"/>
                <w:bCs w:val="0"/>
                <w:color w:val="000000"/>
                <w:sz w:val="21"/>
                <w:szCs w:val="21"/>
              </w:rPr>
            </w:pPr>
          </w:p>
        </w:tc>
        <w:tc>
          <w:tcPr>
            <w:tcW w:w="654" w:type="dxa"/>
            <w:vMerge w:val="continue"/>
            <w:noWrap w:val="0"/>
            <w:vAlign w:val="center"/>
          </w:tcPr>
          <w:p w14:paraId="4643AE8E">
            <w:pPr>
              <w:snapToGrid w:val="0"/>
              <w:spacing w:line="240" w:lineRule="atLeast"/>
              <w:jc w:val="center"/>
              <w:rPr>
                <w:rFonts w:hint="default" w:ascii="Times New Roman" w:hAnsi="Times New Roman" w:cs="Times New Roman"/>
                <w:b w:val="0"/>
                <w:bCs w:val="0"/>
                <w:color w:val="000000"/>
                <w:sz w:val="21"/>
                <w:szCs w:val="21"/>
              </w:rPr>
            </w:pPr>
          </w:p>
        </w:tc>
        <w:tc>
          <w:tcPr>
            <w:tcW w:w="1803" w:type="dxa"/>
            <w:noWrap w:val="0"/>
            <w:vAlign w:val="center"/>
          </w:tcPr>
          <w:p w14:paraId="1C6C1F2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资金使用率</w:t>
            </w:r>
          </w:p>
        </w:tc>
        <w:tc>
          <w:tcPr>
            <w:tcW w:w="607" w:type="dxa"/>
            <w:noWrap w:val="0"/>
            <w:vAlign w:val="center"/>
          </w:tcPr>
          <w:p w14:paraId="6B8AD37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3</w:t>
            </w:r>
          </w:p>
        </w:tc>
        <w:tc>
          <w:tcPr>
            <w:tcW w:w="724" w:type="dxa"/>
            <w:noWrap w:val="0"/>
            <w:vAlign w:val="center"/>
          </w:tcPr>
          <w:p w14:paraId="13C1279E">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100%</w:t>
            </w:r>
          </w:p>
        </w:tc>
        <w:tc>
          <w:tcPr>
            <w:tcW w:w="691" w:type="dxa"/>
            <w:noWrap w:val="0"/>
            <w:vAlign w:val="center"/>
          </w:tcPr>
          <w:p w14:paraId="4A9011D7">
            <w:pPr>
              <w:snapToGrid w:val="0"/>
              <w:spacing w:line="240" w:lineRule="atLeast"/>
              <w:jc w:val="center"/>
              <w:rPr>
                <w:rFonts w:hint="default" w:ascii="Times New Roman" w:hAnsi="Times New Roman" w:cs="Times New Roman"/>
                <w:b w:val="0"/>
                <w:bCs w:val="0"/>
                <w:color w:val="000000"/>
                <w:sz w:val="21"/>
                <w:szCs w:val="21"/>
              </w:rPr>
            </w:pPr>
          </w:p>
        </w:tc>
        <w:tc>
          <w:tcPr>
            <w:tcW w:w="894" w:type="dxa"/>
            <w:noWrap w:val="0"/>
            <w:vAlign w:val="center"/>
          </w:tcPr>
          <w:p w14:paraId="0A6B01C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反映项目点获得资金的使用情况</w:t>
            </w:r>
          </w:p>
        </w:tc>
        <w:tc>
          <w:tcPr>
            <w:tcW w:w="404" w:type="dxa"/>
            <w:noWrap w:val="0"/>
            <w:vAlign w:val="center"/>
          </w:tcPr>
          <w:p w14:paraId="44D4AFE2">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分级评分法</w:t>
            </w:r>
          </w:p>
        </w:tc>
        <w:tc>
          <w:tcPr>
            <w:tcW w:w="2225" w:type="dxa"/>
            <w:gridSpan w:val="5"/>
            <w:noWrap w:val="0"/>
            <w:vAlign w:val="center"/>
          </w:tcPr>
          <w:p w14:paraId="5D37EB1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Style w:val="29"/>
                <w:rFonts w:hint="default" w:ascii="Times New Roman" w:hAnsi="Times New Roman" w:cs="Times New Roman"/>
                <w:b w:val="0"/>
                <w:bCs w:val="0"/>
                <w:sz w:val="21"/>
                <w:szCs w:val="21"/>
                <w:lang w:bidi="ar"/>
              </w:rPr>
              <w:t>指标得分=项目点实际使用资金/获得补助资金总额×100%*指标分值</w:t>
            </w:r>
            <w:r>
              <w:rPr>
                <w:rStyle w:val="30"/>
                <w:rFonts w:hint="default" w:ascii="Times New Roman" w:hAnsi="Times New Roman" w:cs="Times New Roman"/>
                <w:b w:val="0"/>
                <w:bCs w:val="0"/>
                <w:color w:val="000000"/>
                <w:sz w:val="21"/>
                <w:szCs w:val="21"/>
                <w:lang w:bidi="ar"/>
              </w:rPr>
              <w:t>（后补助资金可不考核本指标）</w:t>
            </w:r>
          </w:p>
        </w:tc>
        <w:tc>
          <w:tcPr>
            <w:tcW w:w="1483" w:type="dxa"/>
            <w:noWrap w:val="0"/>
            <w:vAlign w:val="center"/>
          </w:tcPr>
          <w:p w14:paraId="7AE61E60">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不涉及的将分数调整到预算执行率内（6分）</w:t>
            </w:r>
          </w:p>
        </w:tc>
        <w:tc>
          <w:tcPr>
            <w:tcW w:w="404" w:type="dxa"/>
            <w:noWrap w:val="0"/>
            <w:vAlign w:val="center"/>
          </w:tcPr>
          <w:p w14:paraId="088710A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2DAC879B">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541F212E">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33B30526">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4984655">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1122A06">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1FD9AD1B">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06CBB0F3">
            <w:pPr>
              <w:snapToGrid w:val="0"/>
              <w:spacing w:line="240" w:lineRule="atLeast"/>
              <w:rPr>
                <w:rFonts w:hint="default" w:ascii="Times New Roman" w:hAnsi="Times New Roman" w:cs="Times New Roman"/>
                <w:b w:val="0"/>
                <w:bCs w:val="0"/>
                <w:color w:val="000000"/>
                <w:sz w:val="21"/>
                <w:szCs w:val="21"/>
              </w:rPr>
            </w:pPr>
          </w:p>
        </w:tc>
      </w:tr>
      <w:tr w14:paraId="27C4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16" w:type="dxa"/>
            <w:vMerge w:val="restart"/>
            <w:noWrap w:val="0"/>
            <w:vAlign w:val="center"/>
          </w:tcPr>
          <w:p w14:paraId="614FC071">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产出指标（20分）</w:t>
            </w:r>
          </w:p>
        </w:tc>
        <w:tc>
          <w:tcPr>
            <w:tcW w:w="350" w:type="dxa"/>
            <w:vMerge w:val="restart"/>
            <w:noWrap w:val="0"/>
            <w:vAlign w:val="center"/>
          </w:tcPr>
          <w:p w14:paraId="2BA5210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noWrap w:val="0"/>
            <w:vAlign w:val="center"/>
          </w:tcPr>
          <w:p w14:paraId="1CDAF095">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数量指标</w:t>
            </w:r>
          </w:p>
        </w:tc>
        <w:tc>
          <w:tcPr>
            <w:tcW w:w="1803" w:type="dxa"/>
            <w:noWrap w:val="0"/>
            <w:vAlign w:val="center"/>
          </w:tcPr>
          <w:p w14:paraId="381B7376">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对“船山桃子龙”进行重塑</w:t>
            </w:r>
          </w:p>
        </w:tc>
        <w:tc>
          <w:tcPr>
            <w:tcW w:w="607" w:type="dxa"/>
            <w:noWrap w:val="0"/>
            <w:vAlign w:val="center"/>
          </w:tcPr>
          <w:p w14:paraId="12348A2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014096DB">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=2个</w:t>
            </w:r>
          </w:p>
        </w:tc>
        <w:tc>
          <w:tcPr>
            <w:tcW w:w="691" w:type="dxa"/>
            <w:noWrap w:val="0"/>
            <w:vAlign w:val="center"/>
          </w:tcPr>
          <w:p w14:paraId="4B43343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2个</w:t>
            </w:r>
          </w:p>
        </w:tc>
        <w:tc>
          <w:tcPr>
            <w:tcW w:w="894" w:type="dxa"/>
            <w:noWrap w:val="0"/>
            <w:vAlign w:val="center"/>
          </w:tcPr>
          <w:p w14:paraId="4C2DE6B4">
            <w:pPr>
              <w:snapToGrid w:val="0"/>
              <w:spacing w:line="240" w:lineRule="atLeast"/>
              <w:rPr>
                <w:rFonts w:hint="default" w:ascii="Times New Roman" w:hAnsi="Times New Roman" w:cs="Times New Roman"/>
                <w:b w:val="0"/>
                <w:bCs w:val="0"/>
                <w:color w:val="000000"/>
                <w:sz w:val="21"/>
                <w:szCs w:val="21"/>
              </w:rPr>
            </w:pPr>
          </w:p>
        </w:tc>
        <w:tc>
          <w:tcPr>
            <w:tcW w:w="404" w:type="dxa"/>
            <w:vMerge w:val="restart"/>
            <w:noWrap w:val="0"/>
            <w:vAlign w:val="center"/>
          </w:tcPr>
          <w:p w14:paraId="01C48E98">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21962E14">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7FA83CD8">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75DA6450">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33440434">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BD0B620">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5999FFE7">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AFCF4D6">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2C6CD743">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0CE57FCB">
            <w:pPr>
              <w:snapToGrid w:val="0"/>
              <w:spacing w:line="240" w:lineRule="atLeast"/>
              <w:rPr>
                <w:rFonts w:hint="default" w:ascii="Times New Roman" w:hAnsi="Times New Roman" w:cs="Times New Roman"/>
                <w:b w:val="0"/>
                <w:bCs w:val="0"/>
                <w:color w:val="000000"/>
                <w:sz w:val="21"/>
                <w:szCs w:val="21"/>
              </w:rPr>
            </w:pPr>
          </w:p>
        </w:tc>
        <w:tc>
          <w:tcPr>
            <w:tcW w:w="375" w:type="dxa"/>
            <w:vMerge w:val="restart"/>
            <w:noWrap/>
            <w:vAlign w:val="center"/>
          </w:tcPr>
          <w:p w14:paraId="2C300556">
            <w:pPr>
              <w:snapToGrid w:val="0"/>
              <w:spacing w:line="240" w:lineRule="atLeast"/>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20</w:t>
            </w:r>
          </w:p>
        </w:tc>
      </w:tr>
      <w:tr w14:paraId="4F6D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16" w:type="dxa"/>
            <w:vMerge w:val="continue"/>
            <w:noWrap w:val="0"/>
            <w:vAlign w:val="center"/>
          </w:tcPr>
          <w:p w14:paraId="51E36997">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3BDE6151">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27F05BBC">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质量指标</w:t>
            </w:r>
          </w:p>
        </w:tc>
        <w:tc>
          <w:tcPr>
            <w:tcW w:w="1803" w:type="dxa"/>
            <w:noWrap w:val="0"/>
            <w:vAlign w:val="center"/>
          </w:tcPr>
          <w:p w14:paraId="6E32304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资金发放准确率</w:t>
            </w:r>
          </w:p>
        </w:tc>
        <w:tc>
          <w:tcPr>
            <w:tcW w:w="607" w:type="dxa"/>
            <w:noWrap w:val="0"/>
            <w:vAlign w:val="center"/>
          </w:tcPr>
          <w:p w14:paraId="448DB2B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2CB984FF">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691" w:type="dxa"/>
            <w:noWrap w:val="0"/>
            <w:vAlign w:val="center"/>
          </w:tcPr>
          <w:p w14:paraId="30E92946">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894" w:type="dxa"/>
            <w:noWrap w:val="0"/>
            <w:vAlign w:val="center"/>
          </w:tcPr>
          <w:p w14:paraId="6C8B9FE2">
            <w:pPr>
              <w:snapToGrid w:val="0"/>
              <w:spacing w:line="240" w:lineRule="atLeast"/>
              <w:rPr>
                <w:rFonts w:hint="default" w:ascii="Times New Roman" w:hAnsi="Times New Roman" w:cs="Times New Roman"/>
                <w:b w:val="0"/>
                <w:bCs w:val="0"/>
                <w:color w:val="000000"/>
                <w:sz w:val="21"/>
                <w:szCs w:val="21"/>
              </w:rPr>
            </w:pPr>
          </w:p>
        </w:tc>
        <w:tc>
          <w:tcPr>
            <w:tcW w:w="404" w:type="dxa"/>
            <w:vMerge w:val="continue"/>
            <w:noWrap w:val="0"/>
            <w:vAlign w:val="center"/>
          </w:tcPr>
          <w:p w14:paraId="3E8ECE8C">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4051B170">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1D3098DB">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A09ABCE">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35FB5665">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87F9D91">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73568CD3">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4CFA9497">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59090BE6">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5404AFD5">
            <w:pPr>
              <w:snapToGrid w:val="0"/>
              <w:spacing w:line="240" w:lineRule="atLeast"/>
              <w:rPr>
                <w:rFonts w:hint="default" w:ascii="Times New Roman" w:hAnsi="Times New Roman" w:cs="Times New Roman"/>
                <w:b w:val="0"/>
                <w:bCs w:val="0"/>
                <w:color w:val="000000"/>
                <w:sz w:val="21"/>
                <w:szCs w:val="21"/>
              </w:rPr>
            </w:pPr>
          </w:p>
        </w:tc>
        <w:tc>
          <w:tcPr>
            <w:tcW w:w="375" w:type="dxa"/>
            <w:vMerge w:val="continue"/>
            <w:noWrap/>
            <w:vAlign w:val="center"/>
          </w:tcPr>
          <w:p w14:paraId="0512B8E5">
            <w:pPr>
              <w:snapToGrid w:val="0"/>
              <w:spacing w:line="240" w:lineRule="atLeast"/>
              <w:rPr>
                <w:rFonts w:hint="default" w:ascii="Times New Roman" w:hAnsi="Times New Roman" w:cs="Times New Roman"/>
                <w:b w:val="0"/>
                <w:bCs w:val="0"/>
                <w:color w:val="000000"/>
                <w:sz w:val="21"/>
                <w:szCs w:val="21"/>
              </w:rPr>
            </w:pPr>
          </w:p>
        </w:tc>
      </w:tr>
      <w:tr w14:paraId="0C0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716" w:type="dxa"/>
            <w:vMerge w:val="continue"/>
            <w:noWrap w:val="0"/>
            <w:vAlign w:val="center"/>
          </w:tcPr>
          <w:p w14:paraId="3CC6288E">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6B059E97">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05A4464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成本指标</w:t>
            </w:r>
          </w:p>
        </w:tc>
        <w:tc>
          <w:tcPr>
            <w:tcW w:w="1803" w:type="dxa"/>
            <w:noWrap w:val="0"/>
            <w:vAlign w:val="center"/>
          </w:tcPr>
          <w:p w14:paraId="2CEC586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项目总成本</w:t>
            </w:r>
          </w:p>
        </w:tc>
        <w:tc>
          <w:tcPr>
            <w:tcW w:w="607" w:type="dxa"/>
            <w:noWrap w:val="0"/>
            <w:vAlign w:val="center"/>
          </w:tcPr>
          <w:p w14:paraId="1E89A87E">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5FD9AFE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≤8万元</w:t>
            </w:r>
          </w:p>
        </w:tc>
        <w:tc>
          <w:tcPr>
            <w:tcW w:w="691" w:type="dxa"/>
            <w:noWrap w:val="0"/>
            <w:vAlign w:val="center"/>
          </w:tcPr>
          <w:p w14:paraId="061D613F">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8万元</w:t>
            </w:r>
          </w:p>
        </w:tc>
        <w:tc>
          <w:tcPr>
            <w:tcW w:w="894" w:type="dxa"/>
            <w:noWrap w:val="0"/>
            <w:vAlign w:val="center"/>
          </w:tcPr>
          <w:p w14:paraId="4023CC37">
            <w:pPr>
              <w:snapToGrid w:val="0"/>
              <w:spacing w:line="240" w:lineRule="atLeast"/>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 xml:space="preserve"> </w:t>
            </w:r>
          </w:p>
        </w:tc>
        <w:tc>
          <w:tcPr>
            <w:tcW w:w="404" w:type="dxa"/>
            <w:vMerge w:val="continue"/>
            <w:noWrap w:val="0"/>
            <w:vAlign w:val="center"/>
          </w:tcPr>
          <w:p w14:paraId="3B7D487E">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top"/>
          </w:tcPr>
          <w:p w14:paraId="4C02BE14">
            <w:pPr>
              <w:snapToGrid w:val="0"/>
              <w:spacing w:line="240" w:lineRule="atLeast"/>
              <w:rPr>
                <w:rFonts w:hint="default" w:ascii="Times New Roman" w:hAnsi="Times New Roman" w:cs="Times New Roman"/>
                <w:b w:val="0"/>
                <w:bCs w:val="0"/>
                <w:color w:val="000000"/>
                <w:sz w:val="21"/>
                <w:szCs w:val="21"/>
              </w:rPr>
            </w:pPr>
          </w:p>
        </w:tc>
        <w:tc>
          <w:tcPr>
            <w:tcW w:w="1483" w:type="dxa"/>
            <w:noWrap w:val="0"/>
            <w:vAlign w:val="center"/>
          </w:tcPr>
          <w:p w14:paraId="6A568EC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B5D1B75">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6A722802">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16186C02">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65F04876">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5927864F">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0217CD3C">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48A6BA73">
            <w:pPr>
              <w:snapToGrid w:val="0"/>
              <w:spacing w:line="240" w:lineRule="atLeast"/>
              <w:rPr>
                <w:rFonts w:hint="default" w:ascii="Times New Roman" w:hAnsi="Times New Roman" w:cs="Times New Roman"/>
                <w:b w:val="0"/>
                <w:bCs w:val="0"/>
                <w:color w:val="000000"/>
                <w:sz w:val="21"/>
                <w:szCs w:val="21"/>
              </w:rPr>
            </w:pPr>
          </w:p>
        </w:tc>
        <w:tc>
          <w:tcPr>
            <w:tcW w:w="375" w:type="dxa"/>
            <w:vMerge w:val="continue"/>
            <w:noWrap/>
            <w:vAlign w:val="center"/>
          </w:tcPr>
          <w:p w14:paraId="6C321A87">
            <w:pPr>
              <w:snapToGrid w:val="0"/>
              <w:spacing w:line="240" w:lineRule="atLeast"/>
              <w:rPr>
                <w:rFonts w:hint="default" w:ascii="Times New Roman" w:hAnsi="Times New Roman" w:cs="Times New Roman"/>
                <w:b w:val="0"/>
                <w:bCs w:val="0"/>
                <w:color w:val="000000"/>
                <w:sz w:val="21"/>
                <w:szCs w:val="21"/>
              </w:rPr>
            </w:pPr>
          </w:p>
        </w:tc>
      </w:tr>
      <w:tr w14:paraId="3266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716" w:type="dxa"/>
            <w:vMerge w:val="continue"/>
            <w:noWrap w:val="0"/>
            <w:vAlign w:val="center"/>
          </w:tcPr>
          <w:p w14:paraId="36D0A932">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5363816D">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0F32017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时效指标</w:t>
            </w:r>
          </w:p>
        </w:tc>
        <w:tc>
          <w:tcPr>
            <w:tcW w:w="1803" w:type="dxa"/>
            <w:noWrap w:val="0"/>
            <w:vAlign w:val="center"/>
          </w:tcPr>
          <w:p w14:paraId="71D145A8">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演出完成及时率</w:t>
            </w:r>
          </w:p>
        </w:tc>
        <w:tc>
          <w:tcPr>
            <w:tcW w:w="607" w:type="dxa"/>
            <w:noWrap w:val="0"/>
            <w:vAlign w:val="center"/>
          </w:tcPr>
          <w:p w14:paraId="3BA4211A">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w:t>
            </w:r>
          </w:p>
        </w:tc>
        <w:tc>
          <w:tcPr>
            <w:tcW w:w="724" w:type="dxa"/>
            <w:noWrap w:val="0"/>
            <w:vAlign w:val="center"/>
          </w:tcPr>
          <w:p w14:paraId="197614E7">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691" w:type="dxa"/>
            <w:noWrap w:val="0"/>
            <w:vAlign w:val="center"/>
          </w:tcPr>
          <w:p w14:paraId="61B80005">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894" w:type="dxa"/>
            <w:noWrap w:val="0"/>
            <w:vAlign w:val="center"/>
          </w:tcPr>
          <w:p w14:paraId="0A59417E">
            <w:pPr>
              <w:snapToGrid w:val="0"/>
              <w:spacing w:line="240" w:lineRule="atLeast"/>
              <w:rPr>
                <w:rFonts w:hint="default" w:ascii="Times New Roman" w:hAnsi="Times New Roman" w:cs="Times New Roman"/>
                <w:b w:val="0"/>
                <w:bCs w:val="0"/>
                <w:color w:val="000000"/>
                <w:sz w:val="21"/>
                <w:szCs w:val="21"/>
              </w:rPr>
            </w:pPr>
          </w:p>
        </w:tc>
        <w:tc>
          <w:tcPr>
            <w:tcW w:w="404" w:type="dxa"/>
            <w:vMerge w:val="continue"/>
            <w:noWrap w:val="0"/>
            <w:vAlign w:val="center"/>
          </w:tcPr>
          <w:p w14:paraId="0053925C">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35596BE2">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247F472A">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E45ACC5">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10C24C34">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7355B153">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4D7DF1BD">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5171B762">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6EC7F669">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5A00DFFB">
            <w:pPr>
              <w:snapToGrid w:val="0"/>
              <w:spacing w:line="240" w:lineRule="atLeast"/>
              <w:rPr>
                <w:rFonts w:hint="default" w:ascii="Times New Roman" w:hAnsi="Times New Roman" w:cs="Times New Roman"/>
                <w:b w:val="0"/>
                <w:bCs w:val="0"/>
                <w:color w:val="000000"/>
                <w:sz w:val="21"/>
                <w:szCs w:val="21"/>
              </w:rPr>
            </w:pPr>
          </w:p>
        </w:tc>
        <w:tc>
          <w:tcPr>
            <w:tcW w:w="375" w:type="dxa"/>
            <w:vMerge w:val="continue"/>
            <w:noWrap/>
            <w:vAlign w:val="center"/>
          </w:tcPr>
          <w:p w14:paraId="16974D98">
            <w:pPr>
              <w:snapToGrid w:val="0"/>
              <w:spacing w:line="240" w:lineRule="atLeast"/>
              <w:rPr>
                <w:rFonts w:hint="default" w:ascii="Times New Roman" w:hAnsi="Times New Roman" w:cs="Times New Roman"/>
                <w:b w:val="0"/>
                <w:bCs w:val="0"/>
                <w:color w:val="000000"/>
                <w:sz w:val="21"/>
                <w:szCs w:val="21"/>
              </w:rPr>
            </w:pPr>
          </w:p>
        </w:tc>
      </w:tr>
      <w:tr w14:paraId="6525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16" w:type="dxa"/>
            <w:vMerge w:val="restart"/>
            <w:noWrap w:val="0"/>
            <w:vAlign w:val="center"/>
          </w:tcPr>
          <w:p w14:paraId="352D06F7">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效益指标（50分）</w:t>
            </w:r>
          </w:p>
        </w:tc>
        <w:tc>
          <w:tcPr>
            <w:tcW w:w="350" w:type="dxa"/>
            <w:vMerge w:val="restart"/>
            <w:noWrap w:val="0"/>
            <w:vAlign w:val="center"/>
          </w:tcPr>
          <w:p w14:paraId="2313C493">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至少填写一栏效益</w:t>
            </w:r>
          </w:p>
        </w:tc>
        <w:tc>
          <w:tcPr>
            <w:tcW w:w="654" w:type="dxa"/>
            <w:noWrap w:val="0"/>
            <w:vAlign w:val="center"/>
          </w:tcPr>
          <w:p w14:paraId="09825D88">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社会效益</w:t>
            </w:r>
          </w:p>
        </w:tc>
        <w:tc>
          <w:tcPr>
            <w:tcW w:w="1803" w:type="dxa"/>
            <w:noWrap w:val="0"/>
            <w:vAlign w:val="center"/>
          </w:tcPr>
          <w:p w14:paraId="66D2EA2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提高对非物质文化遗产保护率</w:t>
            </w:r>
          </w:p>
        </w:tc>
        <w:tc>
          <w:tcPr>
            <w:tcW w:w="607" w:type="dxa"/>
            <w:vMerge w:val="restart"/>
            <w:noWrap w:val="0"/>
            <w:vAlign w:val="center"/>
          </w:tcPr>
          <w:p w14:paraId="0D7BA454">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50</w:t>
            </w:r>
          </w:p>
        </w:tc>
        <w:tc>
          <w:tcPr>
            <w:tcW w:w="724" w:type="dxa"/>
            <w:noWrap w:val="0"/>
            <w:vAlign w:val="center"/>
          </w:tcPr>
          <w:p w14:paraId="3A7CA982">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≥96%</w:t>
            </w:r>
          </w:p>
        </w:tc>
        <w:tc>
          <w:tcPr>
            <w:tcW w:w="691" w:type="dxa"/>
            <w:noWrap w:val="0"/>
            <w:vAlign w:val="center"/>
          </w:tcPr>
          <w:p w14:paraId="60B496D1">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97%</w:t>
            </w:r>
          </w:p>
        </w:tc>
        <w:tc>
          <w:tcPr>
            <w:tcW w:w="894" w:type="dxa"/>
            <w:noWrap w:val="0"/>
            <w:vAlign w:val="center"/>
          </w:tcPr>
          <w:p w14:paraId="2FB9BE60">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527A02BB">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38A330A8">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3B2F0411">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5279C5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0A8A2D63">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E1E992C">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67E64A6C">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10DBB32">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647AFDED">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6E80864E">
            <w:pPr>
              <w:snapToGrid w:val="0"/>
              <w:spacing w:line="240" w:lineRule="atLeast"/>
              <w:rPr>
                <w:rFonts w:hint="default" w:ascii="Times New Roman" w:hAnsi="Times New Roman" w:cs="Times New Roman"/>
                <w:b w:val="0"/>
                <w:bCs w:val="0"/>
                <w:color w:val="000000"/>
                <w:sz w:val="21"/>
                <w:szCs w:val="21"/>
              </w:rPr>
            </w:pPr>
          </w:p>
        </w:tc>
        <w:tc>
          <w:tcPr>
            <w:tcW w:w="375" w:type="dxa"/>
            <w:vMerge w:val="restart"/>
            <w:noWrap/>
            <w:vAlign w:val="center"/>
          </w:tcPr>
          <w:p w14:paraId="566AC348">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50</w:t>
            </w:r>
          </w:p>
        </w:tc>
      </w:tr>
      <w:tr w14:paraId="33FD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16" w:type="dxa"/>
            <w:vMerge w:val="continue"/>
            <w:noWrap w:val="0"/>
            <w:vAlign w:val="center"/>
          </w:tcPr>
          <w:p w14:paraId="539F364D">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0F6D5F81">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6BF00C66">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可持续影响指标</w:t>
            </w:r>
          </w:p>
        </w:tc>
        <w:tc>
          <w:tcPr>
            <w:tcW w:w="1803" w:type="dxa"/>
            <w:noWrap w:val="0"/>
            <w:vAlign w:val="center"/>
          </w:tcPr>
          <w:p w14:paraId="43CA3BB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内控管理制度健全性</w:t>
            </w:r>
          </w:p>
        </w:tc>
        <w:tc>
          <w:tcPr>
            <w:tcW w:w="607" w:type="dxa"/>
            <w:vMerge w:val="continue"/>
            <w:noWrap w:val="0"/>
            <w:vAlign w:val="center"/>
          </w:tcPr>
          <w:p w14:paraId="5B7951B7">
            <w:pPr>
              <w:snapToGrid w:val="0"/>
              <w:spacing w:line="240" w:lineRule="atLeast"/>
              <w:jc w:val="center"/>
              <w:rPr>
                <w:rFonts w:hint="default" w:ascii="Times New Roman" w:hAnsi="Times New Roman" w:cs="Times New Roman"/>
                <w:b w:val="0"/>
                <w:bCs w:val="0"/>
                <w:color w:val="000000"/>
                <w:sz w:val="21"/>
                <w:szCs w:val="21"/>
              </w:rPr>
            </w:pPr>
          </w:p>
        </w:tc>
        <w:tc>
          <w:tcPr>
            <w:tcW w:w="724" w:type="dxa"/>
            <w:noWrap w:val="0"/>
            <w:vAlign w:val="center"/>
          </w:tcPr>
          <w:p w14:paraId="4F284918">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定性</w:t>
            </w:r>
          </w:p>
        </w:tc>
        <w:tc>
          <w:tcPr>
            <w:tcW w:w="691" w:type="dxa"/>
            <w:noWrap w:val="0"/>
            <w:vAlign w:val="center"/>
          </w:tcPr>
          <w:p w14:paraId="4E61D2CD">
            <w:pPr>
              <w:snapToGrid w:val="0"/>
              <w:spacing w:line="240" w:lineRule="atLeast"/>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定性</w:t>
            </w:r>
          </w:p>
        </w:tc>
        <w:tc>
          <w:tcPr>
            <w:tcW w:w="894" w:type="dxa"/>
            <w:noWrap w:val="0"/>
            <w:vAlign w:val="center"/>
          </w:tcPr>
          <w:p w14:paraId="7858DECE">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765E67E">
            <w:pPr>
              <w:snapToGrid w:val="0"/>
              <w:spacing w:line="240" w:lineRule="atLeast"/>
              <w:jc w:val="center"/>
              <w:rPr>
                <w:rFonts w:hint="default" w:ascii="Times New Roman" w:hAnsi="Times New Roman" w:cs="Times New Roman"/>
                <w:b w:val="0"/>
                <w:bCs w:val="0"/>
                <w:color w:val="000000"/>
                <w:sz w:val="21"/>
                <w:szCs w:val="21"/>
              </w:rPr>
            </w:pPr>
          </w:p>
        </w:tc>
        <w:tc>
          <w:tcPr>
            <w:tcW w:w="2225" w:type="dxa"/>
            <w:gridSpan w:val="5"/>
            <w:noWrap w:val="0"/>
            <w:vAlign w:val="center"/>
          </w:tcPr>
          <w:p w14:paraId="0B395DEA">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2E648C38">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36C53045">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243C33B4">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3954CAD0">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E0E9402">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1B4CBC97">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7CA5E0E0">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918683F">
            <w:pPr>
              <w:snapToGrid w:val="0"/>
              <w:spacing w:line="240" w:lineRule="atLeast"/>
              <w:rPr>
                <w:rFonts w:hint="default" w:ascii="Times New Roman" w:hAnsi="Times New Roman" w:cs="Times New Roman"/>
                <w:b w:val="0"/>
                <w:bCs w:val="0"/>
                <w:color w:val="000000"/>
                <w:sz w:val="21"/>
                <w:szCs w:val="21"/>
              </w:rPr>
            </w:pPr>
          </w:p>
        </w:tc>
        <w:tc>
          <w:tcPr>
            <w:tcW w:w="375" w:type="dxa"/>
            <w:vMerge w:val="continue"/>
            <w:noWrap/>
            <w:vAlign w:val="center"/>
          </w:tcPr>
          <w:p w14:paraId="5D22DDD5">
            <w:pPr>
              <w:snapToGrid w:val="0"/>
              <w:spacing w:line="240" w:lineRule="atLeast"/>
              <w:rPr>
                <w:rFonts w:hint="default" w:ascii="Times New Roman" w:hAnsi="Times New Roman" w:cs="Times New Roman"/>
                <w:b w:val="0"/>
                <w:bCs w:val="0"/>
                <w:color w:val="000000"/>
                <w:sz w:val="21"/>
                <w:szCs w:val="21"/>
              </w:rPr>
            </w:pPr>
          </w:p>
        </w:tc>
      </w:tr>
      <w:tr w14:paraId="2C0C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16" w:type="dxa"/>
            <w:vMerge w:val="continue"/>
            <w:noWrap w:val="0"/>
            <w:vAlign w:val="center"/>
          </w:tcPr>
          <w:p w14:paraId="7C9880F0">
            <w:pPr>
              <w:snapToGrid w:val="0"/>
              <w:spacing w:line="240" w:lineRule="atLeast"/>
              <w:jc w:val="center"/>
              <w:rPr>
                <w:rFonts w:hint="default" w:ascii="Times New Roman" w:hAnsi="Times New Roman" w:cs="Times New Roman"/>
                <w:b w:val="0"/>
                <w:bCs w:val="0"/>
                <w:color w:val="000000"/>
                <w:sz w:val="21"/>
                <w:szCs w:val="21"/>
              </w:rPr>
            </w:pPr>
          </w:p>
        </w:tc>
        <w:tc>
          <w:tcPr>
            <w:tcW w:w="350" w:type="dxa"/>
            <w:vMerge w:val="continue"/>
            <w:noWrap w:val="0"/>
            <w:vAlign w:val="center"/>
          </w:tcPr>
          <w:p w14:paraId="101D2104">
            <w:pPr>
              <w:snapToGrid w:val="0"/>
              <w:spacing w:line="240" w:lineRule="atLeast"/>
              <w:jc w:val="center"/>
              <w:rPr>
                <w:rFonts w:hint="default" w:ascii="Times New Roman" w:hAnsi="Times New Roman" w:cs="Times New Roman"/>
                <w:b w:val="0"/>
                <w:bCs w:val="0"/>
                <w:color w:val="000000"/>
                <w:sz w:val="21"/>
                <w:szCs w:val="21"/>
              </w:rPr>
            </w:pPr>
          </w:p>
        </w:tc>
        <w:tc>
          <w:tcPr>
            <w:tcW w:w="654" w:type="dxa"/>
            <w:noWrap w:val="0"/>
            <w:vAlign w:val="center"/>
          </w:tcPr>
          <w:p w14:paraId="1950200B">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生态效益</w:t>
            </w:r>
          </w:p>
        </w:tc>
        <w:tc>
          <w:tcPr>
            <w:tcW w:w="1803" w:type="dxa"/>
            <w:noWrap w:val="0"/>
            <w:vAlign w:val="center"/>
          </w:tcPr>
          <w:p w14:paraId="5261A862">
            <w:pPr>
              <w:snapToGrid w:val="0"/>
              <w:spacing w:line="240" w:lineRule="atLeast"/>
              <w:jc w:val="center"/>
              <w:rPr>
                <w:rFonts w:hint="default" w:ascii="Times New Roman" w:hAnsi="Times New Roman" w:cs="Times New Roman"/>
                <w:b w:val="0"/>
                <w:bCs w:val="0"/>
                <w:color w:val="000000"/>
                <w:sz w:val="21"/>
                <w:szCs w:val="21"/>
              </w:rPr>
            </w:pPr>
          </w:p>
        </w:tc>
        <w:tc>
          <w:tcPr>
            <w:tcW w:w="607" w:type="dxa"/>
            <w:vMerge w:val="restart"/>
            <w:noWrap w:val="0"/>
            <w:vAlign w:val="center"/>
          </w:tcPr>
          <w:p w14:paraId="5A48C7CE">
            <w:pPr>
              <w:snapToGrid w:val="0"/>
              <w:spacing w:line="240" w:lineRule="atLeast"/>
              <w:jc w:val="center"/>
              <w:rPr>
                <w:rFonts w:hint="default" w:ascii="Times New Roman" w:hAnsi="Times New Roman" w:cs="Times New Roman"/>
                <w:b w:val="0"/>
                <w:bCs w:val="0"/>
                <w:color w:val="000000"/>
                <w:sz w:val="21"/>
                <w:szCs w:val="21"/>
              </w:rPr>
            </w:pPr>
          </w:p>
        </w:tc>
        <w:tc>
          <w:tcPr>
            <w:tcW w:w="724" w:type="dxa"/>
            <w:noWrap w:val="0"/>
            <w:vAlign w:val="center"/>
          </w:tcPr>
          <w:p w14:paraId="5D6C3F86">
            <w:pPr>
              <w:snapToGrid w:val="0"/>
              <w:spacing w:line="240" w:lineRule="atLeast"/>
              <w:jc w:val="center"/>
              <w:rPr>
                <w:rFonts w:hint="default" w:ascii="Times New Roman" w:hAnsi="Times New Roman" w:cs="Times New Roman"/>
                <w:b w:val="0"/>
                <w:bCs w:val="0"/>
                <w:color w:val="000000"/>
                <w:sz w:val="21"/>
                <w:szCs w:val="21"/>
              </w:rPr>
            </w:pPr>
          </w:p>
        </w:tc>
        <w:tc>
          <w:tcPr>
            <w:tcW w:w="691" w:type="dxa"/>
            <w:noWrap w:val="0"/>
            <w:vAlign w:val="center"/>
          </w:tcPr>
          <w:p w14:paraId="4737E6F9">
            <w:pPr>
              <w:snapToGrid w:val="0"/>
              <w:spacing w:line="240" w:lineRule="atLeast"/>
              <w:jc w:val="center"/>
              <w:rPr>
                <w:rFonts w:hint="default" w:ascii="Times New Roman" w:hAnsi="Times New Roman" w:cs="Times New Roman"/>
                <w:b w:val="0"/>
                <w:bCs w:val="0"/>
                <w:color w:val="000000"/>
                <w:sz w:val="21"/>
                <w:szCs w:val="21"/>
              </w:rPr>
            </w:pPr>
          </w:p>
        </w:tc>
        <w:tc>
          <w:tcPr>
            <w:tcW w:w="894" w:type="dxa"/>
            <w:noWrap w:val="0"/>
            <w:vAlign w:val="center"/>
          </w:tcPr>
          <w:p w14:paraId="3E355F78">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0FB07099">
            <w:pPr>
              <w:snapToGrid w:val="0"/>
              <w:spacing w:line="240" w:lineRule="atLeast"/>
              <w:rPr>
                <w:rFonts w:hint="default" w:ascii="Times New Roman" w:hAnsi="Times New Roman" w:cs="Times New Roman"/>
                <w:b w:val="0"/>
                <w:bCs w:val="0"/>
                <w:color w:val="000000"/>
                <w:sz w:val="21"/>
                <w:szCs w:val="21"/>
              </w:rPr>
            </w:pPr>
          </w:p>
        </w:tc>
        <w:tc>
          <w:tcPr>
            <w:tcW w:w="2225" w:type="dxa"/>
            <w:gridSpan w:val="5"/>
            <w:noWrap w:val="0"/>
            <w:vAlign w:val="center"/>
          </w:tcPr>
          <w:p w14:paraId="7F6B9E92">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44C87B16">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17C2D4D4">
            <w:pPr>
              <w:snapToGrid w:val="0"/>
              <w:spacing w:line="240" w:lineRule="atLeast"/>
              <w:jc w:val="center"/>
              <w:rPr>
                <w:rFonts w:hint="default" w:ascii="Times New Roman" w:hAnsi="Times New Roman" w:cs="Times New Roman"/>
                <w:b w:val="0"/>
                <w:bCs w:val="0"/>
                <w:color w:val="000000"/>
                <w:sz w:val="21"/>
                <w:szCs w:val="21"/>
              </w:rPr>
            </w:pPr>
          </w:p>
        </w:tc>
        <w:tc>
          <w:tcPr>
            <w:tcW w:w="371" w:type="dxa"/>
            <w:noWrap w:val="0"/>
            <w:vAlign w:val="center"/>
          </w:tcPr>
          <w:p w14:paraId="05FF743C">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2F6797DF">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0C3820D1">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726A4078">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69F97780">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3DBEA247">
            <w:pPr>
              <w:snapToGrid w:val="0"/>
              <w:spacing w:line="240" w:lineRule="atLeast"/>
              <w:rPr>
                <w:rFonts w:hint="default" w:ascii="Times New Roman" w:hAnsi="Times New Roman" w:cs="Times New Roman"/>
                <w:b w:val="0"/>
                <w:bCs w:val="0"/>
                <w:color w:val="000000"/>
                <w:sz w:val="21"/>
                <w:szCs w:val="21"/>
              </w:rPr>
            </w:pPr>
          </w:p>
        </w:tc>
        <w:tc>
          <w:tcPr>
            <w:tcW w:w="375" w:type="dxa"/>
            <w:noWrap/>
            <w:vAlign w:val="center"/>
          </w:tcPr>
          <w:p w14:paraId="7C8B9D6E">
            <w:pPr>
              <w:snapToGrid w:val="0"/>
              <w:spacing w:line="240" w:lineRule="atLeast"/>
              <w:rPr>
                <w:rFonts w:hint="default" w:ascii="Times New Roman" w:hAnsi="Times New Roman" w:cs="Times New Roman"/>
                <w:b w:val="0"/>
                <w:bCs w:val="0"/>
                <w:color w:val="000000"/>
                <w:sz w:val="21"/>
                <w:szCs w:val="21"/>
              </w:rPr>
            </w:pPr>
          </w:p>
        </w:tc>
      </w:tr>
      <w:tr w14:paraId="18AF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vMerge w:val="restart"/>
            <w:noWrap w:val="0"/>
            <w:vAlign w:val="center"/>
          </w:tcPr>
          <w:p w14:paraId="7CE582AF">
            <w:pPr>
              <w:widowControl/>
              <w:snapToGrid w:val="0"/>
              <w:spacing w:line="240" w:lineRule="atLeast"/>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满意度（10分）</w:t>
            </w:r>
          </w:p>
        </w:tc>
        <w:tc>
          <w:tcPr>
            <w:tcW w:w="350" w:type="dxa"/>
            <w:vMerge w:val="restart"/>
            <w:noWrap w:val="0"/>
            <w:vAlign w:val="center"/>
          </w:tcPr>
          <w:p w14:paraId="07E3B7F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所有项目</w:t>
            </w:r>
          </w:p>
        </w:tc>
        <w:tc>
          <w:tcPr>
            <w:tcW w:w="654" w:type="dxa"/>
            <w:vMerge w:val="restart"/>
            <w:noWrap w:val="0"/>
            <w:vAlign w:val="center"/>
          </w:tcPr>
          <w:p w14:paraId="0FB477EF">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eastAsia="宋体" w:cs="Times New Roman"/>
                <w:b w:val="0"/>
                <w:bCs w:val="0"/>
                <w:color w:val="000000"/>
                <w:sz w:val="21"/>
                <w:szCs w:val="21"/>
                <w:lang w:bidi="ar"/>
              </w:rPr>
              <w:t>满意</w:t>
            </w:r>
            <w:r>
              <w:rPr>
                <w:rFonts w:hint="default" w:ascii="Times New Roman" w:hAnsi="Times New Roman" w:cs="Times New Roman"/>
                <w:b w:val="0"/>
                <w:bCs w:val="0"/>
                <w:color w:val="000000"/>
                <w:sz w:val="21"/>
                <w:szCs w:val="21"/>
                <w:lang w:bidi="ar"/>
              </w:rPr>
              <w:t>度</w:t>
            </w:r>
          </w:p>
        </w:tc>
        <w:tc>
          <w:tcPr>
            <w:tcW w:w="1803" w:type="dxa"/>
            <w:noWrap w:val="0"/>
            <w:vAlign w:val="center"/>
          </w:tcPr>
          <w:p w14:paraId="623916E9">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群众满意度</w:t>
            </w:r>
          </w:p>
        </w:tc>
        <w:tc>
          <w:tcPr>
            <w:tcW w:w="607" w:type="dxa"/>
            <w:vMerge w:val="restart"/>
            <w:noWrap w:val="0"/>
            <w:vAlign w:val="center"/>
          </w:tcPr>
          <w:p w14:paraId="0C4B63B5">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w:t>
            </w:r>
          </w:p>
        </w:tc>
        <w:tc>
          <w:tcPr>
            <w:tcW w:w="724" w:type="dxa"/>
            <w:noWrap w:val="0"/>
            <w:vAlign w:val="center"/>
          </w:tcPr>
          <w:p w14:paraId="0DBA5CAC">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≥98%</w:t>
            </w:r>
          </w:p>
        </w:tc>
        <w:tc>
          <w:tcPr>
            <w:tcW w:w="691" w:type="dxa"/>
            <w:noWrap w:val="0"/>
            <w:vAlign w:val="center"/>
          </w:tcPr>
          <w:p w14:paraId="76A6FAFA">
            <w:pPr>
              <w:widowControl/>
              <w:snapToGrid w:val="0"/>
              <w:spacing w:line="240" w:lineRule="atLeast"/>
              <w:textAlignment w:val="center"/>
              <w:rPr>
                <w:rFonts w:hint="default"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98%</w:t>
            </w:r>
          </w:p>
        </w:tc>
        <w:tc>
          <w:tcPr>
            <w:tcW w:w="894" w:type="dxa"/>
            <w:noWrap w:val="0"/>
            <w:vAlign w:val="center"/>
          </w:tcPr>
          <w:p w14:paraId="5BD8115D">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eastAsia="zh-CN" w:bidi="ar-SA"/>
              </w:rPr>
            </w:pPr>
          </w:p>
        </w:tc>
        <w:tc>
          <w:tcPr>
            <w:tcW w:w="404" w:type="dxa"/>
            <w:noWrap w:val="0"/>
            <w:vAlign w:val="center"/>
          </w:tcPr>
          <w:p w14:paraId="518D9B5B">
            <w:pPr>
              <w:snapToGrid w:val="0"/>
              <w:spacing w:line="240" w:lineRule="atLeast"/>
              <w:rPr>
                <w:rFonts w:hint="default" w:ascii="Times New Roman" w:hAnsi="Times New Roman" w:cs="Times New Roman"/>
                <w:b w:val="0"/>
                <w:bCs w:val="0"/>
                <w:color w:val="000000"/>
                <w:sz w:val="21"/>
                <w:szCs w:val="21"/>
              </w:rPr>
            </w:pPr>
          </w:p>
        </w:tc>
        <w:tc>
          <w:tcPr>
            <w:tcW w:w="2225" w:type="dxa"/>
            <w:gridSpan w:val="5"/>
            <w:noWrap w:val="0"/>
            <w:vAlign w:val="center"/>
          </w:tcPr>
          <w:p w14:paraId="5F868610">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0434405D">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66E35A14">
            <w:pPr>
              <w:widowControl/>
              <w:snapToGrid w:val="0"/>
              <w:spacing w:line="240" w:lineRule="atLeast"/>
              <w:jc w:val="center"/>
              <w:textAlignment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bidi="ar"/>
              </w:rPr>
              <w:t>√</w:t>
            </w:r>
          </w:p>
        </w:tc>
        <w:tc>
          <w:tcPr>
            <w:tcW w:w="371" w:type="dxa"/>
            <w:noWrap w:val="0"/>
            <w:vAlign w:val="center"/>
          </w:tcPr>
          <w:p w14:paraId="5AEAD26A">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C03788A">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45D1A9D1">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5437EF54">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6AC73CCD">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05297ACD">
            <w:pPr>
              <w:snapToGrid w:val="0"/>
              <w:spacing w:line="240" w:lineRule="atLeast"/>
              <w:rPr>
                <w:rFonts w:hint="default" w:ascii="Times New Roman" w:hAnsi="Times New Roman" w:cs="Times New Roman"/>
                <w:b w:val="0"/>
                <w:bCs w:val="0"/>
                <w:color w:val="000000"/>
                <w:sz w:val="21"/>
                <w:szCs w:val="21"/>
              </w:rPr>
            </w:pPr>
          </w:p>
        </w:tc>
        <w:tc>
          <w:tcPr>
            <w:tcW w:w="375" w:type="dxa"/>
            <w:vMerge w:val="restart"/>
            <w:noWrap/>
            <w:vAlign w:val="center"/>
          </w:tcPr>
          <w:p w14:paraId="152BBEFE">
            <w:pPr>
              <w:snapToGrid w:val="0"/>
              <w:spacing w:line="240" w:lineRule="atLeast"/>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10</w:t>
            </w:r>
          </w:p>
        </w:tc>
      </w:tr>
      <w:tr w14:paraId="112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716" w:type="dxa"/>
            <w:vMerge w:val="continue"/>
            <w:noWrap w:val="0"/>
            <w:vAlign w:val="center"/>
          </w:tcPr>
          <w:p w14:paraId="361BA4C3">
            <w:pPr>
              <w:widowControl/>
              <w:snapToGrid w:val="0"/>
              <w:spacing w:line="240" w:lineRule="atLeast"/>
              <w:textAlignment w:val="center"/>
              <w:rPr>
                <w:rFonts w:hint="default" w:ascii="Times New Roman" w:hAnsi="Times New Roman" w:cs="Times New Roman"/>
                <w:b w:val="0"/>
                <w:bCs w:val="0"/>
                <w:color w:val="000000"/>
                <w:sz w:val="21"/>
                <w:szCs w:val="21"/>
                <w:lang w:bidi="ar"/>
              </w:rPr>
            </w:pPr>
          </w:p>
        </w:tc>
        <w:tc>
          <w:tcPr>
            <w:tcW w:w="350" w:type="dxa"/>
            <w:vMerge w:val="continue"/>
            <w:noWrap w:val="0"/>
            <w:vAlign w:val="center"/>
          </w:tcPr>
          <w:p w14:paraId="04EF93DF">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654" w:type="dxa"/>
            <w:vMerge w:val="continue"/>
            <w:noWrap w:val="0"/>
            <w:vAlign w:val="center"/>
          </w:tcPr>
          <w:p w14:paraId="2D0C5340">
            <w:pPr>
              <w:widowControl/>
              <w:snapToGrid w:val="0"/>
              <w:spacing w:line="240" w:lineRule="atLeast"/>
              <w:jc w:val="center"/>
              <w:textAlignment w:val="center"/>
              <w:rPr>
                <w:rFonts w:hint="default" w:ascii="Times New Roman" w:hAnsi="Times New Roman" w:eastAsia="宋体" w:cs="Times New Roman"/>
                <w:b w:val="0"/>
                <w:bCs w:val="0"/>
                <w:color w:val="000000"/>
                <w:sz w:val="21"/>
                <w:szCs w:val="21"/>
                <w:lang w:bidi="ar"/>
              </w:rPr>
            </w:pPr>
          </w:p>
        </w:tc>
        <w:tc>
          <w:tcPr>
            <w:tcW w:w="1803" w:type="dxa"/>
            <w:noWrap w:val="0"/>
            <w:vAlign w:val="center"/>
          </w:tcPr>
          <w:p w14:paraId="61866C5A">
            <w:pPr>
              <w:widowControl/>
              <w:snapToGrid w:val="0"/>
              <w:spacing w:line="240" w:lineRule="atLeast"/>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传承人满意度</w:t>
            </w:r>
          </w:p>
        </w:tc>
        <w:tc>
          <w:tcPr>
            <w:tcW w:w="607" w:type="dxa"/>
            <w:vMerge w:val="continue"/>
            <w:noWrap w:val="0"/>
            <w:vAlign w:val="center"/>
          </w:tcPr>
          <w:p w14:paraId="7BC96A0A">
            <w:pPr>
              <w:widowControl/>
              <w:snapToGrid w:val="0"/>
              <w:spacing w:line="240" w:lineRule="atLeast"/>
              <w:textAlignment w:val="center"/>
              <w:rPr>
                <w:rFonts w:hint="eastAsia" w:ascii="Times New Roman" w:hAnsi="Times New Roman" w:eastAsia="宋体" w:cs="Times New Roman"/>
                <w:b w:val="0"/>
                <w:bCs w:val="0"/>
                <w:color w:val="000000"/>
                <w:sz w:val="21"/>
                <w:szCs w:val="21"/>
                <w:lang w:val="en-US" w:eastAsia="zh-CN" w:bidi="ar"/>
              </w:rPr>
            </w:pPr>
          </w:p>
        </w:tc>
        <w:tc>
          <w:tcPr>
            <w:tcW w:w="724" w:type="dxa"/>
            <w:shd w:val="clear" w:color="auto" w:fill="auto"/>
            <w:noWrap w:val="0"/>
            <w:vAlign w:val="center"/>
          </w:tcPr>
          <w:p w14:paraId="6C9A18F1">
            <w:pPr>
              <w:widowControl/>
              <w:snapToGrid w:val="0"/>
              <w:spacing w:line="240" w:lineRule="atLeast"/>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≥98%</w:t>
            </w:r>
          </w:p>
        </w:tc>
        <w:tc>
          <w:tcPr>
            <w:tcW w:w="691" w:type="dxa"/>
            <w:shd w:val="clear" w:color="auto" w:fill="auto"/>
            <w:noWrap w:val="0"/>
            <w:vAlign w:val="center"/>
          </w:tcPr>
          <w:p w14:paraId="0F163056">
            <w:pPr>
              <w:widowControl/>
              <w:snapToGrid w:val="0"/>
              <w:spacing w:line="240" w:lineRule="atLeast"/>
              <w:textAlignment w:val="center"/>
              <w:rPr>
                <w:rFonts w:hint="eastAsia" w:ascii="Times New Roman" w:hAnsi="Times New Roman" w:eastAsia="宋体" w:cs="Times New Roman"/>
                <w:b w:val="0"/>
                <w:bCs w:val="0"/>
                <w:color w:val="000000"/>
                <w:sz w:val="21"/>
                <w:szCs w:val="21"/>
                <w:lang w:val="en-US" w:eastAsia="zh-CN" w:bidi="ar"/>
              </w:rPr>
            </w:pPr>
            <w:r>
              <w:rPr>
                <w:rFonts w:hint="eastAsia" w:ascii="Times New Roman" w:hAnsi="Times New Roman" w:eastAsia="宋体" w:cs="Times New Roman"/>
                <w:b w:val="0"/>
                <w:bCs w:val="0"/>
                <w:color w:val="000000"/>
                <w:sz w:val="21"/>
                <w:szCs w:val="21"/>
                <w:lang w:val="en-US" w:eastAsia="zh-CN" w:bidi="ar"/>
              </w:rPr>
              <w:t>100%</w:t>
            </w:r>
          </w:p>
        </w:tc>
        <w:tc>
          <w:tcPr>
            <w:tcW w:w="894" w:type="dxa"/>
            <w:noWrap w:val="0"/>
            <w:vAlign w:val="center"/>
          </w:tcPr>
          <w:p w14:paraId="37905376">
            <w:pPr>
              <w:keepNext w:val="0"/>
              <w:keepLines w:val="0"/>
              <w:widowControl/>
              <w:suppressLineNumbers w:val="0"/>
              <w:jc w:val="center"/>
              <w:textAlignment w:val="center"/>
              <w:rPr>
                <w:rFonts w:hint="default" w:ascii="宋体" w:hAnsi="宋体" w:eastAsia="宋体" w:cs="宋体"/>
                <w:b/>
                <w:bCs/>
                <w:i w:val="0"/>
                <w:iCs w:val="0"/>
                <w:color w:val="000000"/>
                <w:sz w:val="18"/>
                <w:szCs w:val="18"/>
                <w:u w:val="none"/>
                <w:lang w:val="en-US" w:eastAsia="zh-CN" w:bidi="ar-SA"/>
              </w:rPr>
            </w:pPr>
          </w:p>
        </w:tc>
        <w:tc>
          <w:tcPr>
            <w:tcW w:w="404" w:type="dxa"/>
            <w:noWrap w:val="0"/>
            <w:vAlign w:val="center"/>
          </w:tcPr>
          <w:p w14:paraId="74296D9D">
            <w:pPr>
              <w:snapToGrid w:val="0"/>
              <w:spacing w:line="240" w:lineRule="atLeast"/>
              <w:rPr>
                <w:rFonts w:hint="default" w:ascii="Times New Roman" w:hAnsi="Times New Roman" w:cs="Times New Roman"/>
                <w:b w:val="0"/>
                <w:bCs w:val="0"/>
                <w:color w:val="000000"/>
                <w:sz w:val="21"/>
                <w:szCs w:val="21"/>
              </w:rPr>
            </w:pPr>
          </w:p>
        </w:tc>
        <w:tc>
          <w:tcPr>
            <w:tcW w:w="2225" w:type="dxa"/>
            <w:gridSpan w:val="5"/>
            <w:noWrap w:val="0"/>
            <w:vAlign w:val="center"/>
          </w:tcPr>
          <w:p w14:paraId="05BD5BB4">
            <w:pPr>
              <w:snapToGrid w:val="0"/>
              <w:spacing w:line="240" w:lineRule="atLeast"/>
              <w:jc w:val="center"/>
              <w:rPr>
                <w:rFonts w:hint="default" w:ascii="Times New Roman" w:hAnsi="Times New Roman" w:cs="Times New Roman"/>
                <w:b w:val="0"/>
                <w:bCs w:val="0"/>
                <w:color w:val="000000"/>
                <w:sz w:val="21"/>
                <w:szCs w:val="21"/>
              </w:rPr>
            </w:pPr>
          </w:p>
        </w:tc>
        <w:tc>
          <w:tcPr>
            <w:tcW w:w="1483" w:type="dxa"/>
            <w:noWrap w:val="0"/>
            <w:vAlign w:val="center"/>
          </w:tcPr>
          <w:p w14:paraId="3EF44184">
            <w:pPr>
              <w:snapToGrid w:val="0"/>
              <w:spacing w:line="240" w:lineRule="atLeast"/>
              <w:rPr>
                <w:rFonts w:hint="default" w:ascii="Times New Roman" w:hAnsi="Times New Roman" w:cs="Times New Roman"/>
                <w:b w:val="0"/>
                <w:bCs w:val="0"/>
                <w:color w:val="000000"/>
                <w:sz w:val="21"/>
                <w:szCs w:val="21"/>
              </w:rPr>
            </w:pPr>
          </w:p>
        </w:tc>
        <w:tc>
          <w:tcPr>
            <w:tcW w:w="404" w:type="dxa"/>
            <w:noWrap w:val="0"/>
            <w:vAlign w:val="center"/>
          </w:tcPr>
          <w:p w14:paraId="2B8766B4">
            <w:pPr>
              <w:widowControl/>
              <w:snapToGrid w:val="0"/>
              <w:spacing w:line="240" w:lineRule="atLeast"/>
              <w:jc w:val="center"/>
              <w:textAlignment w:val="center"/>
              <w:rPr>
                <w:rFonts w:hint="default" w:ascii="Times New Roman" w:hAnsi="Times New Roman" w:cs="Times New Roman"/>
                <w:b w:val="0"/>
                <w:bCs w:val="0"/>
                <w:color w:val="000000"/>
                <w:sz w:val="21"/>
                <w:szCs w:val="21"/>
                <w:lang w:bidi="ar"/>
              </w:rPr>
            </w:pPr>
          </w:p>
        </w:tc>
        <w:tc>
          <w:tcPr>
            <w:tcW w:w="371" w:type="dxa"/>
            <w:noWrap w:val="0"/>
            <w:vAlign w:val="center"/>
          </w:tcPr>
          <w:p w14:paraId="6B1C610C">
            <w:pPr>
              <w:snapToGrid w:val="0"/>
              <w:spacing w:line="240" w:lineRule="atLeast"/>
              <w:rPr>
                <w:rFonts w:hint="default" w:ascii="Times New Roman" w:hAnsi="Times New Roman" w:cs="Times New Roman"/>
                <w:b w:val="0"/>
                <w:bCs w:val="0"/>
                <w:color w:val="000000"/>
                <w:sz w:val="21"/>
                <w:szCs w:val="21"/>
              </w:rPr>
            </w:pPr>
          </w:p>
        </w:tc>
        <w:tc>
          <w:tcPr>
            <w:tcW w:w="388" w:type="dxa"/>
            <w:noWrap w:val="0"/>
            <w:vAlign w:val="center"/>
          </w:tcPr>
          <w:p w14:paraId="65FFDBFC">
            <w:pPr>
              <w:snapToGrid w:val="0"/>
              <w:spacing w:line="240" w:lineRule="atLeast"/>
              <w:rPr>
                <w:rFonts w:hint="default" w:ascii="Times New Roman" w:hAnsi="Times New Roman" w:cs="Times New Roman"/>
                <w:b w:val="0"/>
                <w:bCs w:val="0"/>
                <w:color w:val="000000"/>
                <w:sz w:val="21"/>
                <w:szCs w:val="21"/>
              </w:rPr>
            </w:pPr>
          </w:p>
        </w:tc>
        <w:tc>
          <w:tcPr>
            <w:tcW w:w="354" w:type="dxa"/>
            <w:noWrap/>
            <w:vAlign w:val="center"/>
          </w:tcPr>
          <w:p w14:paraId="642E5B48">
            <w:pPr>
              <w:snapToGrid w:val="0"/>
              <w:spacing w:line="240" w:lineRule="atLeast"/>
              <w:rPr>
                <w:rFonts w:hint="default" w:ascii="Times New Roman" w:hAnsi="Times New Roman" w:cs="Times New Roman"/>
                <w:b w:val="0"/>
                <w:bCs w:val="0"/>
                <w:color w:val="000000"/>
                <w:sz w:val="21"/>
                <w:szCs w:val="21"/>
              </w:rPr>
            </w:pPr>
          </w:p>
        </w:tc>
        <w:tc>
          <w:tcPr>
            <w:tcW w:w="438" w:type="dxa"/>
            <w:noWrap/>
            <w:vAlign w:val="center"/>
          </w:tcPr>
          <w:p w14:paraId="3AD54A19">
            <w:pPr>
              <w:snapToGrid w:val="0"/>
              <w:spacing w:line="240" w:lineRule="atLeast"/>
              <w:rPr>
                <w:rFonts w:hint="default" w:ascii="Times New Roman" w:hAnsi="Times New Roman" w:cs="Times New Roman"/>
                <w:b w:val="0"/>
                <w:bCs w:val="0"/>
                <w:color w:val="000000"/>
                <w:sz w:val="21"/>
                <w:szCs w:val="21"/>
              </w:rPr>
            </w:pPr>
          </w:p>
        </w:tc>
        <w:tc>
          <w:tcPr>
            <w:tcW w:w="455" w:type="dxa"/>
            <w:noWrap/>
            <w:vAlign w:val="center"/>
          </w:tcPr>
          <w:p w14:paraId="058E14C7">
            <w:pPr>
              <w:snapToGrid w:val="0"/>
              <w:spacing w:line="240" w:lineRule="atLeast"/>
              <w:rPr>
                <w:rFonts w:hint="default" w:ascii="Times New Roman" w:hAnsi="Times New Roman" w:cs="Times New Roman"/>
                <w:b w:val="0"/>
                <w:bCs w:val="0"/>
                <w:color w:val="000000"/>
                <w:sz w:val="21"/>
                <w:szCs w:val="21"/>
              </w:rPr>
            </w:pPr>
          </w:p>
        </w:tc>
        <w:tc>
          <w:tcPr>
            <w:tcW w:w="657" w:type="dxa"/>
            <w:noWrap/>
            <w:vAlign w:val="center"/>
          </w:tcPr>
          <w:p w14:paraId="516CC93F">
            <w:pPr>
              <w:snapToGrid w:val="0"/>
              <w:spacing w:line="240" w:lineRule="atLeast"/>
              <w:rPr>
                <w:rFonts w:hint="default" w:ascii="Times New Roman" w:hAnsi="Times New Roman" w:cs="Times New Roman"/>
                <w:b w:val="0"/>
                <w:bCs w:val="0"/>
                <w:color w:val="000000"/>
                <w:sz w:val="21"/>
                <w:szCs w:val="21"/>
              </w:rPr>
            </w:pPr>
          </w:p>
        </w:tc>
        <w:tc>
          <w:tcPr>
            <w:tcW w:w="375" w:type="dxa"/>
            <w:vMerge w:val="continue"/>
            <w:noWrap/>
            <w:vAlign w:val="center"/>
          </w:tcPr>
          <w:p w14:paraId="09176BD9">
            <w:pPr>
              <w:snapToGrid w:val="0"/>
              <w:spacing w:line="240" w:lineRule="atLeast"/>
              <w:rPr>
                <w:rFonts w:hint="eastAsia" w:ascii="Times New Roman" w:hAnsi="Times New Roman" w:cs="Times New Roman"/>
                <w:b w:val="0"/>
                <w:bCs w:val="0"/>
                <w:color w:val="000000"/>
                <w:sz w:val="21"/>
                <w:szCs w:val="21"/>
                <w:lang w:val="en-US" w:eastAsia="zh-CN"/>
              </w:rPr>
            </w:pPr>
          </w:p>
        </w:tc>
      </w:tr>
    </w:tbl>
    <w:p w14:paraId="463A55EB">
      <w:pPr>
        <w:pStyle w:val="32"/>
        <w:rPr>
          <w:rFonts w:hint="eastAsia"/>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35530401">
      <w:pPr>
        <w:widowControl/>
        <w:jc w:val="center"/>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五部分 附表</w:t>
      </w:r>
      <w:bookmarkStart w:id="83" w:name="_Toc15396619"/>
    </w:p>
    <w:p w14:paraId="46A819BA">
      <w:pPr>
        <w:pStyle w:val="4"/>
        <w:rPr>
          <w:rFonts w:ascii="仿宋" w:hAnsi="仿宋" w:eastAsia="仿宋"/>
          <w:color w:val="auto"/>
          <w:highlight w:val="none"/>
        </w:rPr>
      </w:pPr>
      <w:r>
        <w:rPr>
          <w:rFonts w:hint="eastAsia" w:ascii="仿宋" w:hAnsi="仿宋" w:eastAsia="仿宋"/>
          <w:b w:val="0"/>
          <w:color w:val="auto"/>
          <w:highlight w:val="none"/>
        </w:rPr>
        <w:t>一、收</w:t>
      </w:r>
      <w:r>
        <w:rPr>
          <w:rStyle w:val="20"/>
          <w:rFonts w:hint="eastAsia" w:ascii="仿宋" w:hAnsi="仿宋" w:eastAsia="仿宋"/>
          <w:b w:val="0"/>
          <w:bCs w:val="0"/>
          <w:color w:val="auto"/>
          <w:highlight w:val="none"/>
        </w:rPr>
        <w:t>入支出决算总表</w:t>
      </w:r>
      <w:bookmarkEnd w:id="83"/>
    </w:p>
    <w:p w14:paraId="0919ED91">
      <w:pPr>
        <w:pStyle w:val="4"/>
        <w:rPr>
          <w:rFonts w:ascii="仿宋" w:hAnsi="仿宋" w:eastAsia="仿宋"/>
          <w:color w:val="auto"/>
          <w:highlight w:val="none"/>
        </w:rPr>
      </w:pPr>
      <w:bookmarkStart w:id="84" w:name="_Toc15396620"/>
      <w:r>
        <w:rPr>
          <w:rFonts w:hint="eastAsia" w:ascii="仿宋" w:hAnsi="仿宋" w:eastAsia="仿宋"/>
          <w:b w:val="0"/>
          <w:color w:val="auto"/>
          <w:highlight w:val="none"/>
        </w:rPr>
        <w:t>二、收</w:t>
      </w:r>
      <w:r>
        <w:rPr>
          <w:rStyle w:val="20"/>
          <w:rFonts w:hint="eastAsia" w:ascii="仿宋" w:hAnsi="仿宋" w:eastAsia="仿宋"/>
          <w:b w:val="0"/>
          <w:bCs w:val="0"/>
          <w:color w:val="auto"/>
          <w:highlight w:val="none"/>
        </w:rPr>
        <w:t>入决算表</w:t>
      </w:r>
      <w:bookmarkEnd w:id="84"/>
    </w:p>
    <w:p w14:paraId="6D75EADF">
      <w:pPr>
        <w:pStyle w:val="4"/>
        <w:rPr>
          <w:rFonts w:ascii="仿宋" w:hAnsi="仿宋" w:eastAsia="仿宋"/>
          <w:color w:val="auto"/>
          <w:highlight w:val="none"/>
        </w:rPr>
      </w:pPr>
      <w:bookmarkStart w:id="85" w:name="_Toc15396621"/>
      <w:r>
        <w:rPr>
          <w:rStyle w:val="20"/>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0"/>
          <w:rFonts w:hint="eastAsia" w:ascii="仿宋" w:hAnsi="仿宋" w:eastAsia="仿宋"/>
          <w:b w:val="0"/>
          <w:bCs w:val="0"/>
          <w:color w:val="auto"/>
          <w:highlight w:val="none"/>
        </w:rPr>
        <w:t>出决算表</w:t>
      </w:r>
      <w:bookmarkEnd w:id="85"/>
    </w:p>
    <w:p w14:paraId="7701CA62">
      <w:pPr>
        <w:pStyle w:val="4"/>
        <w:rPr>
          <w:rFonts w:ascii="仿宋" w:hAnsi="仿宋" w:eastAsia="仿宋"/>
          <w:b w:val="0"/>
          <w:color w:val="auto"/>
          <w:highlight w:val="none"/>
        </w:rPr>
      </w:pPr>
      <w:bookmarkStart w:id="86" w:name="_Toc15396622"/>
      <w:r>
        <w:rPr>
          <w:rStyle w:val="20"/>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政拨款收入支出决算总表</w:t>
      </w:r>
      <w:bookmarkEnd w:id="86"/>
    </w:p>
    <w:p w14:paraId="3A6FB956">
      <w:pPr>
        <w:pStyle w:val="4"/>
        <w:rPr>
          <w:rStyle w:val="20"/>
          <w:rFonts w:ascii="仿宋" w:hAnsi="仿宋" w:eastAsia="仿宋"/>
          <w:b w:val="0"/>
          <w:bCs w:val="0"/>
          <w:color w:val="auto"/>
          <w:highlight w:val="none"/>
        </w:rPr>
      </w:pPr>
      <w:bookmarkStart w:id="87" w:name="_Toc15396623"/>
      <w:r>
        <w:rPr>
          <w:rStyle w:val="20"/>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政拨款支出决算明细表</w:t>
      </w:r>
      <w:bookmarkEnd w:id="87"/>
      <w:bookmarkStart w:id="88" w:name="_Toc15396624"/>
    </w:p>
    <w:p w14:paraId="13372397">
      <w:pPr>
        <w:pStyle w:val="4"/>
        <w:rPr>
          <w:rFonts w:ascii="仿宋" w:hAnsi="仿宋" w:eastAsia="仿宋"/>
          <w:color w:val="auto"/>
          <w:highlight w:val="none"/>
        </w:rPr>
      </w:pPr>
      <w:r>
        <w:rPr>
          <w:rStyle w:val="20"/>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般公共预算财政拨款支出决算表</w:t>
      </w:r>
      <w:bookmarkEnd w:id="88"/>
    </w:p>
    <w:p w14:paraId="7CE4D0E5">
      <w:pPr>
        <w:pStyle w:val="4"/>
        <w:rPr>
          <w:rFonts w:ascii="仿宋" w:hAnsi="仿宋" w:eastAsia="仿宋"/>
          <w:color w:val="auto"/>
          <w:highlight w:val="none"/>
        </w:rPr>
      </w:pPr>
      <w:bookmarkStart w:id="89" w:name="_Toc15396625"/>
      <w:r>
        <w:rPr>
          <w:rStyle w:val="20"/>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般公共预算财政拨款支出决算明细表</w:t>
      </w:r>
      <w:bookmarkEnd w:id="89"/>
    </w:p>
    <w:p w14:paraId="39DA577A">
      <w:pPr>
        <w:pStyle w:val="4"/>
        <w:rPr>
          <w:rFonts w:ascii="仿宋" w:hAnsi="仿宋" w:eastAsia="仿宋"/>
          <w:color w:val="auto"/>
          <w:highlight w:val="none"/>
        </w:rPr>
      </w:pPr>
      <w:bookmarkStart w:id="90" w:name="_Toc15396626"/>
      <w:r>
        <w:rPr>
          <w:rStyle w:val="20"/>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般公共预算财政拨款基本支出决算表</w:t>
      </w:r>
      <w:bookmarkEnd w:id="90"/>
    </w:p>
    <w:p w14:paraId="53CB6D50">
      <w:pPr>
        <w:pStyle w:val="4"/>
        <w:rPr>
          <w:rFonts w:ascii="仿宋" w:hAnsi="仿宋" w:eastAsia="仿宋"/>
          <w:color w:val="auto"/>
          <w:highlight w:val="none"/>
        </w:rPr>
      </w:pPr>
      <w:bookmarkStart w:id="91" w:name="_Toc15396627"/>
      <w:r>
        <w:rPr>
          <w:rStyle w:val="20"/>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般公共预算财政拨款项目支出决算表</w:t>
      </w:r>
      <w:bookmarkEnd w:id="91"/>
    </w:p>
    <w:p w14:paraId="6864E1B3">
      <w:pPr>
        <w:pStyle w:val="4"/>
        <w:rPr>
          <w:rFonts w:ascii="仿宋" w:hAnsi="仿宋" w:eastAsia="仿宋"/>
          <w:color w:val="auto"/>
          <w:highlight w:val="none"/>
        </w:rPr>
      </w:pPr>
      <w:bookmarkStart w:id="92" w:name="_Toc15396628"/>
      <w:r>
        <w:rPr>
          <w:rStyle w:val="20"/>
          <w:rFonts w:hint="eastAsia" w:ascii="仿宋" w:hAnsi="仿宋" w:eastAsia="仿宋"/>
          <w:b w:val="0"/>
          <w:bCs w:val="0"/>
          <w:color w:val="auto"/>
          <w:highlight w:val="none"/>
        </w:rPr>
        <w:t>十、</w:t>
      </w:r>
      <w:bookmarkEnd w:id="92"/>
      <w:r>
        <w:rPr>
          <w:rFonts w:hint="eastAsia" w:ascii="仿宋" w:hAnsi="仿宋" w:eastAsia="仿宋"/>
          <w:b w:val="0"/>
          <w:color w:val="auto"/>
          <w:highlight w:val="none"/>
        </w:rPr>
        <w:t>政</w:t>
      </w:r>
      <w:r>
        <w:rPr>
          <w:rStyle w:val="20"/>
          <w:rFonts w:hint="eastAsia" w:ascii="仿宋" w:hAnsi="仿宋" w:eastAsia="仿宋"/>
          <w:b w:val="0"/>
          <w:bCs w:val="0"/>
          <w:color w:val="auto"/>
          <w:highlight w:val="none"/>
        </w:rPr>
        <w:t>府性基金预算财政拨款收入支出决算表</w:t>
      </w:r>
    </w:p>
    <w:p w14:paraId="27680B28">
      <w:pPr>
        <w:pStyle w:val="4"/>
        <w:rPr>
          <w:rFonts w:ascii="仿宋" w:hAnsi="仿宋" w:eastAsia="仿宋"/>
          <w:color w:val="auto"/>
          <w:highlight w:val="none"/>
        </w:rPr>
      </w:pPr>
      <w:bookmarkStart w:id="93" w:name="_Toc15396629"/>
      <w:r>
        <w:rPr>
          <w:rStyle w:val="20"/>
          <w:rFonts w:hint="eastAsia" w:ascii="仿宋" w:hAnsi="仿宋" w:eastAsia="仿宋"/>
          <w:b w:val="0"/>
          <w:bCs w:val="0"/>
          <w:color w:val="auto"/>
          <w:highlight w:val="none"/>
        </w:rPr>
        <w:t>十一、</w:t>
      </w:r>
      <w:bookmarkEnd w:id="93"/>
      <w:r>
        <w:rPr>
          <w:rFonts w:hint="eastAsia" w:ascii="仿宋" w:hAnsi="仿宋" w:eastAsia="仿宋"/>
          <w:b w:val="0"/>
          <w:color w:val="auto"/>
          <w:highlight w:val="none"/>
        </w:rPr>
        <w:t>国</w:t>
      </w:r>
      <w:r>
        <w:rPr>
          <w:rStyle w:val="20"/>
          <w:rFonts w:hint="eastAsia" w:ascii="仿宋" w:hAnsi="仿宋" w:eastAsia="仿宋"/>
          <w:b w:val="0"/>
          <w:bCs w:val="0"/>
          <w:color w:val="auto"/>
          <w:highlight w:val="none"/>
        </w:rPr>
        <w:t>有资本经营预算</w:t>
      </w:r>
      <w:r>
        <w:rPr>
          <w:rStyle w:val="20"/>
          <w:rFonts w:hint="eastAsia" w:ascii="仿宋" w:hAnsi="仿宋" w:eastAsia="仿宋"/>
          <w:b w:val="0"/>
          <w:bCs w:val="0"/>
          <w:color w:val="auto"/>
          <w:highlight w:val="none"/>
          <w:lang w:eastAsia="zh-CN"/>
        </w:rPr>
        <w:t>财政拨款收入</w:t>
      </w:r>
      <w:r>
        <w:rPr>
          <w:rStyle w:val="20"/>
          <w:rFonts w:hint="eastAsia" w:ascii="仿宋" w:hAnsi="仿宋" w:eastAsia="仿宋"/>
          <w:b w:val="0"/>
          <w:bCs w:val="0"/>
          <w:color w:val="auto"/>
          <w:highlight w:val="none"/>
        </w:rPr>
        <w:t>支出决算表</w:t>
      </w:r>
    </w:p>
    <w:p w14:paraId="7CF6F692">
      <w:pPr>
        <w:pStyle w:val="4"/>
        <w:rPr>
          <w:rFonts w:ascii="仿宋" w:hAnsi="仿宋" w:eastAsia="仿宋"/>
          <w:color w:val="auto"/>
          <w:highlight w:val="none"/>
        </w:rPr>
      </w:pPr>
      <w:bookmarkStart w:id="94" w:name="_Toc15396630"/>
      <w:r>
        <w:rPr>
          <w:rStyle w:val="20"/>
          <w:rFonts w:hint="eastAsia" w:ascii="仿宋" w:hAnsi="仿宋" w:eastAsia="仿宋"/>
          <w:b w:val="0"/>
          <w:bCs w:val="0"/>
          <w:color w:val="auto"/>
          <w:highlight w:val="none"/>
        </w:rPr>
        <w:t>十二、</w:t>
      </w:r>
      <w:bookmarkEnd w:id="94"/>
      <w:r>
        <w:rPr>
          <w:rStyle w:val="20"/>
          <w:rFonts w:hint="eastAsia" w:ascii="仿宋" w:hAnsi="仿宋" w:eastAsia="仿宋"/>
          <w:b w:val="0"/>
          <w:bCs w:val="0"/>
          <w:color w:val="auto"/>
          <w:highlight w:val="none"/>
          <w:lang w:eastAsia="zh-CN"/>
        </w:rPr>
        <w:t>国有资本经营预算财政拨款支出决算表</w:t>
      </w:r>
    </w:p>
    <w:p w14:paraId="59126FD8">
      <w:pPr>
        <w:pStyle w:val="4"/>
        <w:rPr>
          <w:rStyle w:val="20"/>
          <w:rFonts w:hint="eastAsia" w:ascii="仿宋" w:hAnsi="仿宋" w:eastAsia="仿宋"/>
          <w:b w:val="0"/>
          <w:bCs w:val="0"/>
          <w:color w:val="auto"/>
          <w:highlight w:val="none"/>
          <w:lang w:eastAsia="zh-CN"/>
        </w:rPr>
      </w:pPr>
      <w:bookmarkStart w:id="95" w:name="_Toc15396631"/>
      <w:r>
        <w:rPr>
          <w:rStyle w:val="20"/>
          <w:rFonts w:hint="eastAsia" w:ascii="仿宋" w:hAnsi="仿宋" w:eastAsia="仿宋"/>
          <w:b w:val="0"/>
          <w:bCs w:val="0"/>
          <w:color w:val="auto"/>
          <w:highlight w:val="none"/>
        </w:rPr>
        <w:t>十三、</w:t>
      </w:r>
      <w:bookmarkEnd w:id="95"/>
      <w:r>
        <w:rPr>
          <w:rStyle w:val="20"/>
          <w:rFonts w:hint="eastAsia" w:ascii="仿宋" w:hAnsi="仿宋" w:eastAsia="仿宋"/>
          <w:b w:val="0"/>
          <w:bCs w:val="0"/>
          <w:color w:val="auto"/>
          <w:highlight w:val="none"/>
          <w:lang w:eastAsia="zh-CN"/>
        </w:rPr>
        <w:t>财政拨款“三公”经费支出决算表</w:t>
      </w:r>
    </w:p>
    <w:p w14:paraId="7286F006">
      <w:pPr>
        <w:pStyle w:val="33"/>
        <w:jc w:val="both"/>
        <w:rPr>
          <w:rFonts w:hint="eastAsia"/>
          <w:lang w:val="en-US" w:eastAsia="zh-CN"/>
        </w:rPr>
      </w:pP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4BB08EE-0E73-4FE0-8C5D-7E9397513B34}"/>
  </w:font>
  <w:font w:name="黑体">
    <w:panose1 w:val="02010609060101010101"/>
    <w:charset w:val="86"/>
    <w:family w:val="auto"/>
    <w:pitch w:val="default"/>
    <w:sig w:usb0="800002BF" w:usb1="38CF7CFA" w:usb2="00000016" w:usb3="00000000" w:csb0="00040001" w:csb1="00000000"/>
    <w:embedRegular r:id="rId2" w:fontKey="{440CB006-5A6F-4F32-908C-308279103D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AC119A8-982F-45A2-8B59-50B40A18AF21}"/>
  </w:font>
  <w:font w:name="Cambria">
    <w:panose1 w:val="02040503050406030204"/>
    <w:charset w:val="00"/>
    <w:family w:val="roman"/>
    <w:pitch w:val="default"/>
    <w:sig w:usb0="E00006FF" w:usb1="420024FF" w:usb2="02000000" w:usb3="00000000" w:csb0="2000019F" w:csb1="00000000"/>
    <w:embedRegular r:id="rId4" w:fontKey="{2E29A0E8-E72C-40BA-A347-11F9D5B3BB52}"/>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5" w:fontKey="{A7FB2584-948E-45A2-B3C3-A64341753DDF}"/>
  </w:font>
  <w:font w:name="仿宋">
    <w:panose1 w:val="02010609060101010101"/>
    <w:charset w:val="86"/>
    <w:family w:val="modern"/>
    <w:pitch w:val="default"/>
    <w:sig w:usb0="800002BF" w:usb1="38CF7CFA" w:usb2="00000016" w:usb3="00000000" w:csb0="00040001" w:csb1="00000000"/>
    <w:embedRegular r:id="rId6" w:fontKey="{FF22BBC1-676A-44C2-BECB-8EA9C25CDFAD}"/>
  </w:font>
  <w:font w:name="仿宋_GB2312">
    <w:altName w:val="仿宋"/>
    <w:panose1 w:val="02010609030101010101"/>
    <w:charset w:val="86"/>
    <w:family w:val="auto"/>
    <w:pitch w:val="default"/>
    <w:sig w:usb0="00000000" w:usb1="00000000" w:usb2="00000000" w:usb3="00000000" w:csb0="00040000" w:csb1="00000000"/>
    <w:embedRegular r:id="rId7" w:fontKey="{E27B4573-B95C-46C5-869D-6E064586D935}"/>
  </w:font>
  <w:font w:name="方正仿宋简体">
    <w:altName w:val="微软雅黑"/>
    <w:panose1 w:val="03000509000000000000"/>
    <w:charset w:val="86"/>
    <w:family w:val="script"/>
    <w:pitch w:val="default"/>
    <w:sig w:usb0="00000000" w:usb1="00000000" w:usb2="00000000" w:usb3="00000000" w:csb0="00040000" w:csb1="00000000"/>
    <w:embedRegular r:id="rId8" w:fontKey="{6109650D-4E7F-45F7-8D5E-53EB1CDF51D0}"/>
  </w:font>
  <w:font w:name="方正小标宋简体">
    <w:panose1 w:val="02000000000000000000"/>
    <w:charset w:val="86"/>
    <w:family w:val="auto"/>
    <w:pitch w:val="default"/>
    <w:sig w:usb0="00000001" w:usb1="08000000" w:usb2="00000000" w:usb3="00000000" w:csb0="00040000" w:csb1="00000000"/>
    <w:embedRegular r:id="rId9" w:fontKey="{8BE17193-2D7D-4610-A362-47BAB374AD0F}"/>
  </w:font>
  <w:font w:name="华文仿宋">
    <w:altName w:val="仿宋"/>
    <w:panose1 w:val="02010600040101010101"/>
    <w:charset w:val="86"/>
    <w:family w:val="auto"/>
    <w:pitch w:val="default"/>
    <w:sig w:usb0="00000000" w:usb1="00000000" w:usb2="00000000" w:usb3="00000000" w:csb0="0004009F" w:csb1="DFD70000"/>
    <w:embedRegular r:id="rId10" w:fontKey="{D9C67872-D38D-446D-90B0-7E599853A11F}"/>
  </w:font>
  <w:font w:name="华文中宋">
    <w:altName w:val="宋体"/>
    <w:panose1 w:val="02010600040101010101"/>
    <w:charset w:val="86"/>
    <w:family w:val="auto"/>
    <w:pitch w:val="default"/>
    <w:sig w:usb0="00000000" w:usb1="00000000" w:usb2="00000000" w:usb3="00000000" w:csb0="0004009F" w:csb1="DFD70000"/>
    <w:embedRegular r:id="rId11" w:fontKey="{6E2C512D-B611-408E-953A-A15F87B72A5D}"/>
  </w:font>
  <w:font w:name="楷体_GB2312">
    <w:altName w:val="楷体"/>
    <w:panose1 w:val="02010609030101010101"/>
    <w:charset w:val="86"/>
    <w:family w:val="modern"/>
    <w:pitch w:val="default"/>
    <w:sig w:usb0="00000000" w:usb1="00000000" w:usb2="00000000" w:usb3="00000000" w:csb0="00040000" w:csb1="00000000"/>
    <w:embedRegular r:id="rId12" w:fontKey="{6A4469C7-8564-4BB7-BC05-03024A4118DF}"/>
  </w:font>
  <w:font w:name="Times">
    <w:altName w:val="Times New Roman"/>
    <w:panose1 w:val="02020603050405020304"/>
    <w:charset w:val="00"/>
    <w:family w:val="roman"/>
    <w:pitch w:val="default"/>
    <w:sig w:usb0="00000000" w:usb1="00000000" w:usb2="00000009" w:usb3="00000000" w:csb0="000001FF" w:csb1="00000000"/>
    <w:embedRegular r:id="rId13" w:fontKey="{991989C8-570A-42C5-9FBB-E6470BBC141E}"/>
  </w:font>
  <w:font w:name="等线">
    <w:panose1 w:val="02010600030101010101"/>
    <w:charset w:val="86"/>
    <w:family w:val="auto"/>
    <w:pitch w:val="default"/>
    <w:sig w:usb0="A00002BF" w:usb1="38CF7CFA" w:usb2="00000016" w:usb3="00000000" w:csb0="0004000F" w:csb1="00000000"/>
    <w:embedRegular r:id="rId14" w:fontKey="{B32F6D28-975C-4F84-BCC8-6C8D45FECD8B}"/>
  </w:font>
  <w:font w:name="华文楷体">
    <w:altName w:val="宋体"/>
    <w:panose1 w:val="02010600040101010101"/>
    <w:charset w:val="86"/>
    <w:family w:val="auto"/>
    <w:pitch w:val="default"/>
    <w:sig w:usb0="00000000" w:usb1="00000000" w:usb2="00000000" w:usb3="00000000" w:csb0="0004009F" w:csb1="DFD70000"/>
    <w:embedRegular r:id="rId15" w:fontKey="{F0C000F1-17B9-4924-8C4F-E1FBD5D3787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67A77">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33AEC">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F533AEC">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E94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BD1BAE">
                          <w:pPr>
                            <w:pStyle w:val="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22BD1BAE">
                    <w:pPr>
                      <w:pStyle w:val="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A69E">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2FF3C2B3">
                          <w:pPr>
                            <w:pStyle w:val="8"/>
                            <w:rPr>
                              <w:color w:val="auto"/>
                            </w:rPr>
                          </w:pPr>
                          <w:r>
                            <w:rPr>
                              <w:color w:val="auto"/>
                            </w:rPr>
                            <w:t xml:space="preserve">第 </w:t>
                          </w:r>
                          <w:r>
                            <w:rPr>
                              <w:color w:val="auto"/>
                            </w:rPr>
                            <w:fldChar w:fldCharType="begin"/>
                          </w:r>
                          <w:r>
                            <w:rPr>
                              <w:color w:val="auto"/>
                            </w:rPr>
                            <w:instrText xml:space="preserve"> PAGE  \* MERGEFORMAT </w:instrText>
                          </w:r>
                          <w:r>
                            <w:rPr>
                              <w:color w:val="auto"/>
                            </w:rPr>
                            <w:fldChar w:fldCharType="separate"/>
                          </w:r>
                          <w:r>
                            <w:rPr>
                              <w:color w:val="auto"/>
                            </w:rPr>
                            <w:t>20</w:t>
                          </w:r>
                          <w:r>
                            <w:rPr>
                              <w:color w:val="auto"/>
                            </w:rPr>
                            <w:fldChar w:fldCharType="end"/>
                          </w:r>
                          <w:r>
                            <w:rPr>
                              <w:color w:val="auto"/>
                            </w:rPr>
                            <w:t xml:space="preserve"> 页</w:t>
                          </w:r>
                        </w:p>
                      </w:txbxContent>
                    </wps:txbx>
                    <wps:bodyPr vert="horz" wrap="none" lIns="0" tIns="0" rIns="0" bIns="0" anchor="t"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5dblS0AAAAAUBAAAPAAAAAAAAAAEAIAAAACIA&#10;AABkcnMvZG93bnJldi54bWxQSwECFAAUAAAACACHTuJA624ZmdgBAAC3AwAADgAAAAAAAAABACAA&#10;AAAfAQAAZHJzL2Uyb0RvYy54bWxQSwUGAAAAAAYABgBZAQAAaQUAAAAA&#10;">
              <v:fill on="f" focussize="0,0"/>
              <v:stroke on="f"/>
              <v:imagedata o:title=""/>
              <o:lock v:ext="edit" aspectratio="f"/>
              <v:textbox inset="0mm,0mm,0mm,0mm" style="mso-fit-shape-to-text:t;">
                <w:txbxContent>
                  <w:p w14:paraId="2FF3C2B3">
                    <w:pPr>
                      <w:pStyle w:val="8"/>
                      <w:rPr>
                        <w:color w:val="auto"/>
                      </w:rPr>
                    </w:pPr>
                    <w:r>
                      <w:rPr>
                        <w:color w:val="auto"/>
                      </w:rPr>
                      <w:t xml:space="preserve">第 </w:t>
                    </w:r>
                    <w:r>
                      <w:rPr>
                        <w:color w:val="auto"/>
                      </w:rPr>
                      <w:fldChar w:fldCharType="begin"/>
                    </w:r>
                    <w:r>
                      <w:rPr>
                        <w:color w:val="auto"/>
                      </w:rPr>
                      <w:instrText xml:space="preserve"> PAGE  \* MERGEFORMAT </w:instrText>
                    </w:r>
                    <w:r>
                      <w:rPr>
                        <w:color w:val="auto"/>
                      </w:rPr>
                      <w:fldChar w:fldCharType="separate"/>
                    </w:r>
                    <w:r>
                      <w:rPr>
                        <w:color w:val="auto"/>
                      </w:rPr>
                      <w:t>20</w:t>
                    </w:r>
                    <w:r>
                      <w:rPr>
                        <w:color w:val="auto"/>
                      </w:rPr>
                      <w:fldChar w:fldCharType="end"/>
                    </w:r>
                    <w:r>
                      <w:rPr>
                        <w:color w:val="auto"/>
                      </w:rP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A2F1A3"/>
    <w:multiLevelType w:val="singleLevel"/>
    <w:tmpl w:val="A4A2F1A3"/>
    <w:lvl w:ilvl="0" w:tentative="0">
      <w:start w:val="1"/>
      <w:numFmt w:val="decimal"/>
      <w:suff w:val="nothing"/>
      <w:lvlText w:val="（%1）"/>
      <w:lvlJc w:val="left"/>
      <w:pPr>
        <w:ind w:left="631" w:firstLine="0"/>
      </w:pPr>
    </w:lvl>
  </w:abstractNum>
  <w:abstractNum w:abstractNumId="1">
    <w:nsid w:val="C7103A7B"/>
    <w:multiLevelType w:val="singleLevel"/>
    <w:tmpl w:val="C7103A7B"/>
    <w:lvl w:ilvl="0" w:tentative="0">
      <w:start w:val="2"/>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00000000"/>
    <w:multiLevelType w:val="singleLevel"/>
    <w:tmpl w:val="00000000"/>
    <w:lvl w:ilvl="0" w:tentative="0">
      <w:start w:val="1"/>
      <w:numFmt w:val="chineseCounting"/>
      <w:suff w:val="nothing"/>
      <w:lvlText w:val="(%1）"/>
      <w:lvlJc w:val="left"/>
      <w:rPr>
        <w:rFonts w:hint="eastAsia"/>
      </w:rPr>
    </w:lvl>
  </w:abstractNum>
  <w:abstractNum w:abstractNumId="4">
    <w:nsid w:val="00000001"/>
    <w:multiLevelType w:val="singleLevel"/>
    <w:tmpl w:val="00000001"/>
    <w:lvl w:ilvl="0" w:tentative="0">
      <w:start w:val="3"/>
      <w:numFmt w:val="chineseCounting"/>
      <w:suff w:val="nothing"/>
      <w:lvlText w:val="（%1）"/>
      <w:lvlJc w:val="left"/>
      <w:rPr>
        <w:rFonts w:hint="eastAsia"/>
      </w:rPr>
    </w:lvl>
  </w:abstractNum>
  <w:abstractNum w:abstractNumId="5">
    <w:nsid w:val="01C0A863"/>
    <w:multiLevelType w:val="singleLevel"/>
    <w:tmpl w:val="01C0A863"/>
    <w:lvl w:ilvl="0" w:tentative="0">
      <w:start w:val="1"/>
      <w:numFmt w:val="chineseCounting"/>
      <w:suff w:val="nothing"/>
      <w:lvlText w:val="%1、"/>
      <w:lvlJc w:val="left"/>
      <w:rPr>
        <w:rFonts w:hint="eastAsia"/>
      </w:rPr>
    </w:lvl>
  </w:abstractNum>
  <w:abstractNum w:abstractNumId="6">
    <w:nsid w:val="0B56A48F"/>
    <w:multiLevelType w:val="singleLevel"/>
    <w:tmpl w:val="0B56A48F"/>
    <w:lvl w:ilvl="0" w:tentative="0">
      <w:start w:val="1"/>
      <w:numFmt w:val="decimal"/>
      <w:suff w:val="nothing"/>
      <w:lvlText w:val="%1、"/>
      <w:lvlJc w:val="left"/>
    </w:lvl>
  </w:abstractNum>
  <w:abstractNum w:abstractNumId="7">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156A2D18"/>
    <w:multiLevelType w:val="singleLevel"/>
    <w:tmpl w:val="156A2D18"/>
    <w:lvl w:ilvl="0" w:tentative="0">
      <w:start w:val="4"/>
      <w:numFmt w:val="chineseCounting"/>
      <w:suff w:val="nothing"/>
      <w:lvlText w:val="（%1）"/>
      <w:lvlJc w:val="left"/>
      <w:rPr>
        <w:rFonts w:hint="eastAsia"/>
      </w:rPr>
    </w:lvl>
  </w:abstractNum>
  <w:abstractNum w:abstractNumId="9">
    <w:nsid w:val="1FC91163"/>
    <w:multiLevelType w:val="multilevel"/>
    <w:tmpl w:val="1FC91163"/>
    <w:lvl w:ilvl="0" w:tentative="0">
      <w:start w:val="1"/>
      <w:numFmt w:val="decimal"/>
      <w:suff w:val="nothing"/>
      <w:lvlText w:val="%1　"/>
      <w:lvlJc w:val="left"/>
      <w:pPr>
        <w:ind w:left="142" w:firstLine="0"/>
      </w:pPr>
      <w:rPr>
        <w:rFonts w:hint="eastAsia" w:ascii="黑体" w:hAnsi="Times New Roman" w:eastAsia="黑体"/>
        <w:b w:val="0"/>
        <w:i w:val="0"/>
        <w:sz w:val="28"/>
        <w:szCs w:val="28"/>
      </w:rPr>
    </w:lvl>
    <w:lvl w:ilvl="1" w:tentative="0">
      <w:start w:val="1"/>
      <w:numFmt w:val="decimal"/>
      <w:pStyle w:val="31"/>
      <w:suff w:val="nothing"/>
      <w:lvlText w:val="%1.%2　"/>
      <w:lvlJc w:val="left"/>
      <w:pPr>
        <w:ind w:left="630" w:firstLine="0"/>
      </w:pPr>
      <w:rPr>
        <w:rFonts w:hint="eastAsia" w:ascii="黑体" w:hAnsi="Times New Roman" w:eastAsia="黑体" w:cs="Times New Roman"/>
        <w:b w:val="0"/>
        <w:bCs w:val="0"/>
        <w:i w:val="0"/>
        <w:iCs w:val="0"/>
        <w:caps w:val="0"/>
        <w:strike w:val="0"/>
        <w:dstrike w:val="0"/>
        <w:vanish w:val="0"/>
        <w:spacing w:val="0"/>
        <w:kern w:val="0"/>
        <w:position w:val="0"/>
        <w:sz w:val="24"/>
        <w:szCs w:val="24"/>
        <w:u w:val="none"/>
        <w:vertAlign w:val="baseline"/>
      </w:rPr>
    </w:lvl>
    <w:lvl w:ilvl="2" w:tentative="0">
      <w:start w:val="1"/>
      <w:numFmt w:val="decimal"/>
      <w:suff w:val="nothing"/>
      <w:lvlText w:val="%1.%2.%3　"/>
      <w:lvlJc w:val="left"/>
      <w:pPr>
        <w:ind w:left="426" w:firstLine="0"/>
      </w:pPr>
      <w:rPr>
        <w:rFonts w:hint="eastAsia" w:ascii="黑体" w:hAnsi="Times New Roman" w:eastAsia="黑体"/>
        <w:b w:val="0"/>
        <w:i w:val="0"/>
        <w:sz w:val="24"/>
        <w:szCs w:val="24"/>
      </w:rPr>
    </w:lvl>
    <w:lvl w:ilvl="3" w:tentative="0">
      <w:start w:val="1"/>
      <w:numFmt w:val="decimal"/>
      <w:suff w:val="nothing"/>
      <w:lvlText w:val="%1.%2.%3.%4　"/>
      <w:lvlJc w:val="left"/>
      <w:pPr>
        <w:ind w:left="71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28CC9D6B"/>
    <w:multiLevelType w:val="singleLevel"/>
    <w:tmpl w:val="28CC9D6B"/>
    <w:lvl w:ilvl="0" w:tentative="0">
      <w:start w:val="5"/>
      <w:numFmt w:val="chineseCounting"/>
      <w:suff w:val="nothing"/>
      <w:lvlText w:val="%1、"/>
      <w:lvlJc w:val="left"/>
      <w:rPr>
        <w:rFonts w:hint="eastAsia"/>
      </w:rPr>
    </w:lvl>
  </w:abstractNum>
  <w:abstractNum w:abstractNumId="11">
    <w:nsid w:val="426385B1"/>
    <w:multiLevelType w:val="singleLevel"/>
    <w:tmpl w:val="426385B1"/>
    <w:lvl w:ilvl="0" w:tentative="0">
      <w:start w:val="3"/>
      <w:numFmt w:val="chineseCounting"/>
      <w:suff w:val="nothing"/>
      <w:lvlText w:val="%1、"/>
      <w:lvlJc w:val="left"/>
      <w:rPr>
        <w:rFonts w:hint="eastAsia"/>
      </w:rPr>
    </w:lvl>
  </w:abstractNum>
  <w:abstractNum w:abstractNumId="12">
    <w:nsid w:val="444C07EC"/>
    <w:multiLevelType w:val="singleLevel"/>
    <w:tmpl w:val="444C07EC"/>
    <w:lvl w:ilvl="0" w:tentative="0">
      <w:start w:val="1"/>
      <w:numFmt w:val="chineseCounting"/>
      <w:suff w:val="nothing"/>
      <w:lvlText w:val="（%1）"/>
      <w:lvlJc w:val="left"/>
      <w:rPr>
        <w:rFonts w:hint="eastAsia"/>
      </w:rPr>
    </w:lvl>
  </w:abstractNum>
  <w:abstractNum w:abstractNumId="13">
    <w:nsid w:val="593C1936"/>
    <w:multiLevelType w:val="singleLevel"/>
    <w:tmpl w:val="593C1936"/>
    <w:lvl w:ilvl="0" w:tentative="0">
      <w:start w:val="3"/>
      <w:numFmt w:val="decimal"/>
      <w:lvlText w:val="%1."/>
      <w:lvlJc w:val="left"/>
      <w:pPr>
        <w:tabs>
          <w:tab w:val="left" w:pos="312"/>
        </w:tabs>
      </w:pPr>
    </w:lvl>
  </w:abstractNum>
  <w:abstractNum w:abstractNumId="14">
    <w:nsid w:val="5DF4412E"/>
    <w:multiLevelType w:val="singleLevel"/>
    <w:tmpl w:val="5DF4412E"/>
    <w:lvl w:ilvl="0" w:tentative="0">
      <w:start w:val="1"/>
      <w:numFmt w:val="decimal"/>
      <w:suff w:val="nothing"/>
      <w:lvlText w:val="（%1）"/>
      <w:lvlJc w:val="left"/>
    </w:lvl>
  </w:abstractNum>
  <w:abstractNum w:abstractNumId="15">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16">
    <w:nsid w:val="6E9D23E9"/>
    <w:multiLevelType w:val="singleLevel"/>
    <w:tmpl w:val="6E9D23E9"/>
    <w:lvl w:ilvl="0" w:tentative="0">
      <w:start w:val="1"/>
      <w:numFmt w:val="decimal"/>
      <w:suff w:val="nothing"/>
      <w:lvlText w:val="（%1）"/>
      <w:lvlJc w:val="left"/>
    </w:lvl>
  </w:abstractNum>
  <w:abstractNum w:abstractNumId="17">
    <w:nsid w:val="79B6B2B5"/>
    <w:multiLevelType w:val="singleLevel"/>
    <w:tmpl w:val="79B6B2B5"/>
    <w:lvl w:ilvl="0" w:tentative="0">
      <w:start w:val="3"/>
      <w:numFmt w:val="chineseCounting"/>
      <w:suff w:val="nothing"/>
      <w:lvlText w:val="%1、"/>
      <w:lvlJc w:val="left"/>
      <w:rPr>
        <w:rFonts w:hint="eastAsia"/>
      </w:rPr>
    </w:lvl>
  </w:abstractNum>
  <w:num w:numId="1">
    <w:abstractNumId w:val="9"/>
  </w:num>
  <w:num w:numId="2">
    <w:abstractNumId w:val="5"/>
  </w:num>
  <w:num w:numId="3">
    <w:abstractNumId w:val="15"/>
  </w:num>
  <w:num w:numId="4">
    <w:abstractNumId w:val="7"/>
  </w:num>
  <w:num w:numId="5">
    <w:abstractNumId w:val="13"/>
  </w:num>
  <w:num w:numId="6">
    <w:abstractNumId w:val="2"/>
  </w:num>
  <w:num w:numId="7">
    <w:abstractNumId w:val="6"/>
  </w:num>
  <w:num w:numId="8">
    <w:abstractNumId w:val="14"/>
  </w:num>
  <w:num w:numId="9">
    <w:abstractNumId w:val="16"/>
  </w:num>
  <w:num w:numId="10">
    <w:abstractNumId w:val="0"/>
  </w:num>
  <w:num w:numId="11">
    <w:abstractNumId w:val="3"/>
  </w:num>
  <w:num w:numId="12">
    <w:abstractNumId w:val="4"/>
  </w:num>
  <w:num w:numId="13">
    <w:abstractNumId w:val="1"/>
  </w:num>
  <w:num w:numId="14">
    <w:abstractNumId w:val="11"/>
  </w:num>
  <w:num w:numId="15">
    <w:abstractNumId w:val="12"/>
  </w:num>
  <w:num w:numId="16">
    <w:abstractNumId w:val="8"/>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NDRjMGVmOGM1NzM1Mzg1NDUzZGU4ZmZhNTUxMDAifQ=="/>
  </w:docVars>
  <w:rsids>
    <w:rsidRoot w:val="03F630E7"/>
    <w:rsid w:val="03F630E7"/>
    <w:rsid w:val="05DE64C7"/>
    <w:rsid w:val="0CB106E0"/>
    <w:rsid w:val="14A83515"/>
    <w:rsid w:val="1F4671B8"/>
    <w:rsid w:val="20E144FE"/>
    <w:rsid w:val="238E0E0E"/>
    <w:rsid w:val="27822A1D"/>
    <w:rsid w:val="29301022"/>
    <w:rsid w:val="2FF7387C"/>
    <w:rsid w:val="33017C6A"/>
    <w:rsid w:val="344D62F6"/>
    <w:rsid w:val="35F83E3F"/>
    <w:rsid w:val="37932007"/>
    <w:rsid w:val="4F6B2105"/>
    <w:rsid w:val="4FE63299"/>
    <w:rsid w:val="521340EE"/>
    <w:rsid w:val="673C1BAE"/>
    <w:rsid w:val="69360540"/>
    <w:rsid w:val="6BA0715D"/>
    <w:rsid w:val="6DC61E74"/>
    <w:rsid w:val="6F9D0C08"/>
    <w:rsid w:val="74150EB7"/>
    <w:rsid w:val="76B11DFB"/>
    <w:rsid w:val="7C4411C4"/>
    <w:rsid w:val="7F5C4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autoRedefine/>
    <w:unhideWhenUsed/>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2">
    <w:name w:val="Default Paragraph Font"/>
    <w:autoRedefine/>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before="0" w:after="140" w:line="276" w:lineRule="auto"/>
    </w:pPr>
  </w:style>
  <w:style w:type="paragraph" w:styleId="5">
    <w:name w:val="index 5"/>
    <w:basedOn w:val="1"/>
    <w:next w:val="1"/>
    <w:qFormat/>
    <w:uiPriority w:val="0"/>
    <w:pPr>
      <w:adjustRightInd w:val="0"/>
      <w:snapToGrid w:val="0"/>
      <w:spacing w:after="200"/>
      <w:ind w:left="1680"/>
    </w:pPr>
    <w:rPr>
      <w:rFonts w:ascii="Tahoma" w:hAnsi="Tahoma" w:eastAsia="微软雅黑" w:cs="Times New Roman"/>
      <w:sz w:val="22"/>
      <w:szCs w:val="22"/>
    </w:rPr>
  </w:style>
  <w:style w:type="paragraph" w:styleId="6">
    <w:name w:val="index 6"/>
    <w:basedOn w:val="1"/>
    <w:next w:val="1"/>
    <w:qFormat/>
    <w:uiPriority w:val="0"/>
    <w:pPr>
      <w:ind w:left="1000" w:leftChars="1000"/>
    </w:pPr>
  </w:style>
  <w:style w:type="paragraph" w:styleId="7">
    <w:name w:val="Salutation"/>
    <w:basedOn w:val="1"/>
    <w:next w:val="1"/>
    <w:autoRedefine/>
    <w:qFormat/>
    <w:uiPriority w:val="0"/>
    <w:rPr>
      <w:rFonts w:ascii="Times New Roman" w:hAnsi="Times New Roman" w:cs="Times New Roman"/>
    </w:rPr>
  </w:style>
  <w:style w:type="paragraph" w:styleId="8">
    <w:name w:val="footer"/>
    <w:basedOn w:val="1"/>
    <w:next w:val="1"/>
    <w:autoRedefine/>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character" w:styleId="13">
    <w:name w:val="Strong"/>
    <w:basedOn w:val="12"/>
    <w:autoRedefine/>
    <w:qFormat/>
    <w:uiPriority w:val="99"/>
    <w:rPr>
      <w:b/>
    </w:rPr>
  </w:style>
  <w:style w:type="character" w:styleId="14">
    <w:name w:val="page number"/>
    <w:autoRedefine/>
    <w:qFormat/>
    <w:uiPriority w:val="99"/>
  </w:style>
  <w:style w:type="paragraph" w:customStyle="1" w:styleId="15">
    <w:name w:val="正文2"/>
    <w:basedOn w:val="1"/>
    <w:next w:val="1"/>
    <w:autoRedefine/>
    <w:qFormat/>
    <w:uiPriority w:val="0"/>
    <w:rPr>
      <w:rFonts w:ascii="仿宋_GB2312" w:eastAsia="仿宋_GB2312"/>
      <w:sz w:val="32"/>
    </w:rPr>
  </w:style>
  <w:style w:type="paragraph" w:customStyle="1" w:styleId="16">
    <w:name w:val="footer1"/>
    <w:basedOn w:val="1"/>
    <w:autoRedefine/>
    <w:qFormat/>
    <w:uiPriority w:val="0"/>
    <w:pPr>
      <w:snapToGrid w:val="0"/>
      <w:jc w:val="left"/>
    </w:pPr>
    <w:rPr>
      <w:sz w:val="18"/>
      <w:szCs w:val="18"/>
    </w:rPr>
  </w:style>
  <w:style w:type="paragraph" w:customStyle="1" w:styleId="17">
    <w:name w:val="WPSOffice手动目录 1"/>
    <w:autoRedefine/>
    <w:qFormat/>
    <w:uiPriority w:val="0"/>
    <w:pPr>
      <w:ind w:leftChars="0"/>
    </w:pPr>
    <w:rPr>
      <w:rFonts w:ascii="Times New Roman" w:hAnsi="Times New Roman" w:eastAsia="宋体" w:cs="Times New Roman"/>
      <w:sz w:val="20"/>
      <w:szCs w:val="20"/>
    </w:rPr>
  </w:style>
  <w:style w:type="paragraph" w:customStyle="1" w:styleId="18">
    <w:name w:val="WPSOffice手动目录 2"/>
    <w:autoRedefine/>
    <w:qFormat/>
    <w:uiPriority w:val="0"/>
    <w:pPr>
      <w:ind w:leftChars="200"/>
    </w:pPr>
    <w:rPr>
      <w:rFonts w:ascii="Times New Roman" w:hAnsi="Times New Roman" w:eastAsia="宋体" w:cs="Times New Roman"/>
      <w:sz w:val="20"/>
      <w:szCs w:val="20"/>
    </w:rPr>
  </w:style>
  <w:style w:type="character" w:customStyle="1" w:styleId="19">
    <w:name w:val="标题 1 Char"/>
    <w:basedOn w:val="12"/>
    <w:link w:val="3"/>
    <w:qFormat/>
    <w:uiPriority w:val="9"/>
    <w:rPr>
      <w:b/>
      <w:bCs/>
      <w:kern w:val="44"/>
      <w:sz w:val="44"/>
      <w:szCs w:val="44"/>
    </w:rPr>
  </w:style>
  <w:style w:type="character" w:customStyle="1" w:styleId="20">
    <w:name w:val="标题 2 Char"/>
    <w:basedOn w:val="12"/>
    <w:link w:val="4"/>
    <w:autoRedefine/>
    <w:qFormat/>
    <w:uiPriority w:val="9"/>
    <w:rPr>
      <w:rFonts w:ascii="Cambria" w:hAnsi="Cambria" w:eastAsia="宋体" w:cs="Times New Roman"/>
      <w:b/>
      <w:bCs/>
      <w:sz w:val="32"/>
      <w:szCs w:val="32"/>
    </w:rPr>
  </w:style>
  <w:style w:type="paragraph" w:styleId="21">
    <w:name w:val="List Paragraph"/>
    <w:basedOn w:val="1"/>
    <w:autoRedefine/>
    <w:qFormat/>
    <w:uiPriority w:val="34"/>
    <w:pPr>
      <w:ind w:firstLine="420" w:firstLineChars="200"/>
    </w:pPr>
  </w:style>
  <w:style w:type="paragraph" w:customStyle="1" w:styleId="22">
    <w:name w:val="常用样式（方正仿宋简）"/>
    <w:basedOn w:val="1"/>
    <w:next w:val="6"/>
    <w:autoRedefine/>
    <w:qFormat/>
    <w:uiPriority w:val="0"/>
    <w:pPr>
      <w:spacing w:line="560" w:lineRule="exact"/>
      <w:ind w:firstLine="200" w:firstLineChars="200"/>
    </w:pPr>
    <w:rPr>
      <w:rFonts w:ascii="Times New Roman" w:hAnsi="Times New Roman" w:eastAsia="方正仿宋简体"/>
      <w:sz w:val="32"/>
    </w:rPr>
  </w:style>
  <w:style w:type="character" w:customStyle="1" w:styleId="23">
    <w:name w:val="NormalCharacter"/>
    <w:autoRedefine/>
    <w:qFormat/>
    <w:uiPriority w:val="0"/>
    <w:rPr>
      <w:kern w:val="2"/>
      <w:sz w:val="21"/>
      <w:lang w:val="en-US" w:eastAsia="zh-CN" w:bidi="ar-SA"/>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5">
    <w:name w:val="font91"/>
    <w:basedOn w:val="12"/>
    <w:autoRedefine/>
    <w:qFormat/>
    <w:uiPriority w:val="0"/>
    <w:rPr>
      <w:rFonts w:hint="eastAsia" w:ascii="宋体" w:hAnsi="宋体" w:eastAsia="宋体" w:cs="宋体"/>
      <w:color w:val="000000"/>
      <w:sz w:val="24"/>
      <w:szCs w:val="24"/>
      <w:u w:val="none"/>
    </w:rPr>
  </w:style>
  <w:style w:type="character" w:customStyle="1" w:styleId="26">
    <w:name w:val="font122"/>
    <w:basedOn w:val="12"/>
    <w:autoRedefine/>
    <w:qFormat/>
    <w:uiPriority w:val="0"/>
    <w:rPr>
      <w:rFonts w:hint="eastAsia" w:ascii="宋体" w:hAnsi="宋体" w:eastAsia="宋体" w:cs="宋体"/>
      <w:color w:val="FF0000"/>
      <w:sz w:val="24"/>
      <w:szCs w:val="24"/>
      <w:u w:val="none"/>
    </w:rPr>
  </w:style>
  <w:style w:type="character" w:customStyle="1" w:styleId="27">
    <w:name w:val="font41"/>
    <w:basedOn w:val="12"/>
    <w:autoRedefine/>
    <w:qFormat/>
    <w:uiPriority w:val="0"/>
    <w:rPr>
      <w:rFonts w:hint="eastAsia" w:ascii="宋体" w:hAnsi="宋体" w:eastAsia="宋体" w:cs="宋体"/>
      <w:b/>
      <w:bCs/>
      <w:color w:val="000000"/>
      <w:sz w:val="22"/>
      <w:szCs w:val="22"/>
      <w:u w:val="none"/>
    </w:rPr>
  </w:style>
  <w:style w:type="character" w:customStyle="1" w:styleId="28">
    <w:name w:val="font121"/>
    <w:basedOn w:val="12"/>
    <w:autoRedefine/>
    <w:qFormat/>
    <w:uiPriority w:val="0"/>
    <w:rPr>
      <w:rFonts w:hint="eastAsia" w:ascii="宋体" w:hAnsi="宋体" w:eastAsia="宋体" w:cs="宋体"/>
      <w:b/>
      <w:bCs/>
      <w:color w:val="FF0000"/>
      <w:sz w:val="22"/>
      <w:szCs w:val="22"/>
      <w:u w:val="none"/>
    </w:rPr>
  </w:style>
  <w:style w:type="character" w:customStyle="1" w:styleId="29">
    <w:name w:val="font81"/>
    <w:basedOn w:val="12"/>
    <w:autoRedefine/>
    <w:qFormat/>
    <w:uiPriority w:val="0"/>
    <w:rPr>
      <w:rFonts w:hint="eastAsia" w:ascii="宋体" w:hAnsi="宋体" w:eastAsia="宋体" w:cs="宋体"/>
      <w:color w:val="000000"/>
      <w:sz w:val="28"/>
      <w:szCs w:val="28"/>
      <w:u w:val="none"/>
    </w:rPr>
  </w:style>
  <w:style w:type="character" w:customStyle="1" w:styleId="30">
    <w:name w:val="font131"/>
    <w:basedOn w:val="12"/>
    <w:autoRedefine/>
    <w:qFormat/>
    <w:uiPriority w:val="0"/>
    <w:rPr>
      <w:rFonts w:hint="eastAsia" w:ascii="宋体" w:hAnsi="宋体" w:eastAsia="宋体" w:cs="宋体"/>
      <w:color w:val="FF0000"/>
      <w:sz w:val="28"/>
      <w:szCs w:val="28"/>
      <w:u w:val="none"/>
    </w:rPr>
  </w:style>
  <w:style w:type="paragraph" w:customStyle="1" w:styleId="31">
    <w:name w:val="一级条标题"/>
    <w:basedOn w:val="32"/>
    <w:next w:val="34"/>
    <w:autoRedefine/>
    <w:qFormat/>
    <w:uiPriority w:val="0"/>
    <w:pPr>
      <w:numPr>
        <w:ilvl w:val="1"/>
        <w:numId w:val="1"/>
      </w:numPr>
      <w:spacing w:beforeLines="50" w:afterLines="50"/>
      <w:outlineLvl w:val="2"/>
    </w:pPr>
    <w:rPr>
      <w:szCs w:val="21"/>
    </w:rPr>
  </w:style>
  <w:style w:type="paragraph" w:customStyle="1" w:styleId="32">
    <w:name w:val="章标题"/>
    <w:next w:val="33"/>
    <w:autoRedefine/>
    <w:qFormat/>
    <w:uiPriority w:val="0"/>
    <w:pPr>
      <w:spacing w:line="360" w:lineRule="auto"/>
      <w:jc w:val="both"/>
      <w:outlineLvl w:val="1"/>
    </w:pPr>
    <w:rPr>
      <w:rFonts w:ascii="黑体" w:hAnsi="Times New Roman" w:eastAsia="黑体" w:cs="Times New Roman"/>
      <w:sz w:val="21"/>
      <w:lang w:val="en-US" w:eastAsia="zh-CN" w:bidi="ar-SA"/>
    </w:rPr>
  </w:style>
  <w:style w:type="paragraph" w:customStyle="1" w:styleId="33">
    <w:name w:val="节标题"/>
    <w:basedOn w:val="1"/>
    <w:next w:val="1"/>
    <w:autoRedefine/>
    <w:qFormat/>
    <w:uiPriority w:val="0"/>
    <w:pPr>
      <w:widowControl/>
      <w:spacing w:line="289" w:lineRule="atLeast"/>
      <w:jc w:val="center"/>
      <w:textAlignment w:val="baseline"/>
    </w:pPr>
    <w:rPr>
      <w:color w:val="000000"/>
      <w:kern w:val="0"/>
      <w:sz w:val="28"/>
      <w:szCs w:val="20"/>
    </w:rPr>
  </w:style>
  <w:style w:type="paragraph" w:customStyle="1" w:styleId="34">
    <w:name w:val="段"/>
    <w:next w:val="1"/>
    <w:autoRedefine/>
    <w:qFormat/>
    <w:uiPriority w:val="0"/>
    <w:pPr>
      <w:autoSpaceDE w:val="0"/>
      <w:autoSpaceDN w:val="0"/>
      <w:ind w:firstLine="200"/>
      <w:jc w:val="both"/>
    </w:pPr>
    <w:rPr>
      <w:rFonts w:ascii="宋体" w:hAnsi="Times New Roman" w:eastAsia="宋体" w:cs="Times New Roman"/>
      <w:sz w:val="21"/>
      <w:lang w:val="en-US" w:eastAsia="zh-CN" w:bidi="ar-SA"/>
    </w:rPr>
  </w:style>
  <w:style w:type="character" w:customStyle="1" w:styleId="35">
    <w:name w:val="font51"/>
    <w:basedOn w:val="12"/>
    <w:autoRedefine/>
    <w:qFormat/>
    <w:uiPriority w:val="0"/>
    <w:rPr>
      <w:rFonts w:ascii="宋体" w:hAnsi="宋体" w:eastAsia="宋体" w:cs="宋体"/>
      <w:color w:val="000000"/>
      <w:sz w:val="18"/>
      <w:szCs w:val="18"/>
      <w:u w:val="none"/>
    </w:rPr>
  </w:style>
  <w:style w:type="character" w:customStyle="1" w:styleId="36">
    <w:name w:val="font191"/>
    <w:basedOn w:val="12"/>
    <w:autoRedefine/>
    <w:qFormat/>
    <w:uiPriority w:val="0"/>
    <w:rPr>
      <w:rFonts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2020-2024&#24180;&#24037;&#20316;\2024&#24180;&#24037;&#20316;\&#20915;&#31639;&#20844;&#24320;\&#22270;&#24418;.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2020-2024&#24180;&#24037;&#20316;\2024&#24180;&#24037;&#20316;\&#20915;&#31639;&#20844;&#24320;\&#22270;&#24418;.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2020-2024&#24180;&#24037;&#20316;\2024&#24180;&#24037;&#20316;\&#20915;&#31639;&#20844;&#24320;\&#22270;&#2441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020-2024&#24180;&#24037;&#20316;\2024&#24180;&#24037;&#20316;\&#20915;&#31639;&#20844;&#24320;\&#22270;&#24418;.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2020-2024&#24180;&#24037;&#20316;\2024&#24180;&#24037;&#20316;\&#20915;&#31639;&#20844;&#24320;\&#22270;&#24418;.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2020-2024&#24180;&#24037;&#20316;\2024&#24180;&#24037;&#20316;\&#20915;&#31639;&#20844;&#24320;\&#22270;&#24418;.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2020-2024&#24180;&#24037;&#20316;\2024&#24180;&#24037;&#20316;\&#20915;&#31639;&#20844;&#24320;\&#22270;&#24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收、支决算总计变动情况图</a:t>
            </a:r>
            <a:endParaRPr sz="1000"/>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[图形.xlsx]Sheet1!$A$2:$A$3</c:f>
              <c:strCache>
                <c:ptCount val="2"/>
                <c:pt idx="0">
                  <c:v>2022年</c:v>
                </c:pt>
                <c:pt idx="1">
                  <c:v>2023年</c:v>
                </c:pt>
              </c:strCache>
            </c:strRef>
          </c:cat>
          <c:val>
            <c:numRef>
              <c:f>[图形.xlsx]Sheet1!$B$2:$B$3</c:f>
              <c:numCache>
                <c:formatCode>#,##0.00</c:formatCode>
                <c:ptCount val="2"/>
                <c:pt idx="0">
                  <c:v>1527.21</c:v>
                </c:pt>
                <c:pt idx="1">
                  <c:v>1553.64</c:v>
                </c:pt>
              </c:numCache>
            </c:numRef>
          </c:val>
        </c:ser>
        <c:dLbls>
          <c:showLegendKey val="0"/>
          <c:showVal val="1"/>
          <c:showCatName val="0"/>
          <c:showSerName val="0"/>
          <c:showPercent val="0"/>
          <c:showBubbleSize val="0"/>
        </c:dLbls>
        <c:gapWidth val="219"/>
        <c:overlap val="-27"/>
        <c:axId val="725161661"/>
        <c:axId val="324506799"/>
      </c:barChart>
      <c:catAx>
        <c:axId val="725161661"/>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24506799"/>
        <c:crosses val="autoZero"/>
        <c:auto val="1"/>
        <c:lblAlgn val="ctr"/>
        <c:lblOffset val="100"/>
        <c:noMultiLvlLbl val="0"/>
      </c:catAx>
      <c:valAx>
        <c:axId val="324506799"/>
        <c:scaling>
          <c:orientation val="minMax"/>
        </c:scaling>
        <c:delete val="0"/>
        <c:axPos val="l"/>
        <c:majorGridlines>
          <c:spPr>
            <a:ln w="9525" cap="flat" cmpd="sng" algn="ctr">
              <a:solidFill>
                <a:srgbClr val="D9D9D9">
                  <a:lumMod val="15000"/>
                  <a:lumOff val="85000"/>
                </a:srgb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725161661"/>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收入决算结构图</a:t>
            </a:r>
            <a:endParaRPr sz="1000"/>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dLbl>
              <c:idx val="1"/>
              <c:layout>
                <c:manualLayout>
                  <c:x val="-0.0309529182147832"/>
                  <c:y val="0.03341042931272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[图形.xlsx]Sheet1!$A$10:$A$11</c:f>
              <c:strCache>
                <c:ptCount val="2"/>
                <c:pt idx="0">
                  <c:v>一般共预算财政拨款收入</c:v>
                </c:pt>
                <c:pt idx="1">
                  <c:v>其他收入</c:v>
                </c:pt>
              </c:strCache>
            </c:strRef>
          </c:cat>
          <c:val>
            <c:numRef>
              <c:f>[图形.xlsx]Sheet1!$B$10:$B$11</c:f>
              <c:numCache>
                <c:formatCode>General</c:formatCode>
                <c:ptCount val="2"/>
                <c:pt idx="0">
                  <c:v>1523.93</c:v>
                </c:pt>
                <c:pt idx="1">
                  <c:v>29.71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5706549407147"/>
          <c:y val="0.19613135402609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支出决算结构图</a:t>
            </a:r>
            <a:endParaRPr sz="1000"/>
          </a:p>
        </c:rich>
      </c:tx>
      <c:layout>
        <c:manualLayout>
          <c:xMode val="edge"/>
          <c:yMode val="edge"/>
          <c:x val="0.317148977047551"/>
          <c:y val="0.0686935155684794"/>
        </c:manualLayout>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[图形.xlsx]Sheet1!$A$22:$A$23</c:f>
              <c:strCache>
                <c:ptCount val="2"/>
                <c:pt idx="0">
                  <c:v>基本支出</c:v>
                </c:pt>
                <c:pt idx="1">
                  <c:v>项目支出</c:v>
                </c:pt>
              </c:strCache>
            </c:strRef>
          </c:cat>
          <c:val>
            <c:numRef>
              <c:f>[图形.xlsx]Sheet1!$B$22:$B$23</c:f>
              <c:numCache>
                <c:formatCode>#,##0.00</c:formatCode>
                <c:ptCount val="2"/>
                <c:pt idx="0">
                  <c:v>743.88</c:v>
                </c:pt>
                <c:pt idx="1">
                  <c:v>809.76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财政拨款收、支决算总计变动情况</a:t>
            </a:r>
            <a:endParaRPr sz="1000"/>
          </a:p>
        </c:rich>
      </c:tx>
      <c:layout/>
      <c:overlay val="0"/>
      <c:spPr>
        <a:noFill/>
        <a:ln>
          <a:noFill/>
        </a:ln>
        <a:effectLst/>
      </c:spPr>
    </c:title>
    <c:autoTitleDeleted val="0"/>
    <c:plotArea>
      <c:layout>
        <c:manualLayout>
          <c:layoutTarget val="inner"/>
          <c:xMode val="edge"/>
          <c:yMode val="edge"/>
          <c:x val="0.110558558558559"/>
          <c:y val="0.254168084382443"/>
          <c:w val="0.863315315315315"/>
          <c:h val="0.576182374957469"/>
        </c:manualLayout>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[图形.xlsx]Sheet1!$A$35:$A$36</c:f>
              <c:strCache>
                <c:ptCount val="2"/>
                <c:pt idx="0">
                  <c:v>2022年</c:v>
                </c:pt>
                <c:pt idx="1">
                  <c:v>2023年</c:v>
                </c:pt>
              </c:strCache>
            </c:strRef>
          </c:cat>
          <c:val>
            <c:numRef>
              <c:f>[图形.xlsx]Sheet1!$B$35:$B$36</c:f>
              <c:numCache>
                <c:formatCode>#,##0.00_ </c:formatCode>
                <c:ptCount val="2"/>
                <c:pt idx="0">
                  <c:v>1460.89</c:v>
                </c:pt>
                <c:pt idx="1">
                  <c:v>1523.93</c:v>
                </c:pt>
              </c:numCache>
            </c:numRef>
          </c:val>
        </c:ser>
        <c:dLbls>
          <c:showLegendKey val="0"/>
          <c:showVal val="1"/>
          <c:showCatName val="0"/>
          <c:showSerName val="0"/>
          <c:showPercent val="0"/>
          <c:showBubbleSize val="0"/>
        </c:dLbls>
        <c:gapWidth val="219"/>
        <c:overlap val="-27"/>
        <c:axId val="349219597"/>
        <c:axId val="793996543"/>
      </c:barChart>
      <c:catAx>
        <c:axId val="349219597"/>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793996543"/>
        <c:crosses val="autoZero"/>
        <c:auto val="1"/>
        <c:lblAlgn val="ctr"/>
        <c:lblOffset val="100"/>
        <c:noMultiLvlLbl val="0"/>
      </c:catAx>
      <c:valAx>
        <c:axId val="793996543"/>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49219597"/>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sz="1000"/>
              <a:t>一般公共预算财政拨款支出决算变动情况</a:t>
            </a:r>
            <a:endParaRPr sz="1000"/>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[图形.xlsx]Sheet1!$A$52:$A$53</c:f>
              <c:strCache>
                <c:ptCount val="2"/>
                <c:pt idx="0">
                  <c:v>2022年</c:v>
                </c:pt>
                <c:pt idx="1">
                  <c:v>2023年</c:v>
                </c:pt>
              </c:strCache>
            </c:strRef>
          </c:cat>
          <c:val>
            <c:numRef>
              <c:f>[图形.xlsx]Sheet1!$B$52:$B$53</c:f>
              <c:numCache>
                <c:formatCode>#,##0.00_ </c:formatCode>
                <c:ptCount val="2"/>
                <c:pt idx="0">
                  <c:v>1460.89</c:v>
                </c:pt>
                <c:pt idx="1">
                  <c:v>1523.93</c:v>
                </c:pt>
              </c:numCache>
            </c:numRef>
          </c:val>
        </c:ser>
        <c:dLbls>
          <c:showLegendKey val="0"/>
          <c:showVal val="1"/>
          <c:showCatName val="0"/>
          <c:showSerName val="0"/>
          <c:showPercent val="0"/>
          <c:showBubbleSize val="0"/>
        </c:dLbls>
        <c:gapWidth val="219"/>
        <c:overlap val="-27"/>
        <c:axId val="246052209"/>
        <c:axId val="817005026"/>
      </c:barChart>
      <c:catAx>
        <c:axId val="246052209"/>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17005026"/>
        <c:crosses val="autoZero"/>
        <c:auto val="1"/>
        <c:lblAlgn val="ctr"/>
        <c:lblOffset val="100"/>
        <c:noMultiLvlLbl val="0"/>
      </c:catAx>
      <c:valAx>
        <c:axId val="817005026"/>
        <c:scaling>
          <c:orientation val="minMax"/>
        </c:scaling>
        <c:delete val="0"/>
        <c:axPos val="l"/>
        <c:majorGridlines>
          <c:spPr>
            <a:ln w="9525" cap="flat" cmpd="sng" algn="ctr">
              <a:solidFill>
                <a:srgbClr val="D9D9D9">
                  <a:lumMod val="15000"/>
                  <a:lumOff val="85000"/>
                </a:srgb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46052209"/>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一</a:t>
            </a:r>
            <a:r>
              <a:rPr sz="1000"/>
              <a:t>般公共预算财政拨款支出决算结构</a:t>
            </a:r>
            <a:endParaRPr sz="1000"/>
          </a:p>
        </c:rich>
      </c:tx>
      <c:layout>
        <c:manualLayout>
          <c:xMode val="edge"/>
          <c:yMode val="edge"/>
          <c:x val="0.25103672985782"/>
          <c:y val="0.043956043956044"/>
        </c:manualLayout>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Pt>
            <c:idx val="4"/>
            <c:bubble3D val="0"/>
            <c:spPr>
              <a:solidFill>
                <a:srgbClr val="4BACC6"/>
              </a:solidFill>
              <a:ln w="19050">
                <a:solidFill>
                  <a:srgbClr val="FFFFFF"/>
                </a:solidFill>
              </a:ln>
              <a:effectLst/>
            </c:spPr>
          </c:dPt>
          <c:dPt>
            <c:idx val="5"/>
            <c:bubble3D val="0"/>
            <c:spPr>
              <a:solidFill>
                <a:srgbClr val="F79646"/>
              </a:solidFill>
              <a:ln w="19050">
                <a:solidFill>
                  <a:srgbClr val="FFFFFF"/>
                </a:solidFill>
              </a:ln>
              <a:effectLst/>
            </c:spPr>
          </c:dPt>
          <c:dLbls>
            <c:dLbl>
              <c:idx val="0"/>
              <c:layout>
                <c:manualLayout>
                  <c:x val="0.0171808605691561"/>
                  <c:y val="-0.0150355946587548"/>
                </c:manualLayout>
              </c:layout>
              <c:dLblPos val="bestFit"/>
              <c:showLegendKey val="1"/>
              <c:showVal val="1"/>
              <c:showCatName val="0"/>
              <c:showSerName val="0"/>
              <c:showPercent val="0"/>
              <c:showBubbleSize val="0"/>
              <c:extLst>
                <c:ext xmlns:c15="http://schemas.microsoft.com/office/drawing/2012/chart" uri="{CE6537A1-D6FC-4f65-9D91-7224C49458BB}">
                  <c15:layout>
                    <c:manualLayout>
                      <c:w val="0.126615502096331"/>
                      <c:h val="0.127984470290722"/>
                    </c:manualLayout>
                  </c15:layout>
                </c:ext>
              </c:extLst>
            </c:dLbl>
            <c:dLbl>
              <c:idx val="1"/>
              <c:layout>
                <c:manualLayout>
                  <c:x val="0.0398998591769676"/>
                  <c:y val="-0.0811039511515593"/>
                </c:manualLayout>
              </c:layout>
              <c:dLblPos val="bestFit"/>
              <c:showLegendKey val="1"/>
              <c:showVal val="1"/>
              <c:showCatName val="0"/>
              <c:showSerName val="0"/>
              <c:showPercent val="0"/>
              <c:showBubbleSize val="0"/>
              <c:extLst>
                <c:ext xmlns:c15="http://schemas.microsoft.com/office/drawing/2012/chart" uri="{CE6537A1-D6FC-4f65-9D91-7224C49458BB}">
                  <c15:layout>
                    <c:manualLayout>
                      <c:w val="0.142898450946644"/>
                      <c:h val="0.106701609883939"/>
                    </c:manualLayout>
                  </c15:layout>
                </c:ext>
              </c:extLst>
            </c:dLbl>
            <c:dLbl>
              <c:idx val="2"/>
              <c:layout>
                <c:manualLayout>
                  <c:x val="0.0686036059669218"/>
                  <c:y val="0.0711858340087468"/>
                </c:manualLayout>
              </c:layout>
              <c:dLblPos val="bestFit"/>
              <c:showLegendKey val="1"/>
              <c:showVal val="1"/>
              <c:showCatName val="0"/>
              <c:showSerName val="0"/>
              <c:showPercent val="0"/>
              <c:showBubbleSize val="0"/>
              <c:extLst>
                <c:ext xmlns:c15="http://schemas.microsoft.com/office/drawing/2012/chart" uri="{CE6537A1-D6FC-4f65-9D91-7224C49458BB}">
                  <c15:layout>
                    <c:manualLayout>
                      <c:w val="0.15729369425755"/>
                      <c:h val="0.126169973792587"/>
                    </c:manualLayout>
                  </c15:layout>
                </c:ext>
              </c:extLst>
            </c:dLbl>
            <c:dLbl>
              <c:idx val="3"/>
              <c:layout>
                <c:manualLayout>
                  <c:x val="0.0113448886949283"/>
                  <c:y val="0.00334761593137717"/>
                </c:manualLayout>
              </c:layout>
              <c:dLblPos val="bestFit"/>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1"/>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[图形.xlsx]Sheet1!$A$68:$A$75</c:f>
              <c:strCache>
                <c:ptCount val="6"/>
                <c:pt idx="0">
                  <c:v>一般公共服务支出</c:v>
                </c:pt>
                <c:pt idx="1">
                  <c:v>文化旅游体育与传媒支出</c:v>
                </c:pt>
                <c:pt idx="2">
                  <c:v>社会保障和就业支出</c:v>
                </c:pt>
                <c:pt idx="3">
                  <c:v>卫生健康支出</c:v>
                </c:pt>
                <c:pt idx="4">
                  <c:v>农林水支出</c:v>
                </c:pt>
                <c:pt idx="5">
                  <c:v>住房保障支出</c:v>
                </c:pt>
              </c:strCache>
            </c:strRef>
          </c:cat>
          <c:val>
            <c:numRef>
              <c:f>[图形.xlsx]Sheet1!$B$68:$B$75</c:f>
              <c:numCache>
                <c:formatCode>#,##0.00_ </c:formatCode>
                <c:ptCount val="6"/>
                <c:pt idx="0">
                  <c:v>1.75</c:v>
                </c:pt>
                <c:pt idx="1">
                  <c:v>1220.8</c:v>
                </c:pt>
                <c:pt idx="2">
                  <c:v>162.04</c:v>
                </c:pt>
                <c:pt idx="3">
                  <c:v>26.62</c:v>
                </c:pt>
                <c:pt idx="4">
                  <c:v>64.69</c:v>
                </c:pt>
                <c:pt idx="5">
                  <c:v>48.04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0" i="0" u="none" strike="noStrike" kern="1200" spc="0" baseline="0">
                <a:solidFill>
                  <a:srgbClr val="595959">
                    <a:lumMod val="65000"/>
                    <a:lumOff val="35000"/>
                  </a:srgbClr>
                </a:solidFill>
                <a:latin typeface="+mn-lt"/>
                <a:ea typeface="+mn-ea"/>
                <a:cs typeface="+mn-cs"/>
              </a:defRPr>
            </a:pPr>
            <a:r>
              <a:rPr sz="1000"/>
              <a:t>“三公”经费财政拨款支出结构</a:t>
            </a:r>
            <a:endParaRPr sz="1000"/>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[图形.xlsx]Sheet1!$A$86:$A$88</c:f>
              <c:strCache>
                <c:ptCount val="3"/>
                <c:pt idx="0">
                  <c:v>因公出国（境）费</c:v>
                </c:pt>
                <c:pt idx="1">
                  <c:v>公务用车购置及运行维护费</c:v>
                </c:pt>
                <c:pt idx="2">
                  <c:v>公务接待费</c:v>
                </c:pt>
              </c:strCache>
            </c:strRef>
          </c:cat>
          <c:val>
            <c:numRef>
              <c:f>[图形.xlsx]Sheet1!$B$86:$B$88</c:f>
              <c:numCache>
                <c:formatCode>General</c:formatCode>
                <c:ptCount val="3"/>
                <c:pt idx="0">
                  <c:v>0</c:v>
                </c:pt>
                <c:pt idx="1">
                  <c:v>0</c:v>
                </c:pt>
                <c:pt idx="2">
                  <c:v>1.87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64403</Words>
  <Characters>70322</Characters>
  <Lines>0</Lines>
  <Paragraphs>0</Paragraphs>
  <TotalTime>0</TotalTime>
  <ScaleCrop>false</ScaleCrop>
  <LinksUpToDate>false</LinksUpToDate>
  <CharactersWithSpaces>70858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2024-09-10T03:43:00Z</dcterms:created>
  <dc:creator>彩虹溪</dc:creator>
  <cp:lastModifiedBy>WPS_1421587654</cp:lastModifiedBy>
  <dcterms:modified xsi:type="dcterms:W3CDTF">2024-12-20T04:26:19Z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4E17683011514AA1821AE82F69F4713F_11</vt:lpwstr>
  </property>
</Properties>
</file>