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96597"/>
      <w:bookmarkStart w:id="1" w:name="_Toc15396475"/>
      <w:bookmarkStart w:id="2" w:name="_Toc15377193"/>
      <w:bookmarkStart w:id="3" w:name="_Toc15377425"/>
      <w:bookmarkStart w:id="4" w:name="_Toc15378441"/>
      <w:bookmarkStart w:id="5" w:name="_Toc15306267"/>
    </w:p>
    <w:p>
      <w:pPr>
        <w:pStyle w:val="7"/>
        <w:spacing w:before="93"/>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7927"/>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bookmarkEnd w:id="6"/>
    </w:p>
    <w:bookmarkEnd w:id="5"/>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7" w:name="_Toc14813"/>
      <w:bookmarkStart w:id="8" w:name="_Toc15396476"/>
      <w:bookmarkStart w:id="9" w:name="_Toc15377426"/>
      <w:bookmarkStart w:id="10" w:name="_Toc15396598"/>
      <w:bookmarkStart w:id="11" w:name="_Toc15378442"/>
      <w:bookmarkStart w:id="12" w:name="_Toc15306268"/>
      <w:bookmarkStart w:id="13" w:name="_Toc15377194"/>
      <w:r>
        <w:rPr>
          <w:rFonts w:hint="eastAsia" w:ascii="方正小标宋简体" w:hAnsi="方正小标宋简体" w:eastAsia="方正小标宋简体" w:cs="方正小标宋简体"/>
          <w:sz w:val="72"/>
          <w:szCs w:val="72"/>
        </w:rPr>
        <w:t>中国共产党四川省遂宁市船山区纪律检查委员会</w:t>
      </w:r>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30157"/>
      <w:r>
        <w:rPr>
          <w:rFonts w:hint="eastAsia" w:ascii="方正小标宋简体" w:hAnsi="方正小标宋简体" w:eastAsia="方正小标宋简体" w:cs="方正小标宋简体"/>
          <w:sz w:val="72"/>
          <w:szCs w:val="72"/>
          <w:lang w:eastAsia="zh-CN"/>
        </w:rPr>
        <w:t>单位</w:t>
      </w:r>
      <w:r>
        <w:rPr>
          <w:rFonts w:hint="eastAsia" w:ascii="方正小标宋简体" w:hAnsi="方正小标宋简体" w:eastAsia="方正小标宋简体" w:cs="方正小标宋简体"/>
          <w:sz w:val="72"/>
          <w:szCs w:val="72"/>
        </w:rPr>
        <w:t>决算</w:t>
      </w:r>
      <w:bookmarkEnd w:id="8"/>
      <w:bookmarkEnd w:id="9"/>
      <w:bookmarkEnd w:id="10"/>
      <w:bookmarkEnd w:id="11"/>
      <w:bookmarkEnd w:id="12"/>
      <w:bookmarkEnd w:id="13"/>
      <w:bookmarkEnd w:id="14"/>
    </w:p>
    <w:p>
      <w:pPr>
        <w:pStyle w:val="16"/>
        <w:adjustRightInd w:val="0"/>
        <w:snapToGrid w:val="0"/>
        <w:spacing w:line="440" w:lineRule="exact"/>
        <w:jc w:val="left"/>
        <w:rPr>
          <w:rFonts w:ascii="方正小标宋简体" w:hAnsi="宋体" w:eastAsia="方正小标宋简体"/>
          <w:sz w:val="36"/>
          <w:szCs w:val="36"/>
        </w:rPr>
      </w:pPr>
      <w:r>
        <w:rPr>
          <w:rFonts w:ascii="方正小标宋简体" w:hAnsi="宋体" w:eastAsia="方正小标宋简体"/>
          <w:sz w:val="36"/>
          <w:szCs w:val="36"/>
        </w:rPr>
        <w:br w:type="page"/>
      </w:r>
    </w:p>
    <w:p>
      <w:pPr>
        <w:jc w:val="center"/>
        <w:rPr>
          <w:rFonts w:hint="eastAsia" w:ascii="仿宋" w:hAnsi="仿宋" w:eastAsia="仿宋" w:cs="仿宋"/>
          <w:sz w:val="28"/>
          <w:szCs w:val="28"/>
        </w:rPr>
      </w:pPr>
      <w:bookmarkStart w:id="15" w:name="OLE_LINK1"/>
      <w:r>
        <w:rPr>
          <w:rFonts w:hint="eastAsia" w:ascii="仿宋" w:hAnsi="仿宋" w:eastAsia="仿宋" w:cs="仿宋"/>
          <w:sz w:val="28"/>
          <w:szCs w:val="28"/>
        </w:rPr>
        <w:t>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录</w:t>
      </w:r>
    </w:p>
    <w:p>
      <w:pPr>
        <w:pStyle w:val="14"/>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pPr>
        <w:pStyle w:val="39"/>
        <w:tabs>
          <w:tab w:val="right" w:leader="dot" w:pos="8306"/>
        </w:tabs>
        <w:rPr>
          <w:rFonts w:hint="eastAsia" w:ascii="仿宋" w:hAnsi="仿宋" w:eastAsia="仿宋" w:cs="仿宋"/>
          <w:sz w:val="28"/>
          <w:szCs w:val="28"/>
        </w:rPr>
      </w:pPr>
      <w:r>
        <w:rPr>
          <w:rFonts w:hint="eastAsia" w:ascii="仿宋" w:hAnsi="仿宋" w:eastAsia="仿宋" w:cs="仿宋"/>
          <w:b/>
          <w:bCs/>
          <w:sz w:val="28"/>
          <w:szCs w:val="28"/>
        </w:rPr>
        <w:fldChar w:fldCharType="begin"/>
      </w:r>
      <w:r>
        <w:rPr>
          <w:rFonts w:hint="eastAsia" w:ascii="仿宋" w:hAnsi="仿宋" w:eastAsia="仿宋" w:cs="仿宋"/>
          <w:sz w:val="28"/>
          <w:szCs w:val="28"/>
        </w:rPr>
        <w:instrText xml:space="preserve"> HYPERLINK \l _Toc19954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 xml:space="preserve">第一部分 </w:t>
      </w:r>
      <w:r>
        <w:rPr>
          <w:rFonts w:hint="eastAsia" w:ascii="仿宋" w:hAnsi="仿宋" w:eastAsia="仿宋" w:cs="仿宋"/>
          <w:b/>
          <w:bCs/>
          <w:sz w:val="28"/>
          <w:szCs w:val="28"/>
          <w:lang w:val="en-US" w:eastAsia="zh-CN"/>
        </w:rPr>
        <w:t>单位</w:t>
      </w:r>
      <w:r>
        <w:rPr>
          <w:rFonts w:hint="eastAsia" w:ascii="仿宋" w:hAnsi="仿宋" w:eastAsia="仿宋" w:cs="仿宋"/>
          <w:b/>
          <w:bCs/>
          <w:sz w:val="28"/>
          <w:szCs w:val="28"/>
        </w:rPr>
        <w:t>概况</w:t>
      </w:r>
      <w:r>
        <w:rPr>
          <w:rFonts w:hint="eastAsia" w:ascii="仿宋" w:hAnsi="仿宋" w:eastAsia="仿宋" w:cs="仿宋"/>
          <w:b/>
          <w:bCs/>
          <w:sz w:val="28"/>
          <w:szCs w:val="28"/>
        </w:rPr>
        <w:tab/>
      </w:r>
      <w:r>
        <w:rPr>
          <w:rFonts w:hint="eastAsia" w:ascii="仿宋" w:hAnsi="仿宋" w:eastAsia="仿宋" w:cs="仿宋"/>
          <w:b/>
          <w:bCs/>
          <w:sz w:val="28"/>
          <w:szCs w:val="28"/>
        </w:rPr>
        <w:t>4</w:t>
      </w:r>
      <w:r>
        <w:rPr>
          <w:rFonts w:hint="eastAsia" w:ascii="仿宋" w:hAnsi="仿宋" w:eastAsia="仿宋" w:cs="仿宋"/>
          <w:b/>
          <w:bCs/>
          <w:sz w:val="28"/>
          <w:szCs w:val="28"/>
        </w:rPr>
        <w:fldChar w:fldCharType="end"/>
      </w:r>
    </w:p>
    <w:p>
      <w:pPr>
        <w:pStyle w:val="4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_Toc14453 </w:instrText>
      </w:r>
      <w:r>
        <w:rPr>
          <w:rFonts w:hint="eastAsia" w:ascii="仿宋" w:hAnsi="仿宋" w:eastAsia="仿宋" w:cs="仿宋"/>
          <w:sz w:val="28"/>
          <w:szCs w:val="28"/>
        </w:rPr>
        <w:fldChar w:fldCharType="separate"/>
      </w:r>
      <w:r>
        <w:rPr>
          <w:rFonts w:hint="eastAsia" w:ascii="仿宋" w:hAnsi="仿宋" w:eastAsia="仿宋" w:cs="仿宋"/>
          <w:sz w:val="28"/>
          <w:szCs w:val="28"/>
        </w:rPr>
        <w:t>一、</w:t>
      </w:r>
      <w:r>
        <w:rPr>
          <w:rFonts w:hint="eastAsia" w:ascii="仿宋" w:hAnsi="仿宋" w:eastAsia="仿宋" w:cs="仿宋"/>
          <w:sz w:val="28"/>
          <w:szCs w:val="28"/>
          <w:lang w:val="en-US" w:eastAsia="zh-CN"/>
        </w:rPr>
        <w:t>主要</w:t>
      </w:r>
      <w:r>
        <w:rPr>
          <w:rFonts w:hint="eastAsia" w:ascii="仿宋" w:hAnsi="仿宋" w:eastAsia="仿宋" w:cs="仿宋"/>
          <w:sz w:val="28"/>
          <w:szCs w:val="28"/>
        </w:rPr>
        <w:t>职责</w:t>
      </w:r>
      <w:r>
        <w:rPr>
          <w:rFonts w:hint="eastAsia" w:ascii="仿宋" w:hAnsi="仿宋" w:eastAsia="仿宋" w:cs="仿宋"/>
          <w:sz w:val="28"/>
          <w:szCs w:val="28"/>
        </w:rPr>
        <w:tab/>
      </w:r>
      <w:bookmarkStart w:id="16" w:name="OLE_LINK3"/>
      <w:r>
        <w:rPr>
          <w:rFonts w:hint="eastAsia" w:ascii="仿宋" w:hAnsi="仿宋" w:eastAsia="仿宋" w:cs="仿宋"/>
          <w:sz w:val="28"/>
          <w:szCs w:val="28"/>
        </w:rPr>
        <w:t>4</w:t>
      </w:r>
      <w:bookmarkEnd w:id="16"/>
      <w:r>
        <w:rPr>
          <w:rFonts w:hint="eastAsia" w:ascii="仿宋" w:hAnsi="仿宋" w:eastAsia="仿宋" w:cs="仿宋"/>
          <w:sz w:val="28"/>
          <w:szCs w:val="28"/>
        </w:rPr>
        <w:fldChar w:fldCharType="end"/>
      </w:r>
    </w:p>
    <w:p>
      <w:pPr>
        <w:pStyle w:val="4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_Toc32008 </w:instrText>
      </w:r>
      <w:r>
        <w:rPr>
          <w:rFonts w:hint="eastAsia" w:ascii="仿宋" w:hAnsi="仿宋" w:eastAsia="仿宋" w:cs="仿宋"/>
          <w:sz w:val="28"/>
          <w:szCs w:val="28"/>
        </w:rPr>
        <w:fldChar w:fldCharType="separate"/>
      </w:r>
      <w:r>
        <w:rPr>
          <w:rFonts w:hint="eastAsia" w:ascii="仿宋" w:hAnsi="仿宋" w:eastAsia="仿宋" w:cs="仿宋"/>
          <w:sz w:val="28"/>
          <w:szCs w:val="28"/>
        </w:rPr>
        <w:t>二、机构设置</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p>
    <w:p>
      <w:pPr>
        <w:pStyle w:val="39"/>
        <w:tabs>
          <w:tab w:val="right" w:leader="dot" w:pos="8306"/>
        </w:tabs>
        <w:rPr>
          <w:rFonts w:hint="eastAsia" w:ascii="仿宋" w:hAnsi="仿宋" w:eastAsia="仿宋" w:cs="仿宋"/>
          <w:sz w:val="28"/>
          <w:szCs w:val="28"/>
        </w:rPr>
      </w:pPr>
      <w:r>
        <w:rPr>
          <w:rFonts w:hint="eastAsia" w:ascii="仿宋" w:hAnsi="仿宋" w:eastAsia="仿宋" w:cs="仿宋"/>
          <w:b/>
          <w:bCs/>
          <w:sz w:val="28"/>
          <w:szCs w:val="28"/>
        </w:rPr>
        <w:fldChar w:fldCharType="begin"/>
      </w:r>
      <w:r>
        <w:rPr>
          <w:rFonts w:hint="eastAsia" w:ascii="仿宋" w:hAnsi="仿宋" w:eastAsia="仿宋" w:cs="仿宋"/>
          <w:sz w:val="28"/>
          <w:szCs w:val="28"/>
        </w:rPr>
        <w:instrText xml:space="preserve"> HYPERLINK \l _Toc21550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第二部分</w:t>
      </w:r>
      <w:r>
        <w:rPr>
          <w:rFonts w:hint="eastAsia" w:ascii="仿宋" w:hAnsi="仿宋" w:eastAsia="仿宋" w:cs="仿宋"/>
          <w:b/>
          <w:bCs/>
          <w:sz w:val="28"/>
          <w:szCs w:val="28"/>
          <w:lang w:eastAsia="zh-CN"/>
        </w:rPr>
        <w:t>2023</w:t>
      </w:r>
      <w:r>
        <w:rPr>
          <w:rFonts w:hint="eastAsia" w:ascii="仿宋" w:hAnsi="仿宋" w:eastAsia="仿宋" w:cs="仿宋"/>
          <w:b/>
          <w:bCs/>
          <w:sz w:val="28"/>
          <w:szCs w:val="28"/>
        </w:rPr>
        <w:t>年度</w:t>
      </w:r>
      <w:r>
        <w:rPr>
          <w:rFonts w:hint="eastAsia" w:ascii="仿宋" w:hAnsi="仿宋" w:eastAsia="仿宋" w:cs="仿宋"/>
          <w:b/>
          <w:bCs/>
          <w:sz w:val="28"/>
          <w:szCs w:val="28"/>
          <w:lang w:val="en-US" w:eastAsia="zh-CN"/>
        </w:rPr>
        <w:t>单位</w:t>
      </w:r>
      <w:r>
        <w:rPr>
          <w:rFonts w:hint="eastAsia" w:ascii="仿宋" w:hAnsi="仿宋" w:eastAsia="仿宋" w:cs="仿宋"/>
          <w:b/>
          <w:bCs/>
          <w:sz w:val="28"/>
          <w:szCs w:val="28"/>
        </w:rPr>
        <w:t>决算情况说明</w:t>
      </w:r>
      <w:r>
        <w:rPr>
          <w:rFonts w:hint="eastAsia" w:ascii="仿宋" w:hAnsi="仿宋" w:eastAsia="仿宋" w:cs="仿宋"/>
          <w:b/>
          <w:bCs/>
          <w:sz w:val="28"/>
          <w:szCs w:val="28"/>
        </w:rPr>
        <w:tab/>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fldChar w:fldCharType="end"/>
      </w:r>
    </w:p>
    <w:p>
      <w:pPr>
        <w:pStyle w:val="4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_Toc3212 </w:instrText>
      </w:r>
      <w:r>
        <w:rPr>
          <w:rFonts w:hint="eastAsia" w:ascii="仿宋" w:hAnsi="仿宋" w:eastAsia="仿宋" w:cs="仿宋"/>
          <w:sz w:val="28"/>
          <w:szCs w:val="28"/>
        </w:rPr>
        <w:fldChar w:fldCharType="separate"/>
      </w:r>
      <w:r>
        <w:rPr>
          <w:rFonts w:hint="eastAsia" w:ascii="仿宋" w:hAnsi="仿宋" w:eastAsia="仿宋" w:cs="仿宋"/>
          <w:sz w:val="28"/>
          <w:szCs w:val="28"/>
        </w:rPr>
        <w:t>一、 收入支出决算总体情况说明</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p>
    <w:p>
      <w:pPr>
        <w:pStyle w:val="4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_Toc25780 </w:instrText>
      </w:r>
      <w:r>
        <w:rPr>
          <w:rFonts w:hint="eastAsia" w:ascii="仿宋" w:hAnsi="仿宋" w:eastAsia="仿宋" w:cs="仿宋"/>
          <w:sz w:val="28"/>
          <w:szCs w:val="28"/>
        </w:rPr>
        <w:fldChar w:fldCharType="separate"/>
      </w:r>
      <w:r>
        <w:rPr>
          <w:rFonts w:hint="eastAsia" w:ascii="仿宋" w:hAnsi="仿宋" w:eastAsia="仿宋" w:cs="仿宋"/>
          <w:sz w:val="28"/>
          <w:szCs w:val="28"/>
        </w:rPr>
        <w:t>二、 收入决算情况说明</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p>
    <w:p>
      <w:pPr>
        <w:pStyle w:val="4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_Toc26724 </w:instrText>
      </w:r>
      <w:r>
        <w:rPr>
          <w:rFonts w:hint="eastAsia" w:ascii="仿宋" w:hAnsi="仿宋" w:eastAsia="仿宋" w:cs="仿宋"/>
          <w:sz w:val="28"/>
          <w:szCs w:val="28"/>
        </w:rPr>
        <w:fldChar w:fldCharType="separate"/>
      </w:r>
      <w:r>
        <w:rPr>
          <w:rFonts w:hint="eastAsia" w:ascii="仿宋" w:hAnsi="仿宋" w:eastAsia="仿宋" w:cs="仿宋"/>
          <w:sz w:val="28"/>
          <w:szCs w:val="28"/>
        </w:rPr>
        <w:t>三、 支出决算情况说明</w:t>
      </w:r>
      <w:r>
        <w:rPr>
          <w:rFonts w:hint="eastAsia" w:ascii="仿宋" w:hAnsi="仿宋" w:eastAsia="仿宋" w:cs="仿宋"/>
          <w:sz w:val="28"/>
          <w:szCs w:val="28"/>
        </w:rPr>
        <w:tab/>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p>
    <w:p>
      <w:pPr>
        <w:pStyle w:val="4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_Toc18704 </w:instrText>
      </w:r>
      <w:r>
        <w:rPr>
          <w:rFonts w:hint="eastAsia" w:ascii="仿宋" w:hAnsi="仿宋" w:eastAsia="仿宋" w:cs="仿宋"/>
          <w:sz w:val="28"/>
          <w:szCs w:val="28"/>
        </w:rPr>
        <w:fldChar w:fldCharType="separate"/>
      </w:r>
      <w:r>
        <w:rPr>
          <w:rFonts w:hint="eastAsia" w:ascii="仿宋" w:hAnsi="仿宋" w:eastAsia="仿宋" w:cs="仿宋"/>
          <w:sz w:val="28"/>
          <w:szCs w:val="28"/>
        </w:rPr>
        <w:t>四、财政拨款收入支出决算总体情况说明</w:t>
      </w:r>
      <w:r>
        <w:rPr>
          <w:rFonts w:hint="eastAsia" w:ascii="仿宋" w:hAnsi="仿宋" w:eastAsia="仿宋" w:cs="仿宋"/>
          <w:sz w:val="28"/>
          <w:szCs w:val="28"/>
        </w:rPr>
        <w:tab/>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p>
    <w:p>
      <w:pPr>
        <w:pStyle w:val="4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_Toc29507 </w:instrText>
      </w:r>
      <w:r>
        <w:rPr>
          <w:rFonts w:hint="eastAsia" w:ascii="仿宋" w:hAnsi="仿宋" w:eastAsia="仿宋" w:cs="仿宋"/>
          <w:sz w:val="28"/>
          <w:szCs w:val="28"/>
        </w:rPr>
        <w:fldChar w:fldCharType="separate"/>
      </w:r>
      <w:r>
        <w:rPr>
          <w:rFonts w:hint="eastAsia" w:ascii="仿宋" w:hAnsi="仿宋" w:eastAsia="仿宋" w:cs="仿宋"/>
          <w:sz w:val="28"/>
          <w:szCs w:val="28"/>
        </w:rPr>
        <w:t>五、一般公共预算财政拨款支出决算情况说明</w:t>
      </w:r>
      <w:r>
        <w:rPr>
          <w:rFonts w:hint="eastAsia" w:ascii="仿宋" w:hAnsi="仿宋" w:eastAsia="仿宋" w:cs="仿宋"/>
          <w:sz w:val="28"/>
          <w:szCs w:val="28"/>
        </w:rPr>
        <w:tab/>
      </w:r>
      <w:r>
        <w:rPr>
          <w:rFonts w:hint="eastAsia" w:ascii="仿宋" w:hAnsi="仿宋" w:eastAsia="仿宋" w:cs="仿宋"/>
          <w:sz w:val="28"/>
          <w:szCs w:val="28"/>
          <w:lang w:val="en-US" w:eastAsia="zh-CN"/>
        </w:rPr>
        <w:t>7</w:t>
      </w:r>
      <w:r>
        <w:rPr>
          <w:rFonts w:hint="eastAsia" w:ascii="仿宋" w:hAnsi="仿宋" w:eastAsia="仿宋" w:cs="仿宋"/>
          <w:sz w:val="28"/>
          <w:szCs w:val="28"/>
        </w:rPr>
        <w:fldChar w:fldCharType="end"/>
      </w:r>
    </w:p>
    <w:p>
      <w:pPr>
        <w:pStyle w:val="40"/>
        <w:tabs>
          <w:tab w:val="right" w:leader="dot" w:pos="8306"/>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_Toc8624 </w:instrText>
      </w:r>
      <w:r>
        <w:rPr>
          <w:rFonts w:hint="eastAsia" w:ascii="仿宋" w:hAnsi="仿宋" w:eastAsia="仿宋" w:cs="仿宋"/>
          <w:sz w:val="28"/>
          <w:szCs w:val="28"/>
        </w:rPr>
        <w:fldChar w:fldCharType="separate"/>
      </w:r>
      <w:r>
        <w:rPr>
          <w:rFonts w:hint="eastAsia" w:ascii="仿宋" w:hAnsi="仿宋" w:eastAsia="仿宋" w:cs="仿宋"/>
          <w:sz w:val="28"/>
          <w:szCs w:val="28"/>
        </w:rPr>
        <w:t>六、一般公共预算财政拨款基本支出决算情况说明</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pPr>
        <w:pStyle w:val="40"/>
        <w:tabs>
          <w:tab w:val="right" w:leader="dot" w:pos="8306"/>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_Toc6729 </w:instrText>
      </w:r>
      <w:r>
        <w:rPr>
          <w:rFonts w:hint="eastAsia" w:ascii="仿宋" w:hAnsi="仿宋" w:eastAsia="仿宋" w:cs="仿宋"/>
          <w:sz w:val="28"/>
          <w:szCs w:val="28"/>
        </w:rPr>
        <w:fldChar w:fldCharType="separate"/>
      </w:r>
      <w:r>
        <w:rPr>
          <w:rFonts w:hint="eastAsia" w:ascii="仿宋" w:hAnsi="仿宋" w:eastAsia="仿宋" w:cs="仿宋"/>
          <w:sz w:val="28"/>
          <w:szCs w:val="28"/>
        </w:rPr>
        <w:t>七、“三公”经费财政拨款支出决算情况说明</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pPr>
        <w:pStyle w:val="4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_Toc17428 </w:instrText>
      </w:r>
      <w:r>
        <w:rPr>
          <w:rFonts w:hint="eastAsia" w:ascii="仿宋" w:hAnsi="仿宋" w:eastAsia="仿宋" w:cs="仿宋"/>
          <w:sz w:val="28"/>
          <w:szCs w:val="28"/>
        </w:rPr>
        <w:fldChar w:fldCharType="separate"/>
      </w:r>
      <w:r>
        <w:rPr>
          <w:rFonts w:hint="eastAsia" w:ascii="仿宋" w:hAnsi="仿宋" w:eastAsia="仿宋" w:cs="仿宋"/>
          <w:sz w:val="28"/>
          <w:szCs w:val="28"/>
        </w:rPr>
        <w:t>八、政府性基金预算支出决算情况说明</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p>
    <w:p>
      <w:pPr>
        <w:pStyle w:val="4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_Toc28256 </w:instrText>
      </w:r>
      <w:r>
        <w:rPr>
          <w:rFonts w:hint="eastAsia" w:ascii="仿宋" w:hAnsi="仿宋" w:eastAsia="仿宋" w:cs="仿宋"/>
          <w:sz w:val="28"/>
          <w:szCs w:val="28"/>
        </w:rPr>
        <w:fldChar w:fldCharType="separate"/>
      </w:r>
      <w:r>
        <w:rPr>
          <w:rFonts w:hint="eastAsia" w:ascii="仿宋" w:hAnsi="仿宋" w:eastAsia="仿宋" w:cs="仿宋"/>
          <w:sz w:val="28"/>
          <w:szCs w:val="28"/>
        </w:rPr>
        <w:t>九、 国有资本经营预算支出决算情况说明</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p>
    <w:p>
      <w:pPr>
        <w:pStyle w:val="4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_Toc4384 </w:instrText>
      </w:r>
      <w:r>
        <w:rPr>
          <w:rFonts w:hint="eastAsia" w:ascii="仿宋" w:hAnsi="仿宋" w:eastAsia="仿宋" w:cs="仿宋"/>
          <w:sz w:val="28"/>
          <w:szCs w:val="28"/>
        </w:rPr>
        <w:fldChar w:fldCharType="separate"/>
      </w:r>
      <w:r>
        <w:rPr>
          <w:rFonts w:hint="eastAsia" w:ascii="仿宋" w:hAnsi="仿宋" w:eastAsia="仿宋" w:cs="仿宋"/>
          <w:sz w:val="28"/>
          <w:szCs w:val="28"/>
        </w:rPr>
        <w:t>十、 其他重要事项的情况说明</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p>
    <w:p>
      <w:pPr>
        <w:pStyle w:val="39"/>
        <w:tabs>
          <w:tab w:val="right" w:leader="dot" w:pos="8306"/>
        </w:tabs>
        <w:rPr>
          <w:rFonts w:hint="eastAsia" w:ascii="仿宋" w:hAnsi="仿宋" w:eastAsia="仿宋" w:cs="仿宋"/>
          <w:sz w:val="28"/>
          <w:szCs w:val="28"/>
        </w:rPr>
      </w:pPr>
      <w:r>
        <w:rPr>
          <w:rFonts w:hint="eastAsia" w:ascii="仿宋" w:hAnsi="仿宋" w:eastAsia="仿宋" w:cs="仿宋"/>
          <w:b/>
          <w:bCs/>
          <w:sz w:val="28"/>
          <w:szCs w:val="28"/>
        </w:rPr>
        <w:fldChar w:fldCharType="begin"/>
      </w:r>
      <w:r>
        <w:rPr>
          <w:rFonts w:hint="eastAsia" w:ascii="仿宋" w:hAnsi="仿宋" w:eastAsia="仿宋" w:cs="仿宋"/>
          <w:sz w:val="28"/>
          <w:szCs w:val="28"/>
        </w:rPr>
        <w:instrText xml:space="preserve"> HYPERLINK \l _Toc14818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第三部分 名词解释</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fldChar w:fldCharType="end"/>
      </w:r>
    </w:p>
    <w:p>
      <w:pPr>
        <w:pStyle w:val="39"/>
        <w:tabs>
          <w:tab w:val="right" w:leader="dot" w:pos="8306"/>
        </w:tabs>
        <w:rPr>
          <w:rFonts w:hint="default" w:ascii="仿宋" w:hAnsi="仿宋" w:eastAsia="仿宋" w:cs="仿宋"/>
          <w:sz w:val="28"/>
          <w:szCs w:val="28"/>
          <w:lang w:val="en-US" w:eastAsia="zh-CN"/>
        </w:rPr>
      </w:pPr>
      <w:r>
        <w:rPr>
          <w:rFonts w:hint="eastAsia" w:ascii="仿宋" w:hAnsi="仿宋" w:eastAsia="仿宋" w:cs="仿宋"/>
          <w:b/>
          <w:bCs/>
          <w:sz w:val="28"/>
          <w:szCs w:val="28"/>
        </w:rPr>
        <w:fldChar w:fldCharType="begin"/>
      </w:r>
      <w:r>
        <w:rPr>
          <w:rFonts w:hint="eastAsia" w:ascii="仿宋" w:hAnsi="仿宋" w:eastAsia="仿宋" w:cs="仿宋"/>
          <w:sz w:val="28"/>
          <w:szCs w:val="28"/>
        </w:rPr>
        <w:instrText xml:space="preserve"> HYPERLINK \l _Toc27334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第四部分 附件</w:t>
      </w:r>
      <w:r>
        <w:rPr>
          <w:rFonts w:hint="eastAsia" w:ascii="仿宋" w:hAnsi="仿宋" w:eastAsia="仿宋" w:cs="仿宋"/>
          <w:b/>
          <w:bCs/>
          <w:sz w:val="28"/>
          <w:szCs w:val="28"/>
        </w:rPr>
        <w:tab/>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8</w:t>
      </w:r>
    </w:p>
    <w:p>
      <w:pPr>
        <w:pStyle w:val="40"/>
        <w:tabs>
          <w:tab w:val="right" w:leader="dot" w:pos="8306"/>
        </w:tabs>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_Toc5020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CN"/>
        </w:rPr>
        <w:t>2023</w:t>
      </w:r>
      <w:r>
        <w:rPr>
          <w:rFonts w:hint="eastAsia" w:ascii="仿宋" w:hAnsi="仿宋" w:eastAsia="仿宋" w:cs="仿宋"/>
          <w:sz w:val="28"/>
          <w:szCs w:val="28"/>
        </w:rPr>
        <w:t>年部门预算项目支出绩效自评报告</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18</w:t>
      </w:r>
    </w:p>
    <w:p>
      <w:pPr>
        <w:pStyle w:val="39"/>
        <w:tabs>
          <w:tab w:val="right" w:leader="dot" w:pos="8306"/>
        </w:tabs>
        <w:rPr>
          <w:rFonts w:hint="default" w:ascii="仿宋" w:hAnsi="仿宋" w:eastAsia="仿宋" w:cs="仿宋"/>
          <w:sz w:val="28"/>
          <w:szCs w:val="28"/>
          <w:lang w:val="en-US" w:eastAsia="zh-CN"/>
        </w:rPr>
      </w:pPr>
      <w:r>
        <w:rPr>
          <w:rFonts w:hint="eastAsia" w:ascii="仿宋" w:hAnsi="仿宋" w:eastAsia="仿宋" w:cs="仿宋"/>
          <w:b/>
          <w:bCs/>
          <w:sz w:val="28"/>
          <w:szCs w:val="28"/>
        </w:rPr>
        <w:fldChar w:fldCharType="begin"/>
      </w:r>
      <w:r>
        <w:rPr>
          <w:rFonts w:hint="eastAsia" w:ascii="仿宋" w:hAnsi="仿宋" w:eastAsia="仿宋" w:cs="仿宋"/>
          <w:sz w:val="28"/>
          <w:szCs w:val="28"/>
        </w:rPr>
        <w:instrText xml:space="preserve"> HYPERLINK \l _Toc23018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第五部分 附表</w:t>
      </w:r>
      <w:r>
        <w:rPr>
          <w:rFonts w:hint="eastAsia" w:ascii="仿宋" w:hAnsi="仿宋" w:eastAsia="仿宋" w:cs="仿宋"/>
          <w:b/>
          <w:bCs/>
          <w:sz w:val="28"/>
          <w:szCs w:val="28"/>
        </w:rPr>
        <w:tab/>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4</w:t>
      </w:r>
    </w:p>
    <w:p>
      <w:pPr>
        <w:pStyle w:val="40"/>
        <w:tabs>
          <w:tab w:val="right" w:leader="dot" w:pos="8306"/>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_Toc19727 </w:instrText>
      </w:r>
      <w:r>
        <w:rPr>
          <w:rFonts w:hint="eastAsia" w:ascii="仿宋" w:hAnsi="仿宋" w:eastAsia="仿宋" w:cs="仿宋"/>
          <w:sz w:val="28"/>
          <w:szCs w:val="28"/>
        </w:rPr>
        <w:fldChar w:fldCharType="separate"/>
      </w:r>
      <w:r>
        <w:rPr>
          <w:rFonts w:hint="eastAsia" w:ascii="仿宋" w:hAnsi="仿宋" w:eastAsia="仿宋" w:cs="仿宋"/>
          <w:sz w:val="28"/>
          <w:szCs w:val="28"/>
        </w:rPr>
        <w:t>一、收入支出决算总表</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pPr>
        <w:pStyle w:val="40"/>
        <w:tabs>
          <w:tab w:val="right" w:leader="dot" w:pos="8306"/>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_Toc17609 </w:instrText>
      </w:r>
      <w:r>
        <w:rPr>
          <w:rFonts w:hint="eastAsia" w:ascii="仿宋" w:hAnsi="仿宋" w:eastAsia="仿宋" w:cs="仿宋"/>
          <w:sz w:val="28"/>
          <w:szCs w:val="28"/>
        </w:rPr>
        <w:fldChar w:fldCharType="separate"/>
      </w:r>
      <w:r>
        <w:rPr>
          <w:rFonts w:hint="eastAsia" w:ascii="仿宋" w:hAnsi="仿宋" w:eastAsia="仿宋" w:cs="仿宋"/>
          <w:sz w:val="28"/>
          <w:szCs w:val="28"/>
        </w:rPr>
        <w:t>二、收入决算表</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pPr>
        <w:pStyle w:val="40"/>
        <w:tabs>
          <w:tab w:val="right" w:leader="dot" w:pos="8306"/>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_Toc7953 </w:instrText>
      </w:r>
      <w:r>
        <w:rPr>
          <w:rFonts w:hint="eastAsia" w:ascii="仿宋" w:hAnsi="仿宋" w:eastAsia="仿宋" w:cs="仿宋"/>
          <w:sz w:val="28"/>
          <w:szCs w:val="28"/>
        </w:rPr>
        <w:fldChar w:fldCharType="separate"/>
      </w:r>
      <w:r>
        <w:rPr>
          <w:rFonts w:hint="eastAsia" w:ascii="仿宋" w:hAnsi="仿宋" w:eastAsia="仿宋" w:cs="仿宋"/>
          <w:sz w:val="28"/>
          <w:szCs w:val="28"/>
        </w:rPr>
        <w:t>三、支出决算表</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pPr>
        <w:pStyle w:val="40"/>
        <w:tabs>
          <w:tab w:val="right" w:leader="dot" w:pos="8306"/>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_Toc27908 </w:instrText>
      </w:r>
      <w:r>
        <w:rPr>
          <w:rFonts w:hint="eastAsia" w:ascii="仿宋" w:hAnsi="仿宋" w:eastAsia="仿宋" w:cs="仿宋"/>
          <w:sz w:val="28"/>
          <w:szCs w:val="28"/>
        </w:rPr>
        <w:fldChar w:fldCharType="separate"/>
      </w:r>
      <w:r>
        <w:rPr>
          <w:rFonts w:hint="eastAsia" w:ascii="仿宋" w:hAnsi="仿宋" w:eastAsia="仿宋" w:cs="仿宋"/>
          <w:sz w:val="28"/>
          <w:szCs w:val="28"/>
        </w:rPr>
        <w:t>四、财政拨款收入支出决算总表</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pPr>
        <w:pStyle w:val="40"/>
        <w:tabs>
          <w:tab w:val="right" w:leader="dot" w:pos="8306"/>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_Toc18744 </w:instrText>
      </w:r>
      <w:r>
        <w:rPr>
          <w:rFonts w:hint="eastAsia" w:ascii="仿宋" w:hAnsi="仿宋" w:eastAsia="仿宋" w:cs="仿宋"/>
          <w:sz w:val="28"/>
          <w:szCs w:val="28"/>
        </w:rPr>
        <w:fldChar w:fldCharType="separate"/>
      </w:r>
      <w:r>
        <w:rPr>
          <w:rFonts w:hint="eastAsia" w:ascii="仿宋" w:hAnsi="仿宋" w:eastAsia="仿宋" w:cs="仿宋"/>
          <w:sz w:val="28"/>
          <w:szCs w:val="28"/>
        </w:rPr>
        <w:t>五、财政拨款支出决算明细表</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pPr>
        <w:pStyle w:val="40"/>
        <w:tabs>
          <w:tab w:val="right" w:leader="dot" w:pos="8306"/>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_Toc3371 </w:instrText>
      </w:r>
      <w:r>
        <w:rPr>
          <w:rFonts w:hint="eastAsia" w:ascii="仿宋" w:hAnsi="仿宋" w:eastAsia="仿宋" w:cs="仿宋"/>
          <w:sz w:val="28"/>
          <w:szCs w:val="28"/>
        </w:rPr>
        <w:fldChar w:fldCharType="separate"/>
      </w:r>
      <w:r>
        <w:rPr>
          <w:rFonts w:hint="eastAsia" w:ascii="仿宋" w:hAnsi="仿宋" w:eastAsia="仿宋" w:cs="仿宋"/>
          <w:sz w:val="28"/>
          <w:szCs w:val="28"/>
        </w:rPr>
        <w:t>六、一般公共预算财政拨款支出决算表</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pPr>
        <w:pStyle w:val="40"/>
        <w:tabs>
          <w:tab w:val="right" w:leader="dot" w:pos="8306"/>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_Toc30611 </w:instrText>
      </w:r>
      <w:r>
        <w:rPr>
          <w:rFonts w:hint="eastAsia" w:ascii="仿宋" w:hAnsi="仿宋" w:eastAsia="仿宋" w:cs="仿宋"/>
          <w:sz w:val="28"/>
          <w:szCs w:val="28"/>
        </w:rPr>
        <w:fldChar w:fldCharType="separate"/>
      </w:r>
      <w:r>
        <w:rPr>
          <w:rFonts w:hint="eastAsia" w:ascii="仿宋" w:hAnsi="仿宋" w:eastAsia="仿宋" w:cs="仿宋"/>
          <w:sz w:val="28"/>
          <w:szCs w:val="28"/>
        </w:rPr>
        <w:t>七、一般公共预算财政拨款支出决算明细表</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pPr>
        <w:pStyle w:val="40"/>
        <w:tabs>
          <w:tab w:val="right" w:leader="dot" w:pos="8306"/>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_Toc5570 </w:instrText>
      </w:r>
      <w:r>
        <w:rPr>
          <w:rFonts w:hint="eastAsia" w:ascii="仿宋" w:hAnsi="仿宋" w:eastAsia="仿宋" w:cs="仿宋"/>
          <w:sz w:val="28"/>
          <w:szCs w:val="28"/>
        </w:rPr>
        <w:fldChar w:fldCharType="separate"/>
      </w:r>
      <w:r>
        <w:rPr>
          <w:rFonts w:hint="eastAsia" w:ascii="仿宋" w:hAnsi="仿宋" w:eastAsia="仿宋" w:cs="仿宋"/>
          <w:sz w:val="28"/>
          <w:szCs w:val="28"/>
        </w:rPr>
        <w:t>八、一般公共预算财政拨款基本支出决算表</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pPr>
        <w:pStyle w:val="40"/>
        <w:tabs>
          <w:tab w:val="right" w:leader="dot" w:pos="8306"/>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_Toc25194 </w:instrText>
      </w:r>
      <w:r>
        <w:rPr>
          <w:rFonts w:hint="eastAsia" w:ascii="仿宋" w:hAnsi="仿宋" w:eastAsia="仿宋" w:cs="仿宋"/>
          <w:sz w:val="28"/>
          <w:szCs w:val="28"/>
        </w:rPr>
        <w:fldChar w:fldCharType="separate"/>
      </w:r>
      <w:r>
        <w:rPr>
          <w:rFonts w:hint="eastAsia" w:ascii="仿宋" w:hAnsi="仿宋" w:eastAsia="仿宋" w:cs="仿宋"/>
          <w:sz w:val="28"/>
          <w:szCs w:val="28"/>
        </w:rPr>
        <w:t>九、一般公共预算财政拨款项目支出决算表</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pPr>
        <w:pStyle w:val="40"/>
        <w:tabs>
          <w:tab w:val="right" w:leader="dot" w:pos="8306"/>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_Toc2181 </w:instrText>
      </w:r>
      <w:r>
        <w:rPr>
          <w:rFonts w:hint="eastAsia" w:ascii="仿宋" w:hAnsi="仿宋" w:eastAsia="仿宋" w:cs="仿宋"/>
          <w:sz w:val="28"/>
          <w:szCs w:val="28"/>
        </w:rPr>
        <w:fldChar w:fldCharType="separate"/>
      </w:r>
      <w:r>
        <w:rPr>
          <w:rFonts w:hint="eastAsia" w:ascii="仿宋" w:hAnsi="仿宋" w:eastAsia="仿宋" w:cs="仿宋"/>
          <w:sz w:val="28"/>
          <w:szCs w:val="28"/>
        </w:rPr>
        <w:t>十、政府性基金预算财政拨款收入支出决算表</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pPr>
        <w:pStyle w:val="40"/>
        <w:tabs>
          <w:tab w:val="right" w:leader="dot" w:pos="8306"/>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_Toc11501 </w:instrText>
      </w:r>
      <w:r>
        <w:rPr>
          <w:rFonts w:hint="eastAsia" w:ascii="仿宋" w:hAnsi="仿宋" w:eastAsia="仿宋" w:cs="仿宋"/>
          <w:sz w:val="28"/>
          <w:szCs w:val="28"/>
        </w:rPr>
        <w:fldChar w:fldCharType="separate"/>
      </w:r>
      <w:r>
        <w:rPr>
          <w:rFonts w:hint="eastAsia" w:ascii="仿宋" w:hAnsi="仿宋" w:eastAsia="仿宋" w:cs="仿宋"/>
          <w:sz w:val="28"/>
          <w:szCs w:val="28"/>
        </w:rPr>
        <w:t>十一、国有资本经营预算财政拨款收入支出决算表</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pPr>
        <w:pStyle w:val="40"/>
        <w:tabs>
          <w:tab w:val="right" w:leader="dot" w:pos="8306"/>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_Toc2744 </w:instrText>
      </w:r>
      <w:r>
        <w:rPr>
          <w:rFonts w:hint="eastAsia" w:ascii="仿宋" w:hAnsi="仿宋" w:eastAsia="仿宋" w:cs="仿宋"/>
          <w:sz w:val="28"/>
          <w:szCs w:val="28"/>
        </w:rPr>
        <w:fldChar w:fldCharType="separate"/>
      </w:r>
      <w:r>
        <w:rPr>
          <w:rFonts w:hint="eastAsia" w:ascii="仿宋" w:hAnsi="仿宋" w:eastAsia="仿宋" w:cs="仿宋"/>
          <w:sz w:val="28"/>
          <w:szCs w:val="28"/>
        </w:rPr>
        <w:t>十二、国有资本经营预算财政拨款支出决算表</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pPr>
        <w:pStyle w:val="40"/>
        <w:tabs>
          <w:tab w:val="right" w:leader="dot" w:pos="8306"/>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_Toc8898 </w:instrText>
      </w:r>
      <w:r>
        <w:rPr>
          <w:rFonts w:hint="eastAsia" w:ascii="仿宋" w:hAnsi="仿宋" w:eastAsia="仿宋" w:cs="仿宋"/>
          <w:sz w:val="28"/>
          <w:szCs w:val="28"/>
        </w:rPr>
        <w:fldChar w:fldCharType="separate"/>
      </w:r>
      <w:r>
        <w:rPr>
          <w:rFonts w:hint="eastAsia" w:ascii="仿宋" w:hAnsi="仿宋" w:eastAsia="仿宋" w:cs="仿宋"/>
          <w:sz w:val="28"/>
          <w:szCs w:val="28"/>
        </w:rPr>
        <w:t>十三、财政拨款“三公”经费支出决算表</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pPr>
        <w:pStyle w:val="4"/>
        <w:jc w:val="both"/>
        <w:rPr>
          <w:rFonts w:hint="eastAsia" w:ascii="方正小标宋简体" w:hAnsi="方正小标宋简体" w:eastAsia="方正小标宋简体" w:cs="方正小标宋简体"/>
          <w:b w:val="0"/>
          <w:color w:val="auto"/>
        </w:rPr>
      </w:pPr>
    </w:p>
    <w:bookmarkEnd w:id="15"/>
    <w:p>
      <w:pPr>
        <w:spacing w:before="0" w:beforeLines="0" w:after="0" w:afterLines="0" w:line="240" w:lineRule="auto"/>
        <w:ind w:left="0" w:leftChars="0" w:right="0" w:rightChars="0" w:firstLine="0" w:firstLineChars="0"/>
        <w:jc w:val="center"/>
        <w:rPr>
          <w:rFonts w:ascii="Times New Roman" w:hAnsi="Times New Roman" w:eastAsia="宋体" w:cs="Times New Roman"/>
          <w:b/>
          <w:kern w:val="2"/>
          <w:sz w:val="21"/>
          <w:szCs w:val="24"/>
          <w:lang w:val="en-US" w:eastAsia="zh-CN" w:bidi="ar-SA"/>
        </w:rPr>
      </w:pPr>
    </w:p>
    <w:p>
      <w:pPr>
        <w:pStyle w:val="7"/>
      </w:pPr>
    </w:p>
    <w:p>
      <w:pPr>
        <w:widowControl/>
        <w:spacing w:line="440" w:lineRule="exact"/>
        <w:jc w:val="left"/>
        <w:rPr>
          <w:rFonts w:ascii="仿宋" w:hAnsi="仿宋" w:eastAsia="仿宋"/>
          <w:bCs/>
          <w:kern w:val="44"/>
          <w:sz w:val="24"/>
        </w:rPr>
      </w:pPr>
      <w:bookmarkStart w:id="17" w:name="_Toc15396599"/>
      <w:bookmarkStart w:id="18" w:name="_Toc15377196"/>
      <w:r>
        <w:rPr>
          <w:rFonts w:ascii="仿宋" w:hAnsi="仿宋" w:eastAsia="仿宋"/>
          <w:b/>
          <w:sz w:val="24"/>
        </w:rPr>
        <w:br w:type="page"/>
      </w:r>
    </w:p>
    <w:p>
      <w:pPr>
        <w:pStyle w:val="4"/>
        <w:jc w:val="center"/>
        <w:rPr>
          <w:rStyle w:val="31"/>
          <w:rFonts w:ascii="黑体" w:hAnsi="黑体" w:eastAsia="黑体"/>
          <w:b/>
          <w:bCs w:val="0"/>
        </w:rPr>
      </w:pPr>
      <w:bookmarkStart w:id="19" w:name="_Toc1299"/>
      <w:r>
        <w:rPr>
          <w:rFonts w:hint="eastAsia" w:ascii="黑体" w:hAnsi="黑体" w:eastAsia="黑体"/>
          <w:b w:val="0"/>
        </w:rPr>
        <w:t xml:space="preserve">第一部分 </w:t>
      </w:r>
      <w:r>
        <w:rPr>
          <w:rStyle w:val="31"/>
          <w:rFonts w:hint="eastAsia" w:ascii="黑体" w:hAnsi="黑体" w:eastAsia="黑体"/>
          <w:b w:val="0"/>
          <w:bCs w:val="0"/>
          <w:lang w:eastAsia="zh-CN"/>
        </w:rPr>
        <w:t>单位</w:t>
      </w:r>
      <w:r>
        <w:rPr>
          <w:rStyle w:val="31"/>
          <w:rFonts w:hint="eastAsia" w:ascii="黑体" w:hAnsi="黑体" w:eastAsia="黑体"/>
          <w:b w:val="0"/>
          <w:bCs w:val="0"/>
        </w:rPr>
        <w:t>概况</w:t>
      </w:r>
      <w:bookmarkEnd w:id="17"/>
      <w:bookmarkEnd w:id="18"/>
      <w:bookmarkEnd w:id="19"/>
    </w:p>
    <w:p>
      <w:pPr>
        <w:widowControl/>
        <w:jc w:val="left"/>
        <w:rPr>
          <w:rFonts w:ascii="黑体" w:eastAsia="黑体"/>
          <w:sz w:val="32"/>
          <w:szCs w:val="32"/>
        </w:rPr>
      </w:pPr>
    </w:p>
    <w:p>
      <w:pPr>
        <w:pStyle w:val="5"/>
        <w:numPr>
          <w:ilvl w:val="0"/>
          <w:numId w:val="1"/>
        </w:numPr>
        <w:rPr>
          <w:rFonts w:hint="eastAsia" w:ascii="黑体" w:hAnsi="黑体" w:eastAsia="黑体"/>
          <w:b w:val="0"/>
        </w:rPr>
      </w:pPr>
      <w:bookmarkStart w:id="20" w:name="_Toc12720"/>
      <w:r>
        <w:rPr>
          <w:rFonts w:hint="eastAsia" w:ascii="黑体" w:hAnsi="黑体" w:eastAsia="黑体"/>
          <w:b w:val="0"/>
          <w:lang w:eastAsia="zh-CN"/>
        </w:rPr>
        <w:t>单位</w:t>
      </w:r>
      <w:r>
        <w:rPr>
          <w:rFonts w:hint="eastAsia" w:ascii="黑体" w:hAnsi="黑体" w:eastAsia="黑体"/>
          <w:b w:val="0"/>
        </w:rPr>
        <w:t>职责</w:t>
      </w:r>
      <w:bookmarkEnd w:id="20"/>
    </w:p>
    <w:p>
      <w:pPr>
        <w:ind w:firstLine="800" w:firstLineChars="250"/>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中共遂宁市船山区纪律检查委员会与遂宁市船山区监察委员会合署办公，实行一套工作机构、两个机关名称的体制，履行党的纪律检查和国家监察职责。在中共遂宁市船山区委和中共遂宁市纪律检查委员会、遂宁市监察委员会领导下开展工作。遂宁市船山区纪检监察干部教育培训中心是区纪委下属公益一类事业单位，主要为全区纪律审查调查和纪检监察干部培训提供后勤保障服务工作。</w:t>
      </w:r>
    </w:p>
    <w:p>
      <w:pPr>
        <w:ind w:firstLine="800" w:firstLineChars="250"/>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根据上述职责，船山区纪委监委现内设14个机构：办公室、组织部、宣传部、党风政风监督室、案件监督管理室、案件审理室、</w:t>
      </w:r>
      <w:bookmarkStart w:id="21" w:name="OLE_LINK2"/>
      <w:r>
        <w:rPr>
          <w:rFonts w:hint="eastAsia" w:ascii="仿宋" w:hAnsi="仿宋" w:eastAsia="仿宋" w:cs="Times New Roman"/>
          <w:sz w:val="32"/>
          <w:szCs w:val="32"/>
          <w:highlight w:val="none"/>
          <w:lang w:val="en-US" w:eastAsia="zh-CN"/>
        </w:rPr>
        <w:t>第一纪检监察室、第二纪</w:t>
      </w:r>
      <w:bookmarkEnd w:id="21"/>
      <w:r>
        <w:rPr>
          <w:rFonts w:hint="eastAsia" w:ascii="仿宋" w:hAnsi="仿宋" w:eastAsia="仿宋" w:cs="Times New Roman"/>
          <w:sz w:val="32"/>
          <w:szCs w:val="32"/>
          <w:highlight w:val="none"/>
          <w:lang w:val="en-US" w:eastAsia="zh-CN"/>
        </w:rPr>
        <w:t>检监察室、第三纪检监察室、第四纪检监察室、第五纪检监察室、第六纪检监察室、信访室、纪检监察干部监督室。</w:t>
      </w:r>
    </w:p>
    <w:p>
      <w:pPr>
        <w:ind w:firstLine="800" w:firstLineChars="250"/>
      </w:pPr>
      <w:r>
        <w:rPr>
          <w:rFonts w:hint="default" w:ascii="仿宋" w:hAnsi="仿宋" w:eastAsia="仿宋" w:cs="Times New Roman"/>
          <w:sz w:val="32"/>
          <w:szCs w:val="32"/>
          <w:highlight w:val="none"/>
          <w:lang w:val="en-US" w:eastAsia="zh-CN"/>
        </w:rPr>
        <w:t>区纪委监委驻区直部门纪检监察组共计13个：分别是区纪委监委驻区委办公室纪检监察组、区纪委监委驻区政府办公室纪检监察组、区纪委监委驻区委组织部纪检监察组、区纪委监委驻区发改局纪检监察组、区纪委监委驻区人社局纪检监察组、区纪委监委驻区教体局纪检监察组、区纪委监委驻区卫健局纪检监察组、区纪委监委驻区农业农村局纪检监察组、区纪委监委驻区财政局纪检监察组、区纪委监委驻区交运局纪检监察组、区纪委监委驻区住建局纪检监察组、区纪委监委驻区检察院纪检监察组、区纪委监委驻区司法局纪检监察组。</w:t>
      </w:r>
    </w:p>
    <w:p>
      <w:pPr>
        <w:pStyle w:val="5"/>
        <w:rPr>
          <w:rStyle w:val="32"/>
          <w:b w:val="0"/>
          <w:bCs w:val="0"/>
        </w:rPr>
      </w:pPr>
      <w:bookmarkStart w:id="22" w:name="_Toc15377200"/>
      <w:bookmarkStart w:id="23" w:name="_Toc29048"/>
      <w:bookmarkStart w:id="24" w:name="_Toc15396601"/>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22"/>
      <w:bookmarkEnd w:id="23"/>
      <w:bookmarkEnd w:id="24"/>
    </w:p>
    <w:p>
      <w:pPr>
        <w:ind w:firstLine="800" w:firstLineChars="250"/>
        <w:rPr>
          <w:rFonts w:hint="default" w:ascii="仿宋" w:hAnsi="仿宋" w:eastAsia="仿宋" w:cs="Times New Roman"/>
          <w:sz w:val="32"/>
          <w:szCs w:val="32"/>
          <w:highlight w:val="none"/>
          <w:lang w:val="en-US" w:eastAsia="zh-CN"/>
        </w:rPr>
      </w:pPr>
      <w:r>
        <w:rPr>
          <w:rFonts w:hint="default" w:ascii="仿宋" w:hAnsi="仿宋" w:eastAsia="仿宋" w:cs="Times New Roman"/>
          <w:sz w:val="32"/>
          <w:szCs w:val="32"/>
          <w:highlight w:val="none"/>
          <w:lang w:val="en-US" w:eastAsia="zh-CN"/>
        </w:rPr>
        <w:t>中共遂宁市船山区纪委为财政一级预算单位，执行行政单位会计制度，无二级预算单位。其中：其他事业单位</w:t>
      </w:r>
      <w:r>
        <w:rPr>
          <w:rFonts w:hint="eastAsia" w:ascii="仿宋" w:hAnsi="仿宋" w:eastAsia="仿宋" w:cs="Times New Roman"/>
          <w:sz w:val="32"/>
          <w:szCs w:val="32"/>
          <w:highlight w:val="none"/>
          <w:lang w:val="en-US" w:eastAsia="zh-CN"/>
        </w:rPr>
        <w:t>1</w:t>
      </w:r>
      <w:r>
        <w:rPr>
          <w:rFonts w:hint="default" w:ascii="仿宋" w:hAnsi="仿宋" w:eastAsia="仿宋" w:cs="Times New Roman"/>
          <w:sz w:val="32"/>
          <w:szCs w:val="32"/>
          <w:highlight w:val="none"/>
          <w:lang w:val="en-US" w:eastAsia="zh-CN"/>
        </w:rPr>
        <w:t>个。主要包括：遂宁市船山区纪检监察干部教育培训中心。</w:t>
      </w:r>
    </w:p>
    <w:p>
      <w:pPr>
        <w:pStyle w:val="4"/>
        <w:ind w:right="440"/>
        <w:jc w:val="center"/>
        <w:rPr>
          <w:rStyle w:val="31"/>
          <w:rFonts w:ascii="黑体" w:hAnsi="黑体" w:eastAsia="黑体"/>
          <w:b w:val="0"/>
          <w:bCs/>
        </w:rPr>
      </w:pPr>
      <w:bookmarkStart w:id="25" w:name="_Toc8821"/>
      <w:bookmarkStart w:id="26" w:name="_Toc15377204"/>
      <w:bookmarkStart w:id="27" w:name="_Toc15396602"/>
      <w:r>
        <w:rPr>
          <w:rFonts w:hint="eastAsia" w:ascii="黑体" w:hAnsi="黑体" w:eastAsia="黑体"/>
          <w:b w:val="0"/>
        </w:rPr>
        <w:t>第二部分 2023年度</w:t>
      </w:r>
      <w:r>
        <w:rPr>
          <w:rStyle w:val="31"/>
          <w:rFonts w:hint="eastAsia" w:ascii="黑体" w:hAnsi="黑体" w:eastAsia="黑体"/>
          <w:b w:val="0"/>
          <w:bCs/>
          <w:lang w:eastAsia="zh-CN"/>
        </w:rPr>
        <w:t>单位</w:t>
      </w:r>
      <w:r>
        <w:rPr>
          <w:rStyle w:val="31"/>
          <w:rFonts w:hint="eastAsia" w:ascii="黑体" w:hAnsi="黑体" w:eastAsia="黑体"/>
          <w:b w:val="0"/>
          <w:bCs/>
        </w:rPr>
        <w:t>决算情况说明</w:t>
      </w:r>
      <w:bookmarkEnd w:id="25"/>
      <w:bookmarkEnd w:id="26"/>
      <w:bookmarkEnd w:id="27"/>
    </w:p>
    <w:p/>
    <w:p>
      <w:pPr>
        <w:pStyle w:val="30"/>
        <w:numPr>
          <w:ilvl w:val="0"/>
          <w:numId w:val="2"/>
        </w:numPr>
        <w:spacing w:line="600" w:lineRule="exact"/>
        <w:ind w:firstLineChars="0"/>
        <w:outlineLvl w:val="1"/>
        <w:rPr>
          <w:rStyle w:val="32"/>
          <w:rFonts w:ascii="黑体" w:hAnsi="黑体" w:eastAsia="黑体"/>
          <w:b w:val="0"/>
        </w:rPr>
      </w:pPr>
      <w:bookmarkStart w:id="28" w:name="_Toc15377205"/>
      <w:bookmarkStart w:id="29" w:name="_Toc15090"/>
      <w:bookmarkStart w:id="30" w:name="_Toc15396603"/>
      <w:r>
        <w:rPr>
          <w:rFonts w:hint="eastAsia" w:ascii="黑体" w:hAnsi="黑体" w:eastAsia="黑体"/>
          <w:sz w:val="32"/>
          <w:szCs w:val="32"/>
        </w:rPr>
        <w:t>收</w:t>
      </w:r>
      <w:r>
        <w:rPr>
          <w:rStyle w:val="32"/>
          <w:rFonts w:hint="eastAsia" w:ascii="黑体" w:hAnsi="黑体" w:eastAsia="黑体"/>
          <w:b w:val="0"/>
        </w:rPr>
        <w:t>入支出决算总体情况说明</w:t>
      </w:r>
      <w:bookmarkEnd w:id="28"/>
      <w:bookmarkEnd w:id="29"/>
      <w:bookmarkEnd w:id="30"/>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 w:hAnsi="仿宋" w:eastAsia="仿宋"/>
          <w:sz w:val="32"/>
          <w:szCs w:val="32"/>
        </w:rPr>
        <w:t>2023年度收、支总计均为</w:t>
      </w:r>
      <w:r>
        <w:rPr>
          <w:rFonts w:hint="eastAsia"/>
          <w:sz w:val="32"/>
          <w:szCs w:val="32"/>
        </w:rPr>
        <w:t>1957.09</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与2022年度相比，收、支总计</w:t>
      </w:r>
      <w:r>
        <w:rPr>
          <w:rFonts w:hint="eastAsia" w:ascii="仿宋" w:hAnsi="仿宋" w:eastAsia="仿宋" w:cs="Times New Roman"/>
          <w:sz w:val="32"/>
          <w:szCs w:val="32"/>
        </w:rPr>
        <w:t>各减少</w:t>
      </w:r>
      <w:r>
        <w:rPr>
          <w:rFonts w:hint="eastAsia" w:ascii="Times New Roman" w:hAnsi="Times New Roman" w:eastAsia="宋体" w:cs="Times New Roman"/>
          <w:sz w:val="32"/>
          <w:szCs w:val="32"/>
          <w:lang w:val="en-US" w:eastAsia="zh-CN"/>
        </w:rPr>
        <w:t>255.86</w:t>
      </w:r>
      <w:r>
        <w:rPr>
          <w:rFonts w:hint="eastAsia" w:ascii="仿宋" w:hAnsi="仿宋" w:eastAsia="仿宋" w:cs="Times New Roman"/>
          <w:sz w:val="32"/>
          <w:szCs w:val="32"/>
        </w:rPr>
        <w:t>万元，下降</w:t>
      </w:r>
      <w:r>
        <w:rPr>
          <w:rFonts w:hint="eastAsia" w:ascii="仿宋" w:hAnsi="仿宋" w:eastAsia="仿宋" w:cs="Times New Roman"/>
          <w:sz w:val="32"/>
          <w:szCs w:val="32"/>
          <w:lang w:val="en-US" w:eastAsia="zh-CN"/>
        </w:rPr>
        <w:t>11.56</w:t>
      </w:r>
      <w:r>
        <w:rPr>
          <w:rFonts w:hint="eastAsia" w:ascii="仿宋" w:hAnsi="仿宋" w:eastAsia="仿宋" w:cs="Times New Roman"/>
          <w:sz w:val="32"/>
          <w:szCs w:val="32"/>
        </w:rPr>
        <w:t>%。主要变动原因</w:t>
      </w:r>
      <w:r>
        <w:rPr>
          <w:rFonts w:hint="eastAsia" w:ascii="仿宋" w:hAnsi="仿宋" w:eastAsia="仿宋" w:cs="Times New Roman"/>
          <w:sz w:val="32"/>
          <w:szCs w:val="32"/>
          <w:lang w:val="en-US" w:eastAsia="zh-CN"/>
        </w:rPr>
        <w:t>是本年减少巡察办工作经费、执法执勤车购置等项目。</w:t>
      </w:r>
    </w:p>
    <w:p>
      <w:pPr>
        <w:spacing w:line="600" w:lineRule="exact"/>
        <w:ind w:firstLine="420" w:firstLineChars="200"/>
        <w:rPr>
          <w:rFonts w:hint="eastAsia" w:ascii="仿宋" w:hAnsi="仿宋" w:eastAsia="仿宋"/>
          <w:color w:val="0000FF"/>
          <w:sz w:val="32"/>
          <w:szCs w:val="32"/>
          <w:highlight w:val="none"/>
        </w:rPr>
      </w:pPr>
      <w:r>
        <w:drawing>
          <wp:anchor distT="0" distB="0" distL="114300" distR="114300" simplePos="0" relativeHeight="251660288" behindDoc="1" locked="0" layoutInCell="1" allowOverlap="1">
            <wp:simplePos x="0" y="0"/>
            <wp:positionH relativeFrom="column">
              <wp:posOffset>397510</wp:posOffset>
            </wp:positionH>
            <wp:positionV relativeFrom="paragraph">
              <wp:posOffset>168275</wp:posOffset>
            </wp:positionV>
            <wp:extent cx="4371975" cy="2777490"/>
            <wp:effectExtent l="4445" t="5080" r="5080" b="1778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hint="eastAsia" w:ascii="仿宋" w:hAnsi="仿宋" w:eastAsia="仿宋"/>
          <w:color w:val="0000FF"/>
          <w:sz w:val="32"/>
          <w:szCs w:val="32"/>
          <w:highlight w:val="none"/>
        </w:rPr>
      </w:pPr>
    </w:p>
    <w:p>
      <w:pPr>
        <w:spacing w:line="600" w:lineRule="exact"/>
        <w:ind w:firstLine="640" w:firstLineChars="200"/>
        <w:rPr>
          <w:rFonts w:hint="eastAsia" w:ascii="仿宋" w:hAnsi="仿宋" w:eastAsia="仿宋"/>
          <w:color w:val="0000FF"/>
          <w:sz w:val="32"/>
          <w:szCs w:val="32"/>
          <w:highlight w:val="none"/>
        </w:rPr>
      </w:pPr>
    </w:p>
    <w:p>
      <w:pPr>
        <w:spacing w:line="600" w:lineRule="exact"/>
        <w:ind w:firstLine="640" w:firstLineChars="200"/>
        <w:rPr>
          <w:rFonts w:hint="eastAsia" w:ascii="仿宋" w:hAnsi="仿宋" w:eastAsia="仿宋"/>
          <w:color w:val="0000FF"/>
          <w:sz w:val="32"/>
          <w:szCs w:val="32"/>
          <w:highlight w:val="none"/>
        </w:rPr>
      </w:pPr>
    </w:p>
    <w:p>
      <w:pPr>
        <w:spacing w:line="600" w:lineRule="exact"/>
        <w:ind w:firstLine="640" w:firstLineChars="200"/>
        <w:rPr>
          <w:rFonts w:hint="eastAsia" w:ascii="仿宋" w:hAnsi="仿宋" w:eastAsia="仿宋"/>
          <w:color w:val="0000FF"/>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30"/>
        <w:numPr>
          <w:ilvl w:val="0"/>
          <w:numId w:val="2"/>
        </w:numPr>
        <w:spacing w:line="600" w:lineRule="exact"/>
        <w:ind w:firstLineChars="0"/>
        <w:outlineLvl w:val="1"/>
        <w:rPr>
          <w:rStyle w:val="32"/>
          <w:rFonts w:ascii="黑体" w:hAnsi="黑体" w:eastAsia="黑体"/>
          <w:b w:val="0"/>
        </w:rPr>
      </w:pPr>
      <w:bookmarkStart w:id="31" w:name="_Toc15396604"/>
      <w:bookmarkStart w:id="32" w:name="_Toc14801"/>
      <w:bookmarkStart w:id="33" w:name="_Toc15377206"/>
      <w:r>
        <w:rPr>
          <w:rFonts w:hint="eastAsia" w:ascii="黑体" w:hAnsi="黑体" w:eastAsia="黑体"/>
          <w:sz w:val="32"/>
          <w:szCs w:val="32"/>
        </w:rPr>
        <w:t>收</w:t>
      </w:r>
      <w:r>
        <w:rPr>
          <w:rStyle w:val="32"/>
          <w:rFonts w:hint="eastAsia" w:ascii="黑体" w:hAnsi="黑体" w:eastAsia="黑体"/>
          <w:b w:val="0"/>
        </w:rPr>
        <w:t>入决算情况说明</w:t>
      </w:r>
      <w:bookmarkEnd w:id="31"/>
      <w:bookmarkEnd w:id="32"/>
      <w:bookmarkEnd w:id="33"/>
    </w:p>
    <w:p>
      <w:pPr>
        <w:spacing w:line="600" w:lineRule="exact"/>
        <w:ind w:firstLine="640" w:firstLineChars="200"/>
        <w:jc w:val="left"/>
        <w:outlineLvl w:val="1"/>
        <w:rPr>
          <w:rFonts w:ascii="仿宋" w:hAnsi="仿宋" w:eastAsia="仿宋"/>
          <w:sz w:val="32"/>
          <w:szCs w:val="32"/>
        </w:rPr>
      </w:pPr>
      <w:bookmarkStart w:id="34" w:name="_Toc17438"/>
      <w:r>
        <w:rPr>
          <w:rFonts w:hint="eastAsia" w:ascii="仿宋" w:hAnsi="仿宋" w:eastAsia="仿宋"/>
          <w:sz w:val="32"/>
          <w:szCs w:val="32"/>
        </w:rPr>
        <w:t>2023年度本年收入合计</w:t>
      </w:r>
      <w:r>
        <w:rPr>
          <w:sz w:val="32"/>
          <w:szCs w:val="32"/>
        </w:rPr>
        <w:t>1</w:t>
      </w:r>
      <w:r>
        <w:rPr>
          <w:rFonts w:hint="eastAsia"/>
          <w:sz w:val="32"/>
          <w:szCs w:val="32"/>
          <w:lang w:val="en-US" w:eastAsia="zh-CN"/>
        </w:rPr>
        <w:t>,</w:t>
      </w:r>
      <w:r>
        <w:rPr>
          <w:sz w:val="32"/>
          <w:szCs w:val="32"/>
        </w:rPr>
        <w:t>894.35</w:t>
      </w:r>
      <w:r>
        <w:rPr>
          <w:rFonts w:hint="eastAsia" w:ascii="仿宋" w:hAnsi="仿宋" w:eastAsia="仿宋"/>
          <w:sz w:val="32"/>
          <w:szCs w:val="32"/>
        </w:rPr>
        <w:t>万元，其中：一般公共预算财政拨款收入</w:t>
      </w:r>
      <w:r>
        <w:rPr>
          <w:sz w:val="32"/>
          <w:szCs w:val="32"/>
        </w:rPr>
        <w:t>1</w:t>
      </w:r>
      <w:r>
        <w:rPr>
          <w:rFonts w:hint="eastAsia"/>
          <w:sz w:val="32"/>
          <w:szCs w:val="32"/>
          <w:lang w:val="en-US" w:eastAsia="zh-CN"/>
        </w:rPr>
        <w:t>,</w:t>
      </w:r>
      <w:r>
        <w:rPr>
          <w:sz w:val="32"/>
          <w:szCs w:val="32"/>
        </w:rPr>
        <w:t>888.7</w:t>
      </w:r>
      <w:r>
        <w:rPr>
          <w:rFonts w:hint="eastAsia"/>
          <w:sz w:val="32"/>
          <w:szCs w:val="32"/>
          <w:lang w:val="en-US" w:eastAsia="zh-CN"/>
        </w:rPr>
        <w:t>0</w:t>
      </w:r>
      <w:r>
        <w:rPr>
          <w:rFonts w:hint="eastAsia" w:ascii="仿宋" w:hAnsi="仿宋" w:eastAsia="仿宋"/>
          <w:sz w:val="32"/>
          <w:szCs w:val="32"/>
        </w:rPr>
        <w:t>万元，占</w:t>
      </w:r>
      <w:r>
        <w:rPr>
          <w:sz w:val="32"/>
          <w:szCs w:val="32"/>
        </w:rPr>
        <w:t>99.7</w:t>
      </w:r>
      <w:r>
        <w:rPr>
          <w:rFonts w:hint="eastAsia"/>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sz w:val="32"/>
          <w:szCs w:val="32"/>
        </w:rPr>
        <w:t>5.65</w:t>
      </w:r>
      <w:r>
        <w:rPr>
          <w:rFonts w:hint="eastAsia" w:ascii="仿宋" w:hAnsi="仿宋" w:eastAsia="仿宋"/>
          <w:sz w:val="32"/>
          <w:szCs w:val="32"/>
        </w:rPr>
        <w:t>万元，占</w:t>
      </w:r>
      <w:r>
        <w:rPr>
          <w:sz w:val="32"/>
          <w:szCs w:val="32"/>
        </w:rPr>
        <w:t>0.</w:t>
      </w:r>
      <w:r>
        <w:rPr>
          <w:rFonts w:hint="eastAsia"/>
          <w:sz w:val="32"/>
          <w:szCs w:val="32"/>
          <w:lang w:val="en-US" w:eastAsia="zh-CN"/>
        </w:rPr>
        <w:t>30</w:t>
      </w:r>
      <w:r>
        <w:rPr>
          <w:rFonts w:ascii="仿宋" w:hAnsi="仿宋" w:eastAsia="仿宋"/>
          <w:sz w:val="32"/>
          <w:szCs w:val="32"/>
        </w:rPr>
        <w:t>%</w:t>
      </w:r>
      <w:r>
        <w:rPr>
          <w:rFonts w:hint="eastAsia" w:ascii="仿宋" w:hAnsi="仿宋" w:eastAsia="仿宋"/>
          <w:sz w:val="32"/>
          <w:szCs w:val="32"/>
        </w:rPr>
        <w:t>。</w:t>
      </w:r>
      <w:bookmarkEnd w:id="34"/>
    </w:p>
    <w:p>
      <w:pPr>
        <w:spacing w:line="600" w:lineRule="exact"/>
        <w:ind w:firstLine="420" w:firstLineChars="200"/>
        <w:outlineLvl w:val="9"/>
        <w:rPr>
          <w:rFonts w:ascii="仿宋" w:hAnsi="仿宋" w:eastAsia="仿宋"/>
          <w:sz w:val="32"/>
          <w:szCs w:val="32"/>
        </w:rPr>
      </w:pPr>
      <w:r>
        <w:drawing>
          <wp:anchor distT="0" distB="0" distL="114300" distR="114300" simplePos="0" relativeHeight="251660288" behindDoc="1" locked="0" layoutInCell="1" allowOverlap="1">
            <wp:simplePos x="0" y="0"/>
            <wp:positionH relativeFrom="column">
              <wp:posOffset>527050</wp:posOffset>
            </wp:positionH>
            <wp:positionV relativeFrom="paragraph">
              <wp:posOffset>308610</wp:posOffset>
            </wp:positionV>
            <wp:extent cx="4353560" cy="2600960"/>
            <wp:effectExtent l="4445" t="4445" r="23495" b="2349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7"/>
        <w:rPr>
          <w:rFonts w:ascii="仿宋" w:hAnsi="仿宋" w:eastAsia="仿宋"/>
          <w:sz w:val="32"/>
          <w:szCs w:val="32"/>
        </w:rPr>
      </w:pPr>
    </w:p>
    <w:p>
      <w:pPr>
        <w:pStyle w:val="7"/>
        <w:rPr>
          <w:rFonts w:ascii="仿宋" w:hAnsi="仿宋" w:eastAsia="仿宋"/>
          <w:sz w:val="32"/>
          <w:szCs w:val="32"/>
        </w:rPr>
      </w:pPr>
    </w:p>
    <w:p>
      <w:pPr>
        <w:spacing w:line="600" w:lineRule="exact"/>
        <w:ind w:firstLine="640" w:firstLineChars="200"/>
        <w:rPr>
          <w:rFonts w:hint="eastAsia" w:ascii="仿宋" w:hAnsi="仿宋" w:eastAsia="仿宋"/>
          <w:color w:val="0000FF"/>
          <w:sz w:val="32"/>
          <w:szCs w:val="32"/>
        </w:rPr>
      </w:pPr>
    </w:p>
    <w:p>
      <w:pPr>
        <w:spacing w:line="600" w:lineRule="exact"/>
        <w:ind w:firstLine="640" w:firstLineChars="200"/>
        <w:rPr>
          <w:rFonts w:hint="eastAsia" w:ascii="仿宋" w:hAnsi="仿宋" w:eastAsia="仿宋"/>
          <w:color w:val="0000FF"/>
          <w:sz w:val="32"/>
          <w:szCs w:val="32"/>
        </w:rPr>
      </w:pPr>
    </w:p>
    <w:p>
      <w:pPr>
        <w:spacing w:line="600" w:lineRule="exact"/>
        <w:ind w:firstLine="640" w:firstLineChars="200"/>
        <w:rPr>
          <w:rFonts w:hint="eastAsia" w:ascii="仿宋" w:hAnsi="仿宋" w:eastAsia="仿宋"/>
          <w:color w:val="0000FF"/>
          <w:sz w:val="32"/>
          <w:szCs w:val="32"/>
        </w:rPr>
      </w:pPr>
    </w:p>
    <w:p>
      <w:pPr>
        <w:spacing w:line="600" w:lineRule="exact"/>
        <w:ind w:firstLine="640" w:firstLineChars="200"/>
        <w:rPr>
          <w:rFonts w:hint="eastAsia" w:ascii="仿宋" w:hAnsi="仿宋" w:eastAsia="仿宋"/>
          <w:color w:val="0000FF"/>
          <w:sz w:val="32"/>
          <w:szCs w:val="32"/>
        </w:rPr>
      </w:pPr>
    </w:p>
    <w:p>
      <w:pPr>
        <w:spacing w:line="600" w:lineRule="exact"/>
        <w:ind w:firstLine="640" w:firstLineChars="200"/>
        <w:rPr>
          <w:rFonts w:hint="eastAsia" w:ascii="仿宋" w:hAnsi="仿宋" w:eastAsia="仿宋"/>
          <w:color w:val="0000FF"/>
          <w:sz w:val="32"/>
          <w:szCs w:val="32"/>
        </w:rPr>
      </w:pPr>
    </w:p>
    <w:p>
      <w:pPr>
        <w:spacing w:line="600" w:lineRule="exact"/>
        <w:ind w:firstLine="640" w:firstLineChars="200"/>
        <w:rPr>
          <w:rFonts w:ascii="仿宋_GB2312" w:eastAsia="仿宋_GB2312"/>
          <w:color w:val="auto"/>
          <w:sz w:val="32"/>
          <w:szCs w:val="32"/>
        </w:rPr>
      </w:pPr>
      <w:r>
        <w:rPr>
          <w:rFonts w:hint="eastAsia" w:ascii="仿宋" w:hAnsi="仿宋" w:eastAsia="仿宋"/>
          <w:color w:val="auto"/>
          <w:sz w:val="32"/>
          <w:szCs w:val="32"/>
        </w:rPr>
        <w:t>（图2：收入决算结构图）</w:t>
      </w:r>
    </w:p>
    <w:p>
      <w:pPr>
        <w:pStyle w:val="30"/>
        <w:numPr>
          <w:ilvl w:val="0"/>
          <w:numId w:val="2"/>
        </w:numPr>
        <w:spacing w:line="600" w:lineRule="exact"/>
        <w:ind w:firstLineChars="0"/>
        <w:outlineLvl w:val="1"/>
        <w:rPr>
          <w:rStyle w:val="32"/>
          <w:rFonts w:ascii="黑体" w:hAnsi="黑体" w:eastAsia="黑体"/>
          <w:b w:val="0"/>
        </w:rPr>
      </w:pPr>
      <w:bookmarkStart w:id="35" w:name="_Toc12457"/>
      <w:bookmarkStart w:id="36" w:name="_Toc15396605"/>
      <w:bookmarkStart w:id="37" w:name="_Toc15377207"/>
      <w:r>
        <w:rPr>
          <w:rFonts w:hint="eastAsia" w:ascii="黑体" w:hAnsi="黑体" w:eastAsia="黑体"/>
          <w:sz w:val="32"/>
          <w:szCs w:val="32"/>
        </w:rPr>
        <w:t>支</w:t>
      </w:r>
      <w:r>
        <w:rPr>
          <w:rStyle w:val="32"/>
          <w:rFonts w:hint="eastAsia" w:ascii="黑体" w:hAnsi="黑体" w:eastAsia="黑体"/>
          <w:b w:val="0"/>
        </w:rPr>
        <w:t>出决算情况说明</w:t>
      </w:r>
      <w:bookmarkEnd w:id="35"/>
      <w:bookmarkEnd w:id="36"/>
      <w:bookmarkEnd w:id="37"/>
    </w:p>
    <w:p>
      <w:pPr>
        <w:spacing w:line="600" w:lineRule="exact"/>
        <w:ind w:firstLine="640" w:firstLineChars="200"/>
        <w:outlineLvl w:val="1"/>
        <w:rPr>
          <w:rFonts w:ascii="仿宋" w:hAnsi="仿宋" w:eastAsia="仿宋"/>
          <w:sz w:val="32"/>
          <w:szCs w:val="32"/>
        </w:rPr>
      </w:pPr>
      <w:bookmarkStart w:id="38" w:name="_Toc10276"/>
      <w:r>
        <w:rPr>
          <w:rFonts w:hint="eastAsia" w:ascii="仿宋" w:hAnsi="仿宋" w:eastAsia="仿宋"/>
          <w:sz w:val="32"/>
          <w:szCs w:val="32"/>
        </w:rPr>
        <w:t>2023年度本年支出合计</w:t>
      </w:r>
      <w:r>
        <w:rPr>
          <w:sz w:val="32"/>
          <w:szCs w:val="32"/>
        </w:rPr>
        <w:t>1</w:t>
      </w:r>
      <w:r>
        <w:rPr>
          <w:rFonts w:hint="eastAsia"/>
          <w:sz w:val="32"/>
          <w:szCs w:val="32"/>
          <w:lang w:val="en-US" w:eastAsia="zh-CN"/>
        </w:rPr>
        <w:t>,</w:t>
      </w:r>
      <w:r>
        <w:rPr>
          <w:sz w:val="32"/>
          <w:szCs w:val="32"/>
        </w:rPr>
        <w:t>893.66</w:t>
      </w:r>
      <w:r>
        <w:rPr>
          <w:rFonts w:hint="eastAsia" w:ascii="仿宋" w:hAnsi="仿宋" w:eastAsia="仿宋"/>
          <w:sz w:val="32"/>
          <w:szCs w:val="32"/>
        </w:rPr>
        <w:t>万元，其中：基本支出</w:t>
      </w:r>
      <w:r>
        <w:rPr>
          <w:sz w:val="32"/>
          <w:szCs w:val="32"/>
        </w:rPr>
        <w:t>1</w:t>
      </w:r>
      <w:r>
        <w:rPr>
          <w:rFonts w:hint="eastAsia"/>
          <w:sz w:val="32"/>
          <w:szCs w:val="32"/>
          <w:lang w:val="en-US" w:eastAsia="zh-CN"/>
        </w:rPr>
        <w:t>,</w:t>
      </w:r>
      <w:r>
        <w:rPr>
          <w:sz w:val="32"/>
          <w:szCs w:val="32"/>
        </w:rPr>
        <w:t>626.14</w:t>
      </w:r>
      <w:r>
        <w:rPr>
          <w:rFonts w:hint="eastAsia" w:ascii="仿宋" w:hAnsi="仿宋" w:eastAsia="仿宋"/>
          <w:sz w:val="32"/>
          <w:szCs w:val="32"/>
        </w:rPr>
        <w:t>万元，占</w:t>
      </w:r>
      <w:r>
        <w:rPr>
          <w:sz w:val="32"/>
          <w:szCs w:val="32"/>
        </w:rPr>
        <w:t>85.87</w:t>
      </w:r>
      <w:r>
        <w:rPr>
          <w:rFonts w:ascii="仿宋" w:hAnsi="仿宋" w:eastAsia="仿宋"/>
          <w:sz w:val="32"/>
          <w:szCs w:val="32"/>
        </w:rPr>
        <w:t>%</w:t>
      </w:r>
      <w:r>
        <w:rPr>
          <w:rFonts w:hint="eastAsia" w:ascii="仿宋" w:hAnsi="仿宋" w:eastAsia="仿宋"/>
          <w:sz w:val="32"/>
          <w:szCs w:val="32"/>
        </w:rPr>
        <w:t>；项目支出</w:t>
      </w:r>
      <w:r>
        <w:rPr>
          <w:sz w:val="32"/>
          <w:szCs w:val="32"/>
        </w:rPr>
        <w:t>267.52</w:t>
      </w:r>
      <w:r>
        <w:rPr>
          <w:rFonts w:hint="eastAsia" w:ascii="仿宋" w:hAnsi="仿宋" w:eastAsia="仿宋"/>
          <w:sz w:val="32"/>
          <w:szCs w:val="32"/>
        </w:rPr>
        <w:t>万元，占</w:t>
      </w:r>
      <w:r>
        <w:rPr>
          <w:sz w:val="32"/>
          <w:szCs w:val="32"/>
        </w:rPr>
        <w:t>14.1</w:t>
      </w:r>
      <w:r>
        <w:rPr>
          <w:rFonts w:hint="eastAsia"/>
          <w:sz w:val="32"/>
          <w:szCs w:val="32"/>
          <w:lang w:val="en-US" w:eastAsia="zh-CN"/>
        </w:rPr>
        <w:t>3</w:t>
      </w:r>
      <w:r>
        <w:rPr>
          <w:rFonts w:ascii="仿宋" w:hAnsi="仿宋" w:eastAsia="仿宋"/>
          <w:sz w:val="32"/>
          <w:szCs w:val="32"/>
        </w:rPr>
        <w:t>%</w:t>
      </w:r>
      <w:r>
        <w:rPr>
          <w:rFonts w:hint="eastAsia" w:ascii="仿宋" w:hAnsi="仿宋" w:eastAsia="仿宋"/>
          <w:sz w:val="32"/>
          <w:szCs w:val="32"/>
        </w:rPr>
        <w:t>。</w:t>
      </w:r>
      <w:bookmarkEnd w:id="38"/>
    </w:p>
    <w:p>
      <w:pPr>
        <w:spacing w:line="600" w:lineRule="exact"/>
        <w:ind w:firstLine="640"/>
        <w:rPr>
          <w:rFonts w:ascii="仿宋" w:hAnsi="仿宋" w:eastAsia="仿宋"/>
          <w:sz w:val="32"/>
          <w:szCs w:val="32"/>
          <w:shd w:val="pct10" w:color="auto" w:fill="FFFFFF"/>
        </w:rPr>
      </w:pPr>
      <w:r>
        <w:drawing>
          <wp:anchor distT="0" distB="0" distL="114300" distR="114300" simplePos="0" relativeHeight="251660288" behindDoc="1" locked="0" layoutInCell="1" allowOverlap="1">
            <wp:simplePos x="0" y="0"/>
            <wp:positionH relativeFrom="column">
              <wp:posOffset>474980</wp:posOffset>
            </wp:positionH>
            <wp:positionV relativeFrom="paragraph">
              <wp:posOffset>100965</wp:posOffset>
            </wp:positionV>
            <wp:extent cx="4337050" cy="2686050"/>
            <wp:effectExtent l="4445" t="4445" r="20955" b="1460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7"/>
        <w:rPr>
          <w:rFonts w:ascii="仿宋" w:hAnsi="仿宋" w:eastAsia="仿宋"/>
          <w:sz w:val="32"/>
          <w:szCs w:val="32"/>
          <w:shd w:val="pct10" w:color="auto" w:fill="FFFFFF"/>
        </w:rPr>
      </w:pPr>
    </w:p>
    <w:p>
      <w:pPr>
        <w:pStyle w:val="7"/>
        <w:rPr>
          <w:rFonts w:ascii="仿宋" w:hAnsi="仿宋" w:eastAsia="仿宋"/>
          <w:sz w:val="32"/>
          <w:szCs w:val="32"/>
          <w:shd w:val="pct10" w:color="auto" w:fill="FFFFFF"/>
        </w:rPr>
      </w:pPr>
    </w:p>
    <w:p>
      <w:pPr>
        <w:pStyle w:val="7"/>
        <w:rPr>
          <w:rFonts w:ascii="仿宋" w:hAnsi="仿宋" w:eastAsia="仿宋"/>
          <w:sz w:val="32"/>
          <w:szCs w:val="32"/>
          <w:shd w:val="pct10" w:color="auto" w:fill="FFFFFF"/>
        </w:rPr>
      </w:pPr>
    </w:p>
    <w:p>
      <w:pPr>
        <w:pStyle w:val="7"/>
        <w:rPr>
          <w:rFonts w:ascii="仿宋" w:hAnsi="仿宋" w:eastAsia="仿宋"/>
          <w:sz w:val="32"/>
          <w:szCs w:val="32"/>
          <w:shd w:val="pct10" w:color="auto" w:fill="FFFFFF"/>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（图3：支出决算结构图）</w:t>
      </w:r>
    </w:p>
    <w:p>
      <w:pPr>
        <w:spacing w:line="600" w:lineRule="exact"/>
        <w:ind w:firstLine="640" w:firstLineChars="200"/>
        <w:outlineLvl w:val="1"/>
        <w:rPr>
          <w:rStyle w:val="32"/>
          <w:rFonts w:ascii="黑体" w:hAnsi="黑体" w:eastAsia="黑体"/>
          <w:b w:val="0"/>
        </w:rPr>
      </w:pPr>
      <w:bookmarkStart w:id="39" w:name="_Toc11278"/>
      <w:bookmarkStart w:id="40" w:name="_Toc15396606"/>
      <w:bookmarkStart w:id="41" w:name="_Toc15377208"/>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39"/>
      <w:bookmarkEnd w:id="40"/>
      <w:bookmarkEnd w:id="41"/>
    </w:p>
    <w:p>
      <w:pPr>
        <w:spacing w:line="600" w:lineRule="exact"/>
        <w:ind w:firstLine="640"/>
        <w:rPr>
          <w:rFonts w:ascii="仿宋" w:hAnsi="仿宋" w:eastAsia="仿宋"/>
          <w:b/>
          <w:sz w:val="32"/>
          <w:szCs w:val="32"/>
        </w:rPr>
      </w:pPr>
      <w:r>
        <w:rPr>
          <w:rFonts w:hint="eastAsia" w:ascii="仿宋" w:hAnsi="仿宋" w:eastAsia="仿宋"/>
          <w:sz w:val="32"/>
          <w:szCs w:val="32"/>
        </w:rPr>
        <w:t>2023年度财政拨款收、支总计均为</w:t>
      </w:r>
      <w:r>
        <w:rPr>
          <w:sz w:val="32"/>
          <w:szCs w:val="32"/>
        </w:rPr>
        <w:t>1</w:t>
      </w:r>
      <w:r>
        <w:rPr>
          <w:rFonts w:hint="eastAsia"/>
          <w:sz w:val="32"/>
          <w:szCs w:val="32"/>
          <w:lang w:val="en-US" w:eastAsia="zh-CN"/>
        </w:rPr>
        <w:t>,</w:t>
      </w:r>
      <w:r>
        <w:rPr>
          <w:sz w:val="32"/>
          <w:szCs w:val="32"/>
        </w:rPr>
        <w:t>888.7</w:t>
      </w:r>
      <w:r>
        <w:rPr>
          <w:rFonts w:hint="eastAsia"/>
          <w:sz w:val="32"/>
          <w:szCs w:val="32"/>
          <w:lang w:val="en-US" w:eastAsia="zh-CN"/>
        </w:rPr>
        <w:t>0</w:t>
      </w:r>
      <w:r>
        <w:rPr>
          <w:rFonts w:hint="eastAsia" w:ascii="仿宋" w:hAnsi="仿宋" w:eastAsia="仿宋"/>
          <w:sz w:val="32"/>
          <w:szCs w:val="32"/>
        </w:rPr>
        <w:t>万元。与2022年度相比，财政拨款收、支总计各减少</w:t>
      </w:r>
      <w:r>
        <w:rPr>
          <w:rFonts w:hint="eastAsia" w:ascii="仿宋" w:hAnsi="仿宋" w:eastAsia="仿宋"/>
          <w:sz w:val="32"/>
          <w:szCs w:val="32"/>
          <w:lang w:val="en-US" w:eastAsia="zh-CN"/>
        </w:rPr>
        <w:t>261.44</w:t>
      </w:r>
      <w:r>
        <w:rPr>
          <w:rFonts w:hint="eastAsia" w:ascii="仿宋" w:hAnsi="仿宋" w:eastAsia="仿宋"/>
          <w:sz w:val="32"/>
          <w:szCs w:val="32"/>
        </w:rPr>
        <w:t>万元，下降</w:t>
      </w:r>
      <w:r>
        <w:rPr>
          <w:rFonts w:hint="eastAsia" w:ascii="仿宋" w:hAnsi="仿宋" w:eastAsia="仿宋"/>
          <w:sz w:val="32"/>
          <w:szCs w:val="32"/>
          <w:lang w:val="en-US" w:eastAsia="zh-CN"/>
        </w:rPr>
        <w:t>12.16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Times New Roman"/>
          <w:sz w:val="32"/>
          <w:szCs w:val="32"/>
          <w:lang w:val="en-US" w:eastAsia="zh-CN"/>
        </w:rPr>
        <w:t>本年减少巡察办工作经费、执法执勤车购置等项目。</w:t>
      </w:r>
    </w:p>
    <w:p>
      <w:pPr>
        <w:spacing w:line="600" w:lineRule="exact"/>
        <w:rPr>
          <w:rFonts w:ascii="仿宋" w:hAnsi="仿宋" w:eastAsia="仿宋"/>
          <w:sz w:val="32"/>
          <w:szCs w:val="32"/>
        </w:rPr>
      </w:pPr>
      <w:r>
        <w:drawing>
          <wp:anchor distT="0" distB="0" distL="114300" distR="114300" simplePos="0" relativeHeight="251660288" behindDoc="1" locked="0" layoutInCell="1" allowOverlap="1">
            <wp:simplePos x="0" y="0"/>
            <wp:positionH relativeFrom="column">
              <wp:posOffset>417830</wp:posOffset>
            </wp:positionH>
            <wp:positionV relativeFrom="paragraph">
              <wp:posOffset>46990</wp:posOffset>
            </wp:positionV>
            <wp:extent cx="4504055" cy="2733675"/>
            <wp:effectExtent l="4445" t="4445" r="44450" b="5080"/>
            <wp:wrapTight wrapText="bothSides">
              <wp:wrapPolygon>
                <wp:start x="-21" y="-35"/>
                <wp:lineTo x="-21" y="21490"/>
                <wp:lineTo x="21539" y="21490"/>
                <wp:lineTo x="21539" y="-35"/>
                <wp:lineTo x="-21" y="-35"/>
              </wp:wrapPolygon>
            </wp:wrapTight>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7"/>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（图4：财政拨款收、支决算总计变动情况）</w:t>
      </w:r>
    </w:p>
    <w:p>
      <w:pPr>
        <w:spacing w:line="600" w:lineRule="exact"/>
        <w:ind w:firstLine="640" w:firstLineChars="200"/>
        <w:outlineLvl w:val="1"/>
        <w:rPr>
          <w:rStyle w:val="32"/>
          <w:rFonts w:ascii="黑体" w:hAnsi="黑体" w:eastAsia="黑体"/>
          <w:b w:val="0"/>
        </w:rPr>
      </w:pPr>
      <w:bookmarkStart w:id="42" w:name="_Toc15396607"/>
      <w:bookmarkStart w:id="43" w:name="_Toc15409"/>
      <w:bookmarkStart w:id="44" w:name="_Toc15377209"/>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42"/>
      <w:bookmarkEnd w:id="43"/>
      <w:bookmarkEnd w:id="44"/>
    </w:p>
    <w:p>
      <w:pPr>
        <w:spacing w:line="600" w:lineRule="exact"/>
        <w:ind w:firstLine="642" w:firstLineChars="200"/>
        <w:outlineLvl w:val="2"/>
        <w:rPr>
          <w:rFonts w:ascii="仿宋" w:hAnsi="仿宋" w:eastAsia="仿宋"/>
          <w:b/>
          <w:sz w:val="32"/>
          <w:szCs w:val="32"/>
        </w:rPr>
      </w:pPr>
      <w:bookmarkStart w:id="45" w:name="_Toc15377210"/>
      <w:r>
        <w:rPr>
          <w:rFonts w:hint="eastAsia" w:ascii="仿宋" w:hAnsi="仿宋" w:eastAsia="仿宋"/>
          <w:b/>
          <w:sz w:val="32"/>
          <w:szCs w:val="32"/>
        </w:rPr>
        <w:t>（一）一般公共预算财政拨款支出决算总体情况</w:t>
      </w:r>
      <w:bookmarkEnd w:id="45"/>
    </w:p>
    <w:p>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sz w:val="32"/>
          <w:szCs w:val="32"/>
        </w:rPr>
        <w:t>1</w:t>
      </w:r>
      <w:r>
        <w:rPr>
          <w:rFonts w:hint="eastAsia"/>
          <w:sz w:val="32"/>
          <w:szCs w:val="32"/>
          <w:lang w:val="en-US" w:eastAsia="zh-CN"/>
        </w:rPr>
        <w:t>,</w:t>
      </w:r>
      <w:r>
        <w:rPr>
          <w:sz w:val="32"/>
          <w:szCs w:val="32"/>
        </w:rPr>
        <w:t>888.7</w:t>
      </w:r>
      <w:r>
        <w:rPr>
          <w:rFonts w:hint="eastAsia"/>
          <w:sz w:val="32"/>
          <w:szCs w:val="32"/>
          <w:lang w:val="en-US" w:eastAsia="zh-CN"/>
        </w:rPr>
        <w:t>0</w:t>
      </w:r>
      <w:r>
        <w:rPr>
          <w:rFonts w:hint="eastAsia" w:ascii="仿宋" w:hAnsi="仿宋" w:eastAsia="仿宋"/>
          <w:sz w:val="32"/>
          <w:szCs w:val="32"/>
        </w:rPr>
        <w:t>万元，占本年支出合计的</w:t>
      </w:r>
      <w:r>
        <w:rPr>
          <w:sz w:val="32"/>
          <w:szCs w:val="32"/>
        </w:rPr>
        <w:t>99.73</w:t>
      </w:r>
      <w:r>
        <w:rPr>
          <w:rFonts w:ascii="仿宋" w:hAnsi="仿宋" w:eastAsia="仿宋"/>
          <w:sz w:val="32"/>
          <w:szCs w:val="32"/>
        </w:rPr>
        <w:t>%</w:t>
      </w:r>
      <w:r>
        <w:rPr>
          <w:rFonts w:hint="eastAsia" w:ascii="仿宋" w:hAnsi="仿宋" w:eastAsia="仿宋"/>
          <w:sz w:val="32"/>
          <w:szCs w:val="32"/>
        </w:rPr>
        <w:t>。与2022年度相比，一般公共预算财政拨款支出减少</w:t>
      </w:r>
      <w:r>
        <w:rPr>
          <w:rFonts w:hint="eastAsia" w:ascii="仿宋" w:hAnsi="仿宋" w:eastAsia="仿宋"/>
          <w:sz w:val="32"/>
          <w:szCs w:val="32"/>
          <w:lang w:val="en-US" w:eastAsia="zh-CN"/>
        </w:rPr>
        <w:t>261.44</w:t>
      </w:r>
      <w:r>
        <w:rPr>
          <w:rFonts w:hint="eastAsia" w:ascii="仿宋" w:hAnsi="仿宋" w:eastAsia="仿宋"/>
          <w:sz w:val="32"/>
          <w:szCs w:val="32"/>
        </w:rPr>
        <w:t>万元，下降</w:t>
      </w:r>
      <w:r>
        <w:rPr>
          <w:rFonts w:hint="eastAsia" w:ascii="仿宋" w:hAnsi="仿宋" w:eastAsia="仿宋"/>
          <w:sz w:val="32"/>
          <w:szCs w:val="32"/>
          <w:lang w:val="en-US" w:eastAsia="zh-CN"/>
        </w:rPr>
        <w:t>12.16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Times New Roman"/>
          <w:sz w:val="32"/>
          <w:szCs w:val="32"/>
          <w:lang w:val="en-US" w:eastAsia="zh-CN"/>
        </w:rPr>
        <w:t>本年减少巡察办工作经费、执法执勤车购置等项目。</w:t>
      </w:r>
    </w:p>
    <w:p>
      <w:pPr>
        <w:spacing w:line="600" w:lineRule="exact"/>
        <w:ind w:firstLine="640" w:firstLineChars="200"/>
        <w:rPr>
          <w:rFonts w:hint="eastAsia" w:ascii="仿宋" w:hAnsi="仿宋" w:eastAsia="仿宋"/>
          <w:color w:val="0000FF"/>
          <w:sz w:val="32"/>
          <w:szCs w:val="32"/>
        </w:rPr>
      </w:pPr>
    </w:p>
    <w:p>
      <w:pPr>
        <w:pStyle w:val="2"/>
        <w:rPr>
          <w:rFonts w:hint="eastAsia"/>
        </w:rPr>
      </w:pPr>
    </w:p>
    <w:p>
      <w:pPr>
        <w:spacing w:line="600" w:lineRule="exact"/>
        <w:ind w:firstLine="420" w:firstLineChars="200"/>
        <w:rPr>
          <w:rFonts w:hint="eastAsia" w:ascii="仿宋" w:hAnsi="仿宋" w:eastAsia="仿宋"/>
          <w:color w:val="0000FF"/>
          <w:sz w:val="32"/>
          <w:szCs w:val="32"/>
        </w:rPr>
      </w:pPr>
      <w:r>
        <w:drawing>
          <wp:anchor distT="0" distB="0" distL="114300" distR="114300" simplePos="0" relativeHeight="251661312" behindDoc="1" locked="0" layoutInCell="1" allowOverlap="1">
            <wp:simplePos x="0" y="0"/>
            <wp:positionH relativeFrom="column">
              <wp:posOffset>290830</wp:posOffset>
            </wp:positionH>
            <wp:positionV relativeFrom="paragraph">
              <wp:posOffset>55245</wp:posOffset>
            </wp:positionV>
            <wp:extent cx="4468495" cy="2433320"/>
            <wp:effectExtent l="4445" t="4445" r="22860" b="19685"/>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0000FF"/>
          <w:sz w:val="32"/>
          <w:szCs w:val="32"/>
        </w:rPr>
      </w:pPr>
    </w:p>
    <w:p>
      <w:pPr>
        <w:pStyle w:val="2"/>
        <w:rPr>
          <w:rFonts w:hint="eastAsia"/>
        </w:rPr>
      </w:pPr>
    </w:p>
    <w:p>
      <w:pPr>
        <w:spacing w:line="600" w:lineRule="exact"/>
        <w:ind w:firstLine="640" w:firstLineChars="200"/>
        <w:rPr>
          <w:rFonts w:hint="eastAsia" w:ascii="仿宋" w:hAnsi="仿宋" w:eastAsia="仿宋"/>
          <w:color w:val="0000FF"/>
          <w:sz w:val="32"/>
          <w:szCs w:val="32"/>
        </w:rPr>
      </w:pPr>
    </w:p>
    <w:p>
      <w:pPr>
        <w:spacing w:line="600" w:lineRule="exact"/>
        <w:ind w:firstLine="640" w:firstLineChars="200"/>
        <w:rPr>
          <w:rFonts w:hint="eastAsia" w:ascii="仿宋" w:hAnsi="仿宋" w:eastAsia="仿宋"/>
          <w:color w:val="0000FF"/>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（图5：一般公共预算财政拨款支出决算变动情况）</w:t>
      </w:r>
    </w:p>
    <w:p>
      <w:pPr>
        <w:spacing w:line="600" w:lineRule="exact"/>
        <w:ind w:firstLine="642" w:firstLineChars="200"/>
        <w:outlineLvl w:val="2"/>
        <w:rPr>
          <w:rFonts w:ascii="仿宋" w:hAnsi="仿宋" w:eastAsia="仿宋"/>
          <w:b/>
          <w:sz w:val="32"/>
          <w:szCs w:val="32"/>
        </w:rPr>
      </w:pPr>
      <w:bookmarkStart w:id="46" w:name="_Toc15377211"/>
      <w:r>
        <w:rPr>
          <w:rFonts w:hint="eastAsia" w:ascii="仿宋" w:hAnsi="仿宋" w:eastAsia="仿宋"/>
          <w:b/>
          <w:sz w:val="32"/>
          <w:szCs w:val="32"/>
        </w:rPr>
        <w:t>（二）一般公共预算财政拨款支出决算结构情况</w:t>
      </w:r>
      <w:bookmarkEnd w:id="46"/>
    </w:p>
    <w:p>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1</w:t>
      </w:r>
      <w:r>
        <w:rPr>
          <w:rFonts w:hint="eastAsia"/>
          <w:sz w:val="32"/>
          <w:szCs w:val="32"/>
          <w:lang w:val="en-US" w:eastAsia="zh-CN"/>
        </w:rPr>
        <w:t>,</w:t>
      </w:r>
      <w:r>
        <w:rPr>
          <w:sz w:val="32"/>
          <w:szCs w:val="32"/>
        </w:rPr>
        <w:t>888.7</w:t>
      </w:r>
      <w:r>
        <w:rPr>
          <w:rFonts w:hint="eastAsia"/>
          <w:sz w:val="32"/>
          <w:szCs w:val="32"/>
          <w:lang w:val="en-US" w:eastAsia="zh-CN"/>
        </w:rPr>
        <w:t>0</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201</w:t>
      </w:r>
      <w:r>
        <w:rPr>
          <w:rFonts w:hint="eastAsia" w:ascii="仿宋" w:hAnsi="仿宋" w:eastAsia="仿宋"/>
          <w:b/>
          <w:bCs/>
          <w:sz w:val="32"/>
          <w:szCs w:val="32"/>
          <w:lang w:eastAsia="zh-CN"/>
        </w:rPr>
        <w:t>）</w:t>
      </w:r>
      <w:r>
        <w:rPr>
          <w:rFonts w:hint="eastAsia" w:ascii="仿宋" w:hAnsi="仿宋" w:eastAsia="仿宋" w:cs="Times New Roman"/>
          <w:sz w:val="32"/>
          <w:szCs w:val="32"/>
          <w:lang w:val="en-US" w:eastAsia="zh-CN"/>
        </w:rPr>
        <w:t>1,552.28</w:t>
      </w:r>
      <w:r>
        <w:rPr>
          <w:rFonts w:hint="eastAsia" w:ascii="仿宋" w:hAnsi="仿宋" w:eastAsia="仿宋"/>
          <w:sz w:val="32"/>
          <w:szCs w:val="32"/>
        </w:rPr>
        <w:t>万元，占</w:t>
      </w:r>
      <w:r>
        <w:rPr>
          <w:rFonts w:hint="eastAsia" w:ascii="仿宋" w:hAnsi="仿宋" w:eastAsia="仿宋"/>
          <w:sz w:val="32"/>
          <w:szCs w:val="32"/>
          <w:lang w:val="en-US" w:eastAsia="zh-CN"/>
        </w:rPr>
        <w:t>82.19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208</w:t>
      </w:r>
      <w:r>
        <w:rPr>
          <w:rFonts w:hint="eastAsia" w:ascii="仿宋" w:hAnsi="仿宋" w:eastAsia="仿宋"/>
          <w:b/>
          <w:bCs/>
          <w:sz w:val="32"/>
          <w:szCs w:val="32"/>
          <w:lang w:eastAsia="zh-CN"/>
        </w:rPr>
        <w:t>）</w:t>
      </w:r>
      <w:r>
        <w:rPr>
          <w:rFonts w:hint="eastAsia" w:ascii="仿宋" w:hAnsi="仿宋" w:eastAsia="仿宋"/>
          <w:sz w:val="32"/>
          <w:szCs w:val="32"/>
          <w:lang w:val="en-US" w:eastAsia="zh-CN"/>
        </w:rPr>
        <w:t>166.10</w:t>
      </w:r>
      <w:r>
        <w:rPr>
          <w:rFonts w:hint="eastAsia" w:ascii="仿宋" w:hAnsi="仿宋" w:eastAsia="仿宋"/>
          <w:sz w:val="32"/>
          <w:szCs w:val="32"/>
        </w:rPr>
        <w:t>万元，占</w:t>
      </w:r>
      <w:r>
        <w:rPr>
          <w:rFonts w:hint="eastAsia" w:ascii="仿宋" w:hAnsi="仿宋" w:eastAsia="仿宋"/>
          <w:sz w:val="32"/>
          <w:szCs w:val="32"/>
          <w:lang w:val="en-US" w:eastAsia="zh-CN"/>
        </w:rPr>
        <w:t>8.79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210</w:t>
      </w:r>
      <w:r>
        <w:rPr>
          <w:rFonts w:hint="eastAsia" w:ascii="仿宋" w:hAnsi="仿宋" w:eastAsia="仿宋"/>
          <w:b/>
          <w:bCs/>
          <w:sz w:val="32"/>
          <w:szCs w:val="32"/>
          <w:lang w:eastAsia="zh-CN"/>
        </w:rPr>
        <w:t>）</w:t>
      </w:r>
      <w:r>
        <w:rPr>
          <w:rFonts w:hint="eastAsia" w:ascii="仿宋" w:hAnsi="仿宋" w:eastAsia="仿宋"/>
          <w:sz w:val="32"/>
          <w:szCs w:val="32"/>
          <w:lang w:val="en-US" w:eastAsia="zh-CN"/>
        </w:rPr>
        <w:t>59.25</w:t>
      </w:r>
      <w:r>
        <w:rPr>
          <w:rFonts w:hint="eastAsia" w:ascii="仿宋" w:hAnsi="仿宋" w:eastAsia="仿宋"/>
          <w:sz w:val="32"/>
          <w:szCs w:val="32"/>
        </w:rPr>
        <w:t>万元，占</w:t>
      </w:r>
      <w:r>
        <w:rPr>
          <w:rFonts w:hint="eastAsia" w:ascii="仿宋" w:hAnsi="仿宋" w:eastAsia="仿宋"/>
          <w:sz w:val="32"/>
          <w:szCs w:val="32"/>
          <w:lang w:val="en-US" w:eastAsia="zh-CN"/>
        </w:rPr>
        <w:t>3.14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211</w:t>
      </w:r>
      <w:r>
        <w:rPr>
          <w:rFonts w:hint="eastAsia" w:ascii="仿宋" w:hAnsi="仿宋" w:eastAsia="仿宋"/>
          <w:b w:val="0"/>
          <w:bCs w:val="0"/>
          <w:sz w:val="32"/>
          <w:szCs w:val="32"/>
          <w:lang w:eastAsia="zh-CN"/>
        </w:rPr>
        <w:t>）</w:t>
      </w:r>
      <w:r>
        <w:rPr>
          <w:rFonts w:hint="eastAsia" w:ascii="仿宋" w:hAnsi="仿宋" w:eastAsia="仿宋"/>
          <w:b w:val="0"/>
          <w:bCs w:val="0"/>
          <w:sz w:val="32"/>
          <w:szCs w:val="32"/>
          <w:lang w:val="en-US" w:eastAsia="zh-CN"/>
        </w:rPr>
        <w:t>111.07</w:t>
      </w:r>
      <w:r>
        <w:rPr>
          <w:rFonts w:hint="eastAsia" w:ascii="仿宋" w:hAnsi="仿宋" w:eastAsia="仿宋"/>
          <w:sz w:val="32"/>
          <w:szCs w:val="32"/>
        </w:rPr>
        <w:t>万元，占</w:t>
      </w:r>
      <w:r>
        <w:rPr>
          <w:rFonts w:hint="eastAsia" w:ascii="仿宋" w:hAnsi="仿宋" w:eastAsia="仿宋"/>
          <w:sz w:val="32"/>
          <w:szCs w:val="32"/>
          <w:lang w:val="en-US" w:eastAsia="zh-CN"/>
        </w:rPr>
        <w:t>5.88</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r>
        <w:drawing>
          <wp:anchor distT="0" distB="0" distL="114300" distR="114300" simplePos="0" relativeHeight="251661312" behindDoc="1" locked="0" layoutInCell="1" allowOverlap="1">
            <wp:simplePos x="0" y="0"/>
            <wp:positionH relativeFrom="column">
              <wp:posOffset>498475</wp:posOffset>
            </wp:positionH>
            <wp:positionV relativeFrom="paragraph">
              <wp:posOffset>171450</wp:posOffset>
            </wp:positionV>
            <wp:extent cx="4445000" cy="2753360"/>
            <wp:effectExtent l="4445" t="4445" r="8255" b="23495"/>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rPr>
          <w:rFonts w:hint="eastAsia" w:ascii="仿宋" w:hAnsi="仿宋" w:eastAsia="仿宋"/>
          <w:color w:val="0000FF"/>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（图6：一般公共预算财政拨款支出决算结构）</w:t>
      </w:r>
    </w:p>
    <w:p>
      <w:pPr>
        <w:spacing w:line="600" w:lineRule="exact"/>
        <w:ind w:firstLine="642" w:firstLineChars="200"/>
        <w:outlineLvl w:val="2"/>
        <w:rPr>
          <w:rFonts w:ascii="仿宋" w:hAnsi="仿宋" w:eastAsia="仿宋"/>
          <w:b/>
          <w:sz w:val="32"/>
          <w:szCs w:val="32"/>
        </w:rPr>
      </w:pPr>
      <w:bookmarkStart w:id="47" w:name="_Toc15377212"/>
      <w:r>
        <w:rPr>
          <w:rFonts w:hint="eastAsia" w:ascii="仿宋" w:hAnsi="仿宋" w:eastAsia="仿宋"/>
          <w:b/>
          <w:sz w:val="32"/>
          <w:szCs w:val="32"/>
        </w:rPr>
        <w:t>（三）一般公共预算财政拨款支出决算具体情况</w:t>
      </w:r>
      <w:bookmarkEnd w:id="47"/>
    </w:p>
    <w:p>
      <w:pPr>
        <w:spacing w:line="600" w:lineRule="exact"/>
        <w:ind w:firstLine="642" w:firstLineChars="200"/>
        <w:outlineLvl w:val="1"/>
        <w:rPr>
          <w:rFonts w:ascii="仿宋" w:hAnsi="仿宋" w:eastAsia="仿宋"/>
          <w:sz w:val="32"/>
          <w:szCs w:val="32"/>
        </w:rPr>
      </w:pPr>
      <w:bookmarkStart w:id="48" w:name="_Toc26452"/>
      <w:bookmarkStart w:id="49" w:name="_Toc15377444"/>
      <w:bookmarkStart w:id="50" w:name="_Toc15377213"/>
      <w:bookmarkStart w:id="51" w:name="_Toc15378460"/>
      <w:r>
        <w:rPr>
          <w:rFonts w:hint="eastAsia" w:ascii="仿宋" w:hAnsi="仿宋" w:eastAsia="仿宋"/>
          <w:b/>
          <w:sz w:val="32"/>
          <w:szCs w:val="32"/>
        </w:rPr>
        <w:t>2023年度一般公共预算支出决算数为</w:t>
      </w:r>
      <w:r>
        <w:rPr>
          <w:sz w:val="32"/>
          <w:szCs w:val="32"/>
        </w:rPr>
        <w:t>1888.7</w:t>
      </w:r>
      <w:r>
        <w:rPr>
          <w:rFonts w:hint="eastAsia"/>
          <w:sz w:val="32"/>
          <w:szCs w:val="32"/>
          <w:lang w:val="en-US" w:eastAsia="zh-CN"/>
        </w:rPr>
        <w:t>0万元</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48"/>
      <w:bookmarkEnd w:id="49"/>
      <w:bookmarkEnd w:id="50"/>
      <w:bookmarkEnd w:id="51"/>
    </w:p>
    <w:p>
      <w:pPr>
        <w:spacing w:line="600" w:lineRule="exact"/>
        <w:ind w:firstLine="642" w:firstLineChars="200"/>
        <w:rPr>
          <w:rFonts w:ascii="仿宋" w:hAnsi="仿宋" w:eastAsia="仿宋"/>
          <w:b/>
          <w:sz w:val="32"/>
          <w:szCs w:val="32"/>
        </w:rPr>
      </w:pPr>
      <w:r>
        <w:rPr>
          <w:rStyle w:val="19"/>
          <w:rFonts w:ascii="仿宋" w:hAnsi="仿宋" w:eastAsia="仿宋"/>
          <w:bCs/>
          <w:sz w:val="32"/>
          <w:szCs w:val="32"/>
        </w:rPr>
        <w:t>1.</w:t>
      </w:r>
      <w:r>
        <w:rPr>
          <w:rStyle w:val="19"/>
          <w:rFonts w:hint="eastAsia" w:ascii="仿宋" w:hAnsi="仿宋" w:eastAsia="仿宋"/>
          <w:bCs/>
          <w:sz w:val="32"/>
          <w:szCs w:val="32"/>
        </w:rPr>
        <w:t>一般公共服务（</w:t>
      </w:r>
      <w:r>
        <w:rPr>
          <w:rStyle w:val="19"/>
          <w:rFonts w:hint="eastAsia" w:ascii="仿宋" w:hAnsi="仿宋" w:eastAsia="仿宋"/>
          <w:bCs/>
          <w:sz w:val="32"/>
          <w:szCs w:val="32"/>
          <w:lang w:val="en-US" w:eastAsia="zh-CN"/>
        </w:rPr>
        <w:t>201</w:t>
      </w:r>
      <w:r>
        <w:rPr>
          <w:rStyle w:val="19"/>
          <w:rFonts w:hint="eastAsia" w:ascii="仿宋" w:hAnsi="仿宋" w:eastAsia="仿宋"/>
          <w:bCs/>
          <w:sz w:val="32"/>
          <w:szCs w:val="32"/>
        </w:rPr>
        <w:t>）纪检监察事务（</w:t>
      </w:r>
      <w:r>
        <w:rPr>
          <w:rStyle w:val="19"/>
          <w:rFonts w:hint="eastAsia" w:ascii="仿宋" w:hAnsi="仿宋" w:eastAsia="仿宋"/>
          <w:bCs/>
          <w:sz w:val="32"/>
          <w:szCs w:val="32"/>
          <w:lang w:val="en-US" w:eastAsia="zh-CN"/>
        </w:rPr>
        <w:t>11</w:t>
      </w:r>
      <w:r>
        <w:rPr>
          <w:rStyle w:val="19"/>
          <w:rFonts w:hint="eastAsia" w:ascii="仿宋" w:hAnsi="仿宋" w:eastAsia="仿宋"/>
          <w:bCs/>
          <w:sz w:val="32"/>
          <w:szCs w:val="32"/>
        </w:rPr>
        <w:t>）行政运行（</w:t>
      </w:r>
      <w:r>
        <w:rPr>
          <w:rStyle w:val="19"/>
          <w:rFonts w:hint="eastAsia" w:ascii="仿宋" w:hAnsi="仿宋" w:eastAsia="仿宋"/>
          <w:bCs/>
          <w:sz w:val="32"/>
          <w:szCs w:val="32"/>
          <w:lang w:val="en-US" w:eastAsia="zh-CN"/>
        </w:rPr>
        <w:t>01</w:t>
      </w:r>
      <w:r>
        <w:rPr>
          <w:rStyle w:val="19"/>
          <w:rFonts w:hint="eastAsia" w:ascii="仿宋" w:hAnsi="仿宋" w:eastAsia="仿宋"/>
          <w:bCs/>
          <w:sz w:val="32"/>
          <w:szCs w:val="32"/>
        </w:rPr>
        <w:t>）</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支出决算为1,230.73万元，完成预算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2" w:firstLineChars="200"/>
        <w:rPr>
          <w:rStyle w:val="19"/>
          <w:rFonts w:ascii="仿宋" w:hAnsi="仿宋" w:eastAsia="仿宋"/>
          <w:bCs/>
          <w:sz w:val="32"/>
          <w:szCs w:val="32"/>
        </w:rPr>
      </w:pPr>
      <w:r>
        <w:rPr>
          <w:rStyle w:val="19"/>
          <w:rFonts w:ascii="仿宋" w:hAnsi="仿宋" w:eastAsia="仿宋"/>
          <w:bCs/>
          <w:sz w:val="32"/>
          <w:szCs w:val="32"/>
        </w:rPr>
        <w:t>2.</w:t>
      </w:r>
      <w:r>
        <w:rPr>
          <w:rStyle w:val="19"/>
          <w:rFonts w:hint="eastAsia" w:ascii="仿宋" w:hAnsi="仿宋" w:eastAsia="仿宋"/>
          <w:bCs/>
          <w:sz w:val="32"/>
          <w:szCs w:val="32"/>
        </w:rPr>
        <w:t>一般公共服务（</w:t>
      </w:r>
      <w:r>
        <w:rPr>
          <w:rStyle w:val="19"/>
          <w:rFonts w:hint="eastAsia" w:ascii="仿宋" w:hAnsi="仿宋" w:eastAsia="仿宋"/>
          <w:bCs/>
          <w:sz w:val="32"/>
          <w:szCs w:val="32"/>
          <w:lang w:val="en-US" w:eastAsia="zh-CN"/>
        </w:rPr>
        <w:t>201</w:t>
      </w:r>
      <w:r>
        <w:rPr>
          <w:rStyle w:val="19"/>
          <w:rFonts w:hint="eastAsia" w:ascii="仿宋" w:hAnsi="仿宋" w:eastAsia="仿宋"/>
          <w:bCs/>
          <w:sz w:val="32"/>
          <w:szCs w:val="32"/>
        </w:rPr>
        <w:t>）纪检监察事务（</w:t>
      </w:r>
      <w:r>
        <w:rPr>
          <w:rStyle w:val="19"/>
          <w:rFonts w:hint="eastAsia" w:ascii="仿宋" w:hAnsi="仿宋" w:eastAsia="仿宋"/>
          <w:bCs/>
          <w:sz w:val="32"/>
          <w:szCs w:val="32"/>
          <w:lang w:val="en-US" w:eastAsia="zh-CN"/>
        </w:rPr>
        <w:t>11</w:t>
      </w:r>
      <w:r>
        <w:rPr>
          <w:rStyle w:val="19"/>
          <w:rFonts w:hint="eastAsia" w:ascii="仿宋" w:hAnsi="仿宋" w:eastAsia="仿宋"/>
          <w:bCs/>
          <w:sz w:val="32"/>
          <w:szCs w:val="32"/>
        </w:rPr>
        <w:t>）一般行政管理事务（</w:t>
      </w:r>
      <w:r>
        <w:rPr>
          <w:rStyle w:val="19"/>
          <w:rFonts w:hint="eastAsia" w:ascii="仿宋" w:hAnsi="仿宋" w:eastAsia="仿宋"/>
          <w:bCs/>
          <w:sz w:val="32"/>
          <w:szCs w:val="32"/>
          <w:lang w:val="en-US" w:eastAsia="zh-CN"/>
        </w:rPr>
        <w:t>02</w:t>
      </w:r>
      <w:r>
        <w:rPr>
          <w:rStyle w:val="19"/>
          <w:rFonts w:hint="eastAsia" w:ascii="仿宋" w:hAnsi="仿宋" w:eastAsia="仿宋"/>
          <w:bCs/>
          <w:sz w:val="32"/>
          <w:szCs w:val="32"/>
        </w:rPr>
        <w:t>）</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267.52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9"/>
          <w:rFonts w:hint="eastAsia" w:ascii="仿宋" w:hAnsi="仿宋" w:eastAsia="仿宋"/>
          <w:bCs/>
          <w:sz w:val="32"/>
          <w:szCs w:val="32"/>
          <w:lang w:val="en-US" w:eastAsia="zh-CN"/>
        </w:rPr>
        <w:t>3.</w:t>
      </w:r>
      <w:r>
        <w:rPr>
          <w:rStyle w:val="19"/>
          <w:rFonts w:hint="eastAsia" w:ascii="仿宋" w:hAnsi="仿宋" w:eastAsia="仿宋"/>
          <w:bCs/>
          <w:sz w:val="32"/>
          <w:szCs w:val="32"/>
        </w:rPr>
        <w:t>一般公共服务（</w:t>
      </w:r>
      <w:r>
        <w:rPr>
          <w:rStyle w:val="19"/>
          <w:rFonts w:hint="eastAsia" w:ascii="仿宋" w:hAnsi="仿宋" w:eastAsia="仿宋"/>
          <w:bCs/>
          <w:sz w:val="32"/>
          <w:szCs w:val="32"/>
          <w:lang w:val="en-US" w:eastAsia="zh-CN"/>
        </w:rPr>
        <w:t>201</w:t>
      </w:r>
      <w:r>
        <w:rPr>
          <w:rStyle w:val="19"/>
          <w:rFonts w:hint="eastAsia" w:ascii="仿宋" w:hAnsi="仿宋" w:eastAsia="仿宋"/>
          <w:bCs/>
          <w:sz w:val="32"/>
          <w:szCs w:val="32"/>
        </w:rPr>
        <w:t>）纪检监察事务（</w:t>
      </w:r>
      <w:r>
        <w:rPr>
          <w:rStyle w:val="19"/>
          <w:rFonts w:hint="eastAsia" w:ascii="仿宋" w:hAnsi="仿宋" w:eastAsia="仿宋"/>
          <w:bCs/>
          <w:sz w:val="32"/>
          <w:szCs w:val="32"/>
          <w:lang w:val="en-US" w:eastAsia="zh-CN"/>
        </w:rPr>
        <w:t>11</w:t>
      </w:r>
      <w:r>
        <w:rPr>
          <w:rStyle w:val="19"/>
          <w:rFonts w:hint="eastAsia" w:ascii="仿宋" w:hAnsi="仿宋" w:eastAsia="仿宋"/>
          <w:bCs/>
          <w:sz w:val="32"/>
          <w:szCs w:val="32"/>
        </w:rPr>
        <w:t>）</w:t>
      </w:r>
      <w:r>
        <w:rPr>
          <w:rStyle w:val="19"/>
          <w:rFonts w:hint="eastAsia" w:ascii="仿宋" w:hAnsi="仿宋" w:eastAsia="仿宋"/>
          <w:bCs/>
          <w:sz w:val="32"/>
          <w:szCs w:val="32"/>
          <w:lang w:eastAsia="zh-CN"/>
        </w:rPr>
        <w:t>事业</w:t>
      </w:r>
      <w:r>
        <w:rPr>
          <w:rStyle w:val="19"/>
          <w:rFonts w:hint="eastAsia" w:ascii="仿宋" w:hAnsi="仿宋" w:eastAsia="仿宋"/>
          <w:bCs/>
          <w:sz w:val="32"/>
          <w:szCs w:val="32"/>
        </w:rPr>
        <w:t>运行（</w:t>
      </w:r>
      <w:r>
        <w:rPr>
          <w:rStyle w:val="19"/>
          <w:rFonts w:hint="eastAsia" w:ascii="仿宋" w:hAnsi="仿宋" w:eastAsia="仿宋"/>
          <w:bCs/>
          <w:sz w:val="32"/>
          <w:szCs w:val="32"/>
          <w:lang w:val="en-US" w:eastAsia="zh-CN"/>
        </w:rPr>
        <w:t>50</w:t>
      </w:r>
      <w:r>
        <w:rPr>
          <w:rStyle w:val="19"/>
          <w:rFonts w:hint="eastAsia" w:ascii="仿宋" w:hAnsi="仿宋" w:eastAsia="仿宋"/>
          <w:bCs/>
          <w:sz w:val="32"/>
          <w:szCs w:val="32"/>
        </w:rPr>
        <w:t>）</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54.02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2"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4</w:t>
      </w:r>
      <w:r>
        <w:rPr>
          <w:rStyle w:val="19"/>
          <w:rFonts w:ascii="仿宋" w:hAnsi="仿宋" w:eastAsia="仿宋"/>
          <w:bCs/>
          <w:sz w:val="32"/>
          <w:szCs w:val="32"/>
        </w:rPr>
        <w:t>.</w:t>
      </w:r>
      <w:r>
        <w:rPr>
          <w:rStyle w:val="19"/>
          <w:rFonts w:hint="eastAsia" w:ascii="仿宋" w:hAnsi="仿宋" w:eastAsia="仿宋"/>
          <w:bCs/>
          <w:sz w:val="32"/>
          <w:szCs w:val="32"/>
        </w:rPr>
        <w:t>社会保障和就业（</w:t>
      </w:r>
      <w:r>
        <w:rPr>
          <w:rStyle w:val="19"/>
          <w:rFonts w:hint="eastAsia" w:ascii="仿宋" w:hAnsi="仿宋" w:eastAsia="仿宋"/>
          <w:bCs/>
          <w:sz w:val="32"/>
          <w:szCs w:val="32"/>
          <w:lang w:val="en-US" w:eastAsia="zh-CN"/>
        </w:rPr>
        <w:t>208</w:t>
      </w:r>
      <w:r>
        <w:rPr>
          <w:rStyle w:val="19"/>
          <w:rFonts w:hint="eastAsia" w:ascii="仿宋" w:hAnsi="仿宋" w:eastAsia="仿宋"/>
          <w:bCs/>
          <w:sz w:val="32"/>
          <w:szCs w:val="32"/>
        </w:rPr>
        <w:t>）行政事业单位养老支出（</w:t>
      </w:r>
      <w:r>
        <w:rPr>
          <w:rStyle w:val="19"/>
          <w:rFonts w:hint="eastAsia" w:ascii="仿宋" w:hAnsi="仿宋" w:eastAsia="仿宋"/>
          <w:bCs/>
          <w:sz w:val="32"/>
          <w:szCs w:val="32"/>
          <w:lang w:val="en-US" w:eastAsia="zh-CN"/>
        </w:rPr>
        <w:t>05</w:t>
      </w:r>
      <w:r>
        <w:rPr>
          <w:rStyle w:val="19"/>
          <w:rFonts w:hint="eastAsia" w:ascii="仿宋" w:hAnsi="仿宋" w:eastAsia="仿宋"/>
          <w:bCs/>
          <w:sz w:val="32"/>
          <w:szCs w:val="32"/>
        </w:rPr>
        <w:t>）机关事业单位基本养老保险缴费支出（</w:t>
      </w:r>
      <w:r>
        <w:rPr>
          <w:rStyle w:val="19"/>
          <w:rFonts w:hint="eastAsia" w:ascii="仿宋" w:hAnsi="仿宋" w:eastAsia="仿宋"/>
          <w:bCs/>
          <w:sz w:val="32"/>
          <w:szCs w:val="32"/>
          <w:lang w:val="en-US" w:eastAsia="zh-CN"/>
        </w:rPr>
        <w:t>05</w:t>
      </w:r>
      <w:r>
        <w:rPr>
          <w:rStyle w:val="19"/>
          <w:rFonts w:hint="eastAsia" w:ascii="仿宋" w:hAnsi="仿宋" w:eastAsia="仿宋"/>
          <w:bCs/>
          <w:sz w:val="32"/>
          <w:szCs w:val="32"/>
        </w:rPr>
        <w:t>）</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130.73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Style w:val="19"/>
          <w:rFonts w:hint="default" w:ascii="仿宋" w:hAnsi="仿宋" w:eastAsia="仿宋"/>
          <w:bCs/>
          <w:color w:val="auto"/>
          <w:sz w:val="32"/>
          <w:szCs w:val="32"/>
          <w:highlight w:val="none"/>
          <w:lang w:val="en-US"/>
        </w:rPr>
      </w:pPr>
      <w:r>
        <w:rPr>
          <w:rStyle w:val="19"/>
          <w:rFonts w:ascii="仿宋" w:hAnsi="仿宋" w:eastAsia="仿宋"/>
          <w:bCs/>
          <w:sz w:val="32"/>
          <w:szCs w:val="32"/>
        </w:rPr>
        <w:t>5.</w:t>
      </w:r>
      <w:r>
        <w:rPr>
          <w:rStyle w:val="19"/>
          <w:rFonts w:hint="eastAsia" w:ascii="仿宋" w:hAnsi="仿宋" w:eastAsia="仿宋"/>
          <w:bCs/>
          <w:sz w:val="32"/>
          <w:szCs w:val="32"/>
        </w:rPr>
        <w:t>社会保障和就业（</w:t>
      </w:r>
      <w:r>
        <w:rPr>
          <w:rStyle w:val="19"/>
          <w:rFonts w:hint="eastAsia" w:ascii="仿宋" w:hAnsi="仿宋" w:eastAsia="仿宋"/>
          <w:bCs/>
          <w:sz w:val="32"/>
          <w:szCs w:val="32"/>
          <w:lang w:val="en-US" w:eastAsia="zh-CN"/>
        </w:rPr>
        <w:t>208</w:t>
      </w:r>
      <w:r>
        <w:rPr>
          <w:rStyle w:val="19"/>
          <w:rFonts w:hint="eastAsia" w:ascii="仿宋" w:hAnsi="仿宋" w:eastAsia="仿宋"/>
          <w:bCs/>
          <w:sz w:val="32"/>
          <w:szCs w:val="32"/>
        </w:rPr>
        <w:t>）行政事业单位养老支出（</w:t>
      </w:r>
      <w:r>
        <w:rPr>
          <w:rStyle w:val="19"/>
          <w:rFonts w:hint="eastAsia" w:ascii="仿宋" w:hAnsi="仿宋" w:eastAsia="仿宋"/>
          <w:bCs/>
          <w:sz w:val="32"/>
          <w:szCs w:val="32"/>
          <w:lang w:val="en-US" w:eastAsia="zh-CN"/>
        </w:rPr>
        <w:t>05</w:t>
      </w:r>
      <w:r>
        <w:rPr>
          <w:rStyle w:val="19"/>
          <w:rFonts w:hint="eastAsia" w:ascii="仿宋" w:hAnsi="仿宋" w:eastAsia="仿宋"/>
          <w:bCs/>
          <w:sz w:val="32"/>
          <w:szCs w:val="32"/>
        </w:rPr>
        <w:t>）机关事业单位职业年金缴费支出（</w:t>
      </w:r>
      <w:r>
        <w:rPr>
          <w:rStyle w:val="19"/>
          <w:rFonts w:hint="eastAsia" w:ascii="仿宋" w:hAnsi="仿宋" w:eastAsia="仿宋"/>
          <w:bCs/>
          <w:sz w:val="32"/>
          <w:szCs w:val="32"/>
          <w:lang w:val="en-US" w:eastAsia="zh-CN"/>
        </w:rPr>
        <w:t>06</w:t>
      </w:r>
      <w:r>
        <w:rPr>
          <w:rStyle w:val="19"/>
          <w:rFonts w:hint="eastAsia" w:ascii="仿宋" w:hAnsi="仿宋" w:eastAsia="仿宋"/>
          <w:bCs/>
          <w:sz w:val="32"/>
          <w:szCs w:val="32"/>
        </w:rPr>
        <w:t>）</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25.05</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pPr>
      <w:r>
        <w:rPr>
          <w:rStyle w:val="19"/>
          <w:rFonts w:hint="eastAsia" w:ascii="仿宋" w:hAnsi="仿宋" w:eastAsia="仿宋"/>
          <w:bCs/>
          <w:color w:val="auto"/>
          <w:sz w:val="32"/>
          <w:szCs w:val="32"/>
          <w:highlight w:val="none"/>
          <w:lang w:val="en-US" w:eastAsia="zh-CN"/>
        </w:rPr>
        <w:t>6.</w:t>
      </w:r>
      <w:r>
        <w:rPr>
          <w:rStyle w:val="19"/>
          <w:rFonts w:hint="eastAsia" w:ascii="仿宋" w:hAnsi="仿宋" w:eastAsia="仿宋"/>
          <w:bCs/>
          <w:color w:val="auto"/>
          <w:sz w:val="32"/>
          <w:szCs w:val="32"/>
          <w:highlight w:val="none"/>
          <w:lang w:eastAsia="zh-CN"/>
        </w:rPr>
        <w:t>社会保障和就业</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208</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残疾人事业</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11</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残疾人就业</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05</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val="0"/>
          <w:color w:val="auto"/>
          <w:sz w:val="32"/>
          <w:szCs w:val="32"/>
          <w:highlight w:val="none"/>
          <w:lang w:eastAsia="zh-CN"/>
        </w:rPr>
        <w:t>支出决算为</w:t>
      </w:r>
      <w:r>
        <w:rPr>
          <w:rStyle w:val="19"/>
          <w:rFonts w:hint="eastAsia" w:ascii="仿宋" w:hAnsi="仿宋" w:eastAsia="仿宋"/>
          <w:b w:val="0"/>
          <w:bCs w:val="0"/>
          <w:color w:val="auto"/>
          <w:sz w:val="32"/>
          <w:szCs w:val="32"/>
          <w:highlight w:val="none"/>
          <w:lang w:val="en-US" w:eastAsia="zh-CN"/>
        </w:rPr>
        <w:t>8.91万元，完成预算100.00%。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Style w:val="19"/>
          <w:rFonts w:hint="default" w:ascii="仿宋" w:hAnsi="仿宋" w:eastAsia="仿宋"/>
          <w:bCs/>
          <w:color w:val="auto"/>
          <w:sz w:val="32"/>
          <w:szCs w:val="32"/>
          <w:highlight w:val="none"/>
          <w:lang w:val="en-US"/>
        </w:rPr>
      </w:pPr>
      <w:r>
        <w:rPr>
          <w:rStyle w:val="19"/>
          <w:rFonts w:hint="eastAsia" w:ascii="仿宋" w:hAnsi="仿宋" w:eastAsia="仿宋"/>
          <w:bCs/>
          <w:color w:val="auto"/>
          <w:sz w:val="32"/>
          <w:szCs w:val="32"/>
          <w:highlight w:val="none"/>
          <w:lang w:val="en-US" w:eastAsia="zh-CN"/>
        </w:rPr>
        <w:t>7.</w:t>
      </w:r>
      <w:r>
        <w:rPr>
          <w:rStyle w:val="19"/>
          <w:rFonts w:hint="eastAsia" w:ascii="仿宋" w:hAnsi="仿宋" w:eastAsia="仿宋"/>
          <w:bCs/>
          <w:color w:val="auto"/>
          <w:sz w:val="32"/>
          <w:szCs w:val="32"/>
          <w:highlight w:val="none"/>
          <w:lang w:eastAsia="zh-CN"/>
        </w:rPr>
        <w:t>社会保障和就业</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208</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其他社会保障和就业支出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其他社会保障和就业支出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val="0"/>
          <w:color w:val="auto"/>
          <w:sz w:val="32"/>
          <w:szCs w:val="32"/>
          <w:highlight w:val="none"/>
          <w:lang w:eastAsia="zh-CN"/>
        </w:rPr>
        <w:t>支出决算为</w:t>
      </w:r>
      <w:r>
        <w:rPr>
          <w:rStyle w:val="19"/>
          <w:rFonts w:hint="eastAsia" w:ascii="仿宋" w:hAnsi="仿宋" w:eastAsia="仿宋"/>
          <w:b w:val="0"/>
          <w:bCs w:val="0"/>
          <w:color w:val="auto"/>
          <w:sz w:val="32"/>
          <w:szCs w:val="32"/>
          <w:highlight w:val="none"/>
          <w:lang w:val="en-US" w:eastAsia="zh-CN"/>
        </w:rPr>
        <w:t>1.40万元，完成预算100.00%。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Style w:val="19"/>
          <w:rFonts w:hint="default" w:ascii="仿宋" w:hAnsi="仿宋" w:eastAsia="仿宋"/>
          <w:bCs/>
          <w:color w:val="auto"/>
          <w:sz w:val="32"/>
          <w:szCs w:val="32"/>
          <w:highlight w:val="none"/>
          <w:lang w:val="en-US"/>
        </w:rPr>
      </w:pPr>
      <w:r>
        <w:rPr>
          <w:rStyle w:val="19"/>
          <w:rFonts w:hint="eastAsia" w:ascii="仿宋" w:hAnsi="仿宋" w:eastAsia="仿宋"/>
          <w:bCs/>
          <w:color w:val="auto"/>
          <w:sz w:val="32"/>
          <w:szCs w:val="32"/>
          <w:highlight w:val="none"/>
          <w:lang w:val="en-US" w:eastAsia="zh-CN"/>
        </w:rPr>
        <w:t>8.</w:t>
      </w:r>
      <w:r>
        <w:rPr>
          <w:rStyle w:val="19"/>
          <w:rFonts w:hint="eastAsia" w:ascii="仿宋" w:hAnsi="仿宋" w:eastAsia="仿宋"/>
          <w:bCs/>
          <w:color w:val="auto"/>
          <w:sz w:val="32"/>
          <w:szCs w:val="32"/>
          <w:highlight w:val="none"/>
          <w:lang w:eastAsia="zh-CN"/>
        </w:rPr>
        <w:t>卫生健康</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210</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行政事业单位医疗</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11</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行政单位医疗</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01</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val="0"/>
          <w:color w:val="auto"/>
          <w:sz w:val="32"/>
          <w:szCs w:val="32"/>
          <w:highlight w:val="none"/>
          <w:lang w:eastAsia="zh-CN"/>
        </w:rPr>
        <w:t>支出决算为</w:t>
      </w:r>
      <w:r>
        <w:rPr>
          <w:rStyle w:val="19"/>
          <w:rFonts w:hint="eastAsia" w:ascii="仿宋" w:hAnsi="仿宋" w:eastAsia="仿宋"/>
          <w:b w:val="0"/>
          <w:bCs w:val="0"/>
          <w:color w:val="auto"/>
          <w:sz w:val="32"/>
          <w:szCs w:val="32"/>
          <w:highlight w:val="none"/>
          <w:lang w:val="en-US" w:eastAsia="zh-CN"/>
        </w:rPr>
        <w:t>42.87万元，完成预算100.00%。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Style w:val="19"/>
          <w:rFonts w:hint="default" w:ascii="仿宋" w:hAnsi="仿宋" w:eastAsia="仿宋"/>
          <w:bCs/>
          <w:color w:val="auto"/>
          <w:sz w:val="32"/>
          <w:szCs w:val="32"/>
          <w:highlight w:val="none"/>
          <w:lang w:val="en-US"/>
        </w:rPr>
      </w:pPr>
      <w:r>
        <w:rPr>
          <w:rStyle w:val="19"/>
          <w:rFonts w:hint="eastAsia" w:ascii="仿宋" w:hAnsi="仿宋" w:eastAsia="仿宋"/>
          <w:bCs/>
          <w:color w:val="auto"/>
          <w:sz w:val="32"/>
          <w:szCs w:val="32"/>
          <w:highlight w:val="none"/>
          <w:lang w:val="en-US" w:eastAsia="zh-CN"/>
        </w:rPr>
        <w:t>9.</w:t>
      </w:r>
      <w:r>
        <w:rPr>
          <w:rStyle w:val="19"/>
          <w:rFonts w:hint="eastAsia" w:ascii="仿宋" w:hAnsi="仿宋" w:eastAsia="仿宋"/>
          <w:bCs/>
          <w:color w:val="auto"/>
          <w:sz w:val="32"/>
          <w:szCs w:val="32"/>
          <w:highlight w:val="none"/>
          <w:lang w:eastAsia="zh-CN"/>
        </w:rPr>
        <w:t>卫生健康</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210</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行政事业单位医疗</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11</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事业单位医疗</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02</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val="0"/>
          <w:color w:val="auto"/>
          <w:sz w:val="32"/>
          <w:szCs w:val="32"/>
          <w:highlight w:val="none"/>
          <w:lang w:eastAsia="zh-CN"/>
        </w:rPr>
        <w:t>支出决算为</w:t>
      </w:r>
      <w:r>
        <w:rPr>
          <w:rStyle w:val="19"/>
          <w:rFonts w:hint="eastAsia" w:ascii="仿宋" w:hAnsi="仿宋" w:eastAsia="仿宋"/>
          <w:b w:val="0"/>
          <w:bCs w:val="0"/>
          <w:color w:val="auto"/>
          <w:sz w:val="32"/>
          <w:szCs w:val="32"/>
          <w:highlight w:val="none"/>
          <w:lang w:val="en-US" w:eastAsia="zh-CN"/>
        </w:rPr>
        <w:t>2.58万元，完成预算100.00%。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Style w:val="19"/>
          <w:rFonts w:hint="default" w:ascii="仿宋" w:hAnsi="仿宋" w:eastAsia="仿宋"/>
          <w:bCs/>
          <w:color w:val="auto"/>
          <w:sz w:val="32"/>
          <w:szCs w:val="32"/>
          <w:highlight w:val="none"/>
          <w:lang w:val="en-US"/>
        </w:rPr>
      </w:pPr>
      <w:r>
        <w:rPr>
          <w:rStyle w:val="19"/>
          <w:rFonts w:hint="eastAsia" w:ascii="仿宋" w:hAnsi="仿宋" w:eastAsia="仿宋"/>
          <w:bCs/>
          <w:color w:val="auto"/>
          <w:sz w:val="32"/>
          <w:szCs w:val="32"/>
          <w:highlight w:val="none"/>
          <w:lang w:val="en-US" w:eastAsia="zh-CN"/>
        </w:rPr>
        <w:t>10.</w:t>
      </w:r>
      <w:r>
        <w:rPr>
          <w:rStyle w:val="19"/>
          <w:rFonts w:hint="eastAsia" w:ascii="仿宋" w:hAnsi="仿宋" w:eastAsia="仿宋"/>
          <w:bCs/>
          <w:color w:val="auto"/>
          <w:sz w:val="32"/>
          <w:szCs w:val="32"/>
          <w:highlight w:val="none"/>
          <w:lang w:eastAsia="zh-CN"/>
        </w:rPr>
        <w:t>卫生健康</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210</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行政事业单位医疗</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11</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公务员医疗补助</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03</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val="0"/>
          <w:color w:val="auto"/>
          <w:sz w:val="32"/>
          <w:szCs w:val="32"/>
          <w:highlight w:val="none"/>
          <w:lang w:eastAsia="zh-CN"/>
        </w:rPr>
        <w:t>支出决算为</w:t>
      </w:r>
      <w:r>
        <w:rPr>
          <w:rStyle w:val="19"/>
          <w:rFonts w:hint="eastAsia" w:ascii="仿宋" w:hAnsi="仿宋" w:eastAsia="仿宋"/>
          <w:b w:val="0"/>
          <w:bCs w:val="0"/>
          <w:color w:val="auto"/>
          <w:sz w:val="32"/>
          <w:szCs w:val="32"/>
          <w:highlight w:val="none"/>
          <w:lang w:val="en-US" w:eastAsia="zh-CN"/>
        </w:rPr>
        <w:t>13.79万元，完成预算100.00%。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11.</w:t>
      </w:r>
      <w:r>
        <w:rPr>
          <w:rStyle w:val="19"/>
          <w:rFonts w:hint="eastAsia" w:ascii="仿宋" w:hAnsi="仿宋" w:eastAsia="仿宋"/>
          <w:bCs/>
          <w:color w:val="auto"/>
          <w:sz w:val="32"/>
          <w:szCs w:val="32"/>
          <w:highlight w:val="none"/>
          <w:lang w:eastAsia="zh-CN"/>
        </w:rPr>
        <w:t>住房保障（</w:t>
      </w:r>
      <w:r>
        <w:rPr>
          <w:rStyle w:val="19"/>
          <w:rFonts w:hint="eastAsia" w:ascii="仿宋" w:hAnsi="仿宋" w:eastAsia="仿宋"/>
          <w:bCs/>
          <w:color w:val="auto"/>
          <w:sz w:val="32"/>
          <w:szCs w:val="32"/>
          <w:highlight w:val="none"/>
          <w:lang w:val="en-US" w:eastAsia="zh-CN"/>
        </w:rPr>
        <w:t>221</w:t>
      </w:r>
      <w:r>
        <w:rPr>
          <w:rStyle w:val="19"/>
          <w:rFonts w:hint="eastAsia" w:ascii="仿宋" w:hAnsi="仿宋" w:eastAsia="仿宋"/>
          <w:bCs/>
          <w:color w:val="auto"/>
          <w:sz w:val="32"/>
          <w:szCs w:val="32"/>
          <w:highlight w:val="none"/>
          <w:lang w:eastAsia="zh-CN"/>
        </w:rPr>
        <w:t>）住房改革支出（</w:t>
      </w:r>
      <w:r>
        <w:rPr>
          <w:rStyle w:val="19"/>
          <w:rFonts w:hint="eastAsia" w:ascii="仿宋" w:hAnsi="仿宋" w:eastAsia="仿宋"/>
          <w:bCs/>
          <w:color w:val="auto"/>
          <w:sz w:val="32"/>
          <w:szCs w:val="32"/>
          <w:highlight w:val="none"/>
          <w:lang w:val="en-US" w:eastAsia="zh-CN"/>
        </w:rPr>
        <w:t>02</w:t>
      </w:r>
      <w:r>
        <w:rPr>
          <w:rStyle w:val="19"/>
          <w:rFonts w:hint="eastAsia" w:ascii="仿宋" w:hAnsi="仿宋" w:eastAsia="仿宋"/>
          <w:bCs/>
          <w:color w:val="auto"/>
          <w:sz w:val="32"/>
          <w:szCs w:val="32"/>
          <w:highlight w:val="none"/>
          <w:lang w:eastAsia="zh-CN"/>
        </w:rPr>
        <w:t>）住房公积金（</w:t>
      </w:r>
      <w:r>
        <w:rPr>
          <w:rStyle w:val="19"/>
          <w:rFonts w:hint="eastAsia" w:ascii="仿宋" w:hAnsi="仿宋" w:eastAsia="仿宋"/>
          <w:bCs/>
          <w:color w:val="auto"/>
          <w:sz w:val="32"/>
          <w:szCs w:val="32"/>
          <w:highlight w:val="none"/>
          <w:lang w:val="en-US" w:eastAsia="zh-CN"/>
        </w:rPr>
        <w:t>01</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val="0"/>
          <w:color w:val="auto"/>
          <w:sz w:val="32"/>
          <w:szCs w:val="32"/>
          <w:highlight w:val="none"/>
          <w:lang w:eastAsia="zh-CN"/>
        </w:rPr>
        <w:t>支出决算为</w:t>
      </w:r>
      <w:r>
        <w:rPr>
          <w:rStyle w:val="19"/>
          <w:rFonts w:hint="eastAsia" w:ascii="仿宋" w:hAnsi="仿宋" w:eastAsia="仿宋"/>
          <w:b w:val="0"/>
          <w:bCs w:val="0"/>
          <w:color w:val="auto"/>
          <w:sz w:val="32"/>
          <w:szCs w:val="32"/>
          <w:highlight w:val="none"/>
          <w:lang w:val="en-US" w:eastAsia="zh-CN"/>
        </w:rPr>
        <w:t>111.07万元，完成预算100.00%。</w:t>
      </w:r>
    </w:p>
    <w:p>
      <w:pPr>
        <w:tabs>
          <w:tab w:val="right" w:pos="8306"/>
        </w:tabs>
        <w:spacing w:line="600" w:lineRule="exact"/>
        <w:ind w:firstLine="640"/>
        <w:outlineLvl w:val="1"/>
        <w:rPr>
          <w:rStyle w:val="32"/>
        </w:rPr>
      </w:pPr>
      <w:bookmarkStart w:id="52" w:name="_Toc15377214"/>
      <w:bookmarkStart w:id="53" w:name="_Toc1469"/>
      <w:bookmarkStart w:id="54"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52"/>
      <w:bookmarkEnd w:id="53"/>
      <w:bookmarkEnd w:id="54"/>
      <w:r>
        <w:rPr>
          <w:rStyle w:val="32"/>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1621.17</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1331.14</w:t>
      </w:r>
      <w:r>
        <w:rPr>
          <w:rFonts w:hint="eastAsia" w:ascii="仿宋" w:hAnsi="仿宋" w:eastAsia="仿宋"/>
          <w:sz w:val="32"/>
          <w:szCs w:val="32"/>
        </w:rPr>
        <w:t>万元，主要包括：基本工资、津贴补贴、奖金、绩效工资、机关事业单位基本养老保险缴费、职业年金缴费、职工基本医疗保险缴费</w:t>
      </w:r>
      <w:r>
        <w:rPr>
          <w:rFonts w:hint="eastAsia" w:ascii="仿宋" w:hAnsi="仿宋" w:eastAsia="仿宋"/>
          <w:sz w:val="32"/>
          <w:szCs w:val="32"/>
          <w:lang w:eastAsia="zh-CN"/>
        </w:rPr>
        <w:t>、公务员医疗补助缴费、</w:t>
      </w:r>
      <w:r>
        <w:rPr>
          <w:rFonts w:hint="eastAsia" w:ascii="仿宋" w:hAnsi="仿宋" w:eastAsia="仿宋"/>
          <w:sz w:val="32"/>
          <w:szCs w:val="32"/>
        </w:rPr>
        <w:t>其他社会保障缴费、其他工资福利支出、住房公积金、其他对个人和家庭的补助支出。</w:t>
      </w:r>
      <w:r>
        <w:rPr>
          <w:rFonts w:ascii="仿宋" w:hAnsi="仿宋" w:eastAsia="仿宋"/>
          <w:sz w:val="32"/>
          <w:szCs w:val="32"/>
        </w:rPr>
        <w:br w:type="textWrapping"/>
      </w:r>
      <w:r>
        <w:rPr>
          <w:rFonts w:hint="eastAsia" w:ascii="仿宋" w:hAnsi="仿宋" w:eastAsia="仿宋"/>
          <w:sz w:val="32"/>
          <w:szCs w:val="32"/>
        </w:rPr>
        <w:t>　　公用经费</w:t>
      </w:r>
      <w:r>
        <w:rPr>
          <w:sz w:val="32"/>
          <w:szCs w:val="32"/>
        </w:rPr>
        <w:t>290.03</w:t>
      </w:r>
      <w:r>
        <w:rPr>
          <w:rFonts w:hint="eastAsia" w:ascii="仿宋" w:hAnsi="仿宋" w:eastAsia="仿宋"/>
          <w:sz w:val="32"/>
          <w:szCs w:val="32"/>
        </w:rPr>
        <w:t>万元，主要包括：办公费、印刷费、邮电费、物业管理费、差旅费、维修（护）费、租赁费、会议费、培训费、公务接待费、劳务费、委托业务费、工会经费、福利费、公务用车运行维护费、其他交通费、其他商品和服务支出。</w:t>
      </w:r>
    </w:p>
    <w:p>
      <w:pPr>
        <w:spacing w:line="600" w:lineRule="exact"/>
        <w:ind w:firstLine="640"/>
        <w:outlineLvl w:val="1"/>
        <w:rPr>
          <w:rStyle w:val="32"/>
          <w:rFonts w:ascii="黑体" w:hAnsi="黑体" w:eastAsia="黑体"/>
          <w:b w:val="0"/>
        </w:rPr>
      </w:pPr>
      <w:bookmarkStart w:id="55" w:name="_Toc15377215"/>
      <w:bookmarkStart w:id="56" w:name="_Toc15396609"/>
      <w:bookmarkStart w:id="57" w:name="_Toc29626"/>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55"/>
      <w:bookmarkEnd w:id="56"/>
      <w:bookmarkEnd w:id="57"/>
    </w:p>
    <w:p>
      <w:pPr>
        <w:spacing w:line="600" w:lineRule="exact"/>
        <w:ind w:firstLine="640"/>
        <w:outlineLvl w:val="2"/>
        <w:rPr>
          <w:rFonts w:ascii="仿宋" w:hAnsi="仿宋" w:eastAsia="仿宋"/>
          <w:b/>
          <w:color w:val="auto"/>
          <w:sz w:val="32"/>
          <w:szCs w:val="32"/>
        </w:rPr>
      </w:pPr>
      <w:bookmarkStart w:id="58" w:name="_Toc15377216"/>
      <w:bookmarkStart w:id="59" w:name="OLE_LINK5"/>
      <w:r>
        <w:rPr>
          <w:rFonts w:hint="eastAsia" w:ascii="仿宋" w:hAnsi="仿宋" w:eastAsia="仿宋"/>
          <w:b/>
          <w:color w:val="auto"/>
          <w:sz w:val="32"/>
          <w:szCs w:val="32"/>
        </w:rPr>
        <w:t>（一）“三公”经费财政拨款支出决算总体情况说明</w:t>
      </w:r>
      <w:bookmarkEnd w:id="58"/>
    </w:p>
    <w:p>
      <w:pPr>
        <w:spacing w:line="600" w:lineRule="exact"/>
        <w:ind w:firstLine="640"/>
        <w:rPr>
          <w:rFonts w:ascii="仿宋" w:hAnsi="仿宋" w:eastAsia="仿宋"/>
          <w:color w:val="auto"/>
          <w:sz w:val="32"/>
          <w:szCs w:val="32"/>
        </w:rPr>
      </w:pPr>
      <w:r>
        <w:rPr>
          <w:rFonts w:hint="eastAsia" w:ascii="仿宋" w:hAnsi="仿宋" w:eastAsia="仿宋"/>
          <w:color w:val="auto"/>
          <w:sz w:val="32"/>
          <w:szCs w:val="32"/>
        </w:rPr>
        <w:t>2023年度“三公”经费财政拨款支出决算为</w:t>
      </w:r>
      <w:r>
        <w:rPr>
          <w:color w:val="auto"/>
          <w:sz w:val="32"/>
          <w:szCs w:val="32"/>
        </w:rPr>
        <w:t>14.65</w:t>
      </w:r>
      <w:r>
        <w:rPr>
          <w:rFonts w:hint="eastAsia" w:ascii="仿宋" w:hAnsi="仿宋" w:eastAsia="仿宋"/>
          <w:color w:val="auto"/>
          <w:sz w:val="32"/>
          <w:szCs w:val="32"/>
        </w:rPr>
        <w:t>万元，完成预算</w:t>
      </w:r>
      <w:r>
        <w:rPr>
          <w:color w:val="auto"/>
          <w:sz w:val="32"/>
          <w:szCs w:val="32"/>
        </w:rPr>
        <w:t>100</w:t>
      </w:r>
      <w:r>
        <w:rPr>
          <w:rFonts w:ascii="仿宋" w:hAnsi="仿宋" w:eastAsia="仿宋"/>
          <w:color w:val="auto"/>
          <w:sz w:val="32"/>
          <w:szCs w:val="32"/>
        </w:rPr>
        <w:t>%</w:t>
      </w:r>
      <w:r>
        <w:rPr>
          <w:rFonts w:hint="eastAsia" w:ascii="仿宋" w:hAnsi="仿宋" w:eastAsia="仿宋"/>
          <w:color w:val="auto"/>
          <w:sz w:val="32"/>
          <w:szCs w:val="32"/>
        </w:rPr>
        <w:t>，较上年度减少</w:t>
      </w:r>
      <w:r>
        <w:rPr>
          <w:rFonts w:hint="eastAsia" w:ascii="Times New Roman" w:hAnsi="Times New Roman" w:eastAsia="宋体" w:cs="Times New Roman"/>
          <w:color w:val="auto"/>
          <w:sz w:val="32"/>
          <w:szCs w:val="32"/>
          <w:lang w:val="en-US" w:eastAsia="zh-CN"/>
        </w:rPr>
        <w:t>25.77</w:t>
      </w:r>
      <w:r>
        <w:rPr>
          <w:rFonts w:hint="eastAsia" w:ascii="仿宋" w:hAnsi="仿宋" w:eastAsia="仿宋"/>
          <w:color w:val="auto"/>
          <w:sz w:val="32"/>
          <w:szCs w:val="32"/>
        </w:rPr>
        <w:t>万元，下</w:t>
      </w:r>
      <w:r>
        <w:rPr>
          <w:rFonts w:hint="eastAsia" w:ascii="仿宋" w:hAnsi="仿宋" w:eastAsia="仿宋" w:cs="Times New Roman"/>
          <w:color w:val="auto"/>
          <w:sz w:val="32"/>
          <w:szCs w:val="32"/>
        </w:rPr>
        <w:t>降</w:t>
      </w:r>
      <w:r>
        <w:rPr>
          <w:rFonts w:hint="eastAsia" w:ascii="仿宋" w:hAnsi="仿宋" w:eastAsia="仿宋" w:cs="Times New Roman"/>
          <w:color w:val="auto"/>
          <w:sz w:val="32"/>
          <w:szCs w:val="32"/>
          <w:lang w:val="en-US" w:eastAsia="zh-CN"/>
        </w:rPr>
        <w:t>63.76</w:t>
      </w:r>
      <w:r>
        <w:rPr>
          <w:rFonts w:hint="eastAsia" w:ascii="仿宋" w:hAnsi="仿宋" w:eastAsia="仿宋" w:cs="Times New Roman"/>
          <w:color w:val="auto"/>
          <w:sz w:val="32"/>
          <w:szCs w:val="32"/>
        </w:rPr>
        <w:t>%。</w:t>
      </w:r>
      <w:bookmarkStart w:id="60" w:name="OLE_LINK4"/>
      <w:r>
        <w:rPr>
          <w:rFonts w:hint="eastAsia" w:ascii="仿宋" w:hAnsi="仿宋" w:eastAsia="仿宋" w:cs="Times New Roman"/>
          <w:color w:val="auto"/>
          <w:sz w:val="32"/>
          <w:szCs w:val="32"/>
        </w:rPr>
        <w:t>主要原因是</w:t>
      </w:r>
      <w:r>
        <w:rPr>
          <w:rFonts w:hint="eastAsia" w:ascii="仿宋" w:hAnsi="仿宋" w:eastAsia="仿宋" w:cs="Times New Roman"/>
          <w:color w:val="auto"/>
          <w:sz w:val="32"/>
          <w:szCs w:val="32"/>
          <w:lang w:val="en-US" w:eastAsia="zh-CN"/>
        </w:rPr>
        <w:t>本年无车辆购置费</w:t>
      </w:r>
      <w:r>
        <w:rPr>
          <w:rFonts w:hint="eastAsia" w:ascii="仿宋" w:hAnsi="仿宋" w:eastAsia="仿宋" w:cs="Times New Roman"/>
          <w:color w:val="auto"/>
          <w:sz w:val="32"/>
          <w:szCs w:val="32"/>
        </w:rPr>
        <w:t>。</w:t>
      </w:r>
    </w:p>
    <w:bookmarkEnd w:id="59"/>
    <w:bookmarkEnd w:id="60"/>
    <w:p>
      <w:pPr>
        <w:spacing w:line="600" w:lineRule="exact"/>
        <w:ind w:firstLine="640"/>
        <w:outlineLvl w:val="2"/>
        <w:rPr>
          <w:rFonts w:ascii="仿宋" w:hAnsi="仿宋" w:eastAsia="仿宋"/>
          <w:b/>
          <w:sz w:val="32"/>
          <w:szCs w:val="32"/>
        </w:rPr>
      </w:pPr>
      <w:bookmarkStart w:id="61" w:name="_Toc15377217"/>
      <w:r>
        <w:rPr>
          <w:rFonts w:hint="eastAsia" w:ascii="仿宋" w:hAnsi="仿宋" w:eastAsia="仿宋"/>
          <w:b/>
          <w:sz w:val="32"/>
          <w:szCs w:val="32"/>
        </w:rPr>
        <w:t>（二）“三公”经费财政拨款支出决算具体情况说明</w:t>
      </w:r>
      <w:bookmarkEnd w:id="61"/>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14.41</w:t>
      </w:r>
      <w:r>
        <w:rPr>
          <w:rFonts w:hint="eastAsia" w:ascii="仿宋" w:hAnsi="仿宋" w:eastAsia="仿宋"/>
          <w:sz w:val="32"/>
          <w:szCs w:val="32"/>
        </w:rPr>
        <w:t>万元，占</w:t>
      </w:r>
      <w:r>
        <w:rPr>
          <w:sz w:val="32"/>
          <w:szCs w:val="32"/>
        </w:rPr>
        <w:t>98.3</w:t>
      </w:r>
      <w:r>
        <w:rPr>
          <w:rFonts w:hint="eastAsia"/>
          <w:sz w:val="32"/>
          <w:szCs w:val="32"/>
          <w:lang w:val="en-US" w:eastAsia="zh-CN"/>
        </w:rPr>
        <w:t>6</w:t>
      </w:r>
      <w:r>
        <w:rPr>
          <w:rFonts w:ascii="仿宋" w:hAnsi="仿宋" w:eastAsia="仿宋"/>
          <w:sz w:val="32"/>
          <w:szCs w:val="32"/>
        </w:rPr>
        <w:t>%</w:t>
      </w:r>
      <w:r>
        <w:rPr>
          <w:rFonts w:hint="eastAsia" w:ascii="仿宋" w:hAnsi="仿宋" w:eastAsia="仿宋"/>
          <w:sz w:val="32"/>
          <w:szCs w:val="32"/>
        </w:rPr>
        <w:t>；公务接待费支出决算</w:t>
      </w:r>
      <w:r>
        <w:rPr>
          <w:sz w:val="32"/>
          <w:szCs w:val="32"/>
        </w:rPr>
        <w:t>0.24</w:t>
      </w:r>
      <w:r>
        <w:rPr>
          <w:rFonts w:hint="eastAsia" w:ascii="仿宋" w:hAnsi="仿宋" w:eastAsia="仿宋"/>
          <w:sz w:val="32"/>
          <w:szCs w:val="32"/>
        </w:rPr>
        <w:t>万元，占</w:t>
      </w:r>
      <w:r>
        <w:rPr>
          <w:sz w:val="32"/>
          <w:szCs w:val="32"/>
        </w:rPr>
        <w:t>1.6</w:t>
      </w:r>
      <w:r>
        <w:rPr>
          <w:rFonts w:hint="eastAsia"/>
          <w:sz w:val="32"/>
          <w:szCs w:val="32"/>
          <w:lang w:val="en-US" w:eastAsia="zh-CN"/>
        </w:rPr>
        <w:t>4</w:t>
      </w:r>
      <w:r>
        <w:rPr>
          <w:rFonts w:ascii="仿宋" w:hAnsi="仿宋" w:eastAsia="仿宋"/>
          <w:sz w:val="32"/>
          <w:szCs w:val="32"/>
        </w:rPr>
        <w:t>%</w:t>
      </w:r>
      <w:r>
        <w:rPr>
          <w:rFonts w:hint="eastAsia" w:ascii="仿宋" w:hAnsi="仿宋" w:eastAsia="仿宋"/>
          <w:sz w:val="32"/>
          <w:szCs w:val="32"/>
        </w:rPr>
        <w:t>。具体情况如下：</w:t>
      </w:r>
    </w:p>
    <w:p>
      <w:pPr>
        <w:pStyle w:val="7"/>
        <w:rPr>
          <w:rFonts w:hint="eastAsia" w:ascii="仿宋" w:hAnsi="仿宋" w:eastAsia="仿宋"/>
          <w:sz w:val="32"/>
          <w:szCs w:val="32"/>
        </w:rPr>
      </w:pPr>
      <w:r>
        <w:drawing>
          <wp:anchor distT="0" distB="0" distL="114300" distR="114300" simplePos="0" relativeHeight="251659264" behindDoc="1" locked="0" layoutInCell="1" allowOverlap="1">
            <wp:simplePos x="0" y="0"/>
            <wp:positionH relativeFrom="column">
              <wp:posOffset>428625</wp:posOffset>
            </wp:positionH>
            <wp:positionV relativeFrom="paragraph">
              <wp:posOffset>69850</wp:posOffset>
            </wp:positionV>
            <wp:extent cx="4424680" cy="2720975"/>
            <wp:effectExtent l="4445" t="4445" r="47625" b="17780"/>
            <wp:wrapTight wrapText="bothSides">
              <wp:wrapPolygon>
                <wp:start x="-22" y="-35"/>
                <wp:lineTo x="-22" y="21439"/>
                <wp:lineTo x="21554" y="21439"/>
                <wp:lineTo x="21554" y="-35"/>
                <wp:lineTo x="-22" y="-35"/>
              </wp:wrapPolygon>
            </wp:wrapTight>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 w:hAnsi="仿宋" w:eastAsia="仿宋"/>
          <w:color w:val="auto"/>
          <w:sz w:val="32"/>
          <w:szCs w:val="32"/>
        </w:rPr>
      </w:pPr>
      <w:r>
        <w:rPr>
          <w:rFonts w:hint="eastAsia" w:ascii="仿宋" w:hAnsi="仿宋" w:eastAsia="仿宋"/>
          <w:color w:val="auto"/>
          <w:sz w:val="32"/>
          <w:szCs w:val="32"/>
        </w:rPr>
        <w:t>（图7：“三公”经费财政拨款支出结构）</w:t>
      </w:r>
    </w:p>
    <w:p>
      <w:pPr>
        <w:numPr>
          <w:ilvl w:val="0"/>
          <w:numId w:val="0"/>
        </w:numPr>
        <w:spacing w:line="600" w:lineRule="exact"/>
        <w:ind w:firstLine="642" w:firstLineChars="200"/>
        <w:rPr>
          <w:rFonts w:hint="eastAsia" w:ascii="仿宋" w:hAnsi="仿宋" w:eastAsia="仿宋" w:cs="Times New Roman"/>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Fonts w:hint="eastAsia" w:ascii="仿宋" w:hAnsi="仿宋" w:eastAsia="仿宋" w:cs="Times New Roman"/>
          <w:sz w:val="32"/>
          <w:szCs w:val="32"/>
        </w:rPr>
        <w:t>。全年安排因公出国（境）团组0次，出国（境）0人。因公出国（境）支出决算</w:t>
      </w:r>
      <w:r>
        <w:rPr>
          <w:rFonts w:hint="eastAsia" w:ascii="仿宋" w:hAnsi="仿宋" w:eastAsia="仿宋" w:cs="Times New Roman"/>
          <w:sz w:val="32"/>
          <w:szCs w:val="32"/>
          <w:lang w:eastAsia="zh-CN"/>
        </w:rPr>
        <w:t>与2022</w:t>
      </w:r>
      <w:r>
        <w:rPr>
          <w:rFonts w:hint="eastAsia" w:ascii="仿宋" w:hAnsi="仿宋" w:eastAsia="仿宋" w:cs="Times New Roman"/>
          <w:sz w:val="32"/>
          <w:szCs w:val="32"/>
        </w:rPr>
        <w:t>年</w:t>
      </w:r>
      <w:r>
        <w:rPr>
          <w:rFonts w:hint="eastAsia" w:ascii="仿宋" w:hAnsi="仿宋" w:eastAsia="仿宋" w:cs="Times New Roman"/>
          <w:sz w:val="32"/>
          <w:szCs w:val="32"/>
          <w:lang w:eastAsia="zh-CN"/>
        </w:rPr>
        <w:t>持平，</w:t>
      </w:r>
      <w:r>
        <w:rPr>
          <w:rFonts w:hint="eastAsia" w:ascii="仿宋" w:hAnsi="仿宋" w:eastAsia="仿宋" w:cs="Times New Roman"/>
          <w:sz w:val="32"/>
          <w:szCs w:val="32"/>
        </w:rPr>
        <w:t>主要原因是</w:t>
      </w:r>
      <w:r>
        <w:rPr>
          <w:rFonts w:hint="eastAsia" w:ascii="仿宋" w:hAnsi="仿宋" w:eastAsia="仿宋" w:cs="Times New Roman"/>
          <w:sz w:val="32"/>
          <w:szCs w:val="32"/>
          <w:lang w:eastAsia="zh-CN"/>
        </w:rPr>
        <w:t>单位</w:t>
      </w:r>
      <w:r>
        <w:rPr>
          <w:rFonts w:hint="eastAsia" w:ascii="仿宋" w:hAnsi="仿宋" w:eastAsia="仿宋" w:cs="Times New Roman"/>
          <w:sz w:val="32"/>
          <w:szCs w:val="32"/>
          <w:lang w:val="en-US" w:eastAsia="zh-CN"/>
        </w:rPr>
        <w:t>2022年与2023年均未发生</w:t>
      </w:r>
      <w:r>
        <w:rPr>
          <w:rFonts w:hint="eastAsia" w:ascii="仿宋" w:hAnsi="仿宋" w:eastAsia="仿宋" w:cs="Times New Roman"/>
          <w:sz w:val="32"/>
          <w:szCs w:val="32"/>
        </w:rPr>
        <w:t>因公出国（境）支</w:t>
      </w:r>
      <w:r>
        <w:rPr>
          <w:rFonts w:hint="eastAsia" w:ascii="仿宋" w:hAnsi="仿宋" w:eastAsia="仿宋" w:cs="Times New Roman"/>
          <w:sz w:val="32"/>
          <w:szCs w:val="32"/>
          <w:lang w:eastAsia="zh-CN"/>
        </w:rPr>
        <w:t>出</w:t>
      </w:r>
      <w:r>
        <w:rPr>
          <w:rFonts w:hint="eastAsia" w:ascii="仿宋" w:hAnsi="仿宋" w:eastAsia="仿宋" w:cs="Times New Roman"/>
          <w:sz w:val="32"/>
          <w:szCs w:val="32"/>
        </w:rPr>
        <w:t>。</w:t>
      </w:r>
    </w:p>
    <w:p>
      <w:pPr>
        <w:snapToGrid w:val="0"/>
        <w:spacing w:line="520" w:lineRule="exact"/>
        <w:ind w:firstLine="642" w:firstLineChars="200"/>
        <w:rPr>
          <w:rFonts w:hint="default" w:ascii="仿宋" w:hAnsi="仿宋" w:eastAsia="仿宋" w:cs="Times New Roman"/>
          <w:sz w:val="32"/>
          <w:szCs w:val="32"/>
          <w:lang w:val="en-US"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14.41</w:t>
      </w:r>
      <w:r>
        <w:rPr>
          <w:rFonts w:hint="eastAsia" w:ascii="仿宋_GB2312" w:eastAsia="仿宋_GB2312"/>
          <w:sz w:val="32"/>
          <w:szCs w:val="32"/>
        </w:rPr>
        <w:t>万元,</w:t>
      </w:r>
      <w:r>
        <w:rPr>
          <w:rFonts w:hint="eastAsia" w:ascii="仿宋" w:hAnsi="仿宋" w:eastAsia="仿宋" w:cs="Times New Roman"/>
          <w:sz w:val="32"/>
          <w:szCs w:val="32"/>
        </w:rPr>
        <w:t>完成预算100%。公务用车购置及运行维护费支出决算比2022年度</w:t>
      </w:r>
      <w:r>
        <w:rPr>
          <w:rFonts w:hint="eastAsia" w:ascii="仿宋" w:hAnsi="仿宋" w:eastAsia="仿宋" w:cs="Times New Roman"/>
          <w:sz w:val="32"/>
          <w:szCs w:val="32"/>
          <w:lang w:val="en-US" w:eastAsia="zh-CN"/>
        </w:rPr>
        <w:t>减少25.97</w:t>
      </w:r>
      <w:r>
        <w:rPr>
          <w:rFonts w:hint="default" w:ascii="仿宋" w:hAnsi="仿宋" w:eastAsia="仿宋" w:cs="Times New Roman"/>
          <w:sz w:val="32"/>
          <w:szCs w:val="32"/>
          <w:lang w:val="en-US" w:eastAsia="zh-CN"/>
        </w:rPr>
        <w:t>万元，</w:t>
      </w:r>
      <w:r>
        <w:rPr>
          <w:rFonts w:hint="eastAsia" w:ascii="仿宋" w:hAnsi="仿宋" w:eastAsia="仿宋" w:cs="Times New Roman"/>
          <w:sz w:val="32"/>
          <w:szCs w:val="32"/>
          <w:lang w:val="en-US" w:eastAsia="zh-CN"/>
        </w:rPr>
        <w:t>下降64.31</w:t>
      </w:r>
      <w:r>
        <w:rPr>
          <w:rFonts w:hint="default" w:ascii="仿宋" w:hAnsi="仿宋" w:eastAsia="仿宋" w:cs="Times New Roman"/>
          <w:sz w:val="32"/>
          <w:szCs w:val="32"/>
          <w:lang w:val="en-US" w:eastAsia="zh-CN"/>
        </w:rPr>
        <w:t>%，主要原因是</w:t>
      </w:r>
      <w:r>
        <w:rPr>
          <w:rFonts w:hint="eastAsia" w:ascii="仿宋" w:hAnsi="仿宋" w:eastAsia="仿宋" w:cs="Times New Roman"/>
          <w:sz w:val="32"/>
          <w:szCs w:val="32"/>
          <w:lang w:val="en-US" w:eastAsia="zh-CN"/>
        </w:rPr>
        <w:t>无车辆购置费</w:t>
      </w:r>
      <w:r>
        <w:rPr>
          <w:rFonts w:hint="default" w:ascii="仿宋" w:hAnsi="仿宋" w:eastAsia="仿宋" w:cs="Times New Roman"/>
          <w:sz w:val="32"/>
          <w:szCs w:val="32"/>
          <w:lang w:val="en-US" w:eastAsia="zh-CN"/>
        </w:rPr>
        <w:t>。</w:t>
      </w:r>
    </w:p>
    <w:p>
      <w:pPr>
        <w:spacing w:line="600" w:lineRule="exact"/>
        <w:ind w:firstLine="640" w:firstLineChars="200"/>
        <w:rPr>
          <w:rFonts w:hint="eastAsia" w:ascii="仿宋" w:hAnsi="仿宋" w:eastAsia="仿宋" w:cs="Times New Roman"/>
          <w:sz w:val="32"/>
          <w:szCs w:val="32"/>
          <w:highlight w:val="none"/>
          <w:lang w:val="en-US" w:eastAsia="zh-CN"/>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w:t>
      </w:r>
      <w:r>
        <w:rPr>
          <w:rFonts w:hint="eastAsia" w:ascii="仿宋" w:hAnsi="仿宋" w:eastAsia="仿宋" w:cs="Times New Roman"/>
          <w:sz w:val="32"/>
          <w:szCs w:val="32"/>
          <w:lang w:val="en-US" w:eastAsia="zh-CN"/>
        </w:rPr>
        <w:t>全年按规定更新购置公务用车0辆，其中：轿车0辆、金额0万元，越野车0辆、金额0万元，载客汽车0辆、金额0万元。</w:t>
      </w:r>
      <w:r>
        <w:rPr>
          <w:rFonts w:hint="eastAsia" w:ascii="仿宋" w:hAnsi="仿宋" w:eastAsia="仿宋" w:cs="Times New Roman"/>
          <w:sz w:val="32"/>
          <w:szCs w:val="32"/>
          <w:highlight w:val="none"/>
          <w:lang w:val="en-US" w:eastAsia="zh-CN"/>
        </w:rPr>
        <w:t>截至2023年12月31日，单位共有公务用车4辆，其中：轿车1辆、越野车3辆、载客汽车0辆。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14.41</w:t>
      </w:r>
      <w:r>
        <w:rPr>
          <w:rFonts w:hint="eastAsia" w:ascii="仿宋_GB2312" w:eastAsia="仿宋_GB2312"/>
          <w:sz w:val="32"/>
          <w:szCs w:val="32"/>
        </w:rPr>
        <w:t>万元。</w:t>
      </w:r>
      <w:r>
        <w:rPr>
          <w:rFonts w:hint="eastAsia" w:ascii="仿宋_GB2312" w:eastAsia="仿宋_GB2312"/>
          <w:sz w:val="32"/>
          <w:szCs w:val="32"/>
          <w:highlight w:val="none"/>
        </w:rPr>
        <w:t>主要用于</w:t>
      </w:r>
      <w:r>
        <w:rPr>
          <w:rFonts w:hint="default" w:ascii="仿宋_GB2312" w:hAnsi="Times New Roman" w:eastAsia="仿宋_GB2312" w:cs="Times New Roman"/>
          <w:color w:val="auto"/>
          <w:sz w:val="32"/>
          <w:szCs w:val="32"/>
          <w:highlight w:val="none"/>
          <w:lang w:eastAsia="zh-CN"/>
        </w:rPr>
        <w:t>案件初核阶段</w:t>
      </w:r>
      <w:r>
        <w:rPr>
          <w:rFonts w:hint="eastAsia" w:ascii="仿宋_GB2312" w:hAnsi="Times New Roman" w:eastAsia="仿宋_GB2312" w:cs="Times New Roman"/>
          <w:color w:val="auto"/>
          <w:sz w:val="32"/>
          <w:szCs w:val="32"/>
          <w:highlight w:val="none"/>
          <w:lang w:val="en-US" w:eastAsia="zh-CN"/>
        </w:rPr>
        <w:t>调查</w:t>
      </w:r>
      <w:r>
        <w:rPr>
          <w:rFonts w:hint="eastAsia" w:ascii="仿宋_GB2312" w:eastAsia="仿宋_GB2312"/>
          <w:sz w:val="32"/>
          <w:szCs w:val="32"/>
          <w:highlight w:val="none"/>
        </w:rPr>
        <w:t>等所需的公务用车燃料费、维修费、过</w:t>
      </w:r>
      <w:r>
        <w:rPr>
          <w:rFonts w:hint="eastAsia" w:ascii="仿宋_GB2312" w:eastAsia="仿宋_GB2312"/>
          <w:sz w:val="32"/>
          <w:szCs w:val="32"/>
        </w:rPr>
        <w:t>路过桥费、保险费等支出。</w:t>
      </w:r>
    </w:p>
    <w:p>
      <w:pPr>
        <w:spacing w:line="600" w:lineRule="exact"/>
        <w:ind w:firstLine="640"/>
        <w:rPr>
          <w:rStyle w:val="19"/>
          <w:rFonts w:hint="eastAsia" w:ascii="仿宋" w:hAnsi="仿宋" w:eastAsia="仿宋" w:cstheme="minorBidi"/>
          <w:b w:val="0"/>
          <w:bCs/>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0.24</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100%</w:t>
      </w:r>
      <w:r>
        <w:rPr>
          <w:rStyle w:val="19"/>
          <w:rFonts w:hint="eastAsia" w:ascii="仿宋" w:hAnsi="仿宋" w:eastAsia="仿宋"/>
          <w:b w:val="0"/>
          <w:bCs/>
          <w:sz w:val="32"/>
          <w:szCs w:val="32"/>
        </w:rPr>
        <w:t>。</w:t>
      </w:r>
      <w:r>
        <w:rPr>
          <w:rStyle w:val="19"/>
          <w:rFonts w:hint="eastAsia" w:ascii="仿宋" w:hAnsi="仿宋" w:eastAsia="仿宋" w:cstheme="minorBidi"/>
          <w:b w:val="0"/>
          <w:bCs/>
          <w:sz w:val="32"/>
          <w:szCs w:val="32"/>
        </w:rPr>
        <w:t>公务接待费支出决算比2022年度增加</w:t>
      </w:r>
      <w:r>
        <w:rPr>
          <w:rStyle w:val="19"/>
          <w:rFonts w:hint="eastAsia" w:ascii="仿宋" w:hAnsi="仿宋" w:eastAsia="仿宋" w:cstheme="minorBidi"/>
          <w:b w:val="0"/>
          <w:bCs/>
          <w:sz w:val="32"/>
          <w:szCs w:val="32"/>
          <w:lang w:val="en-US" w:eastAsia="zh-CN"/>
        </w:rPr>
        <w:t>0.20</w:t>
      </w:r>
      <w:r>
        <w:rPr>
          <w:rStyle w:val="19"/>
          <w:rFonts w:hint="eastAsia" w:ascii="仿宋" w:hAnsi="仿宋" w:eastAsia="仿宋" w:cstheme="minorBidi"/>
          <w:b w:val="0"/>
          <w:bCs/>
          <w:sz w:val="32"/>
          <w:szCs w:val="32"/>
        </w:rPr>
        <w:t>万元，增长</w:t>
      </w:r>
      <w:r>
        <w:rPr>
          <w:rStyle w:val="19"/>
          <w:rFonts w:hint="eastAsia" w:ascii="仿宋" w:hAnsi="仿宋" w:eastAsia="仿宋" w:cstheme="minorBidi"/>
          <w:b w:val="0"/>
          <w:bCs/>
          <w:sz w:val="32"/>
          <w:szCs w:val="32"/>
          <w:lang w:val="en-US" w:eastAsia="zh-CN"/>
        </w:rPr>
        <w:t>500</w:t>
      </w:r>
      <w:r>
        <w:rPr>
          <w:rStyle w:val="19"/>
          <w:rFonts w:hint="eastAsia" w:ascii="仿宋" w:hAnsi="仿宋" w:eastAsia="仿宋" w:cstheme="minorBidi"/>
          <w:b w:val="0"/>
          <w:bCs/>
          <w:sz w:val="32"/>
          <w:szCs w:val="32"/>
        </w:rPr>
        <w:t>%。主要原因是</w:t>
      </w:r>
      <w:r>
        <w:rPr>
          <w:rStyle w:val="19"/>
          <w:rFonts w:hint="eastAsia" w:ascii="仿宋" w:hAnsi="仿宋" w:eastAsia="仿宋" w:cstheme="minorBidi"/>
          <w:b w:val="0"/>
          <w:bCs/>
          <w:sz w:val="32"/>
          <w:szCs w:val="32"/>
          <w:lang w:eastAsia="zh-CN"/>
        </w:rPr>
        <w:t>本年公务接待活动增加</w:t>
      </w:r>
      <w:r>
        <w:rPr>
          <w:rStyle w:val="19"/>
          <w:rFonts w:hint="eastAsia" w:ascii="仿宋" w:hAnsi="仿宋" w:eastAsia="仿宋" w:cstheme="minorBidi"/>
          <w:b w:val="0"/>
          <w:bCs/>
          <w:sz w:val="32"/>
          <w:szCs w:val="32"/>
        </w:rPr>
        <w:t>。其中：</w:t>
      </w:r>
    </w:p>
    <w:p>
      <w:pPr>
        <w:snapToGrid w:val="0"/>
        <w:spacing w:line="520" w:lineRule="exact"/>
        <w:ind w:firstLine="642" w:firstLineChars="200"/>
        <w:rPr>
          <w:rFonts w:hint="default" w:ascii="仿宋_GB2312" w:hAnsi="仿宋" w:eastAsia="仿宋_GB2312" w:cs="Times New Roman"/>
          <w:color w:val="0000FF"/>
          <w:sz w:val="32"/>
          <w:szCs w:val="32"/>
          <w:lang w:val="en-US" w:eastAsia="zh-CN"/>
        </w:rPr>
      </w:pPr>
      <w:bookmarkStart w:id="62" w:name="OLE_LINK6"/>
      <w:r>
        <w:rPr>
          <w:rFonts w:hint="eastAsia" w:ascii="仿宋" w:hAnsi="仿宋" w:eastAsia="仿宋"/>
          <w:b/>
          <w:sz w:val="32"/>
          <w:szCs w:val="32"/>
        </w:rPr>
        <w:t>国内公务接待支出</w:t>
      </w:r>
      <w:r>
        <w:rPr>
          <w:rFonts w:hint="eastAsia" w:ascii="仿宋" w:hAnsi="仿宋" w:eastAsia="仿宋"/>
          <w:b/>
          <w:sz w:val="32"/>
          <w:szCs w:val="32"/>
          <w:lang w:val="en-US" w:eastAsia="zh-CN"/>
        </w:rPr>
        <w:t>0.24</w:t>
      </w:r>
      <w:r>
        <w:rPr>
          <w:rFonts w:hint="eastAsia" w:ascii="仿宋_GB2312" w:eastAsia="仿宋_GB2312"/>
          <w:sz w:val="32"/>
          <w:szCs w:val="32"/>
        </w:rPr>
        <w:t>万元，</w:t>
      </w:r>
      <w:r>
        <w:rPr>
          <w:rStyle w:val="19"/>
          <w:rFonts w:hint="eastAsia" w:ascii="仿宋" w:hAnsi="仿宋" w:eastAsia="仿宋" w:cstheme="minorBidi"/>
          <w:b w:val="0"/>
          <w:bCs/>
          <w:sz w:val="32"/>
          <w:szCs w:val="32"/>
        </w:rPr>
        <w:t>国内公务接待</w:t>
      </w:r>
      <w:r>
        <w:rPr>
          <w:rStyle w:val="19"/>
          <w:rFonts w:hint="eastAsia" w:ascii="仿宋" w:hAnsi="仿宋" w:eastAsia="仿宋" w:cstheme="minorBidi"/>
          <w:b w:val="0"/>
          <w:bCs/>
          <w:sz w:val="32"/>
          <w:szCs w:val="32"/>
          <w:lang w:val="en-US" w:eastAsia="zh-CN"/>
        </w:rPr>
        <w:t>3</w:t>
      </w:r>
      <w:r>
        <w:rPr>
          <w:rStyle w:val="19"/>
          <w:rFonts w:hint="eastAsia" w:ascii="仿宋" w:hAnsi="仿宋" w:eastAsia="仿宋" w:cstheme="minorBidi"/>
          <w:b w:val="0"/>
          <w:bCs/>
          <w:sz w:val="32"/>
          <w:szCs w:val="32"/>
        </w:rPr>
        <w:t>批次，</w:t>
      </w:r>
      <w:r>
        <w:rPr>
          <w:rStyle w:val="19"/>
          <w:rFonts w:hint="eastAsia" w:ascii="仿宋" w:hAnsi="仿宋" w:eastAsia="仿宋" w:cstheme="minorBidi"/>
          <w:b w:val="0"/>
          <w:bCs/>
          <w:sz w:val="32"/>
          <w:szCs w:val="32"/>
          <w:lang w:val="en-US" w:eastAsia="zh-CN"/>
        </w:rPr>
        <w:t>24人</w:t>
      </w:r>
      <w:r>
        <w:rPr>
          <w:rStyle w:val="19"/>
          <w:rFonts w:hint="eastAsia" w:ascii="仿宋" w:hAnsi="仿宋" w:eastAsia="仿宋" w:cstheme="minorBidi"/>
          <w:b w:val="0"/>
          <w:bCs/>
          <w:sz w:val="32"/>
          <w:szCs w:val="32"/>
        </w:rPr>
        <w:t>次，共计支出</w:t>
      </w:r>
      <w:r>
        <w:rPr>
          <w:rStyle w:val="19"/>
          <w:rFonts w:hint="eastAsia" w:ascii="仿宋" w:hAnsi="仿宋" w:eastAsia="仿宋" w:cstheme="minorBidi"/>
          <w:b w:val="0"/>
          <w:bCs/>
          <w:sz w:val="32"/>
          <w:szCs w:val="32"/>
          <w:lang w:val="en-US" w:eastAsia="zh-CN"/>
        </w:rPr>
        <w:t>0.24</w:t>
      </w:r>
      <w:r>
        <w:rPr>
          <w:rStyle w:val="19"/>
          <w:rFonts w:hint="eastAsia" w:ascii="仿宋" w:hAnsi="仿宋" w:eastAsia="仿宋" w:cstheme="minorBidi"/>
          <w:b w:val="0"/>
          <w:bCs/>
          <w:sz w:val="32"/>
          <w:szCs w:val="32"/>
        </w:rPr>
        <w:t>万元，具体内</w:t>
      </w:r>
      <w:r>
        <w:rPr>
          <w:rStyle w:val="19"/>
          <w:rFonts w:hint="eastAsia" w:ascii="仿宋" w:hAnsi="仿宋" w:eastAsia="仿宋" w:cstheme="minorBidi"/>
          <w:b w:val="0"/>
          <w:bCs/>
          <w:sz w:val="32"/>
          <w:szCs w:val="32"/>
          <w:lang w:val="en-US" w:eastAsia="zh-CN"/>
        </w:rPr>
        <w:t>容包括：接待安居纪委考察学习微腐败警示教育站用餐</w:t>
      </w:r>
      <w:r>
        <w:rPr>
          <w:rStyle w:val="19"/>
          <w:rFonts w:hint="eastAsia" w:ascii="仿宋" w:hAnsi="仿宋" w:eastAsia="仿宋" w:cstheme="minorBidi"/>
          <w:b w:val="0"/>
          <w:bCs/>
          <w:color w:val="auto"/>
          <w:sz w:val="32"/>
          <w:szCs w:val="32"/>
          <w:lang w:val="en-US" w:eastAsia="zh-CN"/>
        </w:rPr>
        <w:t>费0.06万元、德阳市旌阳区纪委、射洪纪委学习考察用餐计0.18万元</w:t>
      </w:r>
      <w:r>
        <w:rPr>
          <w:rStyle w:val="19"/>
          <w:rFonts w:hint="default" w:ascii="仿宋" w:hAnsi="仿宋" w:eastAsia="仿宋" w:cstheme="minorBidi"/>
          <w:b w:val="0"/>
          <w:bCs/>
          <w:color w:val="auto"/>
          <w:sz w:val="32"/>
          <w:szCs w:val="32"/>
          <w:lang w:val="en-US" w:eastAsia="zh-CN"/>
        </w:rPr>
        <w:t>。</w:t>
      </w:r>
    </w:p>
    <w:bookmarkEnd w:id="62"/>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w:t>
      </w:r>
      <w:r>
        <w:rPr>
          <w:rStyle w:val="19"/>
          <w:rFonts w:hint="eastAsia" w:ascii="仿宋" w:hAnsi="仿宋" w:eastAsia="仿宋" w:cstheme="minorBidi"/>
          <w:b w:val="0"/>
          <w:bCs/>
          <w:sz w:val="32"/>
          <w:szCs w:val="32"/>
        </w:rPr>
        <w:t>。外事接待</w:t>
      </w:r>
      <w:r>
        <w:rPr>
          <w:rStyle w:val="19"/>
          <w:rFonts w:hint="eastAsia" w:ascii="仿宋" w:hAnsi="仿宋" w:eastAsia="仿宋" w:cstheme="minorBidi"/>
          <w:b w:val="0"/>
          <w:bCs/>
          <w:sz w:val="32"/>
          <w:szCs w:val="32"/>
          <w:lang w:val="en-US" w:eastAsia="zh-CN"/>
        </w:rPr>
        <w:t>0</w:t>
      </w:r>
      <w:r>
        <w:rPr>
          <w:rStyle w:val="19"/>
          <w:rFonts w:hint="eastAsia" w:ascii="仿宋" w:hAnsi="仿宋" w:eastAsia="仿宋" w:cstheme="minorBidi"/>
          <w:b w:val="0"/>
          <w:bCs/>
          <w:sz w:val="32"/>
          <w:szCs w:val="32"/>
        </w:rPr>
        <w:t>批次，</w:t>
      </w:r>
      <w:r>
        <w:rPr>
          <w:rStyle w:val="19"/>
          <w:rFonts w:hint="eastAsia" w:ascii="仿宋" w:hAnsi="仿宋" w:eastAsia="仿宋" w:cstheme="minorBidi"/>
          <w:b w:val="0"/>
          <w:bCs/>
          <w:sz w:val="32"/>
          <w:szCs w:val="32"/>
          <w:lang w:val="en-US" w:eastAsia="zh-CN"/>
        </w:rPr>
        <w:t>0</w:t>
      </w:r>
      <w:r>
        <w:rPr>
          <w:rStyle w:val="19"/>
          <w:rFonts w:hint="eastAsia" w:ascii="仿宋" w:hAnsi="仿宋" w:eastAsia="仿宋" w:cstheme="minorBidi"/>
          <w:b w:val="0"/>
          <w:bCs/>
          <w:sz w:val="32"/>
          <w:szCs w:val="32"/>
        </w:rPr>
        <w:t>人次，共计支出</w:t>
      </w:r>
      <w:r>
        <w:rPr>
          <w:rStyle w:val="19"/>
          <w:rFonts w:hint="eastAsia" w:ascii="仿宋" w:hAnsi="仿宋" w:eastAsia="仿宋" w:cstheme="minorBidi"/>
          <w:b w:val="0"/>
          <w:bCs/>
          <w:sz w:val="32"/>
          <w:szCs w:val="32"/>
          <w:lang w:val="en-US" w:eastAsia="zh-CN"/>
        </w:rPr>
        <w:t>0</w:t>
      </w:r>
      <w:r>
        <w:rPr>
          <w:rStyle w:val="19"/>
          <w:rFonts w:hint="eastAsia" w:ascii="仿宋" w:hAnsi="仿宋" w:eastAsia="仿宋" w:cstheme="minorBidi"/>
          <w:b w:val="0"/>
          <w:bCs/>
          <w:sz w:val="32"/>
          <w:szCs w:val="32"/>
        </w:rPr>
        <w:t>万元。</w:t>
      </w:r>
    </w:p>
    <w:p>
      <w:pPr>
        <w:spacing w:line="600" w:lineRule="exact"/>
        <w:ind w:firstLine="640"/>
        <w:outlineLvl w:val="1"/>
        <w:rPr>
          <w:rStyle w:val="32"/>
          <w:rFonts w:ascii="黑体" w:hAnsi="黑体" w:eastAsia="黑体"/>
        </w:rPr>
      </w:pPr>
      <w:bookmarkStart w:id="63" w:name="_Toc15377218"/>
      <w:bookmarkStart w:id="64" w:name="_Toc5128"/>
      <w:bookmarkStart w:id="65" w:name="_Toc15396610"/>
      <w:r>
        <w:rPr>
          <w:rFonts w:hint="eastAsia" w:ascii="黑体" w:eastAsia="黑体"/>
          <w:sz w:val="32"/>
          <w:szCs w:val="32"/>
        </w:rPr>
        <w:t>八、</w:t>
      </w:r>
      <w:r>
        <w:rPr>
          <w:rStyle w:val="32"/>
          <w:rFonts w:hint="eastAsia" w:ascii="黑体" w:hAnsi="黑体" w:eastAsia="黑体"/>
          <w:b w:val="0"/>
        </w:rPr>
        <w:t>政府性基金预算支出决算情况说明</w:t>
      </w:r>
      <w:bookmarkEnd w:id="63"/>
      <w:bookmarkEnd w:id="64"/>
      <w:bookmarkEnd w:id="65"/>
    </w:p>
    <w:p>
      <w:pPr>
        <w:snapToGrid w:val="0"/>
        <w:spacing w:line="520" w:lineRule="exact"/>
        <w:ind w:firstLine="640" w:firstLineChars="200"/>
        <w:rPr>
          <w:rStyle w:val="19"/>
          <w:rFonts w:hint="eastAsia" w:ascii="仿宋" w:hAnsi="仿宋" w:eastAsia="仿宋" w:cstheme="minorBidi"/>
          <w:b w:val="0"/>
          <w:bCs/>
          <w:sz w:val="32"/>
          <w:szCs w:val="32"/>
        </w:rPr>
      </w:pPr>
      <w:r>
        <w:rPr>
          <w:rStyle w:val="19"/>
          <w:rFonts w:hint="eastAsia" w:ascii="仿宋" w:hAnsi="仿宋" w:eastAsia="仿宋" w:cstheme="minorBidi"/>
          <w:b w:val="0"/>
          <w:bCs/>
          <w:sz w:val="32"/>
          <w:szCs w:val="32"/>
        </w:rPr>
        <w:t>2023年度政府性基金预算财政拨款支出0万元。</w:t>
      </w:r>
    </w:p>
    <w:p>
      <w:pPr>
        <w:numPr>
          <w:ilvl w:val="0"/>
          <w:numId w:val="3"/>
        </w:numPr>
        <w:spacing w:line="600" w:lineRule="exact"/>
        <w:ind w:firstLine="640"/>
        <w:outlineLvl w:val="1"/>
        <w:rPr>
          <w:rStyle w:val="32"/>
          <w:rFonts w:ascii="黑体" w:hAnsi="黑体" w:eastAsia="黑体"/>
          <w:b w:val="0"/>
        </w:rPr>
      </w:pPr>
      <w:bookmarkStart w:id="66" w:name="_Toc25213"/>
      <w:bookmarkStart w:id="67" w:name="_Toc15396611"/>
      <w:bookmarkStart w:id="68" w:name="_Toc15377219"/>
      <w:r>
        <w:rPr>
          <w:rStyle w:val="32"/>
          <w:rFonts w:hint="eastAsia" w:ascii="黑体" w:hAnsi="黑体" w:eastAsia="黑体"/>
          <w:b w:val="0"/>
        </w:rPr>
        <w:t>国有资本经营预算支出决算情况说明</w:t>
      </w:r>
      <w:bookmarkEnd w:id="66"/>
      <w:bookmarkEnd w:id="67"/>
      <w:bookmarkEnd w:id="68"/>
    </w:p>
    <w:p>
      <w:pPr>
        <w:snapToGrid w:val="0"/>
        <w:spacing w:line="520" w:lineRule="exact"/>
        <w:ind w:firstLine="640" w:firstLineChars="200"/>
        <w:rPr>
          <w:rFonts w:ascii="方正小标宋简体" w:hAnsi="方正小标宋简体" w:eastAsia="方正小标宋简体" w:cs="方正小标宋简体"/>
          <w:sz w:val="44"/>
          <w:szCs w:val="44"/>
        </w:rPr>
      </w:pPr>
      <w:r>
        <w:rPr>
          <w:rStyle w:val="19"/>
          <w:rFonts w:hint="eastAsia" w:ascii="仿宋" w:hAnsi="仿宋" w:eastAsia="仿宋" w:cstheme="minorBidi"/>
          <w:b w:val="0"/>
          <w:bCs/>
          <w:sz w:val="32"/>
          <w:szCs w:val="32"/>
        </w:rPr>
        <w:t>2023年度国有资本经营预算财政拨款支出0万元。</w:t>
      </w:r>
    </w:p>
    <w:p>
      <w:pPr>
        <w:numPr>
          <w:ilvl w:val="0"/>
          <w:numId w:val="3"/>
        </w:numPr>
        <w:spacing w:line="600" w:lineRule="exact"/>
        <w:ind w:firstLine="640"/>
        <w:outlineLvl w:val="1"/>
        <w:rPr>
          <w:rStyle w:val="32"/>
          <w:rFonts w:ascii="黑体" w:hAnsi="黑体" w:eastAsia="黑体"/>
          <w:b w:val="0"/>
        </w:rPr>
      </w:pPr>
      <w:bookmarkStart w:id="69" w:name="_Toc15396612"/>
      <w:bookmarkStart w:id="70" w:name="_Toc15377221"/>
      <w:bookmarkStart w:id="71" w:name="_Toc24177"/>
      <w:r>
        <w:rPr>
          <w:rStyle w:val="32"/>
          <w:rFonts w:hint="eastAsia" w:ascii="黑体" w:hAnsi="黑体" w:eastAsia="黑体"/>
          <w:b w:val="0"/>
        </w:rPr>
        <w:t>其他重要事项的情况说明</w:t>
      </w:r>
      <w:bookmarkEnd w:id="69"/>
      <w:bookmarkEnd w:id="70"/>
      <w:bookmarkEnd w:id="71"/>
    </w:p>
    <w:p>
      <w:pPr>
        <w:spacing w:line="600" w:lineRule="exact"/>
        <w:ind w:firstLine="642" w:firstLineChars="200"/>
        <w:outlineLvl w:val="2"/>
        <w:rPr>
          <w:rFonts w:ascii="仿宋" w:hAnsi="仿宋" w:eastAsia="仿宋"/>
          <w:sz w:val="32"/>
          <w:szCs w:val="32"/>
        </w:rPr>
      </w:pPr>
      <w:bookmarkStart w:id="72" w:name="_Toc15377222"/>
      <w:r>
        <w:rPr>
          <w:rFonts w:hint="eastAsia" w:ascii="仿宋" w:hAnsi="仿宋" w:eastAsia="仿宋"/>
          <w:b/>
          <w:sz w:val="32"/>
          <w:szCs w:val="32"/>
        </w:rPr>
        <w:t>（一）机关运行经费支出情况</w:t>
      </w:r>
      <w:bookmarkEnd w:id="72"/>
    </w:p>
    <w:p>
      <w:pPr>
        <w:spacing w:line="600" w:lineRule="exact"/>
        <w:ind w:firstLine="640" w:firstLineChars="200"/>
        <w:rPr>
          <w:rStyle w:val="19"/>
          <w:rFonts w:hint="eastAsia" w:ascii="仿宋" w:hAnsi="仿宋" w:eastAsia="仿宋" w:cstheme="minorBidi"/>
          <w:b w:val="0"/>
          <w:bCs/>
          <w:sz w:val="32"/>
          <w:szCs w:val="32"/>
          <w:highlight w:val="none"/>
        </w:rPr>
      </w:pPr>
      <w:r>
        <w:rPr>
          <w:rStyle w:val="19"/>
          <w:rFonts w:hint="eastAsia" w:ascii="仿宋" w:hAnsi="仿宋" w:eastAsia="仿宋" w:cstheme="minorBidi"/>
          <w:b w:val="0"/>
          <w:bCs/>
          <w:sz w:val="32"/>
          <w:szCs w:val="32"/>
        </w:rPr>
        <w:t>2023年度，中国共产党四川省遂宁市船山区纪律检查委员会机关运行经费支出290.03万元，比2022年度减少</w:t>
      </w:r>
      <w:r>
        <w:rPr>
          <w:rStyle w:val="19"/>
          <w:rFonts w:hint="eastAsia" w:ascii="仿宋" w:hAnsi="仿宋" w:eastAsia="仿宋" w:cstheme="minorBidi"/>
          <w:b w:val="0"/>
          <w:bCs/>
          <w:sz w:val="32"/>
          <w:szCs w:val="32"/>
          <w:lang w:val="en-US" w:eastAsia="zh-CN"/>
        </w:rPr>
        <w:t>58.26</w:t>
      </w:r>
      <w:r>
        <w:rPr>
          <w:rStyle w:val="19"/>
          <w:rFonts w:hint="eastAsia" w:ascii="仿宋" w:hAnsi="仿宋" w:eastAsia="仿宋" w:cstheme="minorBidi"/>
          <w:b w:val="0"/>
          <w:bCs/>
          <w:sz w:val="32"/>
          <w:szCs w:val="32"/>
        </w:rPr>
        <w:t>万元，下降</w:t>
      </w:r>
      <w:r>
        <w:rPr>
          <w:rStyle w:val="19"/>
          <w:rFonts w:hint="eastAsia" w:ascii="仿宋" w:hAnsi="仿宋" w:eastAsia="仿宋" w:cstheme="minorBidi"/>
          <w:b w:val="0"/>
          <w:bCs/>
          <w:sz w:val="32"/>
          <w:szCs w:val="32"/>
          <w:lang w:val="en-US" w:eastAsia="zh-CN"/>
        </w:rPr>
        <w:t>16.73</w:t>
      </w:r>
      <w:r>
        <w:rPr>
          <w:rStyle w:val="19"/>
          <w:rFonts w:hint="eastAsia" w:ascii="仿宋" w:hAnsi="仿宋" w:eastAsia="仿宋" w:cstheme="minorBidi"/>
          <w:b w:val="0"/>
          <w:bCs/>
          <w:sz w:val="32"/>
          <w:szCs w:val="32"/>
        </w:rPr>
        <w:t>%。</w:t>
      </w:r>
      <w:r>
        <w:rPr>
          <w:rStyle w:val="19"/>
          <w:rFonts w:hint="eastAsia" w:ascii="仿宋" w:hAnsi="仿宋" w:eastAsia="仿宋" w:cstheme="minorBidi"/>
          <w:b w:val="0"/>
          <w:bCs/>
          <w:sz w:val="32"/>
          <w:szCs w:val="32"/>
          <w:highlight w:val="none"/>
        </w:rPr>
        <w:t>主要原因是</w:t>
      </w:r>
      <w:r>
        <w:rPr>
          <w:rStyle w:val="19"/>
          <w:rFonts w:hint="eastAsia" w:ascii="仿宋" w:hAnsi="仿宋" w:eastAsia="仿宋" w:cstheme="minorBidi"/>
          <w:b w:val="0"/>
          <w:bCs/>
          <w:sz w:val="32"/>
          <w:szCs w:val="32"/>
          <w:highlight w:val="none"/>
          <w:lang w:eastAsia="zh-CN"/>
        </w:rPr>
        <w:t>本年人员减少导致日常公用经费减少</w:t>
      </w:r>
      <w:r>
        <w:rPr>
          <w:rStyle w:val="19"/>
          <w:rFonts w:hint="eastAsia" w:ascii="仿宋" w:hAnsi="仿宋" w:eastAsia="仿宋" w:cstheme="minorBidi"/>
          <w:b w:val="0"/>
          <w:bCs/>
          <w:sz w:val="32"/>
          <w:szCs w:val="32"/>
          <w:highlight w:val="none"/>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3" w:name="_Toc15377223"/>
      <w:r>
        <w:rPr>
          <w:rFonts w:hint="eastAsia" w:ascii="仿宋" w:hAnsi="仿宋" w:eastAsia="仿宋"/>
          <w:b/>
          <w:sz w:val="32"/>
          <w:szCs w:val="32"/>
        </w:rPr>
        <w:t>（二）政府采购支出情况</w:t>
      </w:r>
      <w:bookmarkEnd w:id="73"/>
    </w:p>
    <w:p>
      <w:pPr>
        <w:spacing w:line="600" w:lineRule="exact"/>
        <w:ind w:firstLine="640" w:firstLineChars="200"/>
        <w:rPr>
          <w:rStyle w:val="19"/>
          <w:rFonts w:hint="eastAsia" w:ascii="仿宋" w:hAnsi="仿宋" w:eastAsia="仿宋" w:cstheme="minorBidi"/>
          <w:b w:val="0"/>
          <w:bCs/>
          <w:sz w:val="32"/>
          <w:szCs w:val="32"/>
        </w:rPr>
      </w:pPr>
      <w:r>
        <w:rPr>
          <w:rStyle w:val="19"/>
          <w:rFonts w:hint="eastAsia" w:ascii="仿宋" w:hAnsi="仿宋" w:eastAsia="仿宋" w:cstheme="minorBidi"/>
          <w:b w:val="0"/>
          <w:bCs/>
          <w:sz w:val="32"/>
          <w:szCs w:val="32"/>
        </w:rPr>
        <w:t>2023年度，中国共产党四川省遂宁市船山区纪律检查委员会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4" w:name="_Toc15377224"/>
      <w:r>
        <w:rPr>
          <w:rFonts w:hint="eastAsia" w:ascii="仿宋" w:hAnsi="仿宋" w:eastAsia="仿宋"/>
          <w:b/>
          <w:sz w:val="32"/>
          <w:szCs w:val="32"/>
        </w:rPr>
        <w:t>（三）国有资产占有使用情况</w:t>
      </w:r>
      <w:bookmarkEnd w:id="74"/>
    </w:p>
    <w:p>
      <w:pPr>
        <w:spacing w:line="600" w:lineRule="exact"/>
        <w:ind w:firstLine="640" w:firstLineChars="200"/>
        <w:rPr>
          <w:rStyle w:val="19"/>
          <w:rFonts w:hint="eastAsia" w:ascii="仿宋" w:hAnsi="仿宋" w:eastAsia="仿宋" w:cstheme="minorBidi"/>
          <w:b w:val="0"/>
          <w:bCs/>
          <w:sz w:val="32"/>
          <w:szCs w:val="32"/>
        </w:rPr>
      </w:pPr>
      <w:r>
        <w:rPr>
          <w:rStyle w:val="19"/>
          <w:rFonts w:hint="eastAsia" w:ascii="仿宋" w:hAnsi="仿宋" w:eastAsia="仿宋" w:cstheme="minorBidi"/>
          <w:b w:val="0"/>
          <w:bCs/>
          <w:sz w:val="32"/>
          <w:szCs w:val="32"/>
        </w:rPr>
        <w:t>截至2023年12月31日，中国共产党四川省遂宁市船山区纪律检查委员会共有车辆4辆，其中：主要领导干部用车</w:t>
      </w:r>
      <w:r>
        <w:rPr>
          <w:rStyle w:val="19"/>
          <w:rFonts w:hint="eastAsia" w:ascii="仿宋" w:hAnsi="仿宋" w:eastAsia="仿宋" w:cstheme="minorBidi"/>
          <w:b w:val="0"/>
          <w:bCs/>
          <w:sz w:val="32"/>
          <w:szCs w:val="32"/>
          <w:lang w:val="en-US" w:eastAsia="zh-CN"/>
        </w:rPr>
        <w:t>0</w:t>
      </w:r>
      <w:r>
        <w:rPr>
          <w:rStyle w:val="19"/>
          <w:rFonts w:hint="eastAsia" w:ascii="仿宋" w:hAnsi="仿宋" w:eastAsia="仿宋" w:cstheme="minorBidi"/>
          <w:b w:val="0"/>
          <w:bCs/>
          <w:sz w:val="32"/>
          <w:szCs w:val="32"/>
        </w:rPr>
        <w:t>辆、机要通信用车</w:t>
      </w:r>
      <w:r>
        <w:rPr>
          <w:rStyle w:val="19"/>
          <w:rFonts w:hint="eastAsia" w:ascii="仿宋" w:hAnsi="仿宋" w:eastAsia="仿宋" w:cstheme="minorBidi"/>
          <w:b w:val="0"/>
          <w:bCs/>
          <w:sz w:val="32"/>
          <w:szCs w:val="32"/>
          <w:lang w:val="en-US" w:eastAsia="zh-CN"/>
        </w:rPr>
        <w:t>0</w:t>
      </w:r>
      <w:r>
        <w:rPr>
          <w:rStyle w:val="19"/>
          <w:rFonts w:hint="eastAsia" w:ascii="仿宋" w:hAnsi="仿宋" w:eastAsia="仿宋" w:cstheme="minorBidi"/>
          <w:b w:val="0"/>
          <w:bCs/>
          <w:sz w:val="32"/>
          <w:szCs w:val="32"/>
        </w:rPr>
        <w:t>辆、应急保障用车</w:t>
      </w:r>
      <w:r>
        <w:rPr>
          <w:rStyle w:val="19"/>
          <w:rFonts w:hint="eastAsia" w:ascii="仿宋" w:hAnsi="仿宋" w:eastAsia="仿宋" w:cstheme="minorBidi"/>
          <w:b w:val="0"/>
          <w:bCs/>
          <w:sz w:val="32"/>
          <w:szCs w:val="32"/>
          <w:lang w:val="en-US" w:eastAsia="zh-CN"/>
        </w:rPr>
        <w:t>0</w:t>
      </w:r>
      <w:r>
        <w:rPr>
          <w:rStyle w:val="19"/>
          <w:rFonts w:hint="eastAsia" w:ascii="仿宋" w:hAnsi="仿宋" w:eastAsia="仿宋" w:cstheme="minorBidi"/>
          <w:b w:val="0"/>
          <w:bCs/>
          <w:sz w:val="32"/>
          <w:szCs w:val="32"/>
        </w:rPr>
        <w:t>辆、执法执勤用</w:t>
      </w:r>
      <w:bookmarkStart w:id="75" w:name="OLE_LINK9"/>
      <w:r>
        <w:rPr>
          <w:rStyle w:val="19"/>
          <w:rFonts w:hint="eastAsia" w:ascii="仿宋" w:hAnsi="仿宋" w:eastAsia="仿宋" w:cstheme="minorBidi"/>
          <w:b w:val="0"/>
          <w:bCs/>
          <w:sz w:val="32"/>
          <w:szCs w:val="32"/>
        </w:rPr>
        <w:t>车</w:t>
      </w:r>
      <w:r>
        <w:rPr>
          <w:rStyle w:val="19"/>
          <w:rFonts w:hint="eastAsia" w:ascii="仿宋" w:hAnsi="仿宋" w:eastAsia="仿宋" w:cstheme="minorBidi"/>
          <w:b w:val="0"/>
          <w:bCs/>
          <w:sz w:val="32"/>
          <w:szCs w:val="32"/>
          <w:lang w:val="en-US" w:eastAsia="zh-CN"/>
        </w:rPr>
        <w:t>4辆、</w:t>
      </w:r>
      <w:r>
        <w:rPr>
          <w:rStyle w:val="19"/>
          <w:rFonts w:hint="eastAsia" w:ascii="仿宋" w:hAnsi="仿宋" w:eastAsia="仿宋" w:cstheme="minorBidi"/>
          <w:b w:val="0"/>
          <w:bCs/>
          <w:sz w:val="32"/>
          <w:szCs w:val="32"/>
        </w:rPr>
        <w:t>其他</w:t>
      </w:r>
      <w:bookmarkStart w:id="76" w:name="OLE_LINK10"/>
      <w:r>
        <w:rPr>
          <w:rStyle w:val="19"/>
          <w:rFonts w:hint="eastAsia" w:ascii="仿宋" w:hAnsi="仿宋" w:eastAsia="仿宋" w:cstheme="minorBidi"/>
          <w:b w:val="0"/>
          <w:bCs/>
          <w:sz w:val="32"/>
          <w:szCs w:val="32"/>
        </w:rPr>
        <w:t>用车</w:t>
      </w:r>
      <w:r>
        <w:rPr>
          <w:rStyle w:val="19"/>
          <w:rFonts w:hint="eastAsia" w:ascii="仿宋" w:hAnsi="仿宋" w:eastAsia="仿宋" w:cstheme="minorBidi"/>
          <w:b w:val="0"/>
          <w:bCs/>
          <w:sz w:val="32"/>
          <w:szCs w:val="32"/>
          <w:lang w:val="en-US" w:eastAsia="zh-CN"/>
        </w:rPr>
        <w:t>0</w:t>
      </w:r>
      <w:r>
        <w:rPr>
          <w:rStyle w:val="19"/>
          <w:rFonts w:hint="eastAsia" w:ascii="仿宋" w:hAnsi="仿宋" w:eastAsia="仿宋" w:cstheme="minorBidi"/>
          <w:b w:val="0"/>
          <w:bCs/>
          <w:sz w:val="32"/>
          <w:szCs w:val="32"/>
        </w:rPr>
        <w:t>辆</w:t>
      </w:r>
      <w:r>
        <w:rPr>
          <w:rStyle w:val="19"/>
          <w:rFonts w:hint="eastAsia" w:ascii="仿宋" w:hAnsi="仿宋" w:eastAsia="仿宋" w:cstheme="minorBidi"/>
          <w:b w:val="0"/>
          <w:bCs/>
          <w:sz w:val="32"/>
          <w:szCs w:val="32"/>
          <w:lang w:eastAsia="zh-CN"/>
        </w:rPr>
        <w:t>。</w:t>
      </w:r>
      <w:r>
        <w:rPr>
          <w:rStyle w:val="19"/>
          <w:rFonts w:hint="eastAsia" w:ascii="仿宋" w:hAnsi="仿宋" w:eastAsia="仿宋" w:cstheme="minorBidi"/>
          <w:b w:val="0"/>
          <w:bCs/>
          <w:sz w:val="32"/>
          <w:szCs w:val="32"/>
        </w:rPr>
        <w:t>单价100万元以上设备（不含车辆）0</w:t>
      </w:r>
      <w:bookmarkEnd w:id="76"/>
      <w:r>
        <w:rPr>
          <w:rStyle w:val="19"/>
          <w:rFonts w:hint="eastAsia" w:ascii="仿宋" w:hAnsi="仿宋" w:eastAsia="仿宋" w:cstheme="minorBidi"/>
          <w:b w:val="0"/>
          <w:bCs/>
          <w:sz w:val="32"/>
          <w:szCs w:val="32"/>
        </w:rPr>
        <w:t>台（套）。</w:t>
      </w:r>
    </w:p>
    <w:bookmarkEnd w:id="75"/>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Style w:val="19"/>
          <w:rFonts w:hint="eastAsia" w:ascii="仿宋" w:hAnsi="仿宋" w:eastAsia="仿宋" w:cstheme="minorBidi"/>
          <w:b w:val="0"/>
          <w:bCs/>
          <w:sz w:val="32"/>
          <w:szCs w:val="32"/>
          <w:lang w:eastAsia="zh-CN"/>
        </w:rPr>
      </w:pPr>
      <w:r>
        <w:rPr>
          <w:rStyle w:val="19"/>
          <w:rFonts w:hint="eastAsia" w:ascii="仿宋" w:hAnsi="仿宋" w:eastAsia="仿宋" w:cstheme="minorBidi"/>
          <w:b w:val="0"/>
          <w:bCs/>
          <w:sz w:val="32"/>
          <w:szCs w:val="32"/>
        </w:rPr>
        <w:t>根据预算绩效管理要求，</w:t>
      </w:r>
      <w:r>
        <w:rPr>
          <w:rStyle w:val="19"/>
          <w:rFonts w:hint="eastAsia" w:ascii="仿宋" w:hAnsi="仿宋" w:eastAsia="仿宋" w:cstheme="minorBidi"/>
          <w:b w:val="0"/>
          <w:bCs/>
          <w:sz w:val="32"/>
          <w:szCs w:val="32"/>
          <w:lang w:eastAsia="zh-CN"/>
        </w:rPr>
        <w:t>区</w:t>
      </w:r>
      <w:r>
        <w:rPr>
          <w:rStyle w:val="19"/>
          <w:rFonts w:hint="eastAsia" w:ascii="仿宋" w:hAnsi="仿宋" w:eastAsia="仿宋" w:cstheme="minorBidi"/>
          <w:b w:val="0"/>
          <w:bCs/>
          <w:sz w:val="32"/>
          <w:szCs w:val="32"/>
          <w:lang w:val="en-US" w:eastAsia="zh-CN"/>
        </w:rPr>
        <w:t>纪委</w:t>
      </w:r>
      <w:r>
        <w:rPr>
          <w:rStyle w:val="19"/>
          <w:rFonts w:hint="eastAsia" w:ascii="仿宋" w:hAnsi="仿宋" w:eastAsia="仿宋" w:cstheme="minorBidi"/>
          <w:b w:val="0"/>
          <w:bCs/>
          <w:sz w:val="32"/>
          <w:szCs w:val="32"/>
        </w:rPr>
        <w:t>在</w:t>
      </w:r>
      <w:r>
        <w:rPr>
          <w:rStyle w:val="19"/>
          <w:rFonts w:hint="eastAsia" w:ascii="仿宋" w:hAnsi="仿宋" w:eastAsia="仿宋" w:cstheme="minorBidi"/>
          <w:b w:val="0"/>
          <w:bCs/>
          <w:sz w:val="32"/>
          <w:szCs w:val="32"/>
          <w:lang w:val="en-US" w:eastAsia="zh-CN"/>
        </w:rPr>
        <w:t>2023年度</w:t>
      </w:r>
      <w:r>
        <w:rPr>
          <w:rStyle w:val="19"/>
          <w:rFonts w:hint="eastAsia" w:ascii="仿宋" w:hAnsi="仿宋" w:eastAsia="仿宋" w:cstheme="minorBidi"/>
          <w:b w:val="0"/>
          <w:bCs/>
          <w:sz w:val="32"/>
          <w:szCs w:val="32"/>
        </w:rPr>
        <w:t>预算编制阶段，组织对</w:t>
      </w:r>
      <w:bookmarkStart w:id="77" w:name="OLE_LINK7"/>
      <w:r>
        <w:rPr>
          <w:rStyle w:val="19"/>
          <w:rFonts w:hint="eastAsia" w:ascii="仿宋" w:hAnsi="仿宋" w:eastAsia="仿宋" w:cstheme="minorBidi"/>
          <w:b w:val="0"/>
          <w:bCs/>
          <w:sz w:val="32"/>
          <w:szCs w:val="32"/>
          <w:lang w:val="en-US" w:eastAsia="zh-CN"/>
        </w:rPr>
        <w:t>“纪检监察执纪</w:t>
      </w:r>
      <w:bookmarkEnd w:id="77"/>
      <w:r>
        <w:rPr>
          <w:rStyle w:val="19"/>
          <w:rFonts w:hint="eastAsia" w:ascii="仿宋" w:hAnsi="仿宋" w:eastAsia="仿宋" w:cstheme="minorBidi"/>
          <w:b w:val="0"/>
          <w:bCs/>
          <w:sz w:val="32"/>
          <w:szCs w:val="32"/>
          <w:lang w:val="en-US" w:eastAsia="zh-CN"/>
        </w:rPr>
        <w:t>审查、纪检监察系统内部督查、派驻纪检组执纪、特情费”、“党风廉政建设宣传教育经费”“</w:t>
      </w:r>
      <w:r>
        <w:rPr>
          <w:rStyle w:val="19"/>
          <w:rFonts w:hint="default" w:ascii="仿宋" w:hAnsi="仿宋" w:eastAsia="仿宋" w:cstheme="minorBidi"/>
          <w:b w:val="0"/>
          <w:bCs/>
          <w:sz w:val="32"/>
          <w:szCs w:val="32"/>
          <w:lang w:val="en-US" w:eastAsia="zh-CN"/>
        </w:rPr>
        <w:t>纪检监察信息化建设费用</w:t>
      </w:r>
      <w:r>
        <w:rPr>
          <w:rStyle w:val="19"/>
          <w:rFonts w:hint="eastAsia" w:ascii="仿宋" w:hAnsi="仿宋" w:eastAsia="仿宋" w:cstheme="minorBidi"/>
          <w:b w:val="0"/>
          <w:bCs/>
          <w:sz w:val="32"/>
          <w:szCs w:val="32"/>
          <w:lang w:val="en-US" w:eastAsia="zh-CN"/>
        </w:rPr>
        <w:t>”、“</w:t>
      </w:r>
      <w:r>
        <w:rPr>
          <w:rStyle w:val="19"/>
          <w:rFonts w:hint="default" w:ascii="仿宋" w:hAnsi="仿宋" w:eastAsia="仿宋" w:cstheme="minorBidi"/>
          <w:b w:val="0"/>
          <w:bCs/>
          <w:sz w:val="32"/>
          <w:szCs w:val="32"/>
          <w:lang w:val="en-US" w:eastAsia="zh-CN"/>
        </w:rPr>
        <w:t>档案数字化管理费用</w:t>
      </w:r>
      <w:r>
        <w:rPr>
          <w:rStyle w:val="19"/>
          <w:rFonts w:hint="eastAsia" w:ascii="仿宋" w:hAnsi="仿宋" w:eastAsia="仿宋" w:cstheme="minorBidi"/>
          <w:b w:val="0"/>
          <w:bCs/>
          <w:sz w:val="32"/>
          <w:szCs w:val="32"/>
          <w:lang w:val="en-US" w:eastAsia="zh-CN"/>
        </w:rPr>
        <w:t>”4个项目开展了预算事前绩效评估，对4个项目编制了绩效目标，预算执行过程中，选取4个项目开展绩效监控</w:t>
      </w:r>
      <w:bookmarkStart w:id="78" w:name="OLE_LINK8"/>
      <w:r>
        <w:rPr>
          <w:rStyle w:val="19"/>
          <w:rFonts w:hint="eastAsia" w:ascii="仿宋" w:hAnsi="仿宋" w:eastAsia="仿宋" w:cstheme="minorBidi"/>
          <w:b w:val="0"/>
          <w:bCs/>
          <w:sz w:val="32"/>
          <w:szCs w:val="32"/>
          <w:lang w:val="en-US" w:eastAsia="zh-CN"/>
        </w:rPr>
        <w:t>，绩效自评表详见第四部分附件。</w:t>
      </w:r>
    </w:p>
    <w:bookmarkEnd w:id="78"/>
    <w:p>
      <w:pPr>
        <w:pStyle w:val="21"/>
        <w:rPr>
          <w:rFonts w:hint="eastAsia"/>
        </w:rPr>
      </w:pPr>
    </w:p>
    <w:p>
      <w:pPr>
        <w:pStyle w:val="4"/>
        <w:jc w:val="center"/>
      </w:pPr>
      <w:bookmarkStart w:id="79" w:name="_Toc5194"/>
      <w:r>
        <w:rPr>
          <w:rFonts w:hint="eastAsia"/>
        </w:rPr>
        <w:t>第三部分 名词解释</w:t>
      </w:r>
      <w:bookmarkEnd w:id="79"/>
    </w:p>
    <w:p/>
    <w:p>
      <w:pPr>
        <w:pStyle w:val="21"/>
        <w:spacing w:line="560" w:lineRule="exact"/>
        <w:ind w:firstLine="640" w:firstLineChars="200"/>
        <w:outlineLvl w:val="1"/>
        <w:rPr>
          <w:rStyle w:val="19"/>
          <w:rFonts w:hint="eastAsia" w:ascii="仿宋" w:hAnsi="仿宋" w:eastAsia="仿宋" w:cstheme="minorBidi"/>
          <w:b w:val="0"/>
          <w:bCs/>
          <w:color w:val="auto"/>
          <w:kern w:val="2"/>
          <w:sz w:val="32"/>
          <w:szCs w:val="32"/>
          <w:lang w:val="en-US" w:eastAsia="zh-CN" w:bidi="ar-SA"/>
        </w:rPr>
      </w:pPr>
      <w:bookmarkStart w:id="80" w:name="_Toc5780"/>
      <w:bookmarkStart w:id="81" w:name="_Toc26052"/>
      <w:r>
        <w:rPr>
          <w:rStyle w:val="19"/>
          <w:rFonts w:hint="eastAsia" w:ascii="仿宋" w:hAnsi="仿宋" w:eastAsia="仿宋" w:cstheme="minorBidi"/>
          <w:b w:val="0"/>
          <w:bCs/>
          <w:color w:val="auto"/>
          <w:kern w:val="2"/>
          <w:sz w:val="32"/>
          <w:szCs w:val="32"/>
          <w:lang w:val="en-US" w:eastAsia="zh-CN" w:bidi="ar-SA"/>
        </w:rPr>
        <w:t>1.财政拨款收入：指单位从同级财政部门取得的财政预算资金。</w:t>
      </w:r>
      <w:bookmarkEnd w:id="80"/>
      <w:bookmarkEnd w:id="81"/>
    </w:p>
    <w:p>
      <w:pPr>
        <w:pStyle w:val="21"/>
        <w:spacing w:line="560" w:lineRule="exact"/>
        <w:ind w:firstLine="640" w:firstLineChars="20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2.事业收入：指事业单位开展专业业务活动及辅助活动取得的收入。</w:t>
      </w:r>
    </w:p>
    <w:p>
      <w:pPr>
        <w:pStyle w:val="21"/>
        <w:spacing w:line="560" w:lineRule="exact"/>
        <w:ind w:firstLine="640" w:firstLineChars="20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3.经营收入：指事业单位在专业业务活动及其辅助活动之外开展非独立核算经营活动取得的收入。</w:t>
      </w:r>
    </w:p>
    <w:p>
      <w:pPr>
        <w:pStyle w:val="21"/>
        <w:spacing w:line="560" w:lineRule="exact"/>
        <w:ind w:firstLine="640" w:firstLineChars="200"/>
        <w:outlineLvl w:val="1"/>
        <w:rPr>
          <w:rStyle w:val="19"/>
          <w:rFonts w:hint="eastAsia" w:ascii="仿宋" w:hAnsi="仿宋" w:eastAsia="仿宋" w:cstheme="minorBidi"/>
          <w:b w:val="0"/>
          <w:bCs/>
          <w:color w:val="auto"/>
          <w:kern w:val="2"/>
          <w:sz w:val="32"/>
          <w:szCs w:val="32"/>
          <w:lang w:val="en-US" w:eastAsia="zh-CN" w:bidi="ar-SA"/>
        </w:rPr>
      </w:pPr>
      <w:bookmarkStart w:id="82" w:name="_Toc356"/>
      <w:bookmarkStart w:id="83" w:name="_Toc9864"/>
      <w:r>
        <w:rPr>
          <w:rStyle w:val="19"/>
          <w:rFonts w:hint="eastAsia" w:ascii="仿宋" w:hAnsi="仿宋" w:eastAsia="仿宋" w:cstheme="minorBidi"/>
          <w:b w:val="0"/>
          <w:bCs/>
          <w:color w:val="auto"/>
          <w:kern w:val="2"/>
          <w:sz w:val="32"/>
          <w:szCs w:val="32"/>
          <w:lang w:val="en-US" w:eastAsia="zh-CN" w:bidi="ar-SA"/>
        </w:rPr>
        <w:t>4.其他收入：指单位取得的除上述收入以外的各项收入。</w:t>
      </w:r>
      <w:bookmarkEnd w:id="82"/>
      <w:bookmarkEnd w:id="83"/>
    </w:p>
    <w:p>
      <w:pPr>
        <w:pStyle w:val="21"/>
        <w:spacing w:line="560" w:lineRule="exact"/>
        <w:ind w:firstLine="640" w:firstLineChars="20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 xml:space="preserve">5.使用非财政拨款结余：指事业单位使用以前年度积累的非财政拨款结余弥补当年收支差额的金额。 </w:t>
      </w:r>
    </w:p>
    <w:p>
      <w:pPr>
        <w:pStyle w:val="21"/>
        <w:spacing w:line="560" w:lineRule="exact"/>
        <w:ind w:firstLine="640" w:firstLineChars="20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 xml:space="preserve">6.年初结转和结余：指以前年度尚未完成、结转到本年按有关规定继续使用的资金。 </w:t>
      </w:r>
    </w:p>
    <w:p>
      <w:pPr>
        <w:pStyle w:val="21"/>
        <w:spacing w:line="560" w:lineRule="exact"/>
        <w:ind w:firstLine="640" w:firstLineChars="20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7.结余分配：指事业单位按照会计制度规定缴纳的所得税、提取的专用结余以及转入非财政拨款结余的金额等。</w:t>
      </w:r>
    </w:p>
    <w:p>
      <w:pPr>
        <w:pStyle w:val="21"/>
        <w:spacing w:line="560" w:lineRule="exact"/>
        <w:ind w:firstLine="640" w:firstLineChars="20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8.年末结转和结余：指单位按有关规定结转到下年或以后年度继续使用的资金。</w:t>
      </w:r>
    </w:p>
    <w:p>
      <w:pPr>
        <w:ind w:firstLine="640" w:firstLineChars="20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9.一般公共服务（201）纪检监察事务（11）行政运行（01）：反映行政单位（包括实行公务员管理的使用单位）的基本支出。</w:t>
      </w:r>
    </w:p>
    <w:p>
      <w:pPr>
        <w:ind w:firstLine="640" w:firstLineChars="20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10.一般公共服务（201）纪检监察事务（11）一般行政管理事务（01）：反映行政单位（包括实行公务员管理的使用单位）的项目支出。</w:t>
      </w:r>
    </w:p>
    <w:p>
      <w:pPr>
        <w:ind w:firstLine="640" w:firstLineChars="20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11.一般公共服务（201）纪检监察事务（11）事业运行（50）:反映事业单位（包括实行公务员管理的事业单位）的基本支出。</w:t>
      </w:r>
    </w:p>
    <w:p>
      <w:pPr>
        <w:ind w:firstLine="640" w:firstLineChars="20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12.社会保障和就业（208）行政事业单位养老支出（05）机关事业单位基本养老保险缴费支出（05）：反映机关事业单位实施养老保险制度由单位缴纳的基本养老保险缴费支出。</w:t>
      </w:r>
    </w:p>
    <w:p>
      <w:pPr>
        <w:pageBreakBefore w:val="0"/>
        <w:kinsoku/>
        <w:wordWrap/>
        <w:overflowPunct/>
        <w:topLinePunct w:val="0"/>
        <w:bidi w:val="0"/>
        <w:spacing w:line="600" w:lineRule="exact"/>
        <w:ind w:firstLine="640" w:firstLineChars="200"/>
        <w:textAlignment w:val="auto"/>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13.社会保障和就业支出（208）行政事业单位养老支出（05）机关事业单位职业年金缴费支出（06）: 指反映机关事业单位实施养老保险制度由单位实际缴纳的职业年金支出。</w:t>
      </w:r>
    </w:p>
    <w:p>
      <w:pPr>
        <w:spacing w:line="600" w:lineRule="exact"/>
        <w:ind w:firstLine="64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14.社会保障和就业（208）残疾人事业（11）残疾人就业（05）：反映残疾人联合会用于残疾人就业方面的支出。</w:t>
      </w:r>
    </w:p>
    <w:p>
      <w:pPr>
        <w:spacing w:line="600" w:lineRule="exact"/>
        <w:ind w:firstLine="64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15.社会保障和就业（208）其他社会保障和就业支出（99）其他社会保障和就业支出（99）：反映单位其他用于社会保障和就业方面的支出。</w:t>
      </w:r>
    </w:p>
    <w:p>
      <w:pPr>
        <w:spacing w:line="600" w:lineRule="exact"/>
        <w:ind w:firstLine="64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16.卫生健康支出（210）行政事业单位医疗（11）行政单位医疗（01）:反映财政部门安排的行政单位基本医疗保险缴费经费。</w:t>
      </w:r>
    </w:p>
    <w:p>
      <w:pPr>
        <w:spacing w:line="600" w:lineRule="exact"/>
        <w:ind w:firstLine="64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17.卫生健康支出（210）行政事业单位医疗（11）事业单位医疗（02）：反映财政部门安排的事业单位基本医疗保险缴费经费。</w:t>
      </w:r>
    </w:p>
    <w:p>
      <w:pPr>
        <w:spacing w:line="600" w:lineRule="exact"/>
        <w:ind w:firstLine="64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18.卫生健康支出（210）行政事业单位医疗（11）公务员医疗补助（03）：反映财政部门安排的公务员医疗补助经费。</w:t>
      </w:r>
    </w:p>
    <w:p>
      <w:pPr>
        <w:spacing w:line="600" w:lineRule="exact"/>
        <w:ind w:firstLine="64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19.住房保障（222）住房改革支出（02）住房公积金（01）：反映行政事业单位按人力资源和社会保障部、财政部规定的基本工资和津贴补贴以及规定比例为职工缴纳的住房公积金。</w:t>
      </w:r>
    </w:p>
    <w:p>
      <w:pPr>
        <w:ind w:firstLine="640" w:firstLineChars="20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20.基本支出：指为保障机构正常运转、完成日常工作任务而发生的人员支出和公用支出。</w:t>
      </w:r>
    </w:p>
    <w:p>
      <w:pPr>
        <w:ind w:firstLine="640" w:firstLineChars="20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 xml:space="preserve">21.项目支出：指在基本支出之外为完成特定行政任务和事业发展目标所发生的支出。 </w:t>
      </w:r>
    </w:p>
    <w:p>
      <w:pPr>
        <w:ind w:firstLine="640" w:firstLineChars="20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22.经营支出：指事业单位在专业业务活动及其辅助活动之外开展非独立核算经营活动发生的支出。</w:t>
      </w:r>
    </w:p>
    <w:p>
      <w:pPr>
        <w:pStyle w:val="21"/>
        <w:spacing w:line="560" w:lineRule="exact"/>
        <w:ind w:firstLine="640" w:firstLineChars="20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2</w:t>
      </w:r>
      <w:r>
        <w:rPr>
          <w:rStyle w:val="19"/>
          <w:rFonts w:hint="eastAsia" w:hAnsi="仿宋" w:cstheme="minorBidi"/>
          <w:b w:val="0"/>
          <w:bCs/>
          <w:color w:val="auto"/>
          <w:kern w:val="2"/>
          <w:sz w:val="32"/>
          <w:szCs w:val="32"/>
          <w:lang w:val="en-US" w:eastAsia="zh-CN" w:bidi="ar-SA"/>
        </w:rPr>
        <w:t>3</w:t>
      </w:r>
      <w:r>
        <w:rPr>
          <w:rStyle w:val="19"/>
          <w:rFonts w:hint="eastAsia" w:ascii="仿宋" w:hAnsi="仿宋" w:eastAsia="仿宋" w:cstheme="minorBidi"/>
          <w:b w:val="0"/>
          <w:bCs/>
          <w:color w:val="auto"/>
          <w:kern w:val="2"/>
          <w:sz w:val="32"/>
          <w:szCs w:val="32"/>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rPr>
          <w:rStyle w:val="19"/>
          <w:rFonts w:hint="eastAsia" w:ascii="仿宋" w:hAnsi="仿宋" w:eastAsia="仿宋" w:cstheme="minorBidi"/>
          <w:b w:val="0"/>
          <w:bCs/>
          <w:color w:val="auto"/>
          <w:kern w:val="2"/>
          <w:sz w:val="32"/>
          <w:szCs w:val="32"/>
          <w:lang w:val="en-US" w:eastAsia="zh-CN" w:bidi="ar-SA"/>
        </w:rPr>
      </w:pPr>
      <w:r>
        <w:rPr>
          <w:rStyle w:val="19"/>
          <w:rFonts w:hint="eastAsia" w:ascii="仿宋" w:hAnsi="仿宋" w:eastAsia="仿宋" w:cstheme="minorBidi"/>
          <w:b w:val="0"/>
          <w:bCs/>
          <w:color w:val="auto"/>
          <w:kern w:val="2"/>
          <w:sz w:val="32"/>
          <w:szCs w:val="32"/>
          <w:lang w:val="en-US" w:eastAsia="zh-CN" w:bidi="ar-SA"/>
        </w:rPr>
        <w:t>24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420" w:firstLineChars="200"/>
      </w:pPr>
    </w:p>
    <w:p>
      <w:pPr>
        <w:pStyle w:val="15"/>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spacing w:line="600" w:lineRule="exact"/>
        <w:ind w:firstLine="2200" w:firstLineChars="500"/>
        <w:jc w:val="both"/>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olor w:val="auto"/>
          <w:sz w:val="44"/>
          <w:szCs w:val="44"/>
          <w:highlight w:val="none"/>
        </w:rPr>
        <w:t>第</w:t>
      </w:r>
      <w:r>
        <w:rPr>
          <w:rStyle w:val="41"/>
          <w:rFonts w:hint="eastAsia" w:ascii="黑体" w:hAnsi="黑体" w:eastAsia="黑体"/>
          <w:b w:val="0"/>
          <w:color w:val="auto"/>
          <w:highlight w:val="none"/>
        </w:rPr>
        <w:t>四部分 附件</w:t>
      </w:r>
    </w:p>
    <w:tbl>
      <w:tblPr>
        <w:tblStyle w:val="17"/>
        <w:tblpPr w:leftFromText="180" w:rightFromText="180" w:vertAnchor="text" w:horzAnchor="page" w:tblpX="712" w:tblpY="553"/>
        <w:tblOverlap w:val="never"/>
        <w:tblW w:w="10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1015"/>
        <w:gridCol w:w="1145"/>
        <w:gridCol w:w="1080"/>
        <w:gridCol w:w="885"/>
        <w:gridCol w:w="900"/>
        <w:gridCol w:w="900"/>
        <w:gridCol w:w="1080"/>
        <w:gridCol w:w="805"/>
        <w:gridCol w:w="94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5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0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51090322T000000349771-纪检监察信息化建设费用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1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中国共产党四川省遂宁市船山区纪律检查委员会部门</w:t>
            </w:r>
          </w:p>
        </w:tc>
        <w:tc>
          <w:tcPr>
            <w:tcW w:w="1080" w:type="dxa"/>
            <w:tcBorders>
              <w:top w:val="nil"/>
              <w:left w:val="nil"/>
              <w:bottom w:val="nil"/>
              <w:right w:val="nil"/>
            </w:tcBorders>
            <w:noWrap w:val="0"/>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1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中国共产党四川省遂宁市船山区纪律检查委员会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1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491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2023年预算80000元，聘请三方服务公司对单位内部涉密系统维护，以保障上述系统全年正常运转。</w:t>
            </w:r>
          </w:p>
        </w:tc>
        <w:tc>
          <w:tcPr>
            <w:tcW w:w="37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highlight w:val="red"/>
                <w:u w:val="none"/>
                <w:lang w:val="en-US" w:eastAsia="zh-CN"/>
              </w:rPr>
            </w:pPr>
            <w:r>
              <w:rPr>
                <w:rFonts w:hint="default" w:ascii="宋体" w:hAnsi="宋体" w:eastAsia="宋体" w:cs="宋体"/>
                <w:i w:val="0"/>
                <w:iCs w:val="0"/>
                <w:color w:val="000000"/>
                <w:kern w:val="0"/>
                <w:sz w:val="18"/>
                <w:szCs w:val="18"/>
                <w:u w:val="none"/>
                <w:lang w:val="en-US" w:eastAsia="zh-CN" w:bidi="ar"/>
              </w:rPr>
              <w:t>根据省、市要求，用于支付涉密系统维护费、防病毒系统维护费、防入侵系统维护费等，按照合同要求及时修建，使用对象满意度达到100%。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0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根据省、市要求，用于支付涉密系统维护费、防病毒系统维护费、防入侵系统维护费等，按照合同要求及时修建，使用对象满意度达到100%。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r>
              <w:rPr>
                <w:rFonts w:ascii="宋体" w:hAnsi="宋体" w:eastAsia="宋体" w:cs="宋体"/>
                <w:i w:val="0"/>
                <w:iCs w:val="0"/>
                <w:color w:val="000000"/>
                <w:kern w:val="0"/>
                <w:sz w:val="18"/>
                <w:szCs w:val="18"/>
                <w:u w:val="none"/>
                <w:lang w:val="en-US" w:eastAsia="zh-CN" w:bidi="ar"/>
              </w:rPr>
              <w:t>.00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6.65</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6.65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83.13</w:t>
            </w:r>
            <w:r>
              <w:rPr>
                <w:rFonts w:ascii="宋体" w:hAnsi="宋体" w:eastAsia="宋体" w:cs="宋体"/>
                <w:i w:val="0"/>
                <w:iCs w:val="0"/>
                <w:color w:val="000000"/>
                <w:kern w:val="0"/>
                <w:sz w:val="18"/>
                <w:szCs w:val="18"/>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lang w:eastAsia="zh-CN"/>
              </w:rPr>
            </w:pPr>
            <w:r>
              <w:rPr>
                <w:rFonts w:hint="eastAsia" w:ascii="黑体" w:hAnsi="黑体" w:eastAsia="黑体" w:cs="黑体"/>
                <w:i/>
                <w:iCs/>
                <w:color w:val="000000"/>
                <w:sz w:val="18"/>
                <w:szCs w:val="18"/>
                <w:u w:val="none"/>
                <w:lang w:eastAsia="zh-CN"/>
              </w:rPr>
              <w:t>按照项目进度支付。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r>
              <w:rPr>
                <w:rFonts w:ascii="宋体" w:hAnsi="宋体" w:eastAsia="宋体" w:cs="宋体"/>
                <w:i w:val="0"/>
                <w:iCs w:val="0"/>
                <w:color w:val="000000"/>
                <w:kern w:val="0"/>
                <w:sz w:val="18"/>
                <w:szCs w:val="18"/>
                <w:u w:val="none"/>
                <w:lang w:val="en-US" w:eastAsia="zh-CN" w:bidi="ar"/>
              </w:rPr>
              <w:t>.00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6.65</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6.65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83.13</w:t>
            </w:r>
            <w:r>
              <w:rPr>
                <w:rFonts w:ascii="宋体" w:hAnsi="宋体" w:eastAsia="宋体" w:cs="宋体"/>
                <w:i w:val="0"/>
                <w:iCs w:val="0"/>
                <w:color w:val="000000"/>
                <w:kern w:val="0"/>
                <w:sz w:val="18"/>
                <w:szCs w:val="18"/>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维护办公系统个数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系统维护工作达标率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项目完成及时率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系统正常运行率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内控管理制度健全性</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系统使用对象满意度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项目总成本</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83.13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4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15"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绩效目标科学完整，资金管理到位，预算执行规范。综合评价得分98分。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15"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15"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进一步加强与财政部门的沟通对接，确保项目资金及时、足额拨付到位。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项目负责人：陈运刚</w:t>
            </w:r>
          </w:p>
        </w:tc>
        <w:tc>
          <w:tcPr>
            <w:tcW w:w="559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财务负责人：景丽娜</w:t>
            </w:r>
          </w:p>
        </w:tc>
      </w:tr>
    </w:tbl>
    <w:p>
      <w:pPr>
        <w:pStyle w:val="9"/>
        <w:ind w:left="0" w:leftChars="0" w:firstLine="0" w:firstLineChars="0"/>
      </w:pPr>
    </w:p>
    <w:tbl>
      <w:tblPr>
        <w:tblStyle w:val="17"/>
        <w:tblpPr w:leftFromText="180" w:rightFromText="180" w:vertAnchor="text" w:horzAnchor="page" w:tblpX="712" w:tblpY="553"/>
        <w:tblOverlap w:val="never"/>
        <w:tblW w:w="10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1015"/>
        <w:gridCol w:w="1145"/>
        <w:gridCol w:w="1080"/>
        <w:gridCol w:w="885"/>
        <w:gridCol w:w="900"/>
        <w:gridCol w:w="900"/>
        <w:gridCol w:w="1080"/>
        <w:gridCol w:w="805"/>
        <w:gridCol w:w="94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5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0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51090322T000000349784-纪检监察执纪审查、纪检监察系统内部督查、派驻纪检组执纪、特情费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1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中国共产党四川省遂宁市船山区纪律检查委员会部门</w:t>
            </w:r>
          </w:p>
        </w:tc>
        <w:tc>
          <w:tcPr>
            <w:tcW w:w="1080" w:type="dxa"/>
            <w:tcBorders>
              <w:top w:val="nil"/>
              <w:left w:val="nil"/>
              <w:bottom w:val="nil"/>
              <w:right w:val="nil"/>
            </w:tcBorders>
            <w:noWrap w:val="0"/>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1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中国共产党四川省遂宁市船山区纪律检查委员会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1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491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2023年预算1500000元</w:t>
            </w:r>
            <w:bookmarkStart w:id="84" w:name="OLE_LINK11"/>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年中追加75万</w:t>
            </w:r>
            <w:bookmarkEnd w:id="84"/>
            <w:r>
              <w:rPr>
                <w:rFonts w:hint="eastAsia" w:ascii="宋体" w:hAnsi="宋体" w:cs="宋体"/>
                <w:i w:val="0"/>
                <w:iCs w:val="0"/>
                <w:color w:val="000000"/>
                <w:kern w:val="0"/>
                <w:sz w:val="18"/>
                <w:szCs w:val="18"/>
                <w:u w:val="none"/>
                <w:lang w:val="en-US" w:eastAsia="zh-CN" w:bidi="ar"/>
              </w:rPr>
              <w:t>元，</w:t>
            </w:r>
            <w:r>
              <w:rPr>
                <w:rFonts w:hint="eastAsia" w:ascii="宋体" w:hAnsi="宋体" w:eastAsia="宋体" w:cs="宋体"/>
                <w:i w:val="0"/>
                <w:iCs w:val="0"/>
                <w:color w:val="000000"/>
                <w:kern w:val="0"/>
                <w:sz w:val="18"/>
                <w:szCs w:val="18"/>
                <w:u w:val="none"/>
                <w:lang w:val="en-US" w:eastAsia="zh-CN" w:bidi="ar"/>
              </w:rPr>
              <w:t>用于纪检监察系统查处违法违纪案件，以保障纪检监察工作正常开展。</w:t>
            </w:r>
          </w:p>
        </w:tc>
        <w:tc>
          <w:tcPr>
            <w:tcW w:w="37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highlight w:val="red"/>
                <w:u w:val="none"/>
                <w:lang w:val="en-US" w:eastAsia="zh-CN"/>
              </w:rPr>
            </w:pPr>
            <w:r>
              <w:rPr>
                <w:rFonts w:hint="default" w:ascii="宋体" w:hAnsi="宋体" w:eastAsia="宋体" w:cs="宋体"/>
                <w:i w:val="0"/>
                <w:iCs w:val="0"/>
                <w:color w:val="000000"/>
                <w:kern w:val="0"/>
                <w:sz w:val="18"/>
                <w:szCs w:val="18"/>
                <w:u w:val="none"/>
                <w:lang w:val="en-US" w:eastAsia="zh-CN" w:bidi="ar"/>
              </w:rPr>
              <w:t>聚焦主责主业，严肃案件办理，全区纪检监察系统受理信访举报34件，处置问题线索346条，立案183件（其中科级干部24人），党纪政务处分162人，留置8人，移送司法机关8人，收缴违纪违法金额2235.9万元，制发纪检监察建议书8份，推动相关单位健全制度机制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0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100</w:t>
            </w:r>
            <w:r>
              <w:rPr>
                <w:rFonts w:ascii="宋体" w:hAnsi="宋体" w:eastAsia="宋体" w:cs="宋体"/>
                <w:i w:val="0"/>
                <w:iCs w:val="0"/>
                <w:color w:val="000000"/>
                <w:kern w:val="0"/>
                <w:sz w:val="18"/>
                <w:szCs w:val="18"/>
                <w:u w:val="none"/>
                <w:lang w:val="en-US" w:eastAsia="zh-CN" w:bidi="ar"/>
              </w:rPr>
              <w:t>.00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225.00</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lang w:eastAsia="zh-CN"/>
              </w:rPr>
            </w:pPr>
            <w:r>
              <w:rPr>
                <w:rFonts w:hint="eastAsia" w:ascii="黑体" w:hAnsi="黑体" w:eastAsia="黑体" w:cs="黑体"/>
                <w:i/>
                <w:iCs/>
                <w:color w:val="000000"/>
                <w:sz w:val="18"/>
                <w:szCs w:val="18"/>
                <w:u w:val="none"/>
                <w:lang w:eastAsia="zh-CN"/>
              </w:rPr>
              <w:t>按照项目进度支付。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100</w:t>
            </w:r>
            <w:r>
              <w:rPr>
                <w:rFonts w:ascii="宋体" w:hAnsi="宋体" w:eastAsia="宋体" w:cs="宋体"/>
                <w:i w:val="0"/>
                <w:iCs w:val="0"/>
                <w:color w:val="000000"/>
                <w:kern w:val="0"/>
                <w:sz w:val="18"/>
                <w:szCs w:val="18"/>
                <w:u w:val="none"/>
                <w:lang w:val="en-US" w:eastAsia="zh-CN" w:bidi="ar"/>
              </w:rPr>
              <w:t>.00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225.00</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特殊案件外聘人员数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调查案件人员数量</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特殊案件外聘人员工作达标率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案件调查工作达标率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sz w:val="16"/>
                <w:szCs w:val="16"/>
                <w:u w:val="none"/>
                <w:lang w:val="en-US" w:eastAsia="zh-CN"/>
              </w:rPr>
              <w:t>100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项目完成及时率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查处违法违纪案件保障率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内控管理制度健全性</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举报人对举报案件满意度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96</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项目总成本</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150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225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4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15"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绩效目标科学完整，资金管理到位，预算执行规范。综合评价得分100分。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15"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案件办理复杂，经费支出较多，年初预算不足以保障审查调查需要。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15"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进一步加强经费预算和支出管理，对审查调查工作做好后勤保障，确保审查调查工作顺利开展。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项目负责人：陈运刚</w:t>
            </w:r>
          </w:p>
        </w:tc>
        <w:tc>
          <w:tcPr>
            <w:tcW w:w="559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财务负责人：景丽娜</w:t>
            </w:r>
          </w:p>
        </w:tc>
      </w:tr>
    </w:tbl>
    <w:p>
      <w:pPr>
        <w:pStyle w:val="2"/>
        <w:jc w:val="both"/>
      </w:pPr>
    </w:p>
    <w:p>
      <w:pPr>
        <w:pStyle w:val="3"/>
      </w:pPr>
    </w:p>
    <w:tbl>
      <w:tblPr>
        <w:tblStyle w:val="17"/>
        <w:tblpPr w:leftFromText="180" w:rightFromText="180" w:vertAnchor="text" w:horzAnchor="page" w:tblpX="712" w:tblpY="553"/>
        <w:tblOverlap w:val="never"/>
        <w:tblW w:w="10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1015"/>
        <w:gridCol w:w="1145"/>
        <w:gridCol w:w="1080"/>
        <w:gridCol w:w="885"/>
        <w:gridCol w:w="900"/>
        <w:gridCol w:w="900"/>
        <w:gridCol w:w="1080"/>
        <w:gridCol w:w="805"/>
        <w:gridCol w:w="94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5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0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51090322T000000349804-党风</w:t>
            </w:r>
            <w:r>
              <w:rPr>
                <w:rFonts w:hint="eastAsia" w:ascii="宋体" w:hAnsi="宋体" w:cs="宋体"/>
                <w:i w:val="0"/>
                <w:iCs w:val="0"/>
                <w:color w:val="000000"/>
                <w:kern w:val="0"/>
                <w:sz w:val="18"/>
                <w:szCs w:val="18"/>
                <w:u w:val="none"/>
                <w:lang w:val="en-US" w:eastAsia="zh-CN" w:bidi="ar"/>
              </w:rPr>
              <w:t>廉政建设</w:t>
            </w:r>
            <w:bookmarkStart w:id="86" w:name="_GoBack"/>
            <w:bookmarkEnd w:id="86"/>
            <w:r>
              <w:rPr>
                <w:rFonts w:hint="eastAsia" w:ascii="宋体" w:hAnsi="宋体" w:eastAsia="宋体" w:cs="宋体"/>
                <w:i w:val="0"/>
                <w:iCs w:val="0"/>
                <w:color w:val="000000"/>
                <w:kern w:val="0"/>
                <w:sz w:val="18"/>
                <w:szCs w:val="18"/>
                <w:u w:val="none"/>
                <w:lang w:val="en-US" w:eastAsia="zh-CN" w:bidi="ar"/>
              </w:rPr>
              <w:t>宣传教育经费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1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中国共产党四川省遂宁市船山区纪律检查委员会部门</w:t>
            </w:r>
          </w:p>
        </w:tc>
        <w:tc>
          <w:tcPr>
            <w:tcW w:w="1080" w:type="dxa"/>
            <w:tcBorders>
              <w:top w:val="nil"/>
              <w:left w:val="nil"/>
              <w:bottom w:val="nil"/>
              <w:right w:val="nil"/>
            </w:tcBorders>
            <w:noWrap w:val="0"/>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1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中国共产党四川省遂宁市船山区纪律检查委员会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1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491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预算360000元，其中用于莲廉文化氛围营造120000元，干部党风廉政教育材料制作40000元，媒体及广告合作运营20000元；廉洁文化宣传材料制作180000元。通过“廉享船山”建设，深化“清风遂州行·船山站”微廉警示教育站、“清廉七进”建设、廉政宣传教育、媒体合作及广告合作运营等，形成人人倡廉、人人享廉的氛围，进一步强化党风廉政建设，一体推进“三不腐”建设。</w:t>
            </w:r>
          </w:p>
        </w:tc>
        <w:tc>
          <w:tcPr>
            <w:tcW w:w="37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highlight w:val="red"/>
                <w:u w:val="none"/>
                <w:lang w:val="en-US" w:eastAsia="zh-CN"/>
              </w:rPr>
            </w:pPr>
            <w:r>
              <w:rPr>
                <w:rFonts w:hint="default" w:ascii="宋体" w:hAnsi="宋体" w:eastAsia="宋体" w:cs="宋体"/>
                <w:i w:val="0"/>
                <w:iCs w:val="0"/>
                <w:color w:val="000000"/>
                <w:kern w:val="0"/>
                <w:sz w:val="18"/>
                <w:szCs w:val="18"/>
                <w:u w:val="none"/>
                <w:lang w:val="en-US" w:eastAsia="zh-CN" w:bidi="ar"/>
              </w:rPr>
              <w:t>2023年以来，在中省市各级媒体刊载船山纪检监察工作相关稿件112篇，微信公众号发布动态111条，抖音号发布短视频34条；扎实开展“510”廉洁文化宣传月，向省市报送家风家训、书画摄影、廉洁微视频等作品30余件</w:t>
            </w:r>
            <w:r>
              <w:rPr>
                <w:rFonts w:hint="eastAsia" w:ascii="宋体" w:hAnsi="宋体" w:eastAsia="宋体" w:cs="宋体"/>
                <w:i w:val="0"/>
                <w:iCs w:val="0"/>
                <w:color w:val="000000"/>
                <w:kern w:val="0"/>
                <w:sz w:val="18"/>
                <w:szCs w:val="18"/>
                <w:u w:val="none"/>
                <w:lang w:val="en-US" w:eastAsia="zh-CN" w:bidi="ar"/>
              </w:rPr>
              <w:t>；分层分类组织“一把手”、基层干部、纪检干部等1500余人次开展警示教育；制作警示教育片《错位》和警示教育读本《一念之间》，全区共有2500余人次党员干部观看。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0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严格对标年度目标考核媒体范围，在《人民日报》等中央和省级核心媒体上稿21条，在中央纪委国家监委网站等平台上稿7条，在“廉洁四川”融媒体矩阵上稿25条，《以案为镜丨在父亲的劝说下，他选择主动投案》《纪检人·印记丨在为群众办实事中寻找答案》浏览量均突破10万。运用“廉享船山”新媒体矩阵开展释纪释法工作，微信公众号发布信息111条，抖音号发布短视频34条，刊发案件报道3期强化以案促教。组织撰写发布网评文章53篇，其中《为基层“真减负”需锻造三种“真本领”》被“廉洁四川”刊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36</w:t>
            </w:r>
            <w:r>
              <w:rPr>
                <w:rFonts w:ascii="宋体" w:hAnsi="宋体" w:eastAsia="宋体" w:cs="宋体"/>
                <w:i w:val="0"/>
                <w:iCs w:val="0"/>
                <w:color w:val="000000"/>
                <w:kern w:val="0"/>
                <w:sz w:val="18"/>
                <w:szCs w:val="18"/>
                <w:u w:val="none"/>
                <w:lang w:val="en-US" w:eastAsia="zh-CN" w:bidi="ar"/>
              </w:rPr>
              <w:t>.00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27.87</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27.87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lang w:eastAsia="zh-CN"/>
              </w:rPr>
            </w:pPr>
            <w:r>
              <w:rPr>
                <w:rFonts w:hint="eastAsia" w:ascii="黑体" w:hAnsi="黑体" w:eastAsia="黑体" w:cs="黑体"/>
                <w:i/>
                <w:iCs/>
                <w:color w:val="000000"/>
                <w:sz w:val="18"/>
                <w:szCs w:val="18"/>
                <w:u w:val="none"/>
                <w:lang w:eastAsia="zh-CN"/>
              </w:rPr>
              <w:t>按照项目进度支付。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36</w:t>
            </w:r>
            <w:r>
              <w:rPr>
                <w:rFonts w:ascii="宋体" w:hAnsi="宋体" w:eastAsia="宋体" w:cs="宋体"/>
                <w:i w:val="0"/>
                <w:iCs w:val="0"/>
                <w:color w:val="000000"/>
                <w:kern w:val="0"/>
                <w:sz w:val="18"/>
                <w:szCs w:val="18"/>
                <w:u w:val="none"/>
                <w:lang w:val="en-US" w:eastAsia="zh-CN" w:bidi="ar"/>
              </w:rPr>
              <w:t>.00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27.87</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27.87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发放警示读本数量</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本</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2000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印发廉政宣传资料份数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7000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制作微视频数量</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打造微廉站点位数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微视频内容契合度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廉政宣传资料发放到位率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警示读本发放到位率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微廉站建设验收合格率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项目完成及时率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宣传内容党员干部知晓率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98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内控管理制度健全性</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党员干部满意度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99</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项目总成本</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36</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27.87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4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15"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绩效目标科学完整，资金管理到位，预算执行规范。综合评价得分98分。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15"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t>宣传教育的方式、形式、途径还需要进一步创新，视频作品较少，影响力不够，宣传经费使用的效益有待加强。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15"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加强经费预算和支出管理，围绕“廉享船山”品牌，制作传播力更强、特色鲜明、性价比高的微视频，不断丰富宣传教育活动形式，通过举办廉洁文化主题展览、书画摄影比赛，推出清廉川剧、清廉小品、剪纸等廉洁文化体验活动，寓教于乐，扎实推进新时代廉洁文化宣传教育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项目负责人：陈运刚</w:t>
            </w:r>
          </w:p>
        </w:tc>
        <w:tc>
          <w:tcPr>
            <w:tcW w:w="559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财务负责人：景丽娜</w:t>
            </w:r>
          </w:p>
        </w:tc>
      </w:tr>
    </w:tbl>
    <w:p>
      <w:pPr>
        <w:pStyle w:val="9"/>
        <w:ind w:left="0" w:leftChars="0" w:firstLine="0" w:firstLineChars="0"/>
      </w:pPr>
    </w:p>
    <w:tbl>
      <w:tblPr>
        <w:tblStyle w:val="17"/>
        <w:tblpPr w:leftFromText="180" w:rightFromText="180" w:vertAnchor="text" w:horzAnchor="page" w:tblpX="712" w:tblpY="553"/>
        <w:tblOverlap w:val="never"/>
        <w:tblW w:w="10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1015"/>
        <w:gridCol w:w="1145"/>
        <w:gridCol w:w="1080"/>
        <w:gridCol w:w="885"/>
        <w:gridCol w:w="900"/>
        <w:gridCol w:w="900"/>
        <w:gridCol w:w="1080"/>
        <w:gridCol w:w="805"/>
        <w:gridCol w:w="94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5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0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51090322T000000349812-档案数字化建设管理费用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1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中国共产党四川省遂宁市船山区纪律检查委员会部门</w:t>
            </w:r>
          </w:p>
        </w:tc>
        <w:tc>
          <w:tcPr>
            <w:tcW w:w="1080" w:type="dxa"/>
            <w:tcBorders>
              <w:top w:val="nil"/>
              <w:left w:val="nil"/>
              <w:bottom w:val="nil"/>
              <w:right w:val="nil"/>
            </w:tcBorders>
            <w:noWrap w:val="0"/>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1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中国共产党四川省遂宁市船山区纪律检查委员会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1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491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2023年该项目预算80000元，根据2022年已使用80000元测算文书档案整理费，确保依法依规推进档案数字化建设管理相关工作。</w:t>
            </w:r>
          </w:p>
        </w:tc>
        <w:tc>
          <w:tcPr>
            <w:tcW w:w="37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highlight w:val="none"/>
                <w:u w:val="none"/>
                <w:lang w:val="en-US" w:eastAsia="zh-CN"/>
              </w:rPr>
            </w:pPr>
            <w:r>
              <w:rPr>
                <w:rFonts w:hint="default" w:ascii="黑体" w:hAnsi="黑体" w:eastAsia="黑体" w:cs="黑体"/>
                <w:i w:val="0"/>
                <w:iCs w:val="0"/>
                <w:color w:val="000000"/>
                <w:sz w:val="18"/>
                <w:szCs w:val="18"/>
                <w:highlight w:val="none"/>
                <w:u w:val="none"/>
                <w:lang w:val="en-US" w:eastAsia="zh-CN"/>
              </w:rPr>
              <w:t>该项目用于案件档案资料装订归档，整理文书300本；装订合格率达到100%，验收合格；方便纪检干部查询档案资料，查全率达到97%；使用单位满意度达到100%。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0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该项目用于案件档案资料装订归档，整理文书300本；装订合格率达到100%，验收合格</w:t>
            </w:r>
            <w:r>
              <w:rPr>
                <w:rFonts w:hint="eastAsia" w:ascii="宋体" w:hAnsi="宋体" w:eastAsia="宋体" w:cs="宋体"/>
                <w:i w:val="0"/>
                <w:iCs w:val="0"/>
                <w:color w:val="000000"/>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r>
              <w:rPr>
                <w:rFonts w:ascii="宋体" w:hAnsi="宋体" w:eastAsia="宋体" w:cs="宋体"/>
                <w:i w:val="0"/>
                <w:iCs w:val="0"/>
                <w:color w:val="000000"/>
                <w:kern w:val="0"/>
                <w:sz w:val="18"/>
                <w:szCs w:val="18"/>
                <w:u w:val="none"/>
                <w:lang w:val="en-US" w:eastAsia="zh-CN" w:bidi="ar"/>
              </w:rPr>
              <w:t>.00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8.00</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lang w:eastAsia="zh-CN"/>
              </w:rPr>
            </w:pPr>
            <w:r>
              <w:rPr>
                <w:rFonts w:hint="eastAsia" w:ascii="黑体" w:hAnsi="黑体" w:eastAsia="黑体" w:cs="黑体"/>
                <w:i/>
                <w:iCs/>
                <w:color w:val="000000"/>
                <w:sz w:val="18"/>
                <w:szCs w:val="18"/>
                <w:u w:val="none"/>
                <w:lang w:eastAsia="zh-CN"/>
              </w:rPr>
              <w:t>按照项目进度支付。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r>
              <w:rPr>
                <w:rFonts w:ascii="宋体" w:hAnsi="宋体" w:eastAsia="宋体" w:cs="宋体"/>
                <w:i w:val="0"/>
                <w:iCs w:val="0"/>
                <w:color w:val="000000"/>
                <w:kern w:val="0"/>
                <w:sz w:val="18"/>
                <w:szCs w:val="18"/>
                <w:u w:val="none"/>
                <w:lang w:val="en-US" w:eastAsia="zh-CN" w:bidi="ar"/>
              </w:rPr>
              <w:t>.00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8.00</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文书整理卷数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260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本</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300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装订验收合格率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整理完成及时率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档案查全率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档案管理制度健全性</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使用单位满意度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项目总成本</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4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15"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绩效目标科学完整，资金管理到位，预算执行规范。综合评价得分100分。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15"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15"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项目负责人：陈运刚</w:t>
            </w:r>
          </w:p>
        </w:tc>
        <w:tc>
          <w:tcPr>
            <w:tcW w:w="559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财务负责人：景丽娜</w:t>
            </w:r>
          </w:p>
        </w:tc>
      </w:tr>
    </w:tbl>
    <w:p>
      <w:pPr>
        <w:pStyle w:val="4"/>
        <w:jc w:val="center"/>
        <w:rPr>
          <w:rFonts w:ascii="黑体" w:hAnsi="黑体" w:eastAsia="黑体"/>
        </w:rPr>
      </w:pPr>
      <w:r>
        <w:rPr>
          <w:rFonts w:ascii="仿宋" w:hAnsi="仿宋" w:eastAsia="仿宋"/>
          <w:b/>
          <w:sz w:val="32"/>
          <w:szCs w:val="32"/>
        </w:rPr>
        <w:br w:type="page"/>
      </w:r>
      <w:bookmarkStart w:id="85" w:name="_Toc24484"/>
      <w:r>
        <w:rPr>
          <w:rFonts w:hint="eastAsia" w:ascii="仿宋" w:hAnsi="仿宋" w:eastAsia="仿宋"/>
          <w:b/>
          <w:sz w:val="32"/>
          <w:szCs w:val="32"/>
          <w:lang w:val="en-US" w:eastAsia="zh-CN"/>
        </w:rPr>
        <w:t xml:space="preserve"> </w:t>
      </w:r>
      <w:r>
        <w:rPr>
          <w:rFonts w:hint="eastAsia" w:ascii="黑体" w:hAnsi="黑体" w:eastAsia="黑体"/>
        </w:rPr>
        <w:t>第五部分 附表</w:t>
      </w:r>
      <w:bookmarkEnd w:id="85"/>
    </w:p>
    <w:p>
      <w:pPr>
        <w:rPr>
          <w:rFonts w:ascii="仿宋" w:hAnsi="仿宋" w:eastAsia="仿宋"/>
          <w:sz w:val="32"/>
          <w:szCs w:val="32"/>
        </w:rPr>
      </w:pPr>
      <w:r>
        <w:rPr>
          <w:rFonts w:hint="eastAsia" w:ascii="仿宋" w:hAnsi="仿宋" w:eastAsia="仿宋"/>
          <w:sz w:val="32"/>
          <w:szCs w:val="32"/>
        </w:rPr>
        <w:t>一、收入支出决算总表</w:t>
      </w:r>
    </w:p>
    <w:p>
      <w:pPr>
        <w:rPr>
          <w:rFonts w:ascii="仿宋" w:hAnsi="仿宋" w:eastAsia="仿宋"/>
          <w:sz w:val="32"/>
          <w:szCs w:val="32"/>
        </w:rPr>
      </w:pPr>
      <w:r>
        <w:rPr>
          <w:rFonts w:hint="eastAsia" w:ascii="仿宋" w:hAnsi="仿宋" w:eastAsia="仿宋"/>
          <w:sz w:val="32"/>
          <w:szCs w:val="32"/>
        </w:rPr>
        <w:t>二、收入决算表</w:t>
      </w:r>
    </w:p>
    <w:p>
      <w:pPr>
        <w:rPr>
          <w:rFonts w:ascii="仿宋" w:hAnsi="仿宋" w:eastAsia="仿宋"/>
          <w:sz w:val="32"/>
          <w:szCs w:val="32"/>
        </w:rPr>
      </w:pPr>
      <w:r>
        <w:rPr>
          <w:rFonts w:hint="eastAsia" w:ascii="仿宋" w:hAnsi="仿宋" w:eastAsia="仿宋"/>
          <w:sz w:val="32"/>
          <w:szCs w:val="32"/>
        </w:rPr>
        <w:t>三、支出决算表</w:t>
      </w:r>
    </w:p>
    <w:p>
      <w:pPr>
        <w:rPr>
          <w:rFonts w:ascii="仿宋" w:hAnsi="仿宋" w:eastAsia="仿宋"/>
          <w:sz w:val="32"/>
          <w:szCs w:val="32"/>
        </w:rPr>
      </w:pPr>
      <w:r>
        <w:rPr>
          <w:rFonts w:hint="eastAsia" w:ascii="仿宋" w:hAnsi="仿宋" w:eastAsia="仿宋"/>
          <w:sz w:val="32"/>
          <w:szCs w:val="32"/>
        </w:rPr>
        <w:t>四、财政拨款收入支出决算总表</w:t>
      </w:r>
    </w:p>
    <w:p>
      <w:pPr>
        <w:rPr>
          <w:rFonts w:ascii="仿宋" w:hAnsi="仿宋" w:eastAsia="仿宋"/>
          <w:sz w:val="32"/>
          <w:szCs w:val="32"/>
        </w:rPr>
      </w:pPr>
      <w:r>
        <w:rPr>
          <w:rFonts w:hint="eastAsia" w:ascii="仿宋" w:hAnsi="仿宋" w:eastAsia="仿宋"/>
          <w:sz w:val="32"/>
          <w:szCs w:val="32"/>
        </w:rPr>
        <w:t>五、财政拨款支出决算明细表</w:t>
      </w:r>
    </w:p>
    <w:p>
      <w:pPr>
        <w:rPr>
          <w:rFonts w:ascii="仿宋" w:hAnsi="仿宋" w:eastAsia="仿宋"/>
          <w:sz w:val="32"/>
          <w:szCs w:val="32"/>
        </w:rPr>
      </w:pPr>
      <w:r>
        <w:rPr>
          <w:rFonts w:hint="eastAsia" w:ascii="仿宋" w:hAnsi="仿宋" w:eastAsia="仿宋"/>
          <w:sz w:val="32"/>
          <w:szCs w:val="32"/>
        </w:rPr>
        <w:t>六、一般公共预算财政拨款支出决算表</w:t>
      </w:r>
    </w:p>
    <w:p>
      <w:pPr>
        <w:rPr>
          <w:rFonts w:ascii="仿宋" w:hAnsi="仿宋" w:eastAsia="仿宋"/>
          <w:sz w:val="32"/>
          <w:szCs w:val="32"/>
        </w:rPr>
      </w:pPr>
      <w:r>
        <w:rPr>
          <w:rFonts w:hint="eastAsia" w:ascii="仿宋" w:hAnsi="仿宋" w:eastAsia="仿宋"/>
          <w:sz w:val="32"/>
          <w:szCs w:val="32"/>
        </w:rPr>
        <w:t>七、一般公共预算财政拨款支出决算明细表</w:t>
      </w:r>
    </w:p>
    <w:p>
      <w:pPr>
        <w:rPr>
          <w:rFonts w:ascii="仿宋" w:hAnsi="仿宋" w:eastAsia="仿宋"/>
          <w:sz w:val="32"/>
          <w:szCs w:val="32"/>
        </w:rPr>
      </w:pPr>
      <w:r>
        <w:rPr>
          <w:rFonts w:hint="eastAsia" w:ascii="仿宋" w:hAnsi="仿宋" w:eastAsia="仿宋"/>
          <w:sz w:val="32"/>
          <w:szCs w:val="32"/>
        </w:rPr>
        <w:t>八、一般公共预算财政拨款基本支出决算表</w:t>
      </w:r>
    </w:p>
    <w:p>
      <w:pPr>
        <w:rPr>
          <w:rFonts w:ascii="仿宋" w:hAnsi="仿宋" w:eastAsia="仿宋"/>
          <w:sz w:val="32"/>
          <w:szCs w:val="32"/>
        </w:rPr>
      </w:pPr>
      <w:r>
        <w:rPr>
          <w:rFonts w:hint="eastAsia" w:ascii="仿宋" w:hAnsi="仿宋" w:eastAsia="仿宋"/>
          <w:sz w:val="32"/>
          <w:szCs w:val="32"/>
        </w:rPr>
        <w:t>九、一般公共预算财政拨款项目支出决算表</w:t>
      </w:r>
    </w:p>
    <w:p>
      <w:pPr>
        <w:rPr>
          <w:rFonts w:ascii="仿宋" w:hAnsi="仿宋" w:eastAsia="仿宋"/>
          <w:sz w:val="32"/>
          <w:szCs w:val="32"/>
        </w:rPr>
      </w:pPr>
      <w:r>
        <w:rPr>
          <w:rFonts w:hint="eastAsia" w:ascii="仿宋" w:hAnsi="仿宋" w:eastAsia="仿宋"/>
          <w:sz w:val="32"/>
          <w:szCs w:val="32"/>
        </w:rPr>
        <w:t>十、政府性基金预算财政拨款收入支出决算表</w:t>
      </w:r>
    </w:p>
    <w:p>
      <w:pPr>
        <w:rPr>
          <w:rFonts w:ascii="仿宋" w:hAnsi="仿宋" w:eastAsia="仿宋"/>
          <w:sz w:val="32"/>
          <w:szCs w:val="32"/>
        </w:rPr>
      </w:pPr>
      <w:r>
        <w:rPr>
          <w:rFonts w:hint="eastAsia" w:ascii="仿宋" w:hAnsi="仿宋" w:eastAsia="仿宋"/>
          <w:sz w:val="32"/>
          <w:szCs w:val="32"/>
        </w:rPr>
        <w:t>十一、国有资本经营预算财政拨款收入支出决算表</w:t>
      </w:r>
    </w:p>
    <w:p>
      <w:pPr>
        <w:rPr>
          <w:rFonts w:ascii="仿宋" w:hAnsi="仿宋" w:eastAsia="仿宋"/>
          <w:sz w:val="32"/>
          <w:szCs w:val="32"/>
        </w:rPr>
      </w:pPr>
      <w:r>
        <w:rPr>
          <w:rFonts w:hint="eastAsia" w:ascii="仿宋" w:hAnsi="仿宋" w:eastAsia="仿宋"/>
          <w:sz w:val="32"/>
          <w:szCs w:val="32"/>
        </w:rPr>
        <w:t>十二、国有资本经营预算财政拨款支出决算表</w:t>
      </w:r>
    </w:p>
    <w:p>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4F"/>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86"/>
    <w:family w:val="script"/>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jc w:val="center"/>
        </w:pPr>
        <w:r>
          <w:fldChar w:fldCharType="begin"/>
        </w:r>
        <w:r>
          <w:instrText xml:space="preserve">PAGE   \* MERGEFORMAT</w:instrText>
        </w:r>
        <w:r>
          <w:fldChar w:fldCharType="separate"/>
        </w:r>
        <w:r>
          <w:rPr>
            <w:lang w:val="zh-CN"/>
          </w:rPr>
          <w:t>23</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12D26C9"/>
    <w:multiLevelType w:val="singleLevel"/>
    <w:tmpl w:val="512D26C9"/>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xYzcyNTU1ZTMyZWViMzI0ODcyYmFiN2JlZjhhMTI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AF4945"/>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3745"/>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166004E"/>
    <w:rsid w:val="02B96065"/>
    <w:rsid w:val="02E8121C"/>
    <w:rsid w:val="02FD18BE"/>
    <w:rsid w:val="02FEBE30"/>
    <w:rsid w:val="036F8141"/>
    <w:rsid w:val="03B576B3"/>
    <w:rsid w:val="03EC172B"/>
    <w:rsid w:val="03FB0FBE"/>
    <w:rsid w:val="05543E8F"/>
    <w:rsid w:val="05AB495E"/>
    <w:rsid w:val="05B73423"/>
    <w:rsid w:val="066E0107"/>
    <w:rsid w:val="06D80177"/>
    <w:rsid w:val="074F2B5E"/>
    <w:rsid w:val="07996F6E"/>
    <w:rsid w:val="07DFD8BA"/>
    <w:rsid w:val="07E470F3"/>
    <w:rsid w:val="08456CC8"/>
    <w:rsid w:val="0A2032A3"/>
    <w:rsid w:val="0CC87EEC"/>
    <w:rsid w:val="0CD8573D"/>
    <w:rsid w:val="0D35B1ED"/>
    <w:rsid w:val="0E7ED1F5"/>
    <w:rsid w:val="0E90312A"/>
    <w:rsid w:val="0F5B0347"/>
    <w:rsid w:val="0F981F4E"/>
    <w:rsid w:val="0F98263C"/>
    <w:rsid w:val="0FE26DC8"/>
    <w:rsid w:val="101860EC"/>
    <w:rsid w:val="10722E4A"/>
    <w:rsid w:val="10C055FF"/>
    <w:rsid w:val="11592BC4"/>
    <w:rsid w:val="118107EC"/>
    <w:rsid w:val="12A10003"/>
    <w:rsid w:val="12B6062B"/>
    <w:rsid w:val="13871C6A"/>
    <w:rsid w:val="13D50BC4"/>
    <w:rsid w:val="13F5616D"/>
    <w:rsid w:val="145B20B6"/>
    <w:rsid w:val="149D796F"/>
    <w:rsid w:val="166D15EC"/>
    <w:rsid w:val="16924362"/>
    <w:rsid w:val="16BB723D"/>
    <w:rsid w:val="16D42D17"/>
    <w:rsid w:val="17F9714D"/>
    <w:rsid w:val="18B529FB"/>
    <w:rsid w:val="1918F934"/>
    <w:rsid w:val="194C2A89"/>
    <w:rsid w:val="1BE8440E"/>
    <w:rsid w:val="1D066774"/>
    <w:rsid w:val="1D155CEE"/>
    <w:rsid w:val="1DFBC4B3"/>
    <w:rsid w:val="1E1533A4"/>
    <w:rsid w:val="1E675D84"/>
    <w:rsid w:val="1E740ACF"/>
    <w:rsid w:val="1E8E7E92"/>
    <w:rsid w:val="1ED2479E"/>
    <w:rsid w:val="1F19C781"/>
    <w:rsid w:val="1F33FCE5"/>
    <w:rsid w:val="1F7F7398"/>
    <w:rsid w:val="1FC87C35"/>
    <w:rsid w:val="1FD2DB6F"/>
    <w:rsid w:val="1FF35744"/>
    <w:rsid w:val="1FF6BC77"/>
    <w:rsid w:val="1FF9236D"/>
    <w:rsid w:val="20E14F7E"/>
    <w:rsid w:val="219E50AB"/>
    <w:rsid w:val="21C13980"/>
    <w:rsid w:val="22C90A12"/>
    <w:rsid w:val="2333840E"/>
    <w:rsid w:val="23860B96"/>
    <w:rsid w:val="240371BF"/>
    <w:rsid w:val="248021E9"/>
    <w:rsid w:val="24AD137F"/>
    <w:rsid w:val="25001BEE"/>
    <w:rsid w:val="257C638F"/>
    <w:rsid w:val="25966060"/>
    <w:rsid w:val="26073C6B"/>
    <w:rsid w:val="2613738E"/>
    <w:rsid w:val="279251C2"/>
    <w:rsid w:val="281B0C19"/>
    <w:rsid w:val="28E36227"/>
    <w:rsid w:val="29372FCB"/>
    <w:rsid w:val="29DA4628"/>
    <w:rsid w:val="29FD04D3"/>
    <w:rsid w:val="2A103C15"/>
    <w:rsid w:val="2AE96FE5"/>
    <w:rsid w:val="2BFF7BC6"/>
    <w:rsid w:val="2C8A61B5"/>
    <w:rsid w:val="2CD59C95"/>
    <w:rsid w:val="2D2639A8"/>
    <w:rsid w:val="2DA94B35"/>
    <w:rsid w:val="2DF04E50"/>
    <w:rsid w:val="2EFD05E5"/>
    <w:rsid w:val="2F040D46"/>
    <w:rsid w:val="2F4F95CE"/>
    <w:rsid w:val="2FA60E11"/>
    <w:rsid w:val="2FACAFDD"/>
    <w:rsid w:val="2FAE5751"/>
    <w:rsid w:val="2FAF00D1"/>
    <w:rsid w:val="2FB1A395"/>
    <w:rsid w:val="2FCF0B76"/>
    <w:rsid w:val="2FD9A7D8"/>
    <w:rsid w:val="306C4D70"/>
    <w:rsid w:val="319F7F4E"/>
    <w:rsid w:val="325E3236"/>
    <w:rsid w:val="3304709D"/>
    <w:rsid w:val="3361331E"/>
    <w:rsid w:val="35A77077"/>
    <w:rsid w:val="36804A56"/>
    <w:rsid w:val="36AA5135"/>
    <w:rsid w:val="36BE0DA7"/>
    <w:rsid w:val="36F712A1"/>
    <w:rsid w:val="376B6AA6"/>
    <w:rsid w:val="376D39B2"/>
    <w:rsid w:val="37956D1E"/>
    <w:rsid w:val="37DD7B91"/>
    <w:rsid w:val="37E16F03"/>
    <w:rsid w:val="37F53A3B"/>
    <w:rsid w:val="38951E06"/>
    <w:rsid w:val="38D469F0"/>
    <w:rsid w:val="38F78389"/>
    <w:rsid w:val="392F58C9"/>
    <w:rsid w:val="397BAF1F"/>
    <w:rsid w:val="39E7B272"/>
    <w:rsid w:val="39F7642F"/>
    <w:rsid w:val="39FF7B37"/>
    <w:rsid w:val="3A390529"/>
    <w:rsid w:val="3AB79AF3"/>
    <w:rsid w:val="3AFDCB77"/>
    <w:rsid w:val="3B7EF35A"/>
    <w:rsid w:val="3B9FDB6C"/>
    <w:rsid w:val="3BF5BC2F"/>
    <w:rsid w:val="3BF7C23A"/>
    <w:rsid w:val="3BFF223E"/>
    <w:rsid w:val="3C3F2833"/>
    <w:rsid w:val="3C6EC0A1"/>
    <w:rsid w:val="3CDB0824"/>
    <w:rsid w:val="3CEBA265"/>
    <w:rsid w:val="3D6A7F9F"/>
    <w:rsid w:val="3D7E7F4D"/>
    <w:rsid w:val="3D98207C"/>
    <w:rsid w:val="3D9CF30A"/>
    <w:rsid w:val="3DFF5A3E"/>
    <w:rsid w:val="3E1820D5"/>
    <w:rsid w:val="3E78745D"/>
    <w:rsid w:val="3EEE77E9"/>
    <w:rsid w:val="3F394AF5"/>
    <w:rsid w:val="3FBE5714"/>
    <w:rsid w:val="3FCD1871"/>
    <w:rsid w:val="3FDD8615"/>
    <w:rsid w:val="3FDFB2FF"/>
    <w:rsid w:val="3FF4CAE0"/>
    <w:rsid w:val="3FF75FAF"/>
    <w:rsid w:val="3FF7B227"/>
    <w:rsid w:val="409D1EB1"/>
    <w:rsid w:val="40BC1582"/>
    <w:rsid w:val="40E21785"/>
    <w:rsid w:val="42827FFB"/>
    <w:rsid w:val="429842C0"/>
    <w:rsid w:val="441B04AB"/>
    <w:rsid w:val="44E268DA"/>
    <w:rsid w:val="457F4F6B"/>
    <w:rsid w:val="45F32880"/>
    <w:rsid w:val="47365E23"/>
    <w:rsid w:val="4737FB58"/>
    <w:rsid w:val="47934870"/>
    <w:rsid w:val="47ECCB02"/>
    <w:rsid w:val="47FA6A3F"/>
    <w:rsid w:val="49B35BF9"/>
    <w:rsid w:val="49D7AE48"/>
    <w:rsid w:val="4A3562D2"/>
    <w:rsid w:val="4A3C621C"/>
    <w:rsid w:val="4A3F6C7E"/>
    <w:rsid w:val="4A627F82"/>
    <w:rsid w:val="4B0E749A"/>
    <w:rsid w:val="4B36457C"/>
    <w:rsid w:val="4B4F25DA"/>
    <w:rsid w:val="4BBB4781"/>
    <w:rsid w:val="4BD709A5"/>
    <w:rsid w:val="4BDD9BFF"/>
    <w:rsid w:val="4BE068DB"/>
    <w:rsid w:val="4C2C6C3F"/>
    <w:rsid w:val="4C896424"/>
    <w:rsid w:val="4D577224"/>
    <w:rsid w:val="4DBF1CEB"/>
    <w:rsid w:val="4DBF6A6B"/>
    <w:rsid w:val="4DDD7D19"/>
    <w:rsid w:val="4DF6A672"/>
    <w:rsid w:val="4EAB630A"/>
    <w:rsid w:val="4ECE2238"/>
    <w:rsid w:val="4EE3490D"/>
    <w:rsid w:val="4F7EA413"/>
    <w:rsid w:val="4FAB812F"/>
    <w:rsid w:val="4FDE427D"/>
    <w:rsid w:val="4FE9BD67"/>
    <w:rsid w:val="4FEE4C07"/>
    <w:rsid w:val="4FFB052F"/>
    <w:rsid w:val="50596650"/>
    <w:rsid w:val="508A7AFA"/>
    <w:rsid w:val="514406F7"/>
    <w:rsid w:val="51C451CC"/>
    <w:rsid w:val="52371804"/>
    <w:rsid w:val="527464A3"/>
    <w:rsid w:val="52FB5023"/>
    <w:rsid w:val="537E6D0A"/>
    <w:rsid w:val="539873EA"/>
    <w:rsid w:val="53AB6B88"/>
    <w:rsid w:val="53F74C96"/>
    <w:rsid w:val="54953DC0"/>
    <w:rsid w:val="553768AB"/>
    <w:rsid w:val="5583522D"/>
    <w:rsid w:val="558915AD"/>
    <w:rsid w:val="55B60DC2"/>
    <w:rsid w:val="56B06538"/>
    <w:rsid w:val="575C2C61"/>
    <w:rsid w:val="57BD3DD4"/>
    <w:rsid w:val="57F9CD1E"/>
    <w:rsid w:val="57FB57DD"/>
    <w:rsid w:val="5AF92295"/>
    <w:rsid w:val="5AF9D8E9"/>
    <w:rsid w:val="5B0D15A5"/>
    <w:rsid w:val="5BDD38BD"/>
    <w:rsid w:val="5BDD79E6"/>
    <w:rsid w:val="5BEFC772"/>
    <w:rsid w:val="5BFF5DFC"/>
    <w:rsid w:val="5CA95B1C"/>
    <w:rsid w:val="5CD71FC4"/>
    <w:rsid w:val="5D1F11B5"/>
    <w:rsid w:val="5D3647F9"/>
    <w:rsid w:val="5DA644D4"/>
    <w:rsid w:val="5DAE1B18"/>
    <w:rsid w:val="5DE7D9E5"/>
    <w:rsid w:val="5E2E0A54"/>
    <w:rsid w:val="5E31427A"/>
    <w:rsid w:val="5E3612F4"/>
    <w:rsid w:val="5E7B0BD3"/>
    <w:rsid w:val="5ECEC941"/>
    <w:rsid w:val="5EFF8FC6"/>
    <w:rsid w:val="5F2C76D6"/>
    <w:rsid w:val="5F5BA39A"/>
    <w:rsid w:val="5F7D3B79"/>
    <w:rsid w:val="5F7F4610"/>
    <w:rsid w:val="5FA769E1"/>
    <w:rsid w:val="5FAD873C"/>
    <w:rsid w:val="5FBF9FF3"/>
    <w:rsid w:val="5FCD4E2C"/>
    <w:rsid w:val="5FE3506A"/>
    <w:rsid w:val="5FEF394A"/>
    <w:rsid w:val="5FF67715"/>
    <w:rsid w:val="60864392"/>
    <w:rsid w:val="615D401B"/>
    <w:rsid w:val="61BB5DDF"/>
    <w:rsid w:val="61CA71D5"/>
    <w:rsid w:val="622E5F34"/>
    <w:rsid w:val="627EE9EA"/>
    <w:rsid w:val="63B23AA5"/>
    <w:rsid w:val="63DE27D3"/>
    <w:rsid w:val="64654F9C"/>
    <w:rsid w:val="647F5392"/>
    <w:rsid w:val="64E322C4"/>
    <w:rsid w:val="65DA40D1"/>
    <w:rsid w:val="65FB93B9"/>
    <w:rsid w:val="6633C463"/>
    <w:rsid w:val="66F273ED"/>
    <w:rsid w:val="67D55B77"/>
    <w:rsid w:val="67EE7F84"/>
    <w:rsid w:val="684555AF"/>
    <w:rsid w:val="686F5F53"/>
    <w:rsid w:val="68C84020"/>
    <w:rsid w:val="69751EDD"/>
    <w:rsid w:val="697B3058"/>
    <w:rsid w:val="6A680DA3"/>
    <w:rsid w:val="6AFFCEAF"/>
    <w:rsid w:val="6B6D6F5A"/>
    <w:rsid w:val="6B6F01D7"/>
    <w:rsid w:val="6B96E9E6"/>
    <w:rsid w:val="6BCE57B5"/>
    <w:rsid w:val="6BFEA4DB"/>
    <w:rsid w:val="6BFFB662"/>
    <w:rsid w:val="6C2B7239"/>
    <w:rsid w:val="6C4A05C8"/>
    <w:rsid w:val="6CFF4FB8"/>
    <w:rsid w:val="6D6BD6E0"/>
    <w:rsid w:val="6D77E73C"/>
    <w:rsid w:val="6DBF5E93"/>
    <w:rsid w:val="6DFF077E"/>
    <w:rsid w:val="6E7E3605"/>
    <w:rsid w:val="6E7FDCC7"/>
    <w:rsid w:val="6E9D0CDF"/>
    <w:rsid w:val="6ED6A62E"/>
    <w:rsid w:val="6EE00B15"/>
    <w:rsid w:val="6EE737B2"/>
    <w:rsid w:val="6EEB2329"/>
    <w:rsid w:val="6EECE67A"/>
    <w:rsid w:val="6F096A3B"/>
    <w:rsid w:val="6F457E4B"/>
    <w:rsid w:val="6F6F90A8"/>
    <w:rsid w:val="6F6FB3EB"/>
    <w:rsid w:val="6F8731EA"/>
    <w:rsid w:val="6FBC2ADD"/>
    <w:rsid w:val="6FC056D7"/>
    <w:rsid w:val="6FD57C00"/>
    <w:rsid w:val="6FEFFFD8"/>
    <w:rsid w:val="6FF257B9"/>
    <w:rsid w:val="6FF5CC65"/>
    <w:rsid w:val="6FFB47EC"/>
    <w:rsid w:val="6FFF034A"/>
    <w:rsid w:val="70387AD6"/>
    <w:rsid w:val="712A28F1"/>
    <w:rsid w:val="715C0E4B"/>
    <w:rsid w:val="71A151CC"/>
    <w:rsid w:val="71FFD401"/>
    <w:rsid w:val="72233669"/>
    <w:rsid w:val="723353CC"/>
    <w:rsid w:val="723A2921"/>
    <w:rsid w:val="72734D90"/>
    <w:rsid w:val="727D484A"/>
    <w:rsid w:val="729C4303"/>
    <w:rsid w:val="72B67043"/>
    <w:rsid w:val="7332FE48"/>
    <w:rsid w:val="73AD73D5"/>
    <w:rsid w:val="73B6EB34"/>
    <w:rsid w:val="73FA497D"/>
    <w:rsid w:val="744731E5"/>
    <w:rsid w:val="74BBD01D"/>
    <w:rsid w:val="74ED5379"/>
    <w:rsid w:val="75D77E9D"/>
    <w:rsid w:val="75DEEEC2"/>
    <w:rsid w:val="76792A61"/>
    <w:rsid w:val="767F479D"/>
    <w:rsid w:val="76E3355F"/>
    <w:rsid w:val="76F742AF"/>
    <w:rsid w:val="76F7BE7D"/>
    <w:rsid w:val="76FF5125"/>
    <w:rsid w:val="773570D3"/>
    <w:rsid w:val="773A78A3"/>
    <w:rsid w:val="77597F31"/>
    <w:rsid w:val="776F6FFA"/>
    <w:rsid w:val="7777A522"/>
    <w:rsid w:val="77858688"/>
    <w:rsid w:val="778769C8"/>
    <w:rsid w:val="77AD16BB"/>
    <w:rsid w:val="77CB741A"/>
    <w:rsid w:val="77D7BE3A"/>
    <w:rsid w:val="77DC22F5"/>
    <w:rsid w:val="788E02FA"/>
    <w:rsid w:val="796F0529"/>
    <w:rsid w:val="797E3A6C"/>
    <w:rsid w:val="79CF70E2"/>
    <w:rsid w:val="79D7FD79"/>
    <w:rsid w:val="79E75806"/>
    <w:rsid w:val="79EE5BA4"/>
    <w:rsid w:val="7A641148"/>
    <w:rsid w:val="7A6F8BF5"/>
    <w:rsid w:val="7A894339"/>
    <w:rsid w:val="7ACF82B5"/>
    <w:rsid w:val="7AFF28C9"/>
    <w:rsid w:val="7AFF72A0"/>
    <w:rsid w:val="7AFF7572"/>
    <w:rsid w:val="7B6C1EF0"/>
    <w:rsid w:val="7B6C7DFB"/>
    <w:rsid w:val="7B7D76A7"/>
    <w:rsid w:val="7BAE2FE2"/>
    <w:rsid w:val="7BAF6951"/>
    <w:rsid w:val="7BBFBED0"/>
    <w:rsid w:val="7BC3E394"/>
    <w:rsid w:val="7BF3FE4C"/>
    <w:rsid w:val="7BFB5035"/>
    <w:rsid w:val="7BFDE17E"/>
    <w:rsid w:val="7CBFC87B"/>
    <w:rsid w:val="7CFE0F48"/>
    <w:rsid w:val="7D3DE31C"/>
    <w:rsid w:val="7D7EC23E"/>
    <w:rsid w:val="7D7F8A13"/>
    <w:rsid w:val="7D8522BA"/>
    <w:rsid w:val="7D8839EC"/>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章标题"/>
    <w:basedOn w:val="1"/>
    <w:next w:val="3"/>
    <w:qFormat/>
    <w:uiPriority w:val="99"/>
    <w:pPr>
      <w:widowControl/>
      <w:spacing w:before="158" w:after="153" w:line="323" w:lineRule="atLeast"/>
      <w:ind w:right="-120"/>
      <w:jc w:val="center"/>
      <w:textAlignment w:val="baseline"/>
    </w:pPr>
    <w:rPr>
      <w:color w:val="FF0000"/>
      <w:sz w:val="18"/>
    </w:rPr>
  </w:style>
  <w:style w:type="paragraph" w:customStyle="1" w:styleId="3">
    <w:name w:val="节标题"/>
    <w:basedOn w:val="1"/>
    <w:next w:val="1"/>
    <w:qFormat/>
    <w:uiPriority w:val="99"/>
    <w:pPr>
      <w:widowControl/>
      <w:spacing w:line="289" w:lineRule="atLeast"/>
      <w:jc w:val="center"/>
      <w:textAlignment w:val="baseline"/>
    </w:pPr>
    <w:rPr>
      <w:color w:val="000000"/>
      <w:sz w:val="28"/>
    </w:rPr>
  </w:style>
  <w:style w:type="paragraph" w:styleId="7">
    <w:name w:val="Body Text"/>
    <w:basedOn w:val="1"/>
    <w:link w:val="29"/>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next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2">
    <w:name w:val="常用样式（方正仿宋简）"/>
    <w:basedOn w:val="1"/>
    <w:next w:val="12"/>
    <w:qFormat/>
    <w:uiPriority w:val="0"/>
    <w:pPr>
      <w:spacing w:line="560" w:lineRule="exact"/>
      <w:ind w:firstLine="640" w:firstLineChars="200"/>
    </w:pPr>
    <w:rPr>
      <w:rFonts w:eastAsia="方正仿宋简体"/>
      <w:sz w:val="32"/>
      <w:szCs w:val="20"/>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字符"/>
    <w:link w:val="13"/>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字符"/>
    <w:link w:val="12"/>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字符"/>
    <w:link w:val="7"/>
    <w:qFormat/>
    <w:locked/>
    <w:uiPriority w:val="99"/>
    <w:rPr>
      <w:rFonts w:ascii="仿宋_GB2312" w:hAnsi="Times New Roman" w:eastAsia="仿宋_GB2312"/>
      <w:sz w:val="24"/>
    </w:rPr>
  </w:style>
  <w:style w:type="paragraph" w:styleId="30">
    <w:name w:val="List Paragraph"/>
    <w:basedOn w:val="1"/>
    <w:qFormat/>
    <w:uiPriority w:val="34"/>
    <w:pPr>
      <w:ind w:firstLine="420" w:firstLineChars="200"/>
    </w:pPr>
  </w:style>
  <w:style w:type="character" w:customStyle="1" w:styleId="31">
    <w:name w:val="标题 1 字符"/>
    <w:basedOn w:val="18"/>
    <w:link w:val="4"/>
    <w:qFormat/>
    <w:uiPriority w:val="9"/>
    <w:rPr>
      <w:rFonts w:ascii="Times New Roman" w:hAnsi="Times New Roman"/>
      <w:b/>
      <w:bCs/>
      <w:kern w:val="44"/>
      <w:sz w:val="44"/>
      <w:szCs w:val="44"/>
    </w:rPr>
  </w:style>
  <w:style w:type="character" w:customStyle="1" w:styleId="32">
    <w:name w:val="标题 2 字符"/>
    <w:basedOn w:val="18"/>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8"/>
    <w:link w:val="11"/>
    <w:semiHidden/>
    <w:qFormat/>
    <w:uiPriority w:val="99"/>
    <w:rPr>
      <w:rFonts w:ascii="Times New Roman" w:hAnsi="Times New Roman"/>
      <w:kern w:val="2"/>
      <w:sz w:val="18"/>
      <w:szCs w:val="18"/>
    </w:rPr>
  </w:style>
  <w:style w:type="character" w:customStyle="1" w:styleId="35">
    <w:name w:val="标题 3 字符"/>
    <w:basedOn w:val="18"/>
    <w:link w:val="6"/>
    <w:qFormat/>
    <w:uiPriority w:val="9"/>
    <w:rPr>
      <w:rFonts w:ascii="Times New Roman" w:hAnsi="Times New Roman"/>
      <w:b/>
      <w:bCs/>
      <w:kern w:val="2"/>
      <w:sz w:val="32"/>
      <w:szCs w:val="32"/>
    </w:rPr>
  </w:style>
  <w:style w:type="paragraph" w:customStyle="1" w:styleId="36">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索引 51"/>
    <w:basedOn w:val="1"/>
    <w:next w:val="1"/>
    <w:qFormat/>
    <w:uiPriority w:val="0"/>
    <w:pPr>
      <w:ind w:left="1680"/>
    </w:pPr>
  </w:style>
  <w:style w:type="paragraph" w:customStyle="1" w:styleId="39">
    <w:name w:val="WPSOffice手动目录 1"/>
    <w:qFormat/>
    <w:uiPriority w:val="0"/>
    <w:pPr>
      <w:ind w:leftChars="0"/>
    </w:pPr>
    <w:rPr>
      <w:rFonts w:asciiTheme="minorHAnsi" w:hAnsiTheme="minorHAnsi" w:eastAsiaTheme="minorEastAsia" w:cstheme="minorBidi"/>
      <w:sz w:val="20"/>
      <w:szCs w:val="20"/>
    </w:rPr>
  </w:style>
  <w:style w:type="paragraph" w:customStyle="1" w:styleId="40">
    <w:name w:val="WPSOffice手动目录 2"/>
    <w:qFormat/>
    <w:uiPriority w:val="0"/>
    <w:pPr>
      <w:ind w:leftChars="200"/>
    </w:pPr>
    <w:rPr>
      <w:rFonts w:asciiTheme="minorHAnsi" w:hAnsiTheme="minorHAnsi" w:eastAsiaTheme="minorEastAsia" w:cstheme="minorBidi"/>
      <w:sz w:val="20"/>
      <w:szCs w:val="20"/>
    </w:rPr>
  </w:style>
  <w:style w:type="character" w:customStyle="1" w:styleId="41">
    <w:name w:val="标题 1 Char"/>
    <w:basedOn w:val="18"/>
    <w:link w:val="4"/>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6381;&#21153;&#21333;&#20301;\2023&#20915;&#31639;&#20844;&#24320;&#22270;&#24418;.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26381;&#21153;&#21333;&#20301;\2023&#20915;&#31639;&#20844;&#24320;&#22270;&#24418;.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26381;&#21153;&#21333;&#20301;\2023&#20915;&#31639;&#20844;&#24320;&#22270;&#24418;.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26381;&#21153;&#21333;&#20301;\2023&#20915;&#31639;&#20844;&#24320;&#22270;&#24418;.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26381;&#21153;&#21333;&#20301;\2023&#20915;&#31639;&#20844;&#24320;&#22270;&#24418;.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26381;&#21153;&#21333;&#20301;\2023&#20915;&#31639;&#20844;&#24320;&#22270;&#24418;.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F:\&#26381;&#21153;&#21333;&#20301;\2023&#20915;&#31639;&#20844;&#24320;&#22270;&#244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manualLayout>
          <c:layoutTarget val="inner"/>
          <c:xMode val="edge"/>
          <c:yMode val="edge"/>
          <c:x val="0.151769290724864"/>
          <c:y val="0.22037037037037"/>
          <c:w val="0.825159781761496"/>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[2023决算公开图形.xlsx]纪委!$A$1:$B$1</c:f>
              <c:strCache>
                <c:ptCount val="2"/>
                <c:pt idx="0">
                  <c:v>2022年</c:v>
                </c:pt>
                <c:pt idx="1">
                  <c:v>2023年</c:v>
                </c:pt>
              </c:strCache>
            </c:strRef>
          </c:cat>
          <c:val>
            <c:numRef>
              <c:f>[2023决算公开图形.xlsx]纪委!$A$2:$B$2</c:f>
              <c:numCache>
                <c:formatCode>#,##0.00</c:formatCode>
                <c:ptCount val="2"/>
                <c:pt idx="0">
                  <c:v>2212.95</c:v>
                </c:pt>
                <c:pt idx="1">
                  <c:v>1957.09</c:v>
                </c:pt>
              </c:numCache>
            </c:numRef>
          </c:val>
        </c:ser>
        <c:dLbls>
          <c:showLegendKey val="0"/>
          <c:showVal val="1"/>
          <c:showCatName val="0"/>
          <c:showSerName val="0"/>
          <c:showPercent val="0"/>
          <c:showBubbleSize val="0"/>
        </c:dLbls>
        <c:gapWidth val="219"/>
        <c:overlap val="-27"/>
        <c:axId val="804735714"/>
        <c:axId val="66183220"/>
      </c:barChart>
      <c:catAx>
        <c:axId val="8047357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183220"/>
        <c:crosses val="autoZero"/>
        <c:auto val="1"/>
        <c:lblAlgn val="ctr"/>
        <c:lblOffset val="100"/>
        <c:noMultiLvlLbl val="0"/>
      </c:catAx>
      <c:valAx>
        <c:axId val="66183220"/>
        <c:scaling>
          <c:orientation val="minMax"/>
          <c:max val="4000"/>
          <c:min val="5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4735714"/>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[2023决算公开图形.xlsx]纪委!$A$27:$B$27</c:f>
              <c:strCache>
                <c:ptCount val="2"/>
                <c:pt idx="0">
                  <c:v>一般公共预算财政拨款收入</c:v>
                </c:pt>
                <c:pt idx="1">
                  <c:v>其他收入</c:v>
                </c:pt>
              </c:strCache>
            </c:strRef>
          </c:cat>
          <c:val>
            <c:numRef>
              <c:f>[2023决算公开图形.xlsx]纪委!$A$28:$B$28</c:f>
              <c:numCache>
                <c:formatCode>0.00%</c:formatCode>
                <c:ptCount val="2"/>
                <c:pt idx="0">
                  <c:v>0.997</c:v>
                </c:pt>
                <c:pt idx="1">
                  <c:v>0.003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767323121808899"/>
          <c:y val="0.9003906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[2023决算公开图形.xlsx]纪委!$A$47:$B$47</c:f>
              <c:strCache>
                <c:ptCount val="2"/>
                <c:pt idx="0">
                  <c:v>基本支出</c:v>
                </c:pt>
                <c:pt idx="1">
                  <c:v>项目支出</c:v>
                </c:pt>
              </c:strCache>
            </c:strRef>
          </c:cat>
          <c:val>
            <c:numRef>
              <c:f>[2023决算公开图形.xlsx]纪委!$A$48:$B$48</c:f>
              <c:numCache>
                <c:formatCode>0.00%</c:formatCode>
                <c:ptCount val="2"/>
                <c:pt idx="0">
                  <c:v>0.8587</c:v>
                </c:pt>
                <c:pt idx="1">
                  <c:v>0.1413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0861875427789185"/>
          <c:y val="0.176388888888889"/>
          <c:w val="0.79129363449692"/>
          <c:h val="0.71074074074074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[2023决算公开图形.xlsx]纪委!$A$75:$B$75</c:f>
              <c:strCache>
                <c:ptCount val="2"/>
                <c:pt idx="0">
                  <c:v>2022年</c:v>
                </c:pt>
                <c:pt idx="1">
                  <c:v>2023年</c:v>
                </c:pt>
              </c:strCache>
            </c:strRef>
          </c:cat>
          <c:val>
            <c:numRef>
              <c:f>[2023决算公开图形.xlsx]纪委!$A$76:$B$76</c:f>
              <c:numCache>
                <c:formatCode>#,##0.00</c:formatCode>
                <c:ptCount val="2"/>
                <c:pt idx="0">
                  <c:v>2150.14</c:v>
                </c:pt>
                <c:pt idx="1">
                  <c:v>1888.7</c:v>
                </c:pt>
              </c:numCache>
            </c:numRef>
          </c:val>
        </c:ser>
        <c:dLbls>
          <c:showLegendKey val="0"/>
          <c:showVal val="1"/>
          <c:showCatName val="0"/>
          <c:showSerName val="0"/>
          <c:showPercent val="0"/>
          <c:showBubbleSize val="0"/>
        </c:dLbls>
        <c:gapWidth val="219"/>
        <c:overlap val="-27"/>
        <c:axId val="976506946"/>
        <c:axId val="941667772"/>
      </c:barChart>
      <c:catAx>
        <c:axId val="9765069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1667772"/>
        <c:crosses val="autoZero"/>
        <c:auto val="1"/>
        <c:lblAlgn val="ctr"/>
        <c:lblOffset val="100"/>
        <c:noMultiLvlLbl val="0"/>
      </c:catAx>
      <c:valAx>
        <c:axId val="941667772"/>
        <c:scaling>
          <c:orientation val="minMax"/>
          <c:max val="4000"/>
          <c:min val="5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6506946"/>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[2023决算公开图形.xlsx]纪委!$A$98:$B$98</c:f>
              <c:strCache>
                <c:ptCount val="2"/>
                <c:pt idx="0">
                  <c:v>2022年</c:v>
                </c:pt>
                <c:pt idx="1">
                  <c:v>2023年</c:v>
                </c:pt>
              </c:strCache>
            </c:strRef>
          </c:cat>
          <c:val>
            <c:numRef>
              <c:f>[2023决算公开图形.xlsx]纪委!$A$99:$B$99</c:f>
              <c:numCache>
                <c:formatCode>#,##0.00</c:formatCode>
                <c:ptCount val="2"/>
                <c:pt idx="0">
                  <c:v>2150.14</c:v>
                </c:pt>
                <c:pt idx="1">
                  <c:v>1888.7</c:v>
                </c:pt>
              </c:numCache>
            </c:numRef>
          </c:val>
        </c:ser>
        <c:dLbls>
          <c:showLegendKey val="0"/>
          <c:showVal val="1"/>
          <c:showCatName val="0"/>
          <c:showSerName val="0"/>
          <c:showPercent val="0"/>
          <c:showBubbleSize val="0"/>
        </c:dLbls>
        <c:gapWidth val="219"/>
        <c:overlap val="-27"/>
        <c:axId val="949468942"/>
        <c:axId val="460095406"/>
      </c:barChart>
      <c:catAx>
        <c:axId val="9494689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0095406"/>
        <c:crosses val="autoZero"/>
        <c:auto val="1"/>
        <c:lblAlgn val="ctr"/>
        <c:lblOffset val="100"/>
        <c:noMultiLvlLbl val="0"/>
      </c:catAx>
      <c:valAx>
        <c:axId val="460095406"/>
        <c:scaling>
          <c:orientation val="minMax"/>
          <c:max val="3000"/>
          <c:min val="5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9468942"/>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0652011869254718"/>
                  <c:y val="-0.040850861760135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[2023决算公开图形.xlsx]纪委!$A$119:$D$119</c:f>
              <c:strCache>
                <c:ptCount val="4"/>
                <c:pt idx="0">
                  <c:v>一般公共服务支出</c:v>
                </c:pt>
                <c:pt idx="1">
                  <c:v>社会保障和就业支出</c:v>
                </c:pt>
                <c:pt idx="2">
                  <c:v>卫生健康支出</c:v>
                </c:pt>
                <c:pt idx="3">
                  <c:v>住房保障支出</c:v>
                </c:pt>
              </c:strCache>
            </c:strRef>
          </c:cat>
          <c:val>
            <c:numRef>
              <c:f>[2023决算公开图形.xlsx]纪委!$A$120:$D$120</c:f>
              <c:numCache>
                <c:formatCode>0.00%</c:formatCode>
                <c:ptCount val="4"/>
                <c:pt idx="0">
                  <c:v>0.8219</c:v>
                </c:pt>
                <c:pt idx="1">
                  <c:v>0.0879</c:v>
                </c:pt>
                <c:pt idx="2">
                  <c:v>0.0314</c:v>
                </c:pt>
                <c:pt idx="3">
                  <c:v>0.0588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594776312386863"/>
          <c:y val="0.895138888888889"/>
          <c:w val="0.936643392810965"/>
          <c:h val="0.07708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delete val="1"/>
            </c:dLbl>
            <c:dLbl>
              <c:idx val="3"/>
              <c:layout>
                <c:manualLayout>
                  <c:x val="-0.0885175551505582"/>
                  <c:y val="0.0311759259279425"/>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691970402850096"/>
                      <c:h val="0.0643518518518519"/>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[2023决算公开图形.xlsx]纪委!$A$143:$D$143</c:f>
              <c:strCache>
                <c:ptCount val="4"/>
                <c:pt idx="0">
                  <c:v>公务接待费</c:v>
                </c:pt>
                <c:pt idx="1">
                  <c:v>公务用车购置及运行维护费支出</c:v>
                </c:pt>
                <c:pt idx="2">
                  <c:v>因公出国（境）费</c:v>
                </c:pt>
                <c:pt idx="3">
                  <c:v>因公出国（境）费</c:v>
                </c:pt>
              </c:strCache>
            </c:strRef>
          </c:cat>
          <c:val>
            <c:numRef>
              <c:f>[2023决算公开图形.xlsx]纪委!$A$144:$D$144</c:f>
              <c:numCache>
                <c:formatCode>0.00%</c:formatCode>
                <c:ptCount val="4"/>
                <c:pt idx="0">
                  <c:v>0.0164</c:v>
                </c:pt>
                <c:pt idx="1">
                  <c:v>0.9836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layout>
        <c:manualLayout>
          <c:xMode val="edge"/>
          <c:yMode val="edge"/>
          <c:x val="0.0041101520756268"/>
          <c:y val="0.888194444444444"/>
          <c:w val="0.836415947390053"/>
          <c:h val="0.07708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9079</Words>
  <Characters>10370</Characters>
  <Lines>72</Lines>
  <Paragraphs>20</Paragraphs>
  <TotalTime>3</TotalTime>
  <ScaleCrop>false</ScaleCrop>
  <LinksUpToDate>false</LinksUpToDate>
  <CharactersWithSpaces>10434</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2024-08-05T15:12:00Z</dcterms:created>
  <dc:creator>曹颖</dc:creator>
  <cp:lastModifiedBy>csak</cp:lastModifiedBy>
  <cp:lastPrinted>2023-08-03T18:35:00Z</cp:lastPrinted>
  <dcterms:modified xsi:type="dcterms:W3CDTF">2024-12-20T16:51:20Z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6767EA01F67E24DA083065678D18ED0D</vt:lpwstr>
  </property>
</Properties>
</file>