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0" w:name="_Toc15377194"/>
      <w:bookmarkStart w:id="1" w:name="_Toc15396598"/>
      <w:bookmarkStart w:id="2" w:name="_Toc15377426"/>
      <w:bookmarkStart w:id="3" w:name="_Toc15378442"/>
      <w:bookmarkStart w:id="4" w:name="_Toc15396476"/>
      <w:r>
        <w:rPr>
          <w:rFonts w:hint="eastAsia" w:ascii="方正小标宋简体" w:hAnsi="宋体" w:eastAsia="方正小标宋简体" w:cs="Times New Roman"/>
          <w:color w:val="auto"/>
          <w:kern w:val="2"/>
          <w:sz w:val="44"/>
          <w:szCs w:val="44"/>
          <w:highlight w:val="none"/>
          <w:lang w:val="en-US" w:eastAsia="zh-CN" w:bidi="ar-SA"/>
        </w:rPr>
        <w:t>四川省</w:t>
      </w:r>
      <w:bookmarkStart w:id="5" w:name="_Toc15306268"/>
      <w:r>
        <w:rPr>
          <w:rFonts w:hint="eastAsia" w:ascii="方正小标宋简体" w:hAnsi="宋体" w:eastAsia="方正小标宋简体" w:cs="Times New Roman"/>
          <w:color w:val="auto"/>
          <w:kern w:val="2"/>
          <w:sz w:val="44"/>
          <w:szCs w:val="44"/>
          <w:highlight w:val="none"/>
          <w:lang w:val="en-US" w:eastAsia="zh-CN" w:bidi="ar-SA"/>
        </w:rPr>
        <w:t>遂宁市船山区</w:t>
      </w:r>
    </w:p>
    <w:p>
      <w:pPr>
        <w:pStyle w:val="5"/>
        <w:jc w:val="center"/>
        <w:outlineLvl w:val="0"/>
        <w:rPr>
          <w:rFonts w:hint="eastAsia" w:ascii="方正小标宋简体" w:hAnsi="方正小标宋简体" w:eastAsia="方正小标宋简体" w:cs="方正小标宋简体"/>
          <w:color w:val="000000"/>
          <w:sz w:val="72"/>
          <w:szCs w:val="72"/>
          <w:lang w:eastAsia="zh-CN"/>
        </w:rPr>
      </w:pPr>
      <w:bookmarkStart w:id="6" w:name="_Toc30823"/>
      <w:r>
        <w:rPr>
          <w:rFonts w:hint="eastAsia" w:ascii="方正小标宋简体" w:hAnsi="宋体" w:eastAsia="方正小标宋简体" w:cs="Times New Roman"/>
          <w:color w:val="auto"/>
          <w:kern w:val="2"/>
          <w:sz w:val="44"/>
          <w:szCs w:val="44"/>
          <w:highlight w:val="none"/>
          <w:lang w:val="en-US" w:eastAsia="zh-CN" w:bidi="ar-SA"/>
        </w:rPr>
        <w:t>应急管理局</w:t>
      </w:r>
      <w:bookmarkEnd w:id="6"/>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0"/>
      <w:bookmarkEnd w:id="1"/>
      <w:bookmarkEnd w:id="2"/>
      <w:bookmarkEnd w:id="3"/>
      <w:bookmarkEnd w:id="4"/>
      <w:bookmarkEnd w:id="5"/>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(部门公开)</w:t>
      </w:r>
    </w:p>
    <w:p>
      <w:pPr>
        <w:widowControl/>
        <w:jc w:val="center"/>
        <w:rPr>
          <w:rFonts w:hint="eastAsia" w:ascii="黑体" w:hAnsi="黑体" w:eastAsia="黑体"/>
          <w:color w:val="auto"/>
          <w:sz w:val="48"/>
          <w:szCs w:val="48"/>
          <w:highlight w:val="none"/>
        </w:rPr>
        <w:sectPr>
          <w:footerReference r:id="rId3" w:type="default"/>
          <w:pgSz w:w="11906" w:h="16838"/>
          <w:pgMar w:top="1440" w:right="1800" w:bottom="1440" w:left="1800" w:header="720" w:footer="720" w:gutter="0"/>
          <w:cols w:space="720" w:num="1"/>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9"/>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color w:val="auto"/>
          <w:kern w:val="2"/>
          <w:sz w:val="21"/>
          <w:szCs w:val="24"/>
          <w:lang w:val="en-US" w:eastAsia="zh-CN" w:bidi="ar-SA"/>
        </w:rPr>
        <w:id w:val="147461779"/>
        <w15:color w:val="DBDBDB"/>
        <w:docPartObj>
          <w:docPartGallery w:val="Table of Contents"/>
          <w:docPartUnique/>
        </w:docPartObj>
      </w:sdtPr>
      <w:sdtEndPr>
        <w:rPr>
          <w:rFonts w:ascii="Calibri" w:hAnsi="Calibri"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7"/>
            <w:tabs>
              <w:tab w:val="right" w:leader="dot" w:pos="8306"/>
            </w:tabs>
            <w:rPr>
              <w:b/>
            </w:rPr>
          </w:pPr>
          <w:r>
            <w:fldChar w:fldCharType="begin"/>
          </w:r>
          <w:r>
            <w:instrText xml:space="preserve">TOC \o "1-2" \h \u </w:instrText>
          </w:r>
          <w:r>
            <w:fldChar w:fldCharType="separate"/>
          </w:r>
        </w:p>
        <w:p>
          <w:pPr>
            <w:pStyle w:val="27"/>
            <w:tabs>
              <w:tab w:val="right" w:leader="dot" w:pos="8306"/>
            </w:tabs>
            <w:rPr>
              <w:b/>
            </w:rPr>
          </w:pPr>
          <w:r>
            <w:rPr>
              <w:b/>
            </w:rPr>
            <w:fldChar w:fldCharType="begin"/>
          </w:r>
          <w:r>
            <w:rPr>
              <w:b/>
            </w:rPr>
            <w:instrText xml:space="preserve"> HYPERLINK \l _Toc13682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_Toc13682 \h </w:instrText>
          </w:r>
          <w:r>
            <w:rPr>
              <w:b/>
            </w:rPr>
            <w:fldChar w:fldCharType="separate"/>
          </w:r>
          <w:r>
            <w:rPr>
              <w:b/>
            </w:rPr>
            <w:t>1</w:t>
          </w:r>
          <w:r>
            <w:rPr>
              <w:b/>
            </w:rPr>
            <w:fldChar w:fldCharType="end"/>
          </w:r>
          <w:r>
            <w:rPr>
              <w:b/>
            </w:rPr>
            <w:fldChar w:fldCharType="end"/>
          </w:r>
        </w:p>
        <w:p>
          <w:pPr>
            <w:pStyle w:val="28"/>
            <w:tabs>
              <w:tab w:val="right" w:leader="dot" w:pos="8306"/>
            </w:tabs>
          </w:pPr>
          <w:r>
            <w:fldChar w:fldCharType="begin"/>
          </w:r>
          <w:r>
            <w:instrText xml:space="preserve"> HYPERLINK \l _Toc3388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_Toc3388 \h </w:instrText>
          </w:r>
          <w:r>
            <w:fldChar w:fldCharType="separate"/>
          </w:r>
          <w:r>
            <w:t>1</w:t>
          </w:r>
          <w:r>
            <w:fldChar w:fldCharType="end"/>
          </w:r>
          <w:r>
            <w:fldChar w:fldCharType="end"/>
          </w:r>
        </w:p>
        <w:p>
          <w:pPr>
            <w:pStyle w:val="28"/>
            <w:tabs>
              <w:tab w:val="right" w:leader="dot" w:pos="8306"/>
            </w:tabs>
          </w:pPr>
          <w:r>
            <w:fldChar w:fldCharType="begin"/>
          </w:r>
          <w:r>
            <w:instrText xml:space="preserve"> HYPERLINK \l _Toc29946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_Toc29946 \h </w:instrText>
          </w:r>
          <w:r>
            <w:fldChar w:fldCharType="separate"/>
          </w:r>
          <w:r>
            <w:t>3</w:t>
          </w:r>
          <w:r>
            <w:fldChar w:fldCharType="end"/>
          </w:r>
          <w:r>
            <w:fldChar w:fldCharType="end"/>
          </w:r>
        </w:p>
        <w:p>
          <w:pPr>
            <w:pStyle w:val="27"/>
            <w:tabs>
              <w:tab w:val="right" w:leader="dot" w:pos="8306"/>
            </w:tabs>
            <w:rPr>
              <w:b/>
            </w:rPr>
          </w:pPr>
          <w:r>
            <w:rPr>
              <w:b/>
            </w:rPr>
            <w:fldChar w:fldCharType="begin"/>
          </w:r>
          <w:r>
            <w:rPr>
              <w:b/>
            </w:rPr>
            <w:instrText xml:space="preserve"> HYPERLINK \l _Toc16669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_Toc16669 \h </w:instrText>
          </w:r>
          <w:r>
            <w:rPr>
              <w:b/>
            </w:rPr>
            <w:fldChar w:fldCharType="separate"/>
          </w:r>
          <w:r>
            <w:rPr>
              <w:b/>
            </w:rPr>
            <w:t>5</w:t>
          </w:r>
          <w:r>
            <w:rPr>
              <w:b/>
            </w:rPr>
            <w:fldChar w:fldCharType="end"/>
          </w:r>
          <w:r>
            <w:rPr>
              <w:b/>
            </w:rPr>
            <w:fldChar w:fldCharType="end"/>
          </w:r>
        </w:p>
        <w:p>
          <w:pPr>
            <w:pStyle w:val="28"/>
            <w:tabs>
              <w:tab w:val="right" w:leader="dot" w:pos="8306"/>
            </w:tabs>
          </w:pPr>
          <w:r>
            <w:fldChar w:fldCharType="begin"/>
          </w:r>
          <w:r>
            <w:instrText xml:space="preserve"> HYPERLINK \l _Toc8340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_Toc8340 \h </w:instrText>
          </w:r>
          <w:r>
            <w:fldChar w:fldCharType="separate"/>
          </w:r>
          <w:r>
            <w:t>5</w:t>
          </w:r>
          <w:r>
            <w:fldChar w:fldCharType="end"/>
          </w:r>
          <w:r>
            <w:fldChar w:fldCharType="end"/>
          </w:r>
        </w:p>
        <w:p>
          <w:pPr>
            <w:pStyle w:val="28"/>
            <w:tabs>
              <w:tab w:val="right" w:leader="dot" w:pos="8306"/>
            </w:tabs>
          </w:pPr>
          <w:r>
            <w:fldChar w:fldCharType="begin"/>
          </w:r>
          <w:r>
            <w:instrText xml:space="preserve"> HYPERLINK \l _Toc3264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_Toc3264 \h </w:instrText>
          </w:r>
          <w:r>
            <w:fldChar w:fldCharType="separate"/>
          </w:r>
          <w:r>
            <w:t>5</w:t>
          </w:r>
          <w:r>
            <w:fldChar w:fldCharType="end"/>
          </w:r>
          <w:r>
            <w:fldChar w:fldCharType="end"/>
          </w:r>
        </w:p>
        <w:p>
          <w:pPr>
            <w:pStyle w:val="28"/>
            <w:tabs>
              <w:tab w:val="right" w:leader="dot" w:pos="8306"/>
            </w:tabs>
          </w:pPr>
          <w:r>
            <w:fldChar w:fldCharType="begin"/>
          </w:r>
          <w:r>
            <w:instrText xml:space="preserve"> HYPERLINK \l _Toc2242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_Toc2242 \h </w:instrText>
          </w:r>
          <w:r>
            <w:fldChar w:fldCharType="separate"/>
          </w:r>
          <w:r>
            <w:t>6</w:t>
          </w:r>
          <w:r>
            <w:fldChar w:fldCharType="end"/>
          </w:r>
          <w:r>
            <w:fldChar w:fldCharType="end"/>
          </w:r>
        </w:p>
        <w:p>
          <w:pPr>
            <w:pStyle w:val="28"/>
            <w:tabs>
              <w:tab w:val="right" w:leader="dot" w:pos="8306"/>
            </w:tabs>
          </w:pPr>
          <w:r>
            <w:fldChar w:fldCharType="begin"/>
          </w:r>
          <w:r>
            <w:instrText xml:space="preserve"> HYPERLINK \l _Toc2773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_Toc2773 \h </w:instrText>
          </w:r>
          <w:r>
            <w:fldChar w:fldCharType="separate"/>
          </w:r>
          <w:r>
            <w:t>6</w:t>
          </w:r>
          <w:r>
            <w:fldChar w:fldCharType="end"/>
          </w:r>
          <w:r>
            <w:fldChar w:fldCharType="end"/>
          </w:r>
        </w:p>
        <w:p>
          <w:pPr>
            <w:pStyle w:val="28"/>
            <w:tabs>
              <w:tab w:val="right" w:leader="dot" w:pos="8306"/>
            </w:tabs>
          </w:pPr>
          <w:r>
            <w:fldChar w:fldCharType="begin"/>
          </w:r>
          <w:r>
            <w:instrText xml:space="preserve"> HYPERLINK \l _Toc20268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_Toc20268 \h </w:instrText>
          </w:r>
          <w:r>
            <w:fldChar w:fldCharType="separate"/>
          </w:r>
          <w:r>
            <w:t>6</w:t>
          </w:r>
          <w:r>
            <w:fldChar w:fldCharType="end"/>
          </w:r>
          <w:r>
            <w:fldChar w:fldCharType="end"/>
          </w:r>
        </w:p>
        <w:p>
          <w:pPr>
            <w:pStyle w:val="28"/>
            <w:tabs>
              <w:tab w:val="right" w:leader="dot" w:pos="8306"/>
            </w:tabs>
          </w:pPr>
          <w:r>
            <w:fldChar w:fldCharType="begin"/>
          </w:r>
          <w:r>
            <w:instrText xml:space="preserve"> HYPERLINK \l _Toc14222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_Toc14222 \h </w:instrText>
          </w:r>
          <w:r>
            <w:fldChar w:fldCharType="separate"/>
          </w:r>
          <w:r>
            <w:t>10</w:t>
          </w:r>
          <w:r>
            <w:fldChar w:fldCharType="end"/>
          </w:r>
          <w:r>
            <w:fldChar w:fldCharType="end"/>
          </w:r>
        </w:p>
        <w:p>
          <w:pPr>
            <w:pStyle w:val="28"/>
            <w:tabs>
              <w:tab w:val="right" w:leader="dot" w:pos="8306"/>
            </w:tabs>
          </w:pPr>
          <w:r>
            <w:fldChar w:fldCharType="begin"/>
          </w:r>
          <w:r>
            <w:instrText xml:space="preserve"> HYPERLINK \l _Toc18120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_Toc18120 \h </w:instrText>
          </w:r>
          <w:r>
            <w:fldChar w:fldCharType="separate"/>
          </w:r>
          <w:r>
            <w:t>10</w:t>
          </w:r>
          <w:r>
            <w:fldChar w:fldCharType="end"/>
          </w:r>
          <w:r>
            <w:fldChar w:fldCharType="end"/>
          </w:r>
        </w:p>
        <w:p>
          <w:pPr>
            <w:pStyle w:val="28"/>
            <w:tabs>
              <w:tab w:val="right" w:leader="dot" w:pos="8306"/>
            </w:tabs>
          </w:pPr>
          <w:r>
            <w:fldChar w:fldCharType="begin"/>
          </w:r>
          <w:r>
            <w:instrText xml:space="preserve"> HYPERLINK \l _Toc31615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_Toc31615 \h </w:instrText>
          </w:r>
          <w:r>
            <w:fldChar w:fldCharType="separate"/>
          </w:r>
          <w:r>
            <w:t>12</w:t>
          </w:r>
          <w:r>
            <w:fldChar w:fldCharType="end"/>
          </w:r>
          <w:r>
            <w:fldChar w:fldCharType="end"/>
          </w:r>
        </w:p>
        <w:p>
          <w:pPr>
            <w:pStyle w:val="28"/>
            <w:tabs>
              <w:tab w:val="right" w:leader="dot" w:pos="8306"/>
            </w:tabs>
          </w:pPr>
          <w:r>
            <w:fldChar w:fldCharType="begin"/>
          </w:r>
          <w:r>
            <w:instrText xml:space="preserve"> HYPERLINK \l _Toc15320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_Toc15320 \h </w:instrText>
          </w:r>
          <w:r>
            <w:fldChar w:fldCharType="separate"/>
          </w:r>
          <w:r>
            <w:t>12</w:t>
          </w:r>
          <w:r>
            <w:fldChar w:fldCharType="end"/>
          </w:r>
          <w:r>
            <w:fldChar w:fldCharType="end"/>
          </w:r>
        </w:p>
        <w:p>
          <w:pPr>
            <w:pStyle w:val="28"/>
            <w:tabs>
              <w:tab w:val="right" w:leader="dot" w:pos="8306"/>
            </w:tabs>
          </w:pPr>
          <w:r>
            <w:fldChar w:fldCharType="begin"/>
          </w:r>
          <w:r>
            <w:instrText xml:space="preserve"> HYPERLINK \l _Toc3647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_Toc3647 \h </w:instrText>
          </w:r>
          <w:r>
            <w:fldChar w:fldCharType="separate"/>
          </w:r>
          <w:r>
            <w:t>12</w:t>
          </w:r>
          <w:r>
            <w:fldChar w:fldCharType="end"/>
          </w:r>
          <w:r>
            <w:fldChar w:fldCharType="end"/>
          </w:r>
        </w:p>
        <w:p>
          <w:pPr>
            <w:pStyle w:val="27"/>
            <w:tabs>
              <w:tab w:val="right" w:leader="dot" w:pos="8306"/>
            </w:tabs>
          </w:pPr>
          <w:r>
            <w:rPr>
              <w:b/>
            </w:rPr>
            <w:fldChar w:fldCharType="begin"/>
          </w:r>
          <w:r>
            <w:rPr>
              <w:b/>
            </w:rPr>
            <w:instrText xml:space="preserve"> HYPERLINK \l _Toc4065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_Toc4065 \h </w:instrText>
          </w:r>
          <w:r>
            <w:rPr>
              <w:b/>
            </w:rPr>
            <w:fldChar w:fldCharType="separate"/>
          </w:r>
          <w:r>
            <w:rPr>
              <w:b/>
            </w:rPr>
            <w:t>15</w:t>
          </w:r>
          <w:r>
            <w:rPr>
              <w:b/>
            </w:rPr>
            <w:fldChar w:fldCharType="end"/>
          </w:r>
          <w:r>
            <w:rPr>
              <w:b/>
            </w:rPr>
            <w:fldChar w:fldCharType="end"/>
          </w:r>
        </w:p>
        <w:p>
          <w:pPr>
            <w:pStyle w:val="27"/>
            <w:tabs>
              <w:tab w:val="right" w:leader="dot" w:pos="8306"/>
            </w:tabs>
            <w:rPr>
              <w:b/>
            </w:rPr>
          </w:pPr>
          <w:r>
            <w:rPr>
              <w:b/>
            </w:rPr>
            <w:fldChar w:fldCharType="begin"/>
          </w:r>
          <w:r>
            <w:rPr>
              <w:b/>
            </w:rPr>
            <w:instrText xml:space="preserve"> HYPERLINK \l _Toc28257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_Toc28257 \h </w:instrText>
          </w:r>
          <w:r>
            <w:rPr>
              <w:b/>
            </w:rPr>
            <w:fldChar w:fldCharType="separate"/>
          </w:r>
          <w:r>
            <w:rPr>
              <w:b/>
            </w:rPr>
            <w:t>19</w:t>
          </w:r>
          <w:r>
            <w:rPr>
              <w:b/>
            </w:rPr>
            <w:fldChar w:fldCharType="end"/>
          </w:r>
          <w:r>
            <w:rPr>
              <w:b/>
            </w:rPr>
            <w:fldChar w:fldCharType="end"/>
          </w:r>
        </w:p>
        <w:p>
          <w:pPr>
            <w:pStyle w:val="28"/>
            <w:tabs>
              <w:tab w:val="right" w:leader="dot" w:pos="8306"/>
            </w:tabs>
          </w:pPr>
          <w:r>
            <w:fldChar w:fldCharType="begin"/>
          </w:r>
          <w:r>
            <w:instrText xml:space="preserve"> HYPERLINK \l _Toc22584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1</w:t>
          </w:r>
          <w:r>
            <w:tab/>
          </w:r>
          <w:r>
            <w:fldChar w:fldCharType="begin"/>
          </w:r>
          <w:r>
            <w:instrText xml:space="preserve"> PAGEREF _Toc22584 \h </w:instrText>
          </w:r>
          <w:r>
            <w:fldChar w:fldCharType="separate"/>
          </w:r>
          <w:r>
            <w:t>19</w:t>
          </w:r>
          <w:r>
            <w:fldChar w:fldCharType="end"/>
          </w:r>
          <w:r>
            <w:fldChar w:fldCharType="end"/>
          </w:r>
        </w:p>
        <w:p>
          <w:pPr>
            <w:pStyle w:val="28"/>
            <w:tabs>
              <w:tab w:val="right" w:leader="dot" w:pos="8306"/>
            </w:tabs>
          </w:pPr>
          <w:r>
            <w:fldChar w:fldCharType="begin"/>
          </w:r>
          <w:r>
            <w:instrText xml:space="preserve"> HYPERLINK \l _Toc9837 </w:instrText>
          </w:r>
          <w:r>
            <w:fldChar w:fldCharType="separate"/>
          </w:r>
          <w:r>
            <w:rPr>
              <w:rFonts w:hint="eastAsia" w:ascii="黑体" w:hAnsi="黑体" w:eastAsia="黑体" w:cs="黑体"/>
              <w:kern w:val="0"/>
              <w:szCs w:val="32"/>
              <w:highlight w:val="none"/>
              <w:shd w:val="clear" w:color="auto" w:fill="FFFFFF"/>
              <w:lang w:val="zh-CN"/>
            </w:rPr>
            <w:t>附件</w:t>
          </w:r>
          <w:r>
            <w:rPr>
              <w:rFonts w:hint="eastAsia" w:ascii="黑体" w:hAnsi="黑体" w:eastAsia="黑体" w:cs="黑体"/>
              <w:kern w:val="0"/>
              <w:szCs w:val="32"/>
              <w:highlight w:val="none"/>
              <w:shd w:val="clear" w:color="auto" w:fill="FFFFFF"/>
              <w:lang w:val="en-US" w:eastAsia="zh-CN"/>
            </w:rPr>
            <w:t>2</w:t>
          </w:r>
          <w:r>
            <w:tab/>
          </w:r>
          <w:r>
            <w:fldChar w:fldCharType="begin"/>
          </w:r>
          <w:r>
            <w:instrText xml:space="preserve"> PAGEREF _Toc9837 \h </w:instrText>
          </w:r>
          <w:r>
            <w:fldChar w:fldCharType="separate"/>
          </w:r>
          <w:r>
            <w:t>42</w:t>
          </w:r>
          <w:r>
            <w:fldChar w:fldCharType="end"/>
          </w:r>
          <w:r>
            <w:fldChar w:fldCharType="end"/>
          </w:r>
        </w:p>
        <w:p>
          <w:pPr>
            <w:pStyle w:val="27"/>
            <w:tabs>
              <w:tab w:val="right" w:leader="dot" w:pos="8306"/>
            </w:tabs>
            <w:rPr>
              <w:b/>
            </w:rPr>
          </w:pPr>
          <w:r>
            <w:rPr>
              <w:b/>
            </w:rPr>
            <w:fldChar w:fldCharType="begin"/>
          </w:r>
          <w:r>
            <w:rPr>
              <w:b/>
            </w:rPr>
            <w:instrText xml:space="preserve"> HYPERLINK \l _Toc6316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_Toc6316 \h </w:instrText>
          </w:r>
          <w:r>
            <w:rPr>
              <w:b/>
            </w:rPr>
            <w:fldChar w:fldCharType="separate"/>
          </w:r>
          <w:r>
            <w:rPr>
              <w:b/>
            </w:rPr>
            <w:t>62</w:t>
          </w:r>
          <w:r>
            <w:rPr>
              <w:b/>
            </w:rPr>
            <w:fldChar w:fldCharType="end"/>
          </w:r>
          <w:r>
            <w:rPr>
              <w:b/>
            </w:rPr>
            <w:fldChar w:fldCharType="end"/>
          </w:r>
        </w:p>
        <w:p>
          <w:pPr>
            <w:pStyle w:val="28"/>
            <w:tabs>
              <w:tab w:val="right" w:leader="dot" w:pos="8306"/>
            </w:tabs>
          </w:pPr>
          <w:r>
            <w:fldChar w:fldCharType="begin"/>
          </w:r>
          <w:r>
            <w:instrText xml:space="preserve"> HYPERLINK \l _Toc136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_Toc136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_Toc10608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_Toc10608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_Toc18678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_Toc18678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_Toc10392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_Toc10392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_Toc26691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_Toc26691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_Toc507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_Toc507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_Toc3417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_Toc3417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_Toc31134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_Toc31134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_Toc480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_Toc480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_Toc22877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_Toc22877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_Toc15310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_Toc15310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_Toc27825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_Toc27825 \h </w:instrText>
          </w:r>
          <w:r>
            <w:fldChar w:fldCharType="separate"/>
          </w:r>
          <w:r>
            <w:t>62</w:t>
          </w:r>
          <w:r>
            <w:fldChar w:fldCharType="end"/>
          </w:r>
          <w:r>
            <w:fldChar w:fldCharType="end"/>
          </w:r>
        </w:p>
        <w:p>
          <w:pPr>
            <w:pStyle w:val="28"/>
            <w:tabs>
              <w:tab w:val="right" w:leader="dot" w:pos="8306"/>
            </w:tabs>
          </w:pPr>
          <w:r>
            <w:fldChar w:fldCharType="begin"/>
          </w:r>
          <w:r>
            <w:instrText xml:space="preserve"> HYPERLINK \l _Toc22672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_Toc22672 \h </w:instrText>
          </w:r>
          <w:r>
            <w:fldChar w:fldCharType="separate"/>
          </w:r>
          <w:r>
            <w:t>62</w:t>
          </w:r>
          <w:r>
            <w:fldChar w:fldCharType="end"/>
          </w:r>
          <w:r>
            <w:fldChar w:fldCharType="end"/>
          </w:r>
        </w:p>
        <w:p>
          <w:pPr>
            <w:rPr>
              <w:rFonts w:hint="eastAsia" w:ascii="黑体" w:hAnsi="黑体" w:eastAsia="黑体"/>
              <w:b w:val="0"/>
              <w:color w:val="auto"/>
              <w:highlight w:val="none"/>
            </w:rPr>
            <w:sectPr>
              <w:footerReference r:id="rId4" w:type="default"/>
              <w:pgSz w:w="11906" w:h="16838"/>
              <w:pgMar w:top="1440" w:right="1800" w:bottom="1440" w:left="1800" w:header="720" w:footer="720" w:gutter="0"/>
              <w:cols w:space="720" w:num="1"/>
              <w:docGrid w:type="lines" w:linePitch="312" w:charSpace="0"/>
            </w:sectPr>
          </w:pPr>
          <w:r>
            <w:rPr>
              <w:b/>
            </w:rPr>
            <w:fldChar w:fldCharType="end"/>
          </w:r>
          <w:bookmarkStart w:id="7" w:name="_Toc15396599"/>
          <w:bookmarkStart w:id="8" w:name="_Toc15377196"/>
        </w:p>
      </w:sdtContent>
    </w:sdt>
    <w:p>
      <w:pPr>
        <w:pStyle w:val="3"/>
        <w:jc w:val="center"/>
        <w:rPr>
          <w:rStyle w:val="17"/>
          <w:rFonts w:ascii="黑体" w:hAnsi="黑体" w:eastAsia="黑体"/>
          <w:b/>
          <w:bCs w:val="0"/>
          <w:color w:val="auto"/>
          <w:highlight w:val="none"/>
        </w:rPr>
      </w:pPr>
      <w:bookmarkStart w:id="9" w:name="_Toc13682"/>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rPr>
        <w:t>部门概况</w:t>
      </w:r>
      <w:bookmarkEnd w:id="7"/>
      <w:bookmarkEnd w:id="8"/>
      <w:bookmarkEnd w:id="9"/>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10" w:name="_Toc3388"/>
      <w:r>
        <w:rPr>
          <w:rFonts w:hint="eastAsia" w:ascii="黑体" w:hAnsi="黑体" w:eastAsia="黑体"/>
          <w:b w:val="0"/>
          <w:color w:val="auto"/>
          <w:highlight w:val="none"/>
          <w:lang w:eastAsia="zh-CN"/>
        </w:rPr>
        <w:t>部门职责</w:t>
      </w:r>
      <w:bookmarkEnd w:id="10"/>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（1）负责应急管理工作，组织和指导各地、各部门应对安全生产类、自然灾害类等突发事件和综合防灾减灾救灾工作。负责安全生产综合监督管理和工矿商贸行业安全生产监督管理工作。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（2）拟订应急管理、安全生产等规范性文件，组织编制应急体系建设、安全生产和综合防灾减灾规划。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（4）牵头建立统一的应急管理信息系统，负责信息传输渠道的规划和布局，建立监测预警和灾情报告制度，健全自然灾害信息资源获取和共享机制，依法统一发布灾情。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（5）负责组织、指导、协调安全生产类、自然灾害类等突发事件应急救援，承担全区应对一般及以上灾害指挥部工作，综合研判突发事件发展态势并提出应对建议，负责组织一般及以上灾害应急处置工作。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（6）统一协调指挥各类应急专业队伍，建立应急协调联动机制，推进指挥平台对接。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7）按照国家、省和市相关政策和规定负责消防、森林火灾扑救、抗洪抢险、地震和地质灾害救援、生产安全事故救援等专业应急救援力量建设，依法依规统筹指导各地及社会应急救援力量和应急保障能力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（8）按照国家、省和市相关政策和区委、区政府相关规定负责消防工作，组织和指导消防监督、火灾预防、火灾扑救等工作。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（9）负责自然灾害综合监测预警工作，承担自然灾害综合风险评估工作，指导协调森林火灾、水旱灾害、地震和地质灾害等防治工作。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（10）负责组织、协调灾害救助工作，组织和指导灾情核查、损失评估、救灾捐赠工作，管理、分配救灾款物并监督使用。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（11）依法承担区政府安全生产综合监督管理责任，指导协调、监督检查区直有关部门、各乡（镇）政府和街道、园区安全生产工作，组织开展安全生产巡查、考核工作。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12）按照分级、属地原则，依法监督检查工矿商贸生产经营单位贯彻执行安全生产法律法规情况及其安全生产条件和有关设备（特种设备除外）、材料、劳动防护用品的安全生产管理工作。协助做好中省市在船山区工矿商贸企业安全生产监督管理工作。负责危险化学品安全监督管理综合工作和烟花爆竹安全生产监督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（13）承担非煤矿山、危险化学品、非药品类易制毒化学品和烟花爆竹等生产经营单位安全生产准入管理责任。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（14）依法组织、指导生产安全事故调查处理，监督事故查处和责任追究落实情况。组织开展自然灾害类突发事件的调查评估工作。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（15）开展应急管理和安全生产方面的交流与合作，组织参与安全生产类、自然灾害类等突发事件的跨区域救援工作。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（16）制定应急物资储备和应急救援装备规划并组织实施，会同区发展和改革局等部门建立健全应急物资信息平台和调拨制度，在救灾时统一调度。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（17）负责应急管理、安全生产宣传教育和培训工作，组织和指导应急管理、安全生产的科学技术研究、推广应用和信息化建设工作。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（18）负责职责范围内的职业健康、生态环境保护、审批服务便民化工作。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（19）完成区委和区政府交办的其他任务。</w:t>
      </w:r>
    </w:p>
    <w:p>
      <w:pPr>
        <w:numPr>
          <w:ilvl w:val="0"/>
          <w:numId w:val="0"/>
        </w:numPr>
        <w:rPr>
          <w:rFonts w:hint="eastAsia"/>
          <w:highlight w:val="none"/>
          <w:lang w:eastAsia="zh-CN"/>
        </w:rPr>
      </w:pPr>
    </w:p>
    <w:p>
      <w:pPr>
        <w:pStyle w:val="4"/>
        <w:rPr>
          <w:rStyle w:val="18"/>
          <w:b w:val="0"/>
          <w:bCs w:val="0"/>
          <w:color w:val="auto"/>
          <w:highlight w:val="none"/>
        </w:rPr>
      </w:pPr>
      <w:bookmarkStart w:id="11" w:name="_Toc29946"/>
      <w:bookmarkStart w:id="12" w:name="_Toc15396601"/>
      <w:bookmarkStart w:id="13"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11"/>
      <w:bookmarkEnd w:id="12"/>
      <w:bookmarkEnd w:id="13"/>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遂宁市船山区应急管理局为区级一级预算单位，下属二级单位3个，其中参照公务员法管理的事业单位2个，其他事业单位1个。（下设</w:t>
      </w:r>
      <w:r>
        <w:rPr>
          <w:rFonts w:hint="eastAsia" w:ascii="仿宋_GB2312" w:hAnsi="仿宋_GB2312" w:eastAsia="仿宋_GB2312" w:cs="仿宋_GB2312"/>
          <w:color w:val="000000"/>
          <w:sz w:val="32"/>
          <w:szCs w:val="32"/>
          <w:highlight w:val="none"/>
          <w:lang w:eastAsia="zh-CN"/>
        </w:rPr>
        <w:t>遂宁市</w:t>
      </w:r>
      <w:r>
        <w:rPr>
          <w:rFonts w:hint="eastAsia" w:ascii="仿宋_GB2312" w:hAnsi="仿宋_GB2312" w:eastAsia="仿宋_GB2312" w:cs="仿宋_GB2312"/>
          <w:color w:val="000000"/>
          <w:sz w:val="32"/>
          <w:szCs w:val="32"/>
          <w:highlight w:val="none"/>
        </w:rPr>
        <w:t>应急管理综合行政执法</w:t>
      </w:r>
      <w:r>
        <w:rPr>
          <w:rFonts w:hint="eastAsia" w:ascii="仿宋_GB2312" w:hAnsi="仿宋_GB2312" w:eastAsia="仿宋_GB2312" w:cs="仿宋_GB2312"/>
          <w:color w:val="000000"/>
          <w:sz w:val="32"/>
          <w:szCs w:val="32"/>
          <w:highlight w:val="none"/>
          <w:lang w:eastAsia="zh-CN"/>
        </w:rPr>
        <w:t>支</w:t>
      </w:r>
      <w:r>
        <w:rPr>
          <w:rFonts w:hint="eastAsia" w:ascii="仿宋_GB2312" w:hAnsi="仿宋_GB2312" w:eastAsia="仿宋_GB2312" w:cs="仿宋_GB2312"/>
          <w:color w:val="000000"/>
          <w:sz w:val="32"/>
          <w:szCs w:val="32"/>
          <w:highlight w:val="none"/>
        </w:rPr>
        <w:t>队</w:t>
      </w:r>
      <w:r>
        <w:rPr>
          <w:rFonts w:hint="eastAsia" w:ascii="仿宋_GB2312" w:hAnsi="仿宋_GB2312" w:eastAsia="仿宋_GB2312" w:cs="仿宋_GB2312"/>
          <w:color w:val="000000"/>
          <w:sz w:val="32"/>
          <w:szCs w:val="32"/>
          <w:highlight w:val="none"/>
          <w:lang w:eastAsia="zh-CN"/>
        </w:rPr>
        <w:t>驻船山区大队</w:t>
      </w:r>
      <w:r>
        <w:rPr>
          <w:rFonts w:hint="eastAsia" w:ascii="仿宋_GB2312" w:hAnsi="仿宋_GB2312" w:eastAsia="仿宋_GB2312" w:cs="仿宋_GB2312"/>
          <w:color w:val="000000"/>
          <w:sz w:val="32"/>
          <w:szCs w:val="32"/>
          <w:highlight w:val="none"/>
        </w:rPr>
        <w:t>、区防汛指挥部办公室、应急和安全生产信息中心）无单独预算。遂宁市船山区应急管理局无下属二级预算单位。</w:t>
      </w:r>
    </w:p>
    <w:p>
      <w:pPr>
        <w:widowControl/>
        <w:jc w:val="left"/>
        <w:rPr>
          <w:rFonts w:ascii="仿宋" w:hAnsi="仿宋" w:eastAsia="仿宋"/>
          <w:color w:val="auto"/>
          <w:kern w:val="0"/>
          <w:sz w:val="32"/>
          <w:szCs w:val="32"/>
          <w:highlight w:val="none"/>
        </w:rPr>
      </w:pPr>
    </w:p>
    <w:p>
      <w:pPr>
        <w:pStyle w:val="2"/>
        <w:rPr>
          <w:rFonts w:hint="eastAsia" w:ascii="仿宋" w:hAnsi="仿宋" w:eastAsia="仿宋"/>
          <w:color w:val="auto"/>
          <w:kern w:val="0"/>
          <w:sz w:val="32"/>
          <w:szCs w:val="32"/>
          <w:highlight w:val="none"/>
          <w:lang w:val="en-US" w:eastAsia="zh-CN"/>
        </w:rPr>
      </w:pPr>
      <w:r>
        <w:rPr>
          <w:rFonts w:hint="eastAsia" w:ascii="仿宋" w:hAnsi="仿宋" w:eastAsia="仿宋"/>
          <w:color w:val="auto"/>
          <w:kern w:val="0"/>
          <w:sz w:val="32"/>
          <w:szCs w:val="32"/>
          <w:highlight w:val="none"/>
          <w:lang w:val="en-US" w:eastAsia="zh-CN"/>
        </w:rPr>
        <w:t xml:space="preserve"> </w:t>
      </w: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3"/>
        <w:ind w:right="440"/>
        <w:jc w:val="center"/>
        <w:rPr>
          <w:rStyle w:val="17"/>
          <w:rFonts w:ascii="黑体" w:hAnsi="黑体" w:eastAsia="黑体"/>
          <w:b w:val="0"/>
          <w:bCs/>
          <w:color w:val="auto"/>
          <w:highlight w:val="none"/>
        </w:rPr>
      </w:pPr>
      <w:bookmarkStart w:id="14" w:name="_Toc15396602"/>
      <w:bookmarkStart w:id="15" w:name="_Toc16669"/>
      <w:bookmarkStart w:id="16"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7"/>
          <w:rFonts w:hint="eastAsia" w:ascii="黑体" w:hAnsi="黑体" w:eastAsia="黑体"/>
          <w:b w:val="0"/>
          <w:bCs/>
          <w:color w:val="auto"/>
          <w:highlight w:val="none"/>
        </w:rPr>
        <w:t>部门决算情况说明</w:t>
      </w:r>
      <w:bookmarkEnd w:id="14"/>
      <w:bookmarkEnd w:id="15"/>
      <w:bookmarkEnd w:id="16"/>
    </w:p>
    <w:p>
      <w:pPr>
        <w:rPr>
          <w:color w:val="auto"/>
          <w:highlight w:val="none"/>
        </w:rPr>
      </w:pPr>
    </w:p>
    <w:p>
      <w:pPr>
        <w:pStyle w:val="19"/>
        <w:numPr>
          <w:ilvl w:val="0"/>
          <w:numId w:val="2"/>
        </w:numPr>
        <w:spacing w:line="600" w:lineRule="exact"/>
        <w:ind w:firstLineChars="0"/>
        <w:outlineLvl w:val="1"/>
        <w:rPr>
          <w:rStyle w:val="18"/>
          <w:rFonts w:ascii="黑体" w:hAnsi="黑体" w:eastAsia="黑体"/>
          <w:b w:val="0"/>
          <w:color w:val="auto"/>
          <w:highlight w:val="none"/>
        </w:rPr>
      </w:pPr>
      <w:bookmarkStart w:id="17" w:name="_Toc8340"/>
      <w:bookmarkStart w:id="18" w:name="_Toc15377205"/>
      <w:bookmarkStart w:id="19" w:name="_Toc15396603"/>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17"/>
      <w:bookmarkEnd w:id="18"/>
      <w:bookmarkEnd w:id="19"/>
    </w:p>
    <w:p>
      <w:pPr>
        <w:spacing w:line="600" w:lineRule="exact"/>
        <w:ind w:firstLine="640" w:firstLineChars="200"/>
        <w:rPr>
          <w:rFonts w:hint="eastAsia" w:ascii="仿宋" w:hAnsi="仿宋" w:eastAsia="仿宋"/>
          <w:color w:val="auto"/>
          <w:sz w:val="32"/>
          <w:szCs w:val="32"/>
          <w:highlight w:val="yellow"/>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1094.21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22.5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spacing w:line="600" w:lineRule="exact"/>
        <w:ind w:firstLine="420" w:firstLineChars="200"/>
        <w:outlineLvl w:val="9"/>
        <w:rPr>
          <w:rFonts w:ascii="仿宋" w:hAnsi="仿宋" w:eastAsia="仿宋"/>
          <w:color w:val="auto"/>
          <w:sz w:val="32"/>
          <w:szCs w:val="32"/>
          <w:highlight w:val="none"/>
        </w:rPr>
      </w:pPr>
      <w:r>
        <w:pict>
          <v:shape id="_x0000_s1026" o:spid="_x0000_s1026" o:spt="75" type="#_x0000_t75" style="position:absolute;left:0pt;margin-left:35.05pt;margin-top:21.05pt;height:179.5pt;width:335.8pt;mso-wrap-distance-bottom:0pt;mso-wrap-distance-left:9pt;mso-wrap-distance-right:9pt;mso-wrap-distance-top:0pt;z-index:251659264;mso-width-relative:page;mso-height-relative:page;" o:ole="t" filled="f" o:preferrelative="t" stroked="f" coordsize="21600,21600">
            <v:path/>
            <v:fill on="f" focussize="0,0"/>
            <v:stroke on="f"/>
            <v:imagedata r:id="rId8" o:title=""/>
            <o:lock v:ext="edit" aspectratio="t"/>
            <w10:wrap type="square"/>
          </v:shape>
          <o:OLEObject Type="Embed" ProgID="Excel.Chart.8" ShapeID="_x0000_s1026" DrawAspect="Content" ObjectID="_1468075725" r:id="rId7">
            <o:LockedField>false</o:LockedField>
          </o:OLEObject>
        </w:pict>
      </w:r>
    </w:p>
    <w:p>
      <w:pPr>
        <w:spacing w:line="600" w:lineRule="exact"/>
        <w:ind w:firstLine="640"/>
        <w:rPr>
          <w:rFonts w:ascii="仿宋" w:hAnsi="仿宋" w:eastAsia="仿宋"/>
          <w:b/>
          <w:color w:val="auto"/>
          <w:sz w:val="32"/>
          <w:szCs w:val="32"/>
          <w:highlight w:val="none"/>
        </w:rPr>
      </w:pPr>
    </w:p>
    <w:p>
      <w:pPr>
        <w:spacing w:line="600" w:lineRule="exact"/>
        <w:outlineLvl w:val="9"/>
        <w:rPr>
          <w:rFonts w:hint="eastAsia" w:ascii="黑体" w:hAnsi="黑体" w:eastAsia="黑体"/>
          <w:color w:val="auto"/>
          <w:sz w:val="32"/>
          <w:szCs w:val="32"/>
          <w:highlight w:val="none"/>
        </w:rPr>
      </w:pPr>
    </w:p>
    <w:p>
      <w:pPr>
        <w:spacing w:line="600" w:lineRule="exact"/>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pStyle w:val="2"/>
      </w:pPr>
    </w:p>
    <w:p>
      <w:pPr>
        <w:spacing w:line="600" w:lineRule="exact"/>
        <w:ind w:firstLine="640" w:firstLineChars="200"/>
        <w:jc w:val="left"/>
        <w:rPr>
          <w:rFonts w:ascii="仿宋_GB2312" w:eastAsia="仿宋_GB2312"/>
          <w:color w:val="auto"/>
          <w:sz w:val="32"/>
          <w:szCs w:val="32"/>
          <w:highlight w:val="none"/>
        </w:rPr>
      </w:pPr>
    </w:p>
    <w:p>
      <w:pPr>
        <w:pStyle w:val="19"/>
        <w:numPr>
          <w:ilvl w:val="0"/>
          <w:numId w:val="2"/>
        </w:numPr>
        <w:spacing w:line="600" w:lineRule="exact"/>
        <w:ind w:firstLineChars="0"/>
        <w:outlineLvl w:val="1"/>
        <w:rPr>
          <w:rStyle w:val="18"/>
          <w:rFonts w:ascii="黑体" w:hAnsi="黑体" w:eastAsia="黑体"/>
          <w:b w:val="0"/>
          <w:color w:val="auto"/>
          <w:highlight w:val="none"/>
        </w:rPr>
      </w:pPr>
      <w:bookmarkStart w:id="20" w:name="_Toc15396604"/>
      <w:bookmarkStart w:id="21" w:name="_Toc3264"/>
      <w:bookmarkStart w:id="22" w:name="_Toc15377206"/>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0"/>
      <w:bookmarkEnd w:id="21"/>
      <w:bookmarkEnd w:id="22"/>
    </w:p>
    <w:p>
      <w:pPr>
        <w:spacing w:line="600" w:lineRule="exact"/>
        <w:ind w:firstLine="640" w:firstLineChars="200"/>
        <w:outlineLvl w:val="1"/>
        <w:rPr>
          <w:rFonts w:ascii="仿宋_GB2312" w:eastAsia="仿宋_GB2312"/>
          <w:color w:val="auto"/>
          <w:sz w:val="32"/>
          <w:szCs w:val="32"/>
          <w:highlight w:val="none"/>
        </w:rPr>
      </w:pPr>
      <w:bookmarkStart w:id="23" w:name="_Toc26105"/>
      <w:r>
        <w:rPr>
          <w:rFonts w:ascii="仿宋_GB2312" w:hAnsi="仿宋_GB2312" w:eastAsia="仿宋_GB2312" w:cs="仿宋_GB2312"/>
          <w:bCs/>
          <w:sz w:val="32"/>
          <w:szCs w:val="32"/>
        </w:rPr>
        <w:pict>
          <v:shape id="_x0000_s1027" o:spid="_x0000_s1027" o:spt="75" type="#_x0000_t75" style="position:absolute;left:0pt;margin-left:2.95pt;margin-top:115.05pt;height:154.05pt;width:392.75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t"/>
            <w10:wrap type="square"/>
          </v:shape>
          <o:OLEObject Type="Embed" ProgID="Excel.Chart.8" ShapeID="_x0000_s1027" DrawAspect="Content" ObjectID="_1468075726" r:id="rId9">
            <o:LockedField>false</o:LockedField>
          </o:OLEObject>
        </w:pic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1065.87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1035.87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97.19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3"/>
    </w:p>
    <w:p>
      <w:pPr>
        <w:pStyle w:val="19"/>
        <w:numPr>
          <w:ilvl w:val="0"/>
          <w:numId w:val="2"/>
        </w:numPr>
        <w:spacing w:line="600" w:lineRule="exact"/>
        <w:ind w:firstLineChars="0"/>
        <w:outlineLvl w:val="1"/>
        <w:rPr>
          <w:rStyle w:val="18"/>
          <w:rFonts w:ascii="黑体" w:hAnsi="黑体" w:eastAsia="黑体"/>
          <w:b w:val="0"/>
          <w:color w:val="auto"/>
          <w:highlight w:val="none"/>
        </w:rPr>
      </w:pPr>
      <w:bookmarkStart w:id="24" w:name="_Toc2242"/>
      <w:bookmarkStart w:id="25" w:name="_Toc15396605"/>
      <w:bookmarkStart w:id="26" w:name="_Toc15377207"/>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4"/>
      <w:bookmarkEnd w:id="25"/>
      <w:bookmarkEnd w:id="26"/>
    </w:p>
    <w:p>
      <w:pPr>
        <w:spacing w:line="600" w:lineRule="exact"/>
        <w:ind w:firstLine="640" w:firstLineChars="200"/>
        <w:outlineLvl w:val="1"/>
        <w:rPr>
          <w:rFonts w:ascii="仿宋" w:hAnsi="仿宋" w:eastAsia="仿宋"/>
          <w:color w:val="auto"/>
          <w:sz w:val="32"/>
          <w:szCs w:val="32"/>
          <w:highlight w:val="none"/>
        </w:rPr>
      </w:pPr>
      <w:bookmarkStart w:id="27" w:name="_Toc15865"/>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1065.87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520.56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48.84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545.31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51.16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7"/>
    </w:p>
    <w:p>
      <w:pPr>
        <w:spacing w:line="600" w:lineRule="exact"/>
        <w:rPr>
          <w:rFonts w:ascii="仿宋_GB2312" w:eastAsia="仿宋_GB2312"/>
          <w:color w:val="auto"/>
          <w:sz w:val="32"/>
          <w:szCs w:val="32"/>
          <w:highlight w:val="none"/>
        </w:rPr>
      </w:pPr>
      <w:r>
        <w:rPr>
          <w:rFonts w:ascii="仿宋" w:hAnsi="仿宋" w:eastAsia="仿宋"/>
          <w:color w:val="000000"/>
          <w:sz w:val="32"/>
          <w:szCs w:val="32"/>
          <w:shd w:val="pct10" w:color="auto" w:fill="FFFFFF"/>
        </w:rPr>
        <w:pict>
          <v:shape id="_x0000_s1028" o:spid="_x0000_s1028" o:spt="75" type="#_x0000_t75" style="position:absolute;left:0pt;margin-left:14.75pt;margin-top:43.05pt;height:170.15pt;width:390.9pt;mso-wrap-distance-bottom:0pt;mso-wrap-distance-left:9pt;mso-wrap-distance-right:9pt;mso-wrap-distance-top:0pt;z-index:251661312;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8" DrawAspect="Content" ObjectID="_1468075727" r:id="rId11">
            <o:LockedField>false</o:LockedField>
          </o:OLEObject>
        </w:pict>
      </w:r>
    </w:p>
    <w:p>
      <w:pPr>
        <w:spacing w:line="600" w:lineRule="exact"/>
        <w:rPr>
          <w:rFonts w:ascii="仿宋_GB2312" w:eastAsia="仿宋_GB2312"/>
          <w:color w:val="auto"/>
          <w:sz w:val="32"/>
          <w:szCs w:val="32"/>
          <w:highlight w:val="none"/>
        </w:rPr>
      </w:pPr>
    </w:p>
    <w:p>
      <w:pPr>
        <w:spacing w:line="600" w:lineRule="exact"/>
        <w:ind w:firstLine="640" w:firstLineChars="200"/>
        <w:outlineLvl w:val="1"/>
        <w:rPr>
          <w:rStyle w:val="18"/>
          <w:rFonts w:ascii="黑体" w:hAnsi="黑体" w:eastAsia="黑体"/>
          <w:b w:val="0"/>
          <w:color w:val="auto"/>
          <w:highlight w:val="none"/>
        </w:rPr>
      </w:pPr>
      <w:bookmarkStart w:id="28" w:name="_Toc2773"/>
      <w:bookmarkStart w:id="29" w:name="_Toc15396606"/>
      <w:bookmarkStart w:id="30" w:name="_Toc15377208"/>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8"/>
      <w:bookmarkEnd w:id="29"/>
      <w:bookmarkEnd w:id="30"/>
    </w:p>
    <w:p>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1035.87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97.58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10.40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人员增加，基本支出增加以及项目经费增加。</w:t>
      </w:r>
    </w:p>
    <w:p>
      <w:pPr>
        <w:spacing w:line="600" w:lineRule="exact"/>
        <w:rPr>
          <w:rFonts w:ascii="仿宋" w:hAnsi="仿宋" w:eastAsia="仿宋"/>
          <w:b/>
          <w:color w:val="auto"/>
          <w:sz w:val="32"/>
          <w:szCs w:val="32"/>
          <w:highlight w:val="none"/>
        </w:rPr>
      </w:pPr>
      <w:r>
        <w:pict>
          <v:shape id="_x0000_s1029" o:spid="_x0000_s1029" o:spt="75" type="#_x0000_t75" style="position:absolute;left:0pt;margin-left:76.65pt;margin-top:12.15pt;height:159.05pt;width:335.8pt;mso-wrap-distance-bottom:0pt;mso-wrap-distance-left:9pt;mso-wrap-distance-right:9pt;mso-wrap-distance-top:0pt;z-index:251662336;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9" DrawAspect="Content" ObjectID="_1468075728" r:id="rId13">
            <o:LockedField>false</o:LockedField>
          </o:OLEObject>
        </w:pict>
      </w:r>
    </w:p>
    <w:p>
      <w:pPr>
        <w:spacing w:line="600" w:lineRule="exact"/>
        <w:outlineLvl w:val="9"/>
        <w:rPr>
          <w:rFonts w:hint="eastAsia" w:ascii="黑体" w:hAnsi="黑体" w:eastAsia="黑体"/>
          <w:color w:val="auto"/>
          <w:sz w:val="32"/>
          <w:szCs w:val="32"/>
          <w:highlight w:val="none"/>
        </w:rPr>
      </w:pPr>
    </w:p>
    <w:p>
      <w:pPr>
        <w:pStyle w:val="2"/>
        <w:ind w:left="0" w:leftChars="0" w:firstLine="0" w:firstLineChars="0"/>
        <w:rPr>
          <w:rFonts w:ascii="仿宋" w:hAnsi="仿宋" w:eastAsia="仿宋"/>
          <w:b/>
          <w:color w:val="auto"/>
          <w:sz w:val="32"/>
          <w:szCs w:val="32"/>
          <w:highlight w:val="none"/>
        </w:rPr>
      </w:pPr>
    </w:p>
    <w:p>
      <w:pPr>
        <w:pStyle w:val="2"/>
        <w:ind w:left="0" w:leftChars="0" w:firstLine="0" w:firstLineChars="0"/>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spacing w:line="600" w:lineRule="exact"/>
        <w:ind w:firstLine="640" w:firstLineChars="200"/>
        <w:outlineLvl w:val="1"/>
        <w:rPr>
          <w:rStyle w:val="18"/>
          <w:rFonts w:ascii="黑体" w:hAnsi="黑体" w:eastAsia="黑体"/>
          <w:b w:val="0"/>
          <w:color w:val="auto"/>
          <w:highlight w:val="none"/>
        </w:rPr>
      </w:pPr>
      <w:bookmarkStart w:id="31" w:name="_Toc20268"/>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31"/>
      <w:bookmarkEnd w:id="32"/>
      <w:bookmarkEnd w:id="33"/>
    </w:p>
    <w:p>
      <w:pPr>
        <w:spacing w:line="600" w:lineRule="exact"/>
        <w:ind w:firstLine="642"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rPr>
          <w:rFonts w:ascii="仿宋" w:hAnsi="仿宋" w:eastAsia="仿宋"/>
          <w:color w:val="auto"/>
          <w:sz w:val="32"/>
          <w:szCs w:val="32"/>
          <w:highlight w:val="yellow"/>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1035.87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97.58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10.40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人员增加，基本支出增加以及项目经费增加。</w:t>
      </w:r>
    </w:p>
    <w:p>
      <w:pPr>
        <w:pStyle w:val="2"/>
      </w:pPr>
    </w:p>
    <w:p>
      <w:pPr>
        <w:spacing w:line="600" w:lineRule="exact"/>
        <w:ind w:firstLine="420" w:firstLineChars="200"/>
        <w:rPr>
          <w:rFonts w:ascii="仿宋" w:hAnsi="仿宋" w:eastAsia="仿宋"/>
          <w:color w:val="auto"/>
          <w:sz w:val="32"/>
          <w:szCs w:val="32"/>
          <w:highlight w:val="none"/>
        </w:rPr>
      </w:pPr>
      <w:r>
        <w:pict>
          <v:shape id="_x0000_s1030" o:spid="_x0000_s1030" o:spt="75" type="#_x0000_t75" style="position:absolute;left:0pt;margin-left:22.8pt;margin-top:-16.8pt;height:162.5pt;width:359.85pt;mso-wrap-distance-bottom:0pt;mso-wrap-distance-left:9pt;mso-wrap-distance-right:9pt;mso-wrap-distance-top:0pt;z-index:251663360;mso-width-relative:page;mso-height-relative:page;" o:ole="t" filled="f" o:preferrelative="t" stroked="f" coordsize="21600,21600">
            <v:path/>
            <v:fill on="f" focussize="0,0"/>
            <v:stroke on="f"/>
            <v:imagedata r:id="rId16" o:title=""/>
            <o:lock v:ext="edit" aspectratio="t"/>
            <w10:wrap type="square"/>
          </v:shape>
          <o:OLEObject Type="Embed" ProgID="Excel.Chart.8" ShapeID="_x0000_s1030" DrawAspect="Content" ObjectID="_1468075729" r:id="rId15">
            <o:LockedField>false</o:LockedField>
          </o:OLEObject>
        </w:pic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1035.87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48.13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19.08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w:t>
      </w:r>
      <w:r>
        <w:rPr>
          <w:rFonts w:hint="eastAsia" w:ascii="仿宋" w:hAnsi="仿宋" w:eastAsia="仿宋"/>
          <w:color w:val="auto"/>
          <w:sz w:val="32"/>
          <w:szCs w:val="32"/>
          <w:highlight w:val="none"/>
          <w:lang w:val="en-US" w:eastAsia="zh-CN"/>
        </w:rPr>
        <w:t>7.27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val="0"/>
          <w:color w:val="000000"/>
          <w:sz w:val="32"/>
          <w:szCs w:val="32"/>
          <w:highlight w:val="none"/>
          <w:lang w:eastAsia="zh-CN"/>
        </w:rPr>
        <w:t>灾害防治及应急管理支出</w:t>
      </w:r>
      <w:r>
        <w:rPr>
          <w:rFonts w:hint="eastAsia" w:ascii="仿宋" w:hAnsi="仿宋" w:eastAsia="仿宋"/>
          <w:color w:val="000000"/>
          <w:sz w:val="32"/>
          <w:szCs w:val="32"/>
          <w:highlight w:val="none"/>
          <w:lang w:val="en-US" w:eastAsia="zh-CN"/>
        </w:rPr>
        <w:t>931.39万元，占89.91%</w:t>
      </w:r>
      <w:r>
        <w:rPr>
          <w:rFonts w:hint="eastAsia" w:ascii="仿宋" w:hAnsi="仿宋" w:eastAsia="仿宋"/>
          <w:color w:val="000000"/>
          <w:sz w:val="32"/>
          <w:szCs w:val="32"/>
          <w:highlight w:val="none"/>
        </w:rPr>
        <w:t>。</w:t>
      </w:r>
    </w:p>
    <w:p>
      <w:pPr>
        <w:spacing w:line="600" w:lineRule="exact"/>
        <w:ind w:firstLine="640"/>
        <w:rPr>
          <w:rFonts w:ascii="仿宋" w:hAnsi="仿宋" w:eastAsia="仿宋"/>
          <w:color w:val="auto"/>
          <w:sz w:val="32"/>
          <w:szCs w:val="32"/>
          <w:highlight w:val="none"/>
        </w:rPr>
      </w:pPr>
      <w:r>
        <w:rPr>
          <w:rFonts w:ascii="仿宋" w:hAnsi="仿宋" w:eastAsia="仿宋"/>
          <w:color w:val="000000"/>
          <w:sz w:val="32"/>
          <w:szCs w:val="32"/>
        </w:rPr>
        <w:pict>
          <v:shape id="_x0000_s1031" o:spid="_x0000_s1031" o:spt="75" type="#_x0000_t75" style="position:absolute;left:0pt;margin-left:47.5pt;margin-top:18.35pt;height:157.15pt;width:358.55pt;mso-wrap-distance-bottom:0pt;mso-wrap-distance-left:9pt;mso-wrap-distance-right:9pt;mso-wrap-distance-top:0pt;z-index:251664384;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1" DrawAspect="Content" ObjectID="_1468075730" r:id="rId17">
            <o:LockedField>false</o:LockedField>
          </o:OLEObject>
        </w:pict>
      </w: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outlineLvl w:val="9"/>
        <w:rPr>
          <w:rFonts w:hint="eastAsia" w:ascii="仿宋" w:hAnsi="仿宋" w:eastAsia="仿宋"/>
          <w:b/>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bookmarkStart w:id="36" w:name="_Toc15377212"/>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2" w:firstLineChars="200"/>
        <w:outlineLvl w:val="1"/>
        <w:rPr>
          <w:rFonts w:ascii="仿宋" w:hAnsi="仿宋" w:eastAsia="仿宋"/>
          <w:color w:val="auto"/>
          <w:sz w:val="32"/>
          <w:szCs w:val="32"/>
          <w:highlight w:val="none"/>
        </w:rPr>
      </w:pPr>
      <w:bookmarkStart w:id="37" w:name="_Toc15377213"/>
      <w:bookmarkStart w:id="38" w:name="_Toc15377444"/>
      <w:bookmarkStart w:id="39" w:name="_Toc28690"/>
      <w:bookmarkStart w:id="40"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1035.87万元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7"/>
      <w:bookmarkEnd w:id="38"/>
      <w:bookmarkEnd w:id="39"/>
      <w:bookmarkEnd w:id="40"/>
    </w:p>
    <w:p>
      <w:pPr>
        <w:numPr>
          <w:ilvl w:val="0"/>
          <w:numId w:val="3"/>
        </w:numPr>
        <w:spacing w:line="600" w:lineRule="exact"/>
        <w:ind w:left="0" w:leftChars="0" w:firstLine="400" w:firstLineChars="0"/>
        <w:outlineLvl w:val="2"/>
        <w:rPr>
          <w:rStyle w:val="15"/>
          <w:rFonts w:hint="eastAsia" w:ascii="仿宋" w:hAnsi="仿宋" w:eastAsia="仿宋"/>
          <w:b w:val="0"/>
          <w:bCs/>
          <w:color w:val="000000"/>
          <w:sz w:val="32"/>
          <w:szCs w:val="32"/>
          <w:highlight w:val="none"/>
        </w:rPr>
      </w:pPr>
      <w:bookmarkStart w:id="41" w:name="_Toc15396608"/>
      <w:bookmarkStart w:id="42" w:name="_Toc15377214"/>
      <w:r>
        <w:rPr>
          <w:rStyle w:val="15"/>
          <w:rFonts w:hint="eastAsia" w:ascii="仿宋" w:hAnsi="仿宋" w:eastAsia="仿宋"/>
          <w:bCs/>
          <w:color w:val="000000"/>
          <w:sz w:val="32"/>
          <w:szCs w:val="32"/>
          <w:lang w:val="en-US" w:eastAsia="zh-CN"/>
        </w:rPr>
        <w:t>社会保障和就业支出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208</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行政事业单位离退休</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05</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 xml:space="preserve"> 机关事业单位基本养老保险缴费支出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05</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highlight w:val="none"/>
        </w:rPr>
        <w:t>为</w:t>
      </w:r>
      <w:r>
        <w:rPr>
          <w:rStyle w:val="15"/>
          <w:rFonts w:hint="eastAsia" w:ascii="仿宋" w:hAnsi="仿宋" w:eastAsia="仿宋"/>
          <w:b w:val="0"/>
          <w:bCs/>
          <w:color w:val="000000"/>
          <w:sz w:val="32"/>
          <w:szCs w:val="32"/>
          <w:highlight w:val="none"/>
          <w:lang w:val="en-US" w:eastAsia="zh-CN"/>
        </w:rPr>
        <w:t>44.17</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lang w:val="en-US" w:eastAsia="zh-CN"/>
        </w:rPr>
        <w:t>与预算持平</w:t>
      </w:r>
      <w:r>
        <w:rPr>
          <w:rStyle w:val="15"/>
          <w:rFonts w:hint="eastAsia" w:ascii="仿宋" w:hAnsi="仿宋" w:eastAsia="仿宋"/>
          <w:b w:val="0"/>
          <w:bCs/>
          <w:color w:val="000000"/>
          <w:sz w:val="32"/>
          <w:szCs w:val="32"/>
          <w:highlight w:val="none"/>
        </w:rPr>
        <w:t>。</w:t>
      </w:r>
    </w:p>
    <w:p>
      <w:pPr>
        <w:spacing w:line="600" w:lineRule="exact"/>
        <w:ind w:firstLine="321" w:firstLineChars="100"/>
        <w:rPr>
          <w:rFonts w:hint="eastAsia"/>
        </w:rPr>
      </w:pPr>
      <w:r>
        <w:rPr>
          <w:rStyle w:val="15"/>
          <w:rFonts w:hint="eastAsia" w:ascii="仿宋" w:hAnsi="仿宋" w:eastAsia="仿宋"/>
          <w:bCs/>
          <w:sz w:val="32"/>
          <w:szCs w:val="32"/>
          <w:lang w:val="en-US" w:eastAsia="zh-CN"/>
        </w:rPr>
        <w:t>2.</w:t>
      </w:r>
      <w:r>
        <w:rPr>
          <w:rStyle w:val="15"/>
          <w:rFonts w:hint="eastAsia" w:ascii="仿宋" w:hAnsi="仿宋" w:eastAsia="仿宋"/>
          <w:bCs/>
          <w:sz w:val="32"/>
          <w:szCs w:val="32"/>
        </w:rPr>
        <w:t>社会保障和就业（</w:t>
      </w:r>
      <w:r>
        <w:rPr>
          <w:rStyle w:val="15"/>
          <w:rFonts w:ascii="仿宋" w:hAnsi="仿宋" w:eastAsia="仿宋"/>
          <w:bCs/>
          <w:sz w:val="32"/>
          <w:szCs w:val="32"/>
        </w:rPr>
        <w:t>208</w:t>
      </w:r>
      <w:r>
        <w:rPr>
          <w:rStyle w:val="15"/>
          <w:rFonts w:hint="eastAsia" w:ascii="仿宋" w:hAnsi="仿宋" w:eastAsia="仿宋"/>
          <w:bCs/>
          <w:sz w:val="32"/>
          <w:szCs w:val="32"/>
        </w:rPr>
        <w:t>）残疾人事业（</w:t>
      </w:r>
      <w:r>
        <w:rPr>
          <w:rStyle w:val="15"/>
          <w:rFonts w:hint="eastAsia" w:ascii="仿宋" w:hAnsi="仿宋" w:eastAsia="仿宋"/>
          <w:bCs/>
          <w:sz w:val="32"/>
          <w:szCs w:val="32"/>
          <w:lang w:val="en-US" w:eastAsia="zh-CN"/>
        </w:rPr>
        <w:t>11</w:t>
      </w:r>
      <w:r>
        <w:rPr>
          <w:rStyle w:val="15"/>
          <w:rFonts w:hint="eastAsia" w:ascii="仿宋" w:hAnsi="仿宋" w:eastAsia="仿宋"/>
          <w:bCs/>
          <w:sz w:val="32"/>
          <w:szCs w:val="32"/>
        </w:rPr>
        <w:t>）残疾人就</w:t>
      </w:r>
      <w:r>
        <w:rPr>
          <w:rStyle w:val="15"/>
          <w:rFonts w:hint="eastAsia" w:ascii="仿宋" w:hAnsi="仿宋" w:eastAsia="仿宋"/>
          <w:bCs/>
          <w:sz w:val="32"/>
          <w:szCs w:val="32"/>
          <w:lang w:val="en-US" w:eastAsia="zh-CN"/>
        </w:rPr>
        <w:t>业</w:t>
      </w:r>
      <w:r>
        <w:rPr>
          <w:rStyle w:val="15"/>
          <w:rFonts w:hint="eastAsia" w:ascii="仿宋" w:hAnsi="仿宋" w:eastAsia="仿宋"/>
          <w:bCs/>
          <w:sz w:val="32"/>
          <w:szCs w:val="32"/>
        </w:rPr>
        <w:t>（</w:t>
      </w:r>
      <w:r>
        <w:rPr>
          <w:rStyle w:val="15"/>
          <w:rFonts w:ascii="仿宋" w:hAnsi="仿宋" w:eastAsia="仿宋"/>
          <w:bCs/>
          <w:sz w:val="32"/>
          <w:szCs w:val="32"/>
        </w:rPr>
        <w:t>05</w:t>
      </w:r>
      <w:r>
        <w:rPr>
          <w:rStyle w:val="15"/>
          <w:rFonts w:hint="eastAsia" w:ascii="仿宋" w:hAnsi="仿宋" w:eastAsia="仿宋"/>
          <w:bCs/>
          <w:sz w:val="32"/>
          <w:szCs w:val="32"/>
        </w:rPr>
        <w:t>）</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3.15</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textAlignment w:val="auto"/>
        <w:outlineLvl w:val="2"/>
        <w:rPr>
          <w:rFonts w:hint="eastAsia"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 xml:space="preserve">3.社会保障和就业支出（208）其他社会保障和就业支出（99）其他社会保障和就业支出（99）: </w:t>
      </w:r>
      <w:r>
        <w:rPr>
          <w:rFonts w:hint="eastAsia" w:ascii="仿宋" w:hAnsi="仿宋" w:eastAsia="仿宋"/>
          <w:b w:val="0"/>
          <w:bCs w:val="0"/>
          <w:color w:val="000000"/>
          <w:sz w:val="32"/>
          <w:szCs w:val="32"/>
          <w:lang w:val="en-US" w:eastAsia="zh-CN"/>
        </w:rPr>
        <w:t>支出决算为0.80万元，完成预算100%，与预算持平。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textAlignment w:val="auto"/>
        <w:outlineLvl w:val="2"/>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4.卫生健康支出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01</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11.64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Fonts w:hint="eastAsia"/>
        </w:rPr>
      </w:pPr>
      <w:r>
        <w:rPr>
          <w:rFonts w:hint="eastAsia" w:ascii="仿宋" w:hAnsi="仿宋" w:eastAsia="仿宋"/>
          <w:b/>
          <w:bCs/>
          <w:color w:val="000000"/>
          <w:sz w:val="32"/>
          <w:szCs w:val="32"/>
          <w:lang w:val="en-US" w:eastAsia="zh-CN"/>
        </w:rPr>
        <w:t>5.卫生健康支出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3.55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6.卫生健康支出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公务员医疗补助</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3.89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7.住房保障支出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221</w:t>
      </w:r>
      <w:r>
        <w:rPr>
          <w:rStyle w:val="15"/>
          <w:rFonts w:hint="eastAsia" w:ascii="仿宋" w:hAnsi="仿宋" w:eastAsia="仿宋"/>
          <w:bCs/>
          <w:color w:val="000000"/>
          <w:sz w:val="32"/>
          <w:szCs w:val="32"/>
        </w:rPr>
        <w:t>）</w:t>
      </w:r>
      <w:r>
        <w:rPr>
          <w:rFonts w:hint="eastAsia" w:ascii="仿宋" w:hAnsi="仿宋" w:eastAsia="仿宋"/>
          <w:b/>
          <w:bCs/>
          <w:color w:val="000000"/>
          <w:sz w:val="32"/>
          <w:szCs w:val="32"/>
          <w:lang w:val="en-US" w:eastAsia="zh-CN"/>
        </w:rPr>
        <w:t>住房改革支出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02）住房公积金</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01</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37.27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Fonts w:hint="default" w:eastAsia="仿宋"/>
          <w:highlight w:val="none"/>
          <w:lang w:val="en-US" w:eastAsia="zh-CN"/>
        </w:rPr>
      </w:pPr>
      <w:r>
        <w:rPr>
          <w:rFonts w:hint="eastAsia" w:ascii="仿宋" w:hAnsi="仿宋" w:eastAsia="仿宋"/>
          <w:b/>
          <w:bCs/>
          <w:color w:val="000000"/>
          <w:sz w:val="32"/>
          <w:szCs w:val="32"/>
          <w:highlight w:val="none"/>
          <w:lang w:val="en-US" w:eastAsia="zh-CN"/>
        </w:rPr>
        <w:t>8.灾害防治及应急管理支出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应急管理事务</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01）行政运行（01</w:t>
      </w:r>
      <w:r>
        <w:rPr>
          <w:rStyle w:val="15"/>
          <w:rFonts w:hint="eastAsia"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340.10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rPr>
      </w:pPr>
      <w:r>
        <w:rPr>
          <w:rFonts w:hint="eastAsia" w:ascii="仿宋" w:hAnsi="仿宋" w:eastAsia="仿宋"/>
          <w:b/>
          <w:bCs/>
          <w:color w:val="000000"/>
          <w:sz w:val="32"/>
          <w:szCs w:val="32"/>
          <w:highlight w:val="none"/>
          <w:lang w:val="en-US" w:eastAsia="zh-CN"/>
        </w:rPr>
        <w:t>9.灾害防治及应急管理支出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应急管理事务</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01）</w:t>
      </w:r>
      <w:r>
        <w:rPr>
          <w:rFonts w:hint="eastAsia" w:ascii="仿宋" w:hAnsi="仿宋" w:eastAsia="仿宋"/>
          <w:b/>
          <w:bCs/>
          <w:color w:val="000000"/>
          <w:sz w:val="32"/>
          <w:szCs w:val="32"/>
          <w:highlight w:val="none"/>
          <w:lang w:val="en-US" w:eastAsia="zh-CN"/>
        </w:rPr>
        <w:t xml:space="preserve">  一般行政管理事务（02</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203.70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Fonts w:hint="eastAsia"/>
        </w:rPr>
      </w:pPr>
      <w:r>
        <w:rPr>
          <w:rFonts w:hint="eastAsia" w:ascii="仿宋" w:hAnsi="仿宋" w:eastAsia="仿宋"/>
          <w:b/>
          <w:bCs/>
          <w:color w:val="000000"/>
          <w:sz w:val="32"/>
          <w:szCs w:val="32"/>
          <w:highlight w:val="none"/>
          <w:lang w:val="en-US" w:eastAsia="zh-CN"/>
        </w:rPr>
        <w:t>10.灾害防治及应急管理支出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应急管理事务</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0</w:t>
      </w:r>
      <w:r>
        <w:rPr>
          <w:rFonts w:hint="eastAsia" w:ascii="仿宋" w:hAnsi="仿宋" w:eastAsia="仿宋"/>
          <w:b/>
          <w:bCs/>
          <w:color w:val="000000"/>
          <w:sz w:val="32"/>
          <w:szCs w:val="32"/>
          <w:highlight w:val="none"/>
          <w:lang w:val="en-US" w:eastAsia="zh-CN"/>
        </w:rPr>
        <w:t>1）  应急救援（08</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3.00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highlight w:val="none"/>
        </w:rPr>
      </w:pPr>
      <w:r>
        <w:rPr>
          <w:rFonts w:hint="eastAsia" w:ascii="仿宋" w:hAnsi="仿宋" w:eastAsia="仿宋"/>
          <w:b/>
          <w:bCs/>
          <w:color w:val="000000"/>
          <w:sz w:val="32"/>
          <w:szCs w:val="32"/>
          <w:highlight w:val="none"/>
          <w:lang w:val="en-US" w:eastAsia="zh-CN"/>
        </w:rPr>
        <w:t>11.灾害防治及应急管理支出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应急管理事务</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01）事业运行（50）</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75.68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highlight w:val="none"/>
        </w:rPr>
      </w:pPr>
      <w:r>
        <w:rPr>
          <w:rFonts w:hint="eastAsia" w:ascii="仿宋" w:hAnsi="仿宋" w:eastAsia="仿宋"/>
          <w:b/>
          <w:bCs/>
          <w:color w:val="000000"/>
          <w:sz w:val="32"/>
          <w:szCs w:val="32"/>
          <w:highlight w:val="none"/>
          <w:lang w:val="en-US" w:eastAsia="zh-CN"/>
        </w:rPr>
        <w:t>12.灾害防治及应急管理支出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应急管理事务</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01</w:t>
      </w:r>
      <w:r>
        <w:rPr>
          <w:rFonts w:hint="eastAsia" w:ascii="仿宋" w:hAnsi="仿宋" w:eastAsia="仿宋"/>
          <w:b/>
          <w:bCs/>
          <w:color w:val="000000"/>
          <w:sz w:val="32"/>
          <w:szCs w:val="32"/>
          <w:highlight w:val="none"/>
          <w:lang w:val="en-US" w:eastAsia="zh-CN"/>
        </w:rPr>
        <w:t>）其他应急管理支出（99</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68.65</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lang w:val="en-US" w:eastAsia="zh-CN"/>
        </w:rPr>
        <w:t>与预算持平</w:t>
      </w:r>
      <w:r>
        <w:rPr>
          <w:rStyle w:val="15"/>
          <w:rFonts w:hint="eastAsia" w:ascii="仿宋" w:hAnsi="仿宋" w:eastAsia="仿宋"/>
          <w:b w:val="0"/>
          <w:bCs/>
          <w:color w:val="000000"/>
          <w:sz w:val="32"/>
          <w:szCs w:val="32"/>
          <w:highlight w:val="none"/>
        </w:rPr>
        <w:t>。</w:t>
      </w:r>
    </w:p>
    <w:p>
      <w:pPr>
        <w:numPr>
          <w:ilvl w:val="0"/>
          <w:numId w:val="0"/>
        </w:numPr>
        <w:spacing w:line="600" w:lineRule="exact"/>
        <w:ind w:firstLine="321" w:firstLineChars="100"/>
        <w:outlineLvl w:val="2"/>
        <w:rPr>
          <w:rStyle w:val="15"/>
          <w:rFonts w:hint="eastAsia" w:ascii="仿宋" w:hAnsi="仿宋" w:eastAsia="仿宋"/>
          <w:b w:val="0"/>
          <w:bCs/>
          <w:color w:val="000000"/>
          <w:sz w:val="32"/>
          <w:szCs w:val="32"/>
        </w:rPr>
      </w:pPr>
      <w:r>
        <w:rPr>
          <w:rFonts w:hint="eastAsia" w:ascii="仿宋" w:hAnsi="仿宋" w:eastAsia="仿宋"/>
          <w:b/>
          <w:bCs/>
          <w:color w:val="000000"/>
          <w:sz w:val="32"/>
          <w:szCs w:val="32"/>
          <w:highlight w:val="none"/>
          <w:lang w:val="en-US" w:eastAsia="zh-CN"/>
        </w:rPr>
        <w:t>13.灾害防治及应急管理支出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自然灾害救灾及恢复重建支出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07</w:t>
      </w:r>
      <w:r>
        <w:rPr>
          <w:rFonts w:hint="eastAsia" w:ascii="仿宋" w:hAnsi="仿宋" w:eastAsia="仿宋"/>
          <w:b/>
          <w:bCs/>
          <w:color w:val="000000"/>
          <w:sz w:val="32"/>
          <w:szCs w:val="32"/>
          <w:highlight w:val="none"/>
          <w:lang w:val="en-US" w:eastAsia="zh-CN"/>
        </w:rPr>
        <w:t>）自然灾害救灾补助（03</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120.26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numPr>
          <w:ilvl w:val="0"/>
          <w:numId w:val="0"/>
        </w:numPr>
        <w:spacing w:line="600" w:lineRule="exact"/>
        <w:ind w:firstLine="321" w:firstLineChars="100"/>
        <w:outlineLvl w:val="2"/>
        <w:rPr>
          <w:rFonts w:ascii="仿宋" w:hAnsi="仿宋" w:eastAsia="仿宋"/>
          <w:b/>
          <w:color w:val="auto"/>
          <w:sz w:val="32"/>
          <w:szCs w:val="32"/>
          <w:highlight w:val="none"/>
        </w:rPr>
      </w:pPr>
      <w:r>
        <w:rPr>
          <w:rFonts w:hint="eastAsia" w:ascii="仿宋" w:hAnsi="仿宋" w:eastAsia="仿宋"/>
          <w:b/>
          <w:bCs/>
          <w:color w:val="000000"/>
          <w:sz w:val="32"/>
          <w:szCs w:val="32"/>
          <w:highlight w:val="none"/>
          <w:lang w:val="en-US" w:eastAsia="zh-CN"/>
        </w:rPr>
        <w:t>14.灾害防治及应急管理支出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224</w:t>
      </w:r>
      <w:r>
        <w:rPr>
          <w:rStyle w:val="15"/>
          <w:rFonts w:hint="eastAsia"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其他灾害防治及应急管理支出</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val="en-US" w:eastAsia="zh-CN"/>
        </w:rPr>
        <w:t>99</w:t>
      </w:r>
      <w:r>
        <w:rPr>
          <w:rFonts w:hint="eastAsia" w:ascii="仿宋" w:hAnsi="仿宋" w:eastAsia="仿宋"/>
          <w:b/>
          <w:bCs/>
          <w:color w:val="000000"/>
          <w:sz w:val="32"/>
          <w:szCs w:val="32"/>
          <w:highlight w:val="none"/>
          <w:lang w:val="en-US" w:eastAsia="zh-CN"/>
        </w:rPr>
        <w:t>）其他灾害防治及应急管理支出（99</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与预算持平</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18"/>
          <w:color w:val="auto"/>
          <w:highlight w:val="none"/>
        </w:rPr>
      </w:pPr>
      <w:bookmarkStart w:id="43" w:name="_Toc1422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41"/>
      <w:bookmarkEnd w:id="42"/>
      <w:bookmarkEnd w:id="43"/>
      <w:r>
        <w:rPr>
          <w:rStyle w:val="1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520.26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429.9</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rPr>
        <w:t>基本工资、津贴补贴、奖金、绩效工资、机关事业单位基本养老保险缴费</w:t>
      </w:r>
      <w:r>
        <w:rPr>
          <w:rFonts w:hint="eastAsia" w:ascii="仿宋" w:hAnsi="仿宋" w:eastAsia="仿宋"/>
          <w:color w:val="000000"/>
          <w:sz w:val="32"/>
          <w:szCs w:val="32"/>
          <w:highlight w:val="none"/>
        </w:rPr>
        <w:t>、职工基本医疗保险缴费</w:t>
      </w:r>
      <w:r>
        <w:rPr>
          <w:rFonts w:hint="eastAsia" w:ascii="仿宋" w:hAnsi="仿宋" w:eastAsia="仿宋"/>
          <w:color w:val="000000"/>
          <w:sz w:val="32"/>
          <w:szCs w:val="32"/>
          <w:highlight w:val="none"/>
          <w:lang w:eastAsia="zh-CN"/>
        </w:rPr>
        <w:t>、公务员医疗补助、</w:t>
      </w:r>
      <w:r>
        <w:rPr>
          <w:rFonts w:hint="eastAsia" w:ascii="仿宋" w:hAnsi="仿宋" w:eastAsia="仿宋"/>
          <w:color w:val="000000"/>
          <w:sz w:val="32"/>
          <w:szCs w:val="32"/>
          <w:highlight w:val="none"/>
        </w:rPr>
        <w:t>其他社会保障缴费</w:t>
      </w:r>
      <w:r>
        <w:rPr>
          <w:rFonts w:hint="eastAsia" w:ascii="仿宋" w:hAnsi="仿宋" w:eastAsia="仿宋"/>
          <w:color w:val="000000"/>
          <w:sz w:val="32"/>
          <w:szCs w:val="32"/>
        </w:rPr>
        <w:t>、住房公积金、其他工资福利支出、其他个人和家庭的补助支出等。</w:t>
      </w:r>
    </w:p>
    <w:p>
      <w:pPr>
        <w:spacing w:line="600" w:lineRule="exact"/>
        <w:ind w:firstLine="645"/>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90.16</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rPr>
        <w:t>办公费、</w:t>
      </w:r>
      <w:r>
        <w:rPr>
          <w:rFonts w:hint="eastAsia" w:ascii="仿宋" w:hAnsi="仿宋" w:eastAsia="仿宋"/>
          <w:color w:val="000000"/>
          <w:sz w:val="32"/>
          <w:szCs w:val="32"/>
          <w:lang w:val="en-US" w:eastAsia="zh-CN"/>
        </w:rPr>
        <w:t>印刷费</w:t>
      </w:r>
      <w:r>
        <w:rPr>
          <w:rFonts w:hint="eastAsia" w:ascii="仿宋" w:hAnsi="仿宋" w:eastAsia="仿宋"/>
          <w:color w:val="000000"/>
          <w:sz w:val="32"/>
          <w:szCs w:val="32"/>
        </w:rPr>
        <w:t>、</w:t>
      </w:r>
      <w:r>
        <w:rPr>
          <w:rFonts w:hint="eastAsia" w:ascii="仿宋" w:hAnsi="仿宋" w:eastAsia="仿宋"/>
          <w:color w:val="000000"/>
          <w:sz w:val="32"/>
          <w:szCs w:val="32"/>
          <w:lang w:eastAsia="zh-CN"/>
        </w:rPr>
        <w:t>水费、</w:t>
      </w:r>
      <w:r>
        <w:rPr>
          <w:rFonts w:hint="eastAsia" w:ascii="仿宋" w:hAnsi="仿宋" w:eastAsia="仿宋"/>
          <w:color w:val="000000"/>
          <w:sz w:val="32"/>
          <w:szCs w:val="32"/>
        </w:rPr>
        <w:t>电费、邮电费、</w:t>
      </w:r>
      <w:r>
        <w:rPr>
          <w:rFonts w:hint="eastAsia" w:ascii="仿宋" w:hAnsi="仿宋" w:eastAsia="仿宋"/>
          <w:color w:val="000000"/>
          <w:sz w:val="32"/>
          <w:szCs w:val="32"/>
          <w:highlight w:val="none"/>
          <w:lang w:eastAsia="zh-CN"/>
        </w:rPr>
        <w:t>差旅费、</w:t>
      </w:r>
      <w:r>
        <w:rPr>
          <w:rFonts w:hint="eastAsia" w:ascii="仿宋" w:hAnsi="仿宋" w:eastAsia="仿宋"/>
          <w:color w:val="000000"/>
          <w:sz w:val="32"/>
          <w:szCs w:val="32"/>
          <w:highlight w:val="none"/>
        </w:rPr>
        <w:t>维修（</w:t>
      </w:r>
      <w:r>
        <w:rPr>
          <w:rFonts w:hint="eastAsia" w:ascii="仿宋" w:hAnsi="仿宋" w:eastAsia="仿宋"/>
          <w:color w:val="000000"/>
          <w:sz w:val="32"/>
          <w:szCs w:val="32"/>
        </w:rPr>
        <w:t>护）费</w:t>
      </w:r>
      <w:r>
        <w:rPr>
          <w:rFonts w:hint="eastAsia" w:ascii="仿宋" w:hAnsi="仿宋" w:eastAsia="仿宋"/>
          <w:strike w:val="0"/>
          <w:dstrike w:val="0"/>
          <w:color w:val="000000"/>
          <w:sz w:val="32"/>
          <w:szCs w:val="32"/>
        </w:rPr>
        <w:t>、</w:t>
      </w:r>
      <w:r>
        <w:rPr>
          <w:rFonts w:hint="eastAsia" w:ascii="仿宋" w:hAnsi="仿宋" w:eastAsia="仿宋"/>
          <w:strike w:val="0"/>
          <w:dstrike w:val="0"/>
          <w:color w:val="000000"/>
          <w:sz w:val="32"/>
          <w:szCs w:val="32"/>
          <w:lang w:val="en-US" w:eastAsia="zh-CN"/>
        </w:rPr>
        <w:t>租赁费、培训</w:t>
      </w:r>
      <w:r>
        <w:rPr>
          <w:rFonts w:hint="eastAsia" w:ascii="仿宋" w:hAnsi="仿宋" w:eastAsia="仿宋"/>
          <w:strike w:val="0"/>
          <w:dstrike w:val="0"/>
          <w:color w:val="000000"/>
          <w:sz w:val="32"/>
          <w:szCs w:val="32"/>
        </w:rPr>
        <w:t>费、</w:t>
      </w:r>
      <w:r>
        <w:rPr>
          <w:rFonts w:hint="eastAsia" w:ascii="仿宋" w:hAnsi="仿宋" w:eastAsia="仿宋"/>
          <w:color w:val="000000"/>
          <w:sz w:val="32"/>
          <w:szCs w:val="32"/>
        </w:rPr>
        <w:t>会议费、公务接待费、劳务费、</w:t>
      </w:r>
      <w:r>
        <w:rPr>
          <w:rFonts w:hint="eastAsia" w:ascii="仿宋" w:hAnsi="仿宋" w:eastAsia="仿宋"/>
          <w:color w:val="000000"/>
          <w:sz w:val="32"/>
          <w:szCs w:val="32"/>
          <w:lang w:val="en-US" w:eastAsia="zh-CN"/>
        </w:rPr>
        <w:t>工会经费、</w:t>
      </w:r>
      <w:r>
        <w:rPr>
          <w:rFonts w:hint="eastAsia" w:ascii="仿宋" w:hAnsi="仿宋" w:eastAsia="仿宋"/>
          <w:color w:val="000000"/>
          <w:sz w:val="32"/>
          <w:szCs w:val="32"/>
        </w:rPr>
        <w:t>福利费、公务用车运行维护费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其他交通费、其他商品和服务支出等。</w:t>
      </w:r>
    </w:p>
    <w:p>
      <w:pPr>
        <w:spacing w:line="600" w:lineRule="exact"/>
        <w:ind w:firstLine="640"/>
        <w:outlineLvl w:val="1"/>
        <w:rPr>
          <w:rStyle w:val="18"/>
          <w:rFonts w:ascii="黑体" w:hAnsi="黑体" w:eastAsia="黑体"/>
          <w:b w:val="0"/>
          <w:color w:val="auto"/>
          <w:highlight w:val="none"/>
        </w:rPr>
      </w:pPr>
      <w:bookmarkStart w:id="44" w:name="_Toc18120"/>
      <w:bookmarkStart w:id="45" w:name="_Toc15396609"/>
      <w:bookmarkStart w:id="46" w:name="_Toc15377215"/>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44"/>
      <w:bookmarkEnd w:id="45"/>
      <w:bookmarkEnd w:id="46"/>
    </w:p>
    <w:p>
      <w:pPr>
        <w:spacing w:line="600" w:lineRule="exact"/>
        <w:ind w:firstLine="640"/>
        <w:outlineLvl w:val="2"/>
        <w:rPr>
          <w:rFonts w:ascii="仿宋" w:hAnsi="仿宋" w:eastAsia="仿宋"/>
          <w:b/>
          <w:color w:val="auto"/>
          <w:sz w:val="32"/>
          <w:szCs w:val="32"/>
          <w:highlight w:val="none"/>
        </w:rPr>
      </w:pPr>
      <w:bookmarkStart w:id="47" w:name="_Toc15377216"/>
      <w:r>
        <w:rPr>
          <w:rFonts w:hint="eastAsia" w:ascii="仿宋" w:hAnsi="仿宋" w:eastAsia="仿宋"/>
          <w:b/>
          <w:color w:val="auto"/>
          <w:sz w:val="32"/>
          <w:szCs w:val="32"/>
          <w:highlight w:val="none"/>
        </w:rPr>
        <w:t>（一）“三公”经费财政拨款支出决算总体情况说明</w:t>
      </w:r>
      <w:bookmarkEnd w:id="47"/>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21.01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19.29万元，增长1121.51%。</w:t>
      </w:r>
      <w:r>
        <w:rPr>
          <w:rStyle w:val="15"/>
          <w:rFonts w:hint="eastAsia" w:ascii="仿宋" w:hAnsi="仿宋" w:eastAsia="仿宋"/>
          <w:b w:val="0"/>
          <w:bCs/>
          <w:sz w:val="32"/>
          <w:szCs w:val="32"/>
        </w:rPr>
        <w:t>决算数与预算数持平。</w:t>
      </w:r>
    </w:p>
    <w:p>
      <w:pPr>
        <w:spacing w:line="600" w:lineRule="exact"/>
        <w:ind w:firstLine="640"/>
        <w:outlineLvl w:val="2"/>
        <w:rPr>
          <w:rFonts w:ascii="仿宋" w:hAnsi="仿宋" w:eastAsia="仿宋"/>
          <w:b/>
          <w:color w:val="auto"/>
          <w:sz w:val="32"/>
          <w:szCs w:val="32"/>
          <w:highlight w:val="none"/>
        </w:rPr>
      </w:pPr>
      <w:bookmarkStart w:id="48" w:name="_Toc15377217"/>
      <w:r>
        <w:rPr>
          <w:rFonts w:hint="eastAsia" w:ascii="仿宋" w:hAnsi="仿宋" w:eastAsia="仿宋"/>
          <w:b/>
          <w:color w:val="auto"/>
          <w:sz w:val="32"/>
          <w:szCs w:val="32"/>
          <w:highlight w:val="none"/>
        </w:rPr>
        <w:t>（二）“三公”经费财政拨款支出决算具体情况说明</w:t>
      </w:r>
      <w:bookmarkEnd w:id="48"/>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18.67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88.86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11.14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rPr>
          <w:rFonts w:ascii="仿宋" w:hAnsi="仿宋" w:eastAsia="仿宋"/>
          <w:color w:val="000000"/>
          <w:sz w:val="32"/>
          <w:szCs w:val="32"/>
        </w:rPr>
        <w:pict>
          <v:shape id="_x0000_s1032" o:spid="_x0000_s1032" o:spt="75" type="#_x0000_t75" style="position:absolute;left:0pt;margin-left:41pt;margin-top:22.4pt;height:159.65pt;width:350.9pt;mso-wrap-distance-bottom:0pt;mso-wrap-distance-left:9pt;mso-wrap-distance-right:9pt;mso-wrap-distance-top:0pt;z-index:251665408;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2" DrawAspect="Content" ObjectID="_1468075731" r:id="rId19">
            <o:LockedField>false</o:LockedField>
          </o:OLEObject>
        </w:pict>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jc w:val="left"/>
        <w:rPr>
          <w:rFonts w:hint="eastAsia" w:ascii="仿宋_GB2312" w:eastAsia="仿宋_GB2312"/>
          <w:b/>
          <w:color w:val="auto"/>
          <w:sz w:val="32"/>
          <w:szCs w:val="32"/>
          <w:highlight w:val="none"/>
          <w:lang w:val="en-US" w:eastAsia="zh-CN"/>
        </w:rPr>
      </w:pP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未安排</w:t>
      </w:r>
      <w:r>
        <w:rPr>
          <w:rFonts w:hint="eastAsia" w:ascii="仿宋_GB2312" w:eastAsia="仿宋_GB2312"/>
          <w:color w:val="000000"/>
          <w:sz w:val="32"/>
          <w:szCs w:val="32"/>
        </w:rPr>
        <w:t>因公出国（境）</w:t>
      </w:r>
      <w:r>
        <w:rPr>
          <w:rFonts w:hint="eastAsia" w:ascii="仿宋_GB2312" w:eastAsia="仿宋_GB2312"/>
          <w:color w:val="000000"/>
          <w:sz w:val="32"/>
          <w:szCs w:val="32"/>
          <w:lang w:val="en-US" w:eastAsia="zh-CN"/>
        </w:rPr>
        <w:t>预算</w:t>
      </w:r>
      <w:r>
        <w:rPr>
          <w:rFonts w:hint="eastAsia" w:ascii="仿宋_GB2312" w:eastAsia="仿宋_GB2312"/>
          <w:color w:val="000000"/>
          <w:sz w:val="32"/>
          <w:szCs w:val="32"/>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18.67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18.67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购买</w:t>
      </w:r>
      <w:r>
        <w:rPr>
          <w:rFonts w:hint="eastAsia" w:ascii="仿宋_GB2312" w:eastAsia="仿宋_GB2312"/>
          <w:color w:val="auto"/>
          <w:sz w:val="32"/>
          <w:szCs w:val="32"/>
          <w:highlight w:val="none"/>
        </w:rPr>
        <w:t>公务用车</w:t>
      </w:r>
      <w:r>
        <w:rPr>
          <w:rFonts w:hint="eastAsia" w:ascii="仿宋_GB2312" w:eastAsia="仿宋_GB2312"/>
          <w:color w:val="auto"/>
          <w:sz w:val="32"/>
          <w:szCs w:val="32"/>
          <w:highlight w:val="none"/>
          <w:lang w:val="en-US" w:eastAsia="zh-CN"/>
        </w:rPr>
        <w:t>及发生相应</w:t>
      </w:r>
      <w:r>
        <w:rPr>
          <w:rFonts w:hint="eastAsia" w:ascii="仿宋_GB2312" w:eastAsia="仿宋_GB2312"/>
          <w:color w:val="auto"/>
          <w:sz w:val="32"/>
          <w:szCs w:val="32"/>
          <w:highlight w:val="none"/>
        </w:rPr>
        <w:t>运行维护费。</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17.99</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17.99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Times New Roman" w:hAnsi="Times New Roman" w:cs="Times New Roman"/>
          <w:sz w:val="32"/>
          <w:szCs w:val="32"/>
          <w:highlight w:val="none"/>
          <w:lang w:val="en-US" w:eastAsia="zh-CN"/>
        </w:rPr>
        <w:t>提高执法检查、应急处置等</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外出检查</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2.34</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36.05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Times New Roman" w:eastAsia="仿宋_GB2312" w:cs="Times New Roman"/>
          <w:color w:val="auto"/>
          <w:sz w:val="32"/>
          <w:szCs w:val="32"/>
          <w:highlight w:val="none"/>
        </w:rPr>
        <w:t>接待</w:t>
      </w:r>
      <w:r>
        <w:rPr>
          <w:rFonts w:hint="eastAsia" w:ascii="仿宋_GB2312" w:hAnsi="Times New Roman" w:eastAsia="仿宋_GB2312" w:cs="Times New Roman"/>
          <w:color w:val="auto"/>
          <w:sz w:val="32"/>
          <w:szCs w:val="32"/>
          <w:highlight w:val="none"/>
          <w:lang w:eastAsia="zh-CN"/>
        </w:rPr>
        <w:t>国、</w:t>
      </w:r>
      <w:r>
        <w:rPr>
          <w:rFonts w:hint="eastAsia" w:ascii="仿宋_GB2312" w:hAnsi="Times New Roman" w:eastAsia="仿宋_GB2312" w:cs="Times New Roman"/>
          <w:color w:val="auto"/>
          <w:sz w:val="32"/>
          <w:szCs w:val="32"/>
          <w:highlight w:val="none"/>
        </w:rPr>
        <w:t>省、市领导</w:t>
      </w:r>
      <w:r>
        <w:rPr>
          <w:rFonts w:hint="eastAsia" w:ascii="仿宋_GB2312" w:hAnsi="Times New Roman" w:eastAsia="仿宋_GB2312" w:cs="Times New Roman"/>
          <w:color w:val="auto"/>
          <w:sz w:val="32"/>
          <w:szCs w:val="32"/>
          <w:highlight w:val="none"/>
          <w:lang w:eastAsia="zh-CN"/>
        </w:rPr>
        <w:t>督导</w:t>
      </w:r>
      <w:r>
        <w:rPr>
          <w:rFonts w:hint="eastAsia" w:ascii="仿宋_GB2312" w:hAnsi="Times New Roman" w:eastAsia="仿宋_GB2312" w:cs="Times New Roman"/>
          <w:color w:val="auto"/>
          <w:sz w:val="32"/>
          <w:szCs w:val="32"/>
          <w:highlight w:val="none"/>
        </w:rPr>
        <w:t>检查工作</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外地</w:t>
      </w:r>
      <w:r>
        <w:rPr>
          <w:rFonts w:hint="eastAsia" w:ascii="仿宋_GB2312" w:hAnsi="Times New Roman" w:eastAsia="仿宋_GB2312" w:cs="Times New Roman"/>
          <w:color w:val="auto"/>
          <w:sz w:val="32"/>
          <w:szCs w:val="32"/>
          <w:highlight w:val="none"/>
          <w:lang w:eastAsia="zh-CN"/>
        </w:rPr>
        <w:t>应急</w:t>
      </w:r>
      <w:r>
        <w:rPr>
          <w:rFonts w:hint="eastAsia" w:ascii="仿宋_GB2312" w:hAnsi="Times New Roman" w:eastAsia="仿宋_GB2312" w:cs="Times New Roman"/>
          <w:color w:val="auto"/>
          <w:sz w:val="32"/>
          <w:szCs w:val="32"/>
          <w:highlight w:val="none"/>
        </w:rPr>
        <w:t>机关到我区进行业务交流等公务活动开支的交通费、住宿费、用餐费等</w:t>
      </w:r>
      <w:r>
        <w:rPr>
          <w:rFonts w:hint="eastAsia" w:ascii="仿宋_GB2312" w:hAnsi="Times New Roman" w:eastAsia="仿宋_GB2312" w:cs="Times New Roman"/>
          <w:color w:val="auto"/>
          <w:sz w:val="32"/>
          <w:szCs w:val="32"/>
          <w:highlight w:val="none"/>
          <w:lang w:eastAsia="zh-CN"/>
        </w:rPr>
        <w:t>增多</w:t>
      </w:r>
      <w:r>
        <w:rPr>
          <w:rFonts w:hint="eastAsia" w:ascii="仿宋_GB2312" w:hAnsi="Times New Roman" w:eastAsia="仿宋_GB2312" w:cs="Times New Roman"/>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2.34</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221</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2.34</w:t>
      </w:r>
      <w:r>
        <w:rPr>
          <w:rFonts w:hint="eastAsia" w:ascii="仿宋_GB2312" w:eastAsia="仿宋_GB2312"/>
          <w:color w:val="auto"/>
          <w:sz w:val="32"/>
          <w:szCs w:val="32"/>
          <w:highlight w:val="none"/>
        </w:rPr>
        <w:t>万元，具体内容包括：</w:t>
      </w:r>
      <w:r>
        <w:rPr>
          <w:rFonts w:hint="eastAsia" w:ascii="仿宋_GB2312" w:eastAsia="仿宋_GB2312" w:cs="Times New Roman"/>
          <w:color w:val="auto"/>
          <w:sz w:val="32"/>
          <w:szCs w:val="32"/>
          <w:highlight w:val="none"/>
          <w:lang w:val="en-US" w:eastAsia="zh-CN"/>
        </w:rPr>
        <w:t>4月</w:t>
      </w:r>
      <w:r>
        <w:rPr>
          <w:rFonts w:hint="eastAsia" w:ascii="仿宋_GB2312" w:eastAsia="仿宋_GB2312" w:cs="Times New Roman"/>
          <w:color w:val="auto"/>
          <w:sz w:val="32"/>
          <w:szCs w:val="32"/>
          <w:highlight w:val="none"/>
        </w:rPr>
        <w:t>接待省监督组</w:t>
      </w:r>
      <w:r>
        <w:rPr>
          <w:rFonts w:hint="eastAsia" w:ascii="仿宋_GB2312" w:eastAsia="仿宋_GB2312" w:cs="Times New Roman"/>
          <w:color w:val="auto"/>
          <w:sz w:val="32"/>
          <w:szCs w:val="32"/>
          <w:highlight w:val="none"/>
          <w:lang w:val="en-US" w:eastAsia="zh-CN"/>
        </w:rPr>
        <w:t>餐费0.34万元、6月</w:t>
      </w:r>
      <w:r>
        <w:rPr>
          <w:rFonts w:hint="eastAsia" w:ascii="仿宋_GB2312" w:eastAsia="仿宋_GB2312" w:cs="Times New Roman"/>
          <w:color w:val="auto"/>
          <w:sz w:val="32"/>
          <w:szCs w:val="32"/>
          <w:highlight w:val="none"/>
        </w:rPr>
        <w:t>接待营山县应急管理局餐费</w:t>
      </w:r>
      <w:r>
        <w:rPr>
          <w:rFonts w:hint="eastAsia" w:ascii="仿宋_GB2312" w:eastAsia="仿宋_GB2312" w:cs="Times New Roman"/>
          <w:color w:val="auto"/>
          <w:sz w:val="32"/>
          <w:szCs w:val="32"/>
          <w:highlight w:val="none"/>
          <w:lang w:val="en-US" w:eastAsia="zh-CN"/>
        </w:rPr>
        <w:t>0.14万元、8月</w:t>
      </w:r>
      <w:r>
        <w:rPr>
          <w:rFonts w:hint="eastAsia" w:ascii="仿宋_GB2312" w:eastAsia="仿宋_GB2312" w:cs="Times New Roman"/>
          <w:color w:val="auto"/>
          <w:sz w:val="32"/>
          <w:szCs w:val="32"/>
          <w:highlight w:val="none"/>
        </w:rPr>
        <w:t>接待防灾督导工作组餐费</w:t>
      </w:r>
      <w:r>
        <w:rPr>
          <w:rFonts w:hint="eastAsia" w:ascii="仿宋_GB2312" w:eastAsia="仿宋_GB2312" w:cs="Times New Roman"/>
          <w:color w:val="auto"/>
          <w:sz w:val="32"/>
          <w:szCs w:val="32"/>
          <w:highlight w:val="none"/>
          <w:lang w:val="en-US" w:eastAsia="zh-CN"/>
        </w:rPr>
        <w:t>0.48万元等</w:t>
      </w:r>
      <w:r>
        <w:rPr>
          <w:rFonts w:hint="eastAsia" w:ascii="仿宋_GB2312" w:eastAsia="仿宋_GB2312" w:cs="Times New Roman"/>
          <w:color w:val="auto"/>
          <w:sz w:val="32"/>
          <w:szCs w:val="32"/>
          <w:highlight w:val="none"/>
        </w:rPr>
        <w:t>。</w:t>
      </w:r>
    </w:p>
    <w:p>
      <w:pPr>
        <w:spacing w:line="600" w:lineRule="exact"/>
        <w:ind w:firstLine="642" w:firstLineChars="200"/>
        <w:rPr>
          <w:rFonts w:ascii="黑体" w:eastAsia="黑体"/>
          <w:color w:val="auto"/>
          <w:sz w:val="32"/>
          <w:szCs w:val="32"/>
          <w:highlight w:val="none"/>
        </w:rPr>
      </w:pPr>
      <w:bookmarkStart w:id="49" w:name="_Toc15377218"/>
      <w:bookmarkStart w:id="50" w:name="_Toc15396610"/>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外事接待</w:t>
      </w:r>
      <w:r>
        <w:rPr>
          <w:rFonts w:hint="eastAsia" w:ascii="仿宋_GB2312" w:eastAsia="仿宋_GB2312"/>
          <w:color w:val="000000"/>
          <w:sz w:val="32"/>
          <w:szCs w:val="32"/>
          <w:lang w:eastAsia="zh-CN"/>
        </w:rPr>
        <w:t>。</w:t>
      </w:r>
    </w:p>
    <w:p>
      <w:pPr>
        <w:spacing w:line="600" w:lineRule="exact"/>
        <w:ind w:firstLine="640"/>
        <w:outlineLvl w:val="1"/>
        <w:rPr>
          <w:rStyle w:val="18"/>
          <w:rFonts w:ascii="黑体" w:hAnsi="黑体" w:eastAsia="黑体"/>
          <w:color w:val="auto"/>
          <w:highlight w:val="none"/>
        </w:rPr>
      </w:pPr>
      <w:bookmarkStart w:id="51" w:name="_Toc31615"/>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9"/>
      <w:bookmarkEnd w:id="50"/>
      <w:bookmarkEnd w:id="51"/>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18"/>
          <w:rFonts w:ascii="黑体" w:hAnsi="黑体" w:eastAsia="黑体"/>
          <w:b w:val="0"/>
          <w:color w:val="auto"/>
          <w:highlight w:val="none"/>
        </w:rPr>
      </w:pPr>
      <w:bookmarkStart w:id="52" w:name="_Toc15320"/>
      <w:bookmarkStart w:id="53" w:name="_Toc15396611"/>
      <w:bookmarkStart w:id="54" w:name="_Toc15377219"/>
      <w:r>
        <w:rPr>
          <w:rStyle w:val="18"/>
          <w:rFonts w:hint="eastAsia" w:ascii="黑体" w:hAnsi="黑体" w:eastAsia="黑体"/>
          <w:b w:val="0"/>
          <w:color w:val="auto"/>
          <w:highlight w:val="none"/>
        </w:rPr>
        <w:t>国有资本经营预算支出决算情况说明</w:t>
      </w:r>
      <w:bookmarkEnd w:id="52"/>
      <w:bookmarkEnd w:id="53"/>
      <w:bookmarkEnd w:id="54"/>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18"/>
          <w:rFonts w:hint="eastAsia" w:ascii="黑体" w:hAnsi="黑体" w:eastAsia="黑体"/>
          <w:b w:val="0"/>
          <w:color w:val="auto"/>
          <w:highlight w:val="none"/>
        </w:rPr>
      </w:pPr>
      <w:bookmarkStart w:id="55" w:name="_Toc15396612"/>
      <w:bookmarkStart w:id="56" w:name="_Toc15377221"/>
      <w:bookmarkStart w:id="57" w:name="_Toc3647"/>
      <w:r>
        <w:rPr>
          <w:rStyle w:val="18"/>
          <w:rFonts w:hint="eastAsia" w:ascii="黑体" w:hAnsi="黑体" w:eastAsia="黑体"/>
          <w:b w:val="0"/>
          <w:color w:val="auto"/>
          <w:highlight w:val="none"/>
        </w:rPr>
        <w:t>其他重要事项的情况说明</w:t>
      </w:r>
      <w:bookmarkEnd w:id="55"/>
      <w:bookmarkEnd w:id="56"/>
      <w:bookmarkEnd w:id="57"/>
    </w:p>
    <w:p>
      <w:pPr>
        <w:spacing w:line="600" w:lineRule="exact"/>
        <w:ind w:firstLine="642" w:firstLineChars="200"/>
        <w:outlineLvl w:val="2"/>
        <w:rPr>
          <w:rFonts w:ascii="仿宋" w:hAnsi="仿宋" w:eastAsia="仿宋"/>
          <w:color w:val="auto"/>
          <w:sz w:val="32"/>
          <w:szCs w:val="32"/>
          <w:highlight w:val="none"/>
        </w:rPr>
      </w:pPr>
      <w:bookmarkStart w:id="58" w:name="_Toc15377222"/>
      <w:r>
        <w:rPr>
          <w:rFonts w:hint="eastAsia" w:ascii="仿宋" w:hAnsi="仿宋" w:eastAsia="仿宋"/>
          <w:b/>
          <w:color w:val="auto"/>
          <w:sz w:val="32"/>
          <w:szCs w:val="32"/>
          <w:highlight w:val="none"/>
        </w:rPr>
        <w:t>（一）机关运行经费支出情况</w:t>
      </w:r>
      <w:bookmarkEnd w:id="58"/>
    </w:p>
    <w:p>
      <w:pPr>
        <w:spacing w:line="600" w:lineRule="exact"/>
        <w:ind w:firstLine="640" w:firstLineChars="200"/>
        <w:rPr>
          <w:rFonts w:hint="eastAsia" w:ascii="仿宋_GB2312" w:eastAsia="仿宋_GB2312" w:cs="Times New Roman"/>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000000"/>
          <w:sz w:val="32"/>
          <w:szCs w:val="32"/>
          <w:lang w:eastAsia="zh-CN"/>
        </w:rPr>
        <w:t>区应急管理局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90.16</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16.86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s="Times New Roman"/>
          <w:color w:val="auto"/>
          <w:sz w:val="32"/>
          <w:szCs w:val="32"/>
          <w:highlight w:val="none"/>
          <w:lang w:eastAsia="zh-CN"/>
        </w:rPr>
        <w:t>本年有人员调入。</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9" w:name="_Toc15377223"/>
      <w:r>
        <w:rPr>
          <w:rFonts w:hint="eastAsia" w:ascii="仿宋" w:hAnsi="仿宋" w:eastAsia="仿宋"/>
          <w:b/>
          <w:color w:val="auto"/>
          <w:sz w:val="32"/>
          <w:szCs w:val="32"/>
          <w:highlight w:val="none"/>
        </w:rPr>
        <w:t>（二）政府采购支出情况</w:t>
      </w:r>
      <w:bookmarkEnd w:id="59"/>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000000"/>
          <w:sz w:val="32"/>
          <w:szCs w:val="32"/>
          <w:lang w:eastAsia="zh-CN"/>
        </w:rPr>
        <w:t>区应急管理局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0" w:name="_Toc15377224"/>
      <w:r>
        <w:rPr>
          <w:rFonts w:hint="eastAsia" w:ascii="仿宋" w:hAnsi="仿宋" w:eastAsia="仿宋"/>
          <w:b/>
          <w:color w:val="auto"/>
          <w:sz w:val="32"/>
          <w:szCs w:val="32"/>
          <w:highlight w:val="none"/>
        </w:rPr>
        <w:t>（三）国有资产占有使用情况</w:t>
      </w:r>
      <w:bookmarkEnd w:id="6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区应急管理局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w:t>
      </w:r>
      <w:r>
        <w:rPr>
          <w:rFonts w:hint="eastAsia" w:ascii="仿宋_GB2312" w:hAnsi="仿宋_GB2312" w:eastAsia="仿宋_GB2312" w:cs="仿宋_GB2312"/>
          <w:color w:val="auto"/>
          <w:sz w:val="32"/>
          <w:szCs w:val="32"/>
          <w:highlight w:val="none"/>
          <w:lang w:val="en-US" w:eastAsia="zh-CN"/>
        </w:rPr>
        <w:t>按照要求对安全生产监管及信息平台运行费、安全生产宣传及教育培训费、综合应急演练经费、应急救灾工作经费、政府购买安全生产服务及执法办案专项经费等6个项目进行绩效目标编制。绩效目标编制符合工作实际，日常工作中也以绩效目标为指引，认真做好职能职责工作。2023年底，经对项目绩效目标完成情况进行监控发现各项目中各绩效指标均已完成，部分指标超额完成，如2023年全区发生生产安全事故0起，死亡0人，事故起数、死亡人数、受伤人数、直接经济损失实现“四个下降”，连续十六年未发生较大以上生产安全事故，安全生产形势持续稳定向好。自然灾害方面，平稳渡过森林防火期和森林高火险期、安全顺利渡过汛期，未发生一起自然灾害事故。</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年度一般公共预算开展绩效自评，形成遂宁市船山区应急管理局</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安全生产监管及信息平台运行费、安全生产宣传及教育培训费、综合应急演练经费、应急救灾工作经费、政府购买安全生产服务及执法办案专项经费</w:t>
      </w:r>
      <w:r>
        <w:rPr>
          <w:rFonts w:hint="eastAsia" w:ascii="仿宋_GB2312" w:hAnsi="仿宋_GB2312" w:eastAsia="仿宋_GB2312" w:cs="仿宋_GB2312"/>
          <w:color w:val="auto"/>
          <w:sz w:val="32"/>
          <w:szCs w:val="32"/>
          <w:highlight w:val="none"/>
        </w:rPr>
        <w:t>等专项预算项目绩效自评报告，其中，部门整体支出绩效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得分为</w:t>
      </w:r>
      <w:r>
        <w:rPr>
          <w:rFonts w:hint="eastAsia" w:ascii="仿宋_GB2312" w:hAnsi="仿宋_GB2312" w:eastAsia="仿宋_GB2312" w:cs="仿宋_GB2312"/>
          <w:color w:val="auto"/>
          <w:sz w:val="32"/>
          <w:szCs w:val="32"/>
          <w:highlight w:val="none"/>
          <w:lang w:val="en-US" w:eastAsia="zh-CN"/>
        </w:rPr>
        <w:t>99.4</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安全生产监管及信息平台运行费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安全生产宣传及教育培训费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综合应急演练经费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应急救灾工作经费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政府购买安全生产服务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执法办案专项经费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遂宁市船山区应急管理局</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报告详见附件。</w:t>
      </w:r>
    </w:p>
    <w:p>
      <w:pPr>
        <w:widowControl/>
        <w:ind w:firstLine="642" w:firstLineChars="200"/>
        <w:jc w:val="left"/>
        <w:rPr>
          <w:rFonts w:ascii="仿宋_GB2312" w:eastAsia="仿宋_GB2312"/>
          <w:b/>
          <w:color w:val="auto"/>
          <w:sz w:val="32"/>
          <w:szCs w:val="32"/>
          <w:highlight w:val="none"/>
        </w:rPr>
      </w:pPr>
    </w:p>
    <w:p>
      <w:pPr>
        <w:pStyle w:val="2"/>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Pr>
        <w:pStyle w:val="2"/>
        <w:ind w:left="0" w:leftChars="0" w:firstLine="0" w:firstLineChars="0"/>
        <w:rPr>
          <w:rFonts w:ascii="仿宋_GB2312" w:eastAsia="仿宋_GB2312"/>
          <w:b/>
          <w:color w:val="auto"/>
          <w:sz w:val="32"/>
          <w:szCs w:val="32"/>
          <w:highlight w:val="none"/>
        </w:rPr>
      </w:pPr>
    </w:p>
    <w:p/>
    <w:p>
      <w:pPr>
        <w:numPr>
          <w:ilvl w:val="0"/>
          <w:numId w:val="5"/>
        </w:numPr>
        <w:spacing w:line="600" w:lineRule="exact"/>
        <w:ind w:firstLine="660" w:firstLineChars="150"/>
        <w:jc w:val="center"/>
        <w:outlineLvl w:val="0"/>
        <w:rPr>
          <w:rStyle w:val="17"/>
          <w:rFonts w:ascii="黑体" w:hAnsi="黑体" w:eastAsia="黑体"/>
          <w:b w:val="0"/>
          <w:color w:val="auto"/>
          <w:highlight w:val="none"/>
        </w:rPr>
      </w:pPr>
      <w:bookmarkStart w:id="61" w:name="_Toc4065"/>
      <w:bookmarkStart w:id="62" w:name="_Toc15377225"/>
      <w:bookmarkStart w:id="63" w:name="_Toc15396613"/>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61"/>
      <w:bookmarkEnd w:id="62"/>
      <w:bookmarkEnd w:id="63"/>
    </w:p>
    <w:p>
      <w:pPr>
        <w:spacing w:line="600" w:lineRule="exact"/>
        <w:jc w:val="left"/>
        <w:rPr>
          <w:rFonts w:ascii="宋体"/>
          <w:b/>
          <w:color w:val="auto"/>
          <w:sz w:val="44"/>
          <w:szCs w:val="44"/>
          <w:highlight w:val="none"/>
        </w:rPr>
      </w:pPr>
    </w:p>
    <w:p>
      <w:pPr>
        <w:pStyle w:val="20"/>
        <w:spacing w:line="560" w:lineRule="exact"/>
        <w:ind w:firstLine="640" w:firstLineChars="200"/>
        <w:outlineLvl w:val="1"/>
        <w:rPr>
          <w:rFonts w:ascii="仿宋_GB2312" w:eastAsia="仿宋_GB2312"/>
          <w:color w:val="auto"/>
          <w:sz w:val="32"/>
          <w:szCs w:val="32"/>
          <w:highlight w:val="none"/>
        </w:rPr>
      </w:pPr>
      <w:bookmarkStart w:id="64" w:name="_Toc18152"/>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64"/>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0"/>
        <w:spacing w:line="560" w:lineRule="exact"/>
        <w:ind w:firstLine="640" w:firstLineChars="200"/>
        <w:outlineLvl w:val="1"/>
        <w:rPr>
          <w:rFonts w:ascii="仿宋_GB2312" w:eastAsia="仿宋_GB2312"/>
          <w:color w:val="auto"/>
          <w:sz w:val="32"/>
          <w:szCs w:val="32"/>
          <w:highlight w:val="none"/>
        </w:rPr>
      </w:pPr>
      <w:bookmarkStart w:id="65" w:name="_Toc15039"/>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65"/>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0"/>
        <w:numPr>
          <w:ilvl w:val="0"/>
          <w:numId w:val="0"/>
        </w:numPr>
        <w:spacing w:line="560" w:lineRule="exact"/>
        <w:ind w:firstLine="640" w:firstLineChars="200"/>
        <w:rPr>
          <w:rFonts w:hint="eastAsia" w:ascii="仿宋_GB2312" w:eastAsia="仿宋_GB2312"/>
          <w:strike w:val="0"/>
          <w:dstrike w:val="0"/>
          <w:sz w:val="32"/>
          <w:szCs w:val="32"/>
          <w:highlight w:val="none"/>
          <w:lang w:val="en-US" w:eastAsia="zh-CN"/>
        </w:rPr>
      </w:pPr>
      <w:bookmarkStart w:id="66" w:name="_Toc15377226"/>
      <w:r>
        <w:rPr>
          <w:rFonts w:hint="eastAsia" w:ascii="仿宋_GB2312" w:eastAsia="仿宋_GB2312"/>
          <w:strike w:val="0"/>
          <w:dstrike w:val="0"/>
          <w:sz w:val="32"/>
          <w:szCs w:val="32"/>
          <w:highlight w:val="none"/>
          <w:lang w:val="en-US" w:eastAsia="zh-CN"/>
        </w:rPr>
        <w:t>9.社会保障和就业（208）行政事业单位养老支出（05）机关事业单位基本养老保险缴费支出（05）：指反映机关事业单位实施养老保险制度由单位缴纳的基本养老保险费支出。</w:t>
      </w:r>
    </w:p>
    <w:p>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残疾人事业（11）残疾人就业（05）反映残疾人联合会用于残疾人就业方面支出。</w:t>
      </w:r>
    </w:p>
    <w:p>
      <w:pPr>
        <w:pStyle w:val="20"/>
        <w:spacing w:line="560" w:lineRule="exact"/>
        <w:ind w:firstLine="640" w:firstLineChars="200"/>
        <w:rPr>
          <w:rFonts w:hint="eastAsia" w:ascii="仿宋_GB2312" w:eastAsia="仿宋_GB2312"/>
          <w:strike w:val="0"/>
          <w:dstrike w:val="0"/>
          <w:sz w:val="32"/>
          <w:szCs w:val="32"/>
          <w:highlight w:val="none"/>
          <w:lang w:val="en-US" w:eastAsia="zh-CN"/>
        </w:rPr>
      </w:pPr>
      <w:r>
        <w:rPr>
          <w:rFonts w:hint="eastAsia" w:ascii="仿宋_GB2312" w:eastAsia="仿宋_GB2312"/>
          <w:color w:val="auto"/>
          <w:sz w:val="32"/>
          <w:szCs w:val="32"/>
          <w:lang w:val="en-US" w:eastAsia="zh-CN"/>
        </w:rPr>
        <w:t>11.社会保障和就业支出（208）其他社会保障和就业支出（99）其他社会保障和就业支出（99）指反映除上述项目以外其他用于社会保障和就业方面的支出。</w:t>
      </w:r>
    </w:p>
    <w:p>
      <w:pPr>
        <w:numPr>
          <w:ilvl w:val="0"/>
          <w:numId w:val="0"/>
        </w:numPr>
        <w:ind w:firstLine="640" w:firstLineChars="200"/>
        <w:rPr>
          <w:rFonts w:hint="eastAsia" w:ascii="仿宋_GB2312" w:eastAsia="仿宋_GB2312"/>
          <w:b w:val="0"/>
          <w:bCs w:val="0"/>
          <w:color w:val="000000"/>
          <w:sz w:val="32"/>
          <w:szCs w:val="32"/>
          <w:highlight w:val="none"/>
        </w:rPr>
      </w:pPr>
      <w:r>
        <w:rPr>
          <w:rStyle w:val="15"/>
          <w:rFonts w:hint="eastAsia" w:ascii="仿宋_GB2312" w:eastAsia="仿宋_GB2312"/>
          <w:b w:val="0"/>
          <w:bCs w:val="0"/>
          <w:color w:val="000000"/>
          <w:sz w:val="32"/>
          <w:szCs w:val="32"/>
          <w:highlight w:val="none"/>
          <w:lang w:val="en-US" w:eastAsia="zh-CN"/>
        </w:rPr>
        <w:t>12.</w:t>
      </w:r>
      <w:r>
        <w:rPr>
          <w:rStyle w:val="15"/>
          <w:rFonts w:hint="eastAsia" w:ascii="仿宋_GB2312" w:eastAsia="仿宋_GB2312"/>
          <w:b w:val="0"/>
          <w:bCs w:val="0"/>
          <w:color w:val="000000"/>
          <w:sz w:val="32"/>
          <w:szCs w:val="32"/>
          <w:highlight w:val="none"/>
          <w:lang w:eastAsia="zh-CN"/>
        </w:rPr>
        <w:t>卫生健康支出</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5"/>
          <w:rFonts w:hint="eastAsia" w:ascii="仿宋_GB2312" w:eastAsia="仿宋_GB2312"/>
          <w:b w:val="0"/>
          <w:bCs w:val="0"/>
          <w:color w:val="000000"/>
          <w:sz w:val="32"/>
          <w:szCs w:val="32"/>
          <w:highlight w:val="none"/>
        </w:rPr>
        <w:t>行政事业单位医疗</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11</w:t>
      </w:r>
      <w:r>
        <w:rPr>
          <w:rFonts w:hint="eastAsia" w:ascii="仿宋_GB2312" w:eastAsia="仿宋_GB2312"/>
          <w:b w:val="0"/>
          <w:bCs w:val="0"/>
          <w:color w:val="000000"/>
          <w:sz w:val="32"/>
          <w:szCs w:val="32"/>
          <w:highlight w:val="none"/>
        </w:rPr>
        <w:t>）</w:t>
      </w:r>
      <w:r>
        <w:rPr>
          <w:rStyle w:val="15"/>
          <w:rFonts w:hint="eastAsia" w:ascii="仿宋_GB2312" w:eastAsia="仿宋_GB2312"/>
          <w:b w:val="0"/>
          <w:bCs w:val="0"/>
          <w:color w:val="000000"/>
          <w:sz w:val="32"/>
          <w:szCs w:val="32"/>
          <w:highlight w:val="none"/>
        </w:rPr>
        <w:t>行政单位医疗</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01</w:t>
      </w:r>
      <w:r>
        <w:rPr>
          <w:rFonts w:hint="eastAsia" w:ascii="仿宋_GB2312" w:eastAsia="仿宋_GB2312"/>
          <w:b w:val="0"/>
          <w:bCs w:val="0"/>
          <w:color w:val="000000"/>
          <w:sz w:val="32"/>
          <w:szCs w:val="32"/>
          <w:highlight w:val="none"/>
        </w:rPr>
        <w:t>）：指</w:t>
      </w:r>
      <w:r>
        <w:rPr>
          <w:rFonts w:hint="eastAsia" w:ascii="仿宋_GB2312" w:eastAsia="仿宋_GB2312"/>
          <w:color w:val="000000"/>
          <w:sz w:val="32"/>
          <w:szCs w:val="32"/>
          <w:highlight w:val="none"/>
          <w:lang w:eastAsia="zh-CN"/>
        </w:rPr>
        <w:t>反映</w:t>
      </w:r>
      <w:r>
        <w:rPr>
          <w:rFonts w:hint="eastAsia" w:ascii="仿宋_GB2312" w:eastAsia="仿宋_GB2312"/>
          <w:b w:val="0"/>
          <w:bCs w:val="0"/>
          <w:color w:val="000000"/>
          <w:sz w:val="32"/>
          <w:szCs w:val="32"/>
          <w:highlight w:val="none"/>
          <w:lang w:eastAsia="zh-CN"/>
        </w:rPr>
        <w:t>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b w:val="0"/>
          <w:bCs w:val="0"/>
          <w:color w:val="000000"/>
          <w:sz w:val="32"/>
          <w:szCs w:val="32"/>
          <w:highlight w:val="none"/>
        </w:rPr>
        <w:t>。</w:t>
      </w:r>
    </w:p>
    <w:p>
      <w:pPr>
        <w:pStyle w:val="22"/>
        <w:numPr>
          <w:ilvl w:val="0"/>
          <w:numId w:val="0"/>
        </w:numPr>
        <w:ind w:firstLine="640" w:firstLineChars="200"/>
        <w:rPr>
          <w:rFonts w:hint="eastAsia"/>
        </w:rPr>
      </w:pPr>
      <w:r>
        <w:rPr>
          <w:rStyle w:val="15"/>
          <w:rFonts w:hint="eastAsia" w:ascii="仿宋_GB2312"/>
          <w:b w:val="0"/>
          <w:bCs w:val="0"/>
          <w:color w:val="000000"/>
          <w:sz w:val="32"/>
          <w:szCs w:val="32"/>
          <w:highlight w:val="none"/>
          <w:lang w:val="en-US" w:eastAsia="zh-CN"/>
        </w:rPr>
        <w:t>13.</w:t>
      </w:r>
      <w:r>
        <w:rPr>
          <w:rStyle w:val="15"/>
          <w:rFonts w:hint="eastAsia" w:ascii="仿宋_GB2312" w:eastAsia="仿宋_GB2312"/>
          <w:b w:val="0"/>
          <w:bCs w:val="0"/>
          <w:color w:val="000000"/>
          <w:sz w:val="32"/>
          <w:szCs w:val="32"/>
          <w:highlight w:val="none"/>
          <w:lang w:eastAsia="zh-CN"/>
        </w:rPr>
        <w:t>卫生健康支出</w:t>
      </w:r>
      <w:r>
        <w:rPr>
          <w:rFonts w:hint="eastAsia" w:ascii="仿宋_GB2312" w:hAnsi="仿宋" w:eastAsia="仿宋_GB2312" w:cs="仿宋"/>
          <w:sz w:val="32"/>
          <w:szCs w:val="32"/>
          <w:highlight w:val="none"/>
        </w:rPr>
        <w:t>（</w:t>
      </w:r>
      <w:r>
        <w:rPr>
          <w:rStyle w:val="15"/>
          <w:rFonts w:hint="eastAsia" w:ascii="仿宋_GB2312"/>
          <w:b w:val="0"/>
          <w:bCs w:val="0"/>
          <w:color w:val="000000"/>
          <w:sz w:val="32"/>
          <w:szCs w:val="32"/>
          <w:highlight w:val="none"/>
          <w:lang w:val="en-US" w:eastAsia="zh-CN"/>
        </w:rPr>
        <w:t>210</w:t>
      </w:r>
      <w:r>
        <w:rPr>
          <w:rFonts w:hint="eastAsia" w:ascii="仿宋_GB2312" w:hAnsi="仿宋" w:eastAsia="仿宋_GB2312" w:cs="仿宋"/>
          <w:sz w:val="32"/>
          <w:szCs w:val="32"/>
          <w:highlight w:val="none"/>
        </w:rPr>
        <w:t>）行政事业单位医疗（</w:t>
      </w:r>
      <w:r>
        <w:rPr>
          <w:rFonts w:hint="eastAsia" w:ascii="仿宋_GB2312" w:hAnsi="Calibri" w:cs="仿宋"/>
          <w:color w:val="000000"/>
          <w:kern w:val="0"/>
          <w:sz w:val="32"/>
          <w:szCs w:val="32"/>
          <w:highlight w:val="none"/>
          <w:lang w:val="en-US" w:eastAsia="zh-CN" w:bidi="ar-SA"/>
        </w:rPr>
        <w:t>11</w:t>
      </w:r>
      <w:r>
        <w:rPr>
          <w:rFonts w:hint="eastAsia" w:ascii="仿宋_GB2312" w:hAnsi="仿宋" w:eastAsia="仿宋_GB2312" w:cs="仿宋"/>
          <w:sz w:val="32"/>
          <w:szCs w:val="32"/>
          <w:highlight w:val="none"/>
        </w:rPr>
        <w:t>）事业单位医疗（</w:t>
      </w:r>
      <w:r>
        <w:rPr>
          <w:rFonts w:hint="eastAsia" w:ascii="仿宋_GB2312" w:hAnsi="仿宋" w:cs="仿宋"/>
          <w:sz w:val="32"/>
          <w:szCs w:val="32"/>
          <w:highlight w:val="none"/>
          <w:lang w:val="en-US" w:eastAsia="zh-CN"/>
        </w:rPr>
        <w:t>02</w:t>
      </w: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反映财政部门安排的事业单位基本医疗保险缴费经费，未参加医疗保险的事业单位的公费医疗经费，按国家规定享受离休人员待遇的医疗经费</w:t>
      </w:r>
      <w:r>
        <w:rPr>
          <w:rFonts w:hint="eastAsia" w:ascii="仿宋_GB2312" w:hAnsi="仿宋" w:eastAsia="仿宋_GB2312" w:cs="仿宋"/>
          <w:sz w:val="32"/>
          <w:szCs w:val="32"/>
          <w:highlight w:val="none"/>
        </w:rPr>
        <w:t>。</w:t>
      </w:r>
    </w:p>
    <w:p>
      <w:pPr>
        <w:numPr>
          <w:ilvl w:val="0"/>
          <w:numId w:val="0"/>
        </w:numPr>
        <w:ind w:firstLine="640" w:firstLineChars="200"/>
        <w:rPr>
          <w:rFonts w:hint="eastAsia" w:ascii="仿宋_GB2312" w:eastAsia="仿宋_GB2312"/>
          <w:color w:val="000000"/>
          <w:sz w:val="32"/>
          <w:szCs w:val="32"/>
          <w:highlight w:val="none"/>
        </w:rPr>
      </w:pPr>
      <w:r>
        <w:rPr>
          <w:rStyle w:val="15"/>
          <w:rFonts w:hint="eastAsia" w:ascii="仿宋_GB2312" w:eastAsia="仿宋_GB2312"/>
          <w:b w:val="0"/>
          <w:bCs w:val="0"/>
          <w:color w:val="000000"/>
          <w:sz w:val="32"/>
          <w:szCs w:val="32"/>
          <w:highlight w:val="none"/>
          <w:lang w:val="en-US" w:eastAsia="zh-CN"/>
        </w:rPr>
        <w:t>14.</w:t>
      </w:r>
      <w:r>
        <w:rPr>
          <w:rStyle w:val="15"/>
          <w:rFonts w:hint="eastAsia" w:ascii="仿宋_GB2312" w:eastAsia="仿宋_GB2312"/>
          <w:b w:val="0"/>
          <w:bCs w:val="0"/>
          <w:color w:val="000000"/>
          <w:sz w:val="32"/>
          <w:szCs w:val="32"/>
          <w:highlight w:val="none"/>
          <w:lang w:eastAsia="zh-CN"/>
        </w:rPr>
        <w:t>卫生健康支出（</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5"/>
          <w:rFonts w:hint="eastAsia" w:ascii="仿宋_GB2312" w:eastAsia="仿宋_GB2312"/>
          <w:b w:val="0"/>
          <w:bCs w:val="0"/>
          <w:color w:val="000000"/>
          <w:sz w:val="32"/>
          <w:szCs w:val="32"/>
          <w:highlight w:val="none"/>
        </w:rPr>
        <w:t>行政事业单位医疗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）公务员医疗补助（</w:t>
      </w:r>
      <w:r>
        <w:rPr>
          <w:rFonts w:hint="eastAsia" w:ascii="仿宋_GB2312" w:eastAsia="仿宋_GB2312"/>
          <w:color w:val="000000"/>
          <w:sz w:val="32"/>
          <w:szCs w:val="32"/>
          <w:highlight w:val="none"/>
          <w:lang w:val="en-US" w:eastAsia="zh-CN"/>
        </w:rPr>
        <w:t>03</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反映财政部门集中安排的公务员医疗补助经费</w:t>
      </w:r>
      <w:r>
        <w:rPr>
          <w:rFonts w:hint="eastAsia" w:ascii="仿宋_GB2312" w:eastAsia="仿宋_GB2312"/>
          <w:color w:val="000000"/>
          <w:sz w:val="32"/>
          <w:szCs w:val="32"/>
          <w:highlight w:val="none"/>
        </w:rPr>
        <w:t>。</w:t>
      </w:r>
    </w:p>
    <w:p>
      <w:pPr>
        <w:numPr>
          <w:ilvl w:val="0"/>
          <w:numId w:val="0"/>
        </w:numPr>
        <w:ind w:firstLine="640" w:firstLineChars="200"/>
        <w:rPr>
          <w:rFonts w:hint="eastAsia"/>
          <w:b/>
          <w:bCs/>
          <w:color w:val="auto"/>
          <w:sz w:val="32"/>
          <w:szCs w:val="32"/>
          <w:highlight w:val="none"/>
          <w:lang w:val="en-US" w:eastAsia="zh-CN"/>
        </w:rPr>
      </w:pPr>
      <w:r>
        <w:rPr>
          <w:rStyle w:val="15"/>
          <w:rFonts w:hint="eastAsia" w:ascii="仿宋_GB2312" w:eastAsia="仿宋_GB2312"/>
          <w:b w:val="0"/>
          <w:bCs w:val="0"/>
          <w:color w:val="auto"/>
          <w:sz w:val="32"/>
          <w:szCs w:val="32"/>
          <w:highlight w:val="none"/>
          <w:lang w:val="en-US" w:eastAsia="zh-CN"/>
        </w:rPr>
        <w:t>15.</w:t>
      </w:r>
      <w:r>
        <w:rPr>
          <w:rStyle w:val="15"/>
          <w:rFonts w:hint="eastAsia" w:ascii="仿宋_GB2312" w:eastAsia="仿宋_GB2312"/>
          <w:b w:val="0"/>
          <w:bCs w:val="0"/>
          <w:color w:val="auto"/>
          <w:sz w:val="32"/>
          <w:szCs w:val="32"/>
          <w:highlight w:val="none"/>
        </w:rPr>
        <w:t>住房保障支出（</w:t>
      </w:r>
      <w:r>
        <w:rPr>
          <w:rStyle w:val="15"/>
          <w:rFonts w:hint="eastAsia" w:ascii="仿宋_GB2312" w:eastAsia="仿宋_GB2312"/>
          <w:b w:val="0"/>
          <w:bCs w:val="0"/>
          <w:color w:val="auto"/>
          <w:sz w:val="32"/>
          <w:szCs w:val="32"/>
          <w:highlight w:val="none"/>
          <w:lang w:val="en-US" w:eastAsia="zh-CN"/>
        </w:rPr>
        <w:t>221</w:t>
      </w:r>
      <w:r>
        <w:rPr>
          <w:rStyle w:val="15"/>
          <w:rFonts w:hint="eastAsia" w:ascii="仿宋_GB2312" w:eastAsia="仿宋_GB2312"/>
          <w:b w:val="0"/>
          <w:bCs w:val="0"/>
          <w:color w:val="auto"/>
          <w:sz w:val="32"/>
          <w:szCs w:val="32"/>
          <w:highlight w:val="none"/>
        </w:rPr>
        <w:t>）住房改革支出（</w:t>
      </w:r>
      <w:r>
        <w:rPr>
          <w:rStyle w:val="15"/>
          <w:rFonts w:hint="eastAsia" w:ascii="仿宋_GB2312" w:eastAsia="仿宋_GB2312"/>
          <w:b w:val="0"/>
          <w:bCs w:val="0"/>
          <w:color w:val="auto"/>
          <w:sz w:val="32"/>
          <w:szCs w:val="32"/>
          <w:highlight w:val="none"/>
          <w:lang w:val="en-US" w:eastAsia="zh-CN"/>
        </w:rPr>
        <w:t>02</w:t>
      </w:r>
      <w:r>
        <w:rPr>
          <w:rStyle w:val="15"/>
          <w:rFonts w:hint="eastAsia" w:ascii="仿宋_GB2312" w:eastAsia="仿宋_GB2312"/>
          <w:b w:val="0"/>
          <w:bCs w:val="0"/>
          <w:color w:val="auto"/>
          <w:sz w:val="32"/>
          <w:szCs w:val="32"/>
          <w:highlight w:val="none"/>
        </w:rPr>
        <w:t>）住房公积金（</w:t>
      </w:r>
      <w:r>
        <w:rPr>
          <w:rStyle w:val="15"/>
          <w:rFonts w:hint="eastAsia" w:ascii="仿宋_GB2312" w:eastAsia="仿宋_GB2312"/>
          <w:b w:val="0"/>
          <w:bCs w:val="0"/>
          <w:color w:val="auto"/>
          <w:sz w:val="32"/>
          <w:szCs w:val="32"/>
          <w:highlight w:val="none"/>
          <w:lang w:val="en-US" w:eastAsia="zh-CN"/>
        </w:rPr>
        <w:t>01</w:t>
      </w:r>
      <w:r>
        <w:rPr>
          <w:rStyle w:val="15"/>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：指</w:t>
      </w:r>
      <w:r>
        <w:rPr>
          <w:rFonts w:hint="eastAsia" w:ascii="仿宋_GB2312" w:eastAsia="仿宋_GB2312"/>
          <w:b w:val="0"/>
          <w:bCs w:val="0"/>
          <w:color w:val="auto"/>
          <w:sz w:val="32"/>
          <w:szCs w:val="32"/>
          <w:highlight w:val="none"/>
          <w:lang w:eastAsia="zh-CN"/>
        </w:rPr>
        <w:t>反映行政事业单位按人力资源和社会保障部、财政部规定的基本工资和津贴补贴以及规定比例为职工缴纳的住房公积金</w:t>
      </w:r>
      <w:r>
        <w:rPr>
          <w:rFonts w:hint="eastAsia" w:ascii="仿宋_GB2312" w:eastAsia="仿宋_GB2312"/>
          <w:b w:val="0"/>
          <w:bCs w:val="0"/>
          <w:color w:val="auto"/>
          <w:sz w:val="32"/>
          <w:szCs w:val="32"/>
          <w:highlight w:val="none"/>
        </w:rPr>
        <w:t>。</w:t>
      </w:r>
    </w:p>
    <w:p>
      <w:pPr>
        <w:numPr>
          <w:ilvl w:val="0"/>
          <w:numId w:val="0"/>
        </w:numPr>
        <w:ind w:firstLine="640" w:firstLineChars="200"/>
        <w:rPr>
          <w:rFonts w:hint="eastAsia"/>
          <w:b w:val="0"/>
          <w:bCs w:val="0"/>
          <w:color w:val="auto"/>
          <w:sz w:val="32"/>
          <w:szCs w:val="32"/>
          <w:highlight w:val="none"/>
          <w:lang w:val="en-US" w:eastAsia="zh-CN"/>
        </w:rPr>
      </w:pPr>
      <w:r>
        <w:rPr>
          <w:rFonts w:hint="eastAsia" w:ascii="仿宋_GB2312" w:eastAsia="仿宋_GB2312" w:cs="Times New Roman"/>
          <w:b w:val="0"/>
          <w:bCs w:val="0"/>
          <w:color w:val="auto"/>
          <w:sz w:val="32"/>
          <w:szCs w:val="32"/>
          <w:highlight w:val="none"/>
          <w:lang w:val="en-US" w:eastAsia="zh-CN"/>
        </w:rPr>
        <w:t>16.灾</w:t>
      </w:r>
      <w:r>
        <w:rPr>
          <w:rFonts w:hint="eastAsia" w:ascii="仿宋_GB2312" w:eastAsia="仿宋_GB2312"/>
          <w:b w:val="0"/>
          <w:bCs w:val="0"/>
          <w:color w:val="auto"/>
          <w:sz w:val="32"/>
          <w:szCs w:val="32"/>
          <w:highlight w:val="none"/>
          <w:lang w:val="en-US" w:eastAsia="zh-CN"/>
        </w:rPr>
        <w:t>害防治及应急管理支出(224)应急管理事务(01)行政运行(01):反映</w:t>
      </w:r>
      <w:r>
        <w:rPr>
          <w:rFonts w:hint="eastAsia" w:ascii="仿宋_GB2312" w:hAnsi="仿宋" w:eastAsia="仿宋_GB2312" w:cs="仿宋"/>
          <w:b w:val="0"/>
          <w:bCs w:val="0"/>
          <w:color w:val="auto"/>
          <w:kern w:val="2"/>
          <w:sz w:val="32"/>
          <w:szCs w:val="32"/>
          <w:highlight w:val="none"/>
          <w:lang w:val="en-US" w:eastAsia="zh-CN" w:bidi="ar-SA"/>
        </w:rPr>
        <w:t>指反映行政单位（包括实行公务员管理的事业单位）的基本支出。</w:t>
      </w:r>
    </w:p>
    <w:p>
      <w:pPr>
        <w:numPr>
          <w:ilvl w:val="0"/>
          <w:numId w:val="0"/>
        </w:numPr>
        <w:spacing w:line="600" w:lineRule="exact"/>
        <w:ind w:firstLine="640" w:firstLineChars="200"/>
        <w:outlineLvl w:val="2"/>
        <w:rPr>
          <w:rFonts w:hint="eastAsia"/>
          <w:b w:val="0"/>
          <w:bCs w:val="0"/>
          <w:highlight w:val="none"/>
        </w:rPr>
      </w:pPr>
      <w:r>
        <w:rPr>
          <w:rFonts w:hint="eastAsia" w:ascii="仿宋" w:hAnsi="仿宋" w:eastAsia="仿宋"/>
          <w:b w:val="0"/>
          <w:bCs w:val="0"/>
          <w:color w:val="000000"/>
          <w:sz w:val="32"/>
          <w:szCs w:val="32"/>
          <w:highlight w:val="none"/>
          <w:lang w:val="en-US" w:eastAsia="zh-CN"/>
        </w:rPr>
        <w:t>17.灾害防治及应急管理支出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应急管理事务</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01）</w:t>
      </w:r>
      <w:r>
        <w:rPr>
          <w:rFonts w:hint="eastAsia" w:ascii="仿宋" w:hAnsi="仿宋" w:eastAsia="仿宋"/>
          <w:b w:val="0"/>
          <w:bCs w:val="0"/>
          <w:color w:val="000000"/>
          <w:sz w:val="32"/>
          <w:szCs w:val="32"/>
          <w:highlight w:val="none"/>
          <w:lang w:val="en-US" w:eastAsia="zh-CN"/>
        </w:rPr>
        <w:t xml:space="preserve">  一般行政管理事务（02</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eastAsia="zh-CN"/>
        </w:rPr>
        <w:t>：</w:t>
      </w:r>
      <w:r>
        <w:rPr>
          <w:rFonts w:hint="eastAsia" w:ascii="仿宋_GB2312" w:hAnsi="仿宋" w:eastAsia="仿宋_GB2312" w:cs="仿宋"/>
          <w:b w:val="0"/>
          <w:bCs w:val="0"/>
          <w:color w:val="auto"/>
          <w:kern w:val="2"/>
          <w:sz w:val="32"/>
          <w:szCs w:val="32"/>
          <w:highlight w:val="none"/>
          <w:lang w:val="en-US" w:eastAsia="zh-CN" w:bidi="ar-SA"/>
        </w:rPr>
        <w:t>反映行政单位（包括实行公务员管理的事业单位）未单独设置项目科目的其他项目支出。</w:t>
      </w:r>
    </w:p>
    <w:p>
      <w:pPr>
        <w:numPr>
          <w:ilvl w:val="0"/>
          <w:numId w:val="0"/>
        </w:numPr>
        <w:spacing w:line="600" w:lineRule="exact"/>
        <w:ind w:firstLine="640" w:firstLineChars="200"/>
        <w:outlineLvl w:val="2"/>
        <w:rPr>
          <w:rStyle w:val="15"/>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lang w:val="en-US" w:eastAsia="zh-CN"/>
        </w:rPr>
        <w:t>18.灾害防治及应急管理支出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应急管理事务</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0</w:t>
      </w:r>
      <w:r>
        <w:rPr>
          <w:rFonts w:hint="eastAsia" w:ascii="仿宋" w:hAnsi="仿宋" w:eastAsia="仿宋"/>
          <w:b w:val="0"/>
          <w:bCs w:val="0"/>
          <w:color w:val="000000"/>
          <w:sz w:val="32"/>
          <w:szCs w:val="32"/>
          <w:highlight w:val="none"/>
          <w:lang w:val="en-US" w:eastAsia="zh-CN"/>
        </w:rPr>
        <w:t>1）  应急救援（08</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eastAsia="zh-CN"/>
        </w:rPr>
        <w:t>：</w:t>
      </w:r>
      <w:r>
        <w:rPr>
          <w:rStyle w:val="15"/>
          <w:rFonts w:hint="eastAsia" w:ascii="仿宋" w:hAnsi="仿宋" w:eastAsia="仿宋"/>
          <w:b w:val="0"/>
          <w:bCs w:val="0"/>
          <w:color w:val="000000"/>
          <w:sz w:val="32"/>
          <w:szCs w:val="32"/>
          <w:highlight w:val="none"/>
          <w:lang w:val="en-US" w:eastAsia="zh-CN"/>
        </w:rPr>
        <w:t>反映</w:t>
      </w:r>
      <w:r>
        <w:rPr>
          <w:rStyle w:val="15"/>
          <w:rFonts w:hint="eastAsia" w:ascii="仿宋" w:hAnsi="仿宋" w:eastAsia="仿宋"/>
          <w:b w:val="0"/>
          <w:bCs w:val="0"/>
          <w:color w:val="000000"/>
          <w:sz w:val="32"/>
          <w:szCs w:val="32"/>
          <w:highlight w:val="none"/>
          <w:lang w:eastAsia="zh-CN"/>
        </w:rPr>
        <w:t>开展安全生产、</w:t>
      </w:r>
      <w:r>
        <w:rPr>
          <w:rStyle w:val="15"/>
          <w:rFonts w:hint="eastAsia" w:ascii="仿宋" w:hAnsi="仿宋" w:eastAsia="仿宋"/>
          <w:b w:val="0"/>
          <w:bCs w:val="0"/>
          <w:color w:val="000000"/>
          <w:sz w:val="32"/>
          <w:szCs w:val="32"/>
          <w:highlight w:val="none"/>
          <w:lang w:val="en-US" w:eastAsia="zh-CN"/>
        </w:rPr>
        <w:t>自然灾害</w:t>
      </w:r>
      <w:r>
        <w:rPr>
          <w:rStyle w:val="15"/>
          <w:rFonts w:hint="eastAsia" w:ascii="仿宋" w:hAnsi="仿宋" w:eastAsia="仿宋"/>
          <w:b w:val="0"/>
          <w:bCs w:val="0"/>
          <w:color w:val="000000"/>
          <w:sz w:val="32"/>
          <w:szCs w:val="32"/>
          <w:highlight w:val="none"/>
          <w:lang w:eastAsia="zh-CN"/>
        </w:rPr>
        <w:t>应急救援</w:t>
      </w:r>
      <w:r>
        <w:rPr>
          <w:rStyle w:val="15"/>
          <w:rFonts w:hint="eastAsia" w:ascii="仿宋" w:hAnsi="仿宋" w:eastAsia="仿宋"/>
          <w:b w:val="0"/>
          <w:bCs w:val="0"/>
          <w:color w:val="000000"/>
          <w:sz w:val="32"/>
          <w:szCs w:val="32"/>
          <w:highlight w:val="none"/>
          <w:lang w:val="en-US" w:eastAsia="zh-CN"/>
        </w:rPr>
        <w:t>工作</w:t>
      </w:r>
      <w:r>
        <w:rPr>
          <w:rStyle w:val="15"/>
          <w:rFonts w:hint="eastAsia" w:ascii="仿宋" w:hAnsi="仿宋" w:eastAsia="仿宋"/>
          <w:b w:val="0"/>
          <w:bCs w:val="0"/>
          <w:color w:val="000000"/>
          <w:sz w:val="32"/>
          <w:szCs w:val="32"/>
          <w:highlight w:val="none"/>
          <w:lang w:eastAsia="zh-CN"/>
        </w:rPr>
        <w:t>的支出。</w:t>
      </w:r>
    </w:p>
    <w:p>
      <w:pPr>
        <w:numPr>
          <w:ilvl w:val="0"/>
          <w:numId w:val="0"/>
        </w:numPr>
        <w:spacing w:line="600" w:lineRule="exact"/>
        <w:ind w:firstLine="640" w:firstLineChars="200"/>
        <w:outlineLvl w:val="2"/>
        <w:rPr>
          <w:rStyle w:val="15"/>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lang w:val="en-US" w:eastAsia="zh-CN"/>
        </w:rPr>
        <w:t>19.灾害防治及应急管理支出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应急管理事务</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01）事业运行（50）</w:t>
      </w:r>
      <w:r>
        <w:rPr>
          <w:rStyle w:val="15"/>
          <w:rFonts w:hint="eastAsia" w:ascii="仿宋" w:hAnsi="仿宋" w:eastAsia="仿宋"/>
          <w:b w:val="0"/>
          <w:bCs w:val="0"/>
          <w:color w:val="000000"/>
          <w:sz w:val="32"/>
          <w:szCs w:val="32"/>
          <w:highlight w:val="none"/>
          <w:lang w:eastAsia="zh-CN"/>
        </w:rPr>
        <w:t>：</w:t>
      </w:r>
      <w:r>
        <w:rPr>
          <w:rFonts w:hint="eastAsia" w:ascii="仿宋_GB2312" w:hAnsi="仿宋" w:eastAsia="仿宋_GB2312" w:cs="仿宋"/>
          <w:b w:val="0"/>
          <w:bCs w:val="0"/>
          <w:color w:val="auto"/>
          <w:kern w:val="2"/>
          <w:sz w:val="32"/>
          <w:szCs w:val="32"/>
          <w:highlight w:val="none"/>
          <w:lang w:val="en-US" w:eastAsia="zh-CN" w:bidi="ar-SA"/>
        </w:rPr>
        <w:t>反映事业单位的支出不包括行政单位（包括实行公务员管理的事业单位）后勤服务中心、医务室等附属事业单位。</w:t>
      </w:r>
    </w:p>
    <w:p>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textAlignment w:val="auto"/>
        <w:rPr>
          <w:rFonts w:hint="eastAsia"/>
          <w:b w:val="0"/>
          <w:bCs w:val="0"/>
          <w:highlight w:val="none"/>
        </w:rPr>
      </w:pPr>
      <w:r>
        <w:rPr>
          <w:rFonts w:hint="eastAsia" w:hAnsi="仿宋"/>
          <w:b w:val="0"/>
          <w:bCs w:val="0"/>
          <w:color w:val="000000"/>
          <w:sz w:val="32"/>
          <w:szCs w:val="32"/>
          <w:highlight w:val="none"/>
          <w:lang w:val="en-US" w:eastAsia="zh-CN"/>
        </w:rPr>
        <w:t>20.</w:t>
      </w:r>
      <w:r>
        <w:rPr>
          <w:rFonts w:hint="eastAsia" w:ascii="仿宋" w:hAnsi="仿宋" w:eastAsia="仿宋"/>
          <w:b w:val="0"/>
          <w:bCs w:val="0"/>
          <w:color w:val="000000"/>
          <w:sz w:val="32"/>
          <w:szCs w:val="32"/>
          <w:highlight w:val="none"/>
          <w:lang w:val="en-US" w:eastAsia="zh-CN"/>
        </w:rPr>
        <w:t>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应急管理事务</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01</w:t>
      </w:r>
      <w:r>
        <w:rPr>
          <w:rFonts w:hint="eastAsia" w:ascii="仿宋" w:hAnsi="仿宋" w:eastAsia="仿宋"/>
          <w:b w:val="0"/>
          <w:bCs w:val="0"/>
          <w:color w:val="000000"/>
          <w:sz w:val="32"/>
          <w:szCs w:val="32"/>
          <w:highlight w:val="none"/>
          <w:lang w:val="en-US" w:eastAsia="zh-CN"/>
        </w:rPr>
        <w:t>）其他应急管理支出（99</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eastAsia="zh-CN"/>
        </w:rPr>
        <w:t>：</w:t>
      </w:r>
      <w:r>
        <w:rPr>
          <w:rFonts w:hint="eastAsia" w:ascii="仿宋_GB2312" w:hAnsi="仿宋" w:eastAsia="仿宋_GB2312" w:cs="仿宋"/>
          <w:b w:val="0"/>
          <w:bCs w:val="0"/>
          <w:color w:val="auto"/>
          <w:kern w:val="2"/>
          <w:sz w:val="32"/>
          <w:szCs w:val="32"/>
          <w:highlight w:val="none"/>
          <w:lang w:val="en-US" w:eastAsia="zh-CN" w:bidi="ar-SA"/>
        </w:rPr>
        <w:t>反映用于应急管理的法律法规制定修订、应急预案演练、协调保障等方面的支出。</w:t>
      </w:r>
    </w:p>
    <w:p>
      <w:pPr>
        <w:numPr>
          <w:ilvl w:val="0"/>
          <w:numId w:val="0"/>
        </w:numPr>
        <w:spacing w:line="600" w:lineRule="exact"/>
        <w:ind w:firstLine="640" w:firstLineChars="200"/>
        <w:outlineLvl w:val="2"/>
        <w:rPr>
          <w:rStyle w:val="15"/>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lang w:val="en-US" w:eastAsia="zh-CN"/>
        </w:rPr>
        <w:t>21.灾害防治及应急管理支出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自然灾害救灾及恢复重建支出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07</w:t>
      </w:r>
      <w:r>
        <w:rPr>
          <w:rFonts w:hint="eastAsia" w:ascii="仿宋" w:hAnsi="仿宋" w:eastAsia="仿宋"/>
          <w:b w:val="0"/>
          <w:bCs w:val="0"/>
          <w:color w:val="000000"/>
          <w:sz w:val="32"/>
          <w:szCs w:val="32"/>
          <w:highlight w:val="none"/>
          <w:lang w:val="en-US" w:eastAsia="zh-CN"/>
        </w:rPr>
        <w:t>）自然灾害救灾补助（03</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eastAsia="zh-CN"/>
        </w:rPr>
        <w:t>：</w:t>
      </w:r>
      <w:r>
        <w:rPr>
          <w:rFonts w:ascii="仿宋" w:hAnsi="仿宋" w:eastAsia="仿宋" w:cs="仿宋"/>
          <w:i w:val="0"/>
          <w:caps w:val="0"/>
          <w:color w:val="000000"/>
          <w:spacing w:val="0"/>
          <w:sz w:val="31"/>
          <w:szCs w:val="31"/>
          <w:highlight w:val="none"/>
          <w:shd w:val="clear" w:color="auto" w:fill="FFFFFF"/>
        </w:rPr>
        <w:t>反映洪水、地质灾害等自然灾害救灾补助，扑救森林火灾补助。</w:t>
      </w:r>
    </w:p>
    <w:p>
      <w:pPr>
        <w:numPr>
          <w:ilvl w:val="0"/>
          <w:numId w:val="0"/>
        </w:numPr>
        <w:spacing w:line="600" w:lineRule="exact"/>
        <w:ind w:firstLine="640" w:firstLineChars="200"/>
        <w:outlineLvl w:val="2"/>
        <w:rPr>
          <w:rFonts w:hint="eastAsia"/>
          <w:b w:val="0"/>
          <w:bCs w:val="0"/>
          <w:color w:val="auto"/>
          <w:highlight w:val="none"/>
          <w:lang w:val="en-US" w:eastAsia="zh-CN"/>
        </w:rPr>
      </w:pPr>
      <w:r>
        <w:rPr>
          <w:rFonts w:hint="eastAsia" w:ascii="仿宋" w:hAnsi="仿宋" w:eastAsia="仿宋"/>
          <w:b w:val="0"/>
          <w:bCs w:val="0"/>
          <w:color w:val="000000"/>
          <w:sz w:val="32"/>
          <w:szCs w:val="32"/>
          <w:highlight w:val="none"/>
          <w:lang w:val="en-US" w:eastAsia="zh-CN"/>
        </w:rPr>
        <w:t>22.灾害防治及应急管理支出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224</w:t>
      </w:r>
      <w:r>
        <w:rPr>
          <w:rStyle w:val="15"/>
          <w:rFonts w:hint="eastAsia" w:ascii="仿宋" w:hAnsi="仿宋" w:eastAsia="仿宋"/>
          <w:b w:val="0"/>
          <w:bCs w:val="0"/>
          <w:color w:val="000000"/>
          <w:sz w:val="32"/>
          <w:szCs w:val="32"/>
          <w:highlight w:val="none"/>
        </w:rPr>
        <w:t>）</w:t>
      </w:r>
      <w:r>
        <w:rPr>
          <w:rFonts w:hint="eastAsia" w:ascii="仿宋" w:hAnsi="仿宋" w:eastAsia="仿宋"/>
          <w:b w:val="0"/>
          <w:bCs w:val="0"/>
          <w:color w:val="000000"/>
          <w:sz w:val="32"/>
          <w:szCs w:val="32"/>
          <w:highlight w:val="none"/>
          <w:lang w:val="en-US" w:eastAsia="zh-CN"/>
        </w:rPr>
        <w:t>其他灾害防治及应急管理支出</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val="en-US" w:eastAsia="zh-CN"/>
        </w:rPr>
        <w:t>99</w:t>
      </w:r>
      <w:r>
        <w:rPr>
          <w:rFonts w:hint="eastAsia" w:ascii="仿宋" w:hAnsi="仿宋" w:eastAsia="仿宋"/>
          <w:b w:val="0"/>
          <w:bCs w:val="0"/>
          <w:color w:val="000000"/>
          <w:sz w:val="32"/>
          <w:szCs w:val="32"/>
          <w:highlight w:val="none"/>
          <w:lang w:val="en-US" w:eastAsia="zh-CN"/>
        </w:rPr>
        <w:t>）其他灾害防治及应急管理支出（99</w:t>
      </w:r>
      <w:r>
        <w:rPr>
          <w:rStyle w:val="15"/>
          <w:rFonts w:hint="eastAsia" w:ascii="仿宋" w:hAnsi="仿宋" w:eastAsia="仿宋"/>
          <w:b w:val="0"/>
          <w:bCs w:val="0"/>
          <w:color w:val="000000"/>
          <w:sz w:val="32"/>
          <w:szCs w:val="32"/>
          <w:highlight w:val="none"/>
        </w:rPr>
        <w:t>）</w:t>
      </w:r>
      <w:r>
        <w:rPr>
          <w:rStyle w:val="15"/>
          <w:rFonts w:hint="eastAsia" w:ascii="仿宋" w:hAnsi="仿宋" w:eastAsia="仿宋"/>
          <w:b w:val="0"/>
          <w:bCs w:val="0"/>
          <w:color w:val="000000"/>
          <w:sz w:val="32"/>
          <w:szCs w:val="32"/>
          <w:highlight w:val="none"/>
          <w:lang w:eastAsia="zh-CN"/>
        </w:rPr>
        <w:t>：</w:t>
      </w:r>
      <w:r>
        <w:rPr>
          <w:rStyle w:val="15"/>
          <w:rFonts w:hint="eastAsia" w:ascii="仿宋" w:hAnsi="仿宋" w:eastAsia="仿宋"/>
          <w:b w:val="0"/>
          <w:bCs w:val="0"/>
          <w:color w:val="000000"/>
          <w:sz w:val="32"/>
          <w:szCs w:val="32"/>
          <w:highlight w:val="none"/>
          <w:lang w:val="en-US" w:eastAsia="zh-CN"/>
        </w:rPr>
        <w:t>反映</w:t>
      </w:r>
      <w:r>
        <w:rPr>
          <w:rFonts w:hint="eastAsia" w:ascii="仿宋" w:hAnsi="仿宋" w:eastAsia="仿宋"/>
          <w:b w:val="0"/>
          <w:bCs w:val="0"/>
          <w:color w:val="000000"/>
          <w:sz w:val="32"/>
          <w:szCs w:val="32"/>
          <w:highlight w:val="none"/>
          <w:lang w:val="en-US" w:eastAsia="zh-CN"/>
        </w:rPr>
        <w:t>其他灾害防治及应急管理支出。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hint="eastAsia" w:ascii="黑体" w:hAnsi="黑体" w:eastAsia="黑体"/>
          <w:b w:val="0"/>
          <w:color w:val="auto"/>
          <w:highlight w:val="none"/>
          <w:lang w:eastAsia="zh-CN"/>
        </w:rPr>
      </w:pPr>
      <w:r>
        <w:rPr>
          <w:rFonts w:ascii="宋体"/>
          <w:b/>
          <w:color w:val="auto"/>
          <w:sz w:val="44"/>
          <w:szCs w:val="44"/>
          <w:highlight w:val="none"/>
        </w:rPr>
        <w:br w:type="page"/>
      </w:r>
      <w:bookmarkStart w:id="67" w:name="_Toc15396614"/>
      <w:bookmarkStart w:id="68" w:name="_Toc28257"/>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67"/>
      <w:bookmarkEnd w:id="68"/>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69" w:name="_Toc22584"/>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69"/>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pacing w:line="6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2023年度</w:t>
      </w:r>
      <w:r>
        <w:rPr>
          <w:rFonts w:hint="eastAsia" w:ascii="方正小标宋简体" w:hAnsi="宋体" w:eastAsia="方正小标宋简体"/>
          <w:color w:val="000000"/>
          <w:sz w:val="44"/>
          <w:szCs w:val="44"/>
        </w:rPr>
        <w:t>部门整体支出绩效</w:t>
      </w:r>
      <w:r>
        <w:rPr>
          <w:rFonts w:hint="eastAsia" w:ascii="方正小标宋简体" w:hAnsi="宋体" w:eastAsia="方正小标宋简体"/>
          <w:color w:val="000000"/>
          <w:sz w:val="44"/>
          <w:szCs w:val="44"/>
          <w:lang w:eastAsia="zh-CN"/>
        </w:rPr>
        <w:t>自评</w:t>
      </w:r>
      <w:r>
        <w:rPr>
          <w:rFonts w:hint="eastAsia" w:ascii="方正小标宋简体" w:hAnsi="宋体" w:eastAsia="方正小标宋简体"/>
          <w:color w:val="000000"/>
          <w:sz w:val="44"/>
          <w:szCs w:val="44"/>
        </w:rPr>
        <w:t>报告</w:t>
      </w:r>
    </w:p>
    <w:p>
      <w:pPr>
        <w:spacing w:line="600" w:lineRule="exact"/>
        <w:jc w:val="center"/>
        <w:rPr>
          <w:rFonts w:hint="eastAsia" w:ascii="方正小标宋简体" w:hAnsi="宋体" w:eastAsia="方正小标宋简体"/>
          <w:color w:val="000000"/>
          <w:sz w:val="44"/>
          <w:szCs w:val="44"/>
        </w:rPr>
      </w:pP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为全面客观地评价我局部门整体支出资金使用绩效，加强绩效管理，切实提高资金使用效益，根据《</w:t>
      </w:r>
      <w:r>
        <w:rPr>
          <w:rFonts w:hint="eastAsia" w:ascii="Times New Roman" w:hAnsi="Times New Roman" w:cs="Times New Roman"/>
          <w:sz w:val="32"/>
          <w:szCs w:val="32"/>
          <w:lang w:val="en-US" w:eastAsia="zh-CN"/>
        </w:rPr>
        <w:t>中华人民共和国</w:t>
      </w:r>
      <w:r>
        <w:rPr>
          <w:rFonts w:hint="default" w:ascii="Times New Roman" w:hAnsi="Times New Roman" w:cs="Times New Roman"/>
          <w:sz w:val="32"/>
          <w:szCs w:val="32"/>
          <w:lang w:val="en-US" w:eastAsia="zh-CN"/>
        </w:rPr>
        <w:t>预算法》有关“各级政府、各部门、各单位应当对预算支出情况开展绩效评价”的规定及区财政局</w:t>
      </w:r>
      <w:r>
        <w:rPr>
          <w:rFonts w:hint="eastAsia" w:ascii="Times New Roman" w:hAnsi="Times New Roman" w:cs="Times New Roman"/>
          <w:sz w:val="32"/>
          <w:szCs w:val="32"/>
          <w:lang w:val="en-US" w:eastAsia="zh-CN"/>
        </w:rPr>
        <w:t>对</w:t>
      </w:r>
      <w:r>
        <w:rPr>
          <w:rFonts w:hint="default" w:ascii="Times New Roman" w:hAnsi="Times New Roman" w:cs="Times New Roman"/>
          <w:sz w:val="32"/>
          <w:szCs w:val="32"/>
          <w:lang w:val="en-US" w:eastAsia="zh-CN"/>
        </w:rPr>
        <w:t>开展部门、项目、政策支出绩效自评工作</w:t>
      </w:r>
      <w:r>
        <w:rPr>
          <w:rFonts w:hint="eastAsia" w:ascii="Times New Roman" w:hAnsi="Times New Roman" w:cs="Times New Roman"/>
          <w:sz w:val="32"/>
          <w:szCs w:val="32"/>
          <w:lang w:val="en-US" w:eastAsia="zh-CN"/>
        </w:rPr>
        <w:t>要求</w:t>
      </w:r>
      <w:r>
        <w:rPr>
          <w:rFonts w:hint="default" w:ascii="Times New Roman" w:hAnsi="Times New Roman" w:cs="Times New Roman"/>
          <w:sz w:val="32"/>
          <w:szCs w:val="32"/>
          <w:lang w:val="en-US" w:eastAsia="zh-CN"/>
        </w:rPr>
        <w:t>，我单位对部门整体支出进行了绩效评价,现将有关情况报告如下。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default" w:ascii="Times New Roman" w:hAnsi="Times New Roman" w:eastAsia="黑体" w:cs="Times New Roman"/>
          <w:sz w:val="32"/>
          <w:szCs w:val="32"/>
        </w:rPr>
      </w:pPr>
      <w:bookmarkStart w:id="70" w:name="_Toc13807"/>
      <w:r>
        <w:rPr>
          <w:rFonts w:hint="default" w:ascii="Times New Roman" w:hAnsi="Times New Roman" w:eastAsia="黑体" w:cs="Times New Roman"/>
          <w:sz w:val="32"/>
          <w:szCs w:val="32"/>
        </w:rPr>
        <w:t>一、部门概况</w:t>
      </w:r>
      <w:bookmarkEnd w:id="70"/>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（一）部门组织机构及人员</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船山区应急管理局内设6个职能股室:办公室、应急救援股、法规宣传培训股、安全生产综合协调股、安全生产监督管理股、自然灾害综合协调股，3个下属事业单位:执法大队（参公单位）、防汛办（参公单位）、信息中心。</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2023</w:t>
      </w:r>
      <w:r>
        <w:rPr>
          <w:rFonts w:hint="default" w:ascii="Times New Roman" w:hAnsi="Times New Roman" w:cs="Times New Roman"/>
          <w:sz w:val="32"/>
          <w:szCs w:val="32"/>
          <w:lang w:val="en-US" w:eastAsia="zh-CN"/>
        </w:rPr>
        <w:t>年，区应急局机关行政编制11名。其中，局长1名，副局长</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名，总工程师1名。正股级职数6名。</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执法大队编制</w:t>
      </w:r>
      <w:r>
        <w:rPr>
          <w:rFonts w:hint="eastAsia" w:ascii="Times New Roman" w:hAnsi="Times New Roman" w:cs="Times New Roman"/>
          <w:sz w:val="32"/>
          <w:szCs w:val="32"/>
          <w:lang w:val="en-US" w:eastAsia="zh-CN"/>
        </w:rPr>
        <w:t>9</w:t>
      </w:r>
      <w:r>
        <w:rPr>
          <w:rFonts w:hint="default" w:ascii="Times New Roman" w:hAnsi="Times New Roman" w:cs="Times New Roman"/>
          <w:sz w:val="32"/>
          <w:szCs w:val="32"/>
          <w:lang w:val="en-US" w:eastAsia="zh-CN"/>
        </w:rPr>
        <w:t>名，</w:t>
      </w:r>
      <w:r>
        <w:rPr>
          <w:rFonts w:hint="eastAsia" w:ascii="Times New Roman" w:hAnsi="Times New Roman" w:cs="Times New Roman"/>
          <w:sz w:val="32"/>
          <w:szCs w:val="32"/>
          <w:lang w:val="en-US" w:eastAsia="zh-CN"/>
        </w:rPr>
        <w:t>2023年</w:t>
      </w:r>
      <w:r>
        <w:rPr>
          <w:rFonts w:hint="default" w:ascii="Times New Roman" w:hAnsi="Times New Roman" w:cs="Times New Roman"/>
          <w:sz w:val="32"/>
          <w:szCs w:val="32"/>
          <w:lang w:val="en-US" w:eastAsia="zh-CN"/>
        </w:rPr>
        <w:t>在岗</w:t>
      </w:r>
      <w:r>
        <w:rPr>
          <w:rFonts w:hint="eastAsia" w:ascii="Times New Roman" w:hAnsi="Times New Roman" w:cs="Times New Roman"/>
          <w:sz w:val="32"/>
          <w:szCs w:val="32"/>
          <w:lang w:val="en-US" w:eastAsia="zh-CN"/>
        </w:rPr>
        <w:t>9</w:t>
      </w:r>
      <w:r>
        <w:rPr>
          <w:rFonts w:hint="default" w:ascii="Times New Roman" w:hAnsi="Times New Roman" w:cs="Times New Roman"/>
          <w:sz w:val="32"/>
          <w:szCs w:val="32"/>
          <w:lang w:val="en-US" w:eastAsia="zh-CN"/>
        </w:rPr>
        <w:t>名；</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防汛办编制</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lang w:val="en-US" w:eastAsia="zh-CN"/>
        </w:rPr>
        <w:t>名，在岗</w:t>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lang w:val="en-US" w:eastAsia="zh-CN"/>
        </w:rPr>
        <w:t>名，其中</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lang w:val="en-US" w:eastAsia="zh-CN"/>
        </w:rPr>
        <w:t>名同志在区应急局，</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名同志在水利局；</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信息中心编制</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lang w:val="en-US" w:eastAsia="zh-CN"/>
        </w:rPr>
        <w:t>名，在岗</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lang w:val="en-US" w:eastAsia="zh-CN"/>
        </w:rPr>
        <w:t>名。</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同时，2023年机关工勤5名，事业工勤3名。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（二）部门职能</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1.负责应急管理工作，组织和指导各地、各部门应对安全生产类、自然灾害类等突发事件和综合防灾减灾救灾工作。负责安全生产综合监督管理和工矿商贸行业安全生产监督管理工作。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2.拟订应急管理、安全生产等规范性文件，组织编制应急体系建设、安全生产和综合防灾减灾规划。</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4.牵头建立统一的应急管理信息系统，负责信息传输渠道的规划和布局，建立监测预警和灾情报告制度，健全自然灾害信息资源获取和共享机制，依法统一发布灾情。</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5.负责组织、指导、协调安全生产类、自然灾害类等突发事件应急救援，承担全区应对一般及以上灾害指挥部工作，综合研判突发事件发展态势并提出应对建议，负责组织一般及以上灾害应急处置工作。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6.统一协调指挥各类应急专业队伍，建立应急协调联动机制，推进指挥平台对接。</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7.按照国家相关政策和规定负责消防、森林火灾扑救、抗洪抢险、地震和地质灾害救援、生产安全事故救援等专业应急救援力量建设，依法依规统筹指导各地及社会应急救援力量和应急保障能力建设。</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8.按照国家相关政策和区委、区政府相关规定负责消防工作，组织和指导消防监督、火灾预防、火灾扑救等工作。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9.负责自然灾害综合监测预警工作，承担自然灾害综合风险评估工作，指导协调森林火灾、水旱灾害、地震和地质灾害等</w:t>
      </w:r>
      <w:r>
        <w:rPr>
          <w:rFonts w:hint="eastAsia" w:ascii="Times New Roman" w:hAnsi="Times New Roman" w:cs="Times New Roman"/>
          <w:sz w:val="32"/>
          <w:szCs w:val="32"/>
          <w:lang w:val="en-US" w:eastAsia="zh-CN"/>
        </w:rPr>
        <w:t>防治</w:t>
      </w:r>
      <w:r>
        <w:rPr>
          <w:rFonts w:hint="default" w:ascii="Times New Roman" w:hAnsi="Times New Roman" w:cs="Times New Roman"/>
          <w:sz w:val="32"/>
          <w:szCs w:val="32"/>
          <w:lang w:val="en-US" w:eastAsia="zh-CN"/>
        </w:rPr>
        <w:t>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10.负责组织、协调灾害救助工作，组织和指导灾情核查、损失评估、救灾捐赠工作，管理、分配救灾款物并监督使用。</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11.依法承担区政府安全生产综合监督管理责任，指导协调、监督检查区直有关部门、各乡（镇）政府和街道、园区安全生产工作，组织开展安全生产巡查、考核工作。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12.按照分级、属地原则，依法监督检查工矿商贸生产经营单位贯彻执行安全生产法律法规情况及其安全生产条件和有关设备（特种设备除外）、材料、劳动防护用品的安全生产管理工作。协助做好中省市在船山区工矿商贸企业安全生产监督管理工作。负责危险化学品安全监督管理综合工作和烟花爆竹安全生产监督管理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13.承担非煤矿山、危险化学品、非药品类易制毒化学品和烟花爆竹等生产经营单位安全生产准入管理责任。</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14.依法组织、指导生产安全事故调查处理，监督事故查处和责任追究落实情况。组织开展自然灾害类突发事件的调查评估工作。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15.开展应急管理和安全生产方面的交流与合作，组织参与安全生产类、自然灾害类等突发事件的跨区域救援工作。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16.制定应急物资储备和应急救援装备规划并组织实施，会同区发展和改革局等部门建立健全应急物资信息平台和调拨制度，在救灾时统一调度。</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17.负责应急管理、安全生产宣传教育和培训工作，组织和指导应急管理、安全生产的科学技术研究、推广应用和信息化建设工作。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18.负责职责范围内的职业健康、生态环境保护、审批服务便民化工作。</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19.完成区委、区政府交办的其他任务。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default" w:ascii="Times New Roman" w:hAnsi="Times New Roman" w:eastAsia="黑体" w:cs="Times New Roman"/>
          <w:color w:val="auto"/>
          <w:sz w:val="32"/>
          <w:szCs w:val="32"/>
        </w:rPr>
      </w:pPr>
      <w:bookmarkStart w:id="71" w:name="_Toc3779"/>
      <w:r>
        <w:rPr>
          <w:rFonts w:hint="default" w:ascii="Times New Roman" w:hAnsi="Times New Roman" w:eastAsia="黑体" w:cs="Times New Roman"/>
          <w:color w:val="auto"/>
          <w:sz w:val="32"/>
          <w:szCs w:val="32"/>
        </w:rPr>
        <w:t>二、部门财政资金收支情况 </w:t>
      </w:r>
      <w:bookmarkEnd w:id="71"/>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船山区应急管理局202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年收入预算一般公共预算财政拨款收入</w:t>
      </w:r>
      <w:r>
        <w:rPr>
          <w:rFonts w:hint="eastAsia" w:ascii="Times New Roman" w:hAnsi="Times New Roman" w:cs="Times New Roman"/>
          <w:sz w:val="32"/>
          <w:szCs w:val="32"/>
          <w:lang w:val="en-US" w:eastAsia="zh-CN"/>
        </w:rPr>
        <w:t>744.21</w:t>
      </w:r>
      <w:r>
        <w:rPr>
          <w:rFonts w:hint="default" w:ascii="Times New Roman" w:hAnsi="Times New Roman" w:cs="Times New Roman"/>
          <w:sz w:val="32"/>
          <w:szCs w:val="32"/>
          <w:lang w:val="en-US" w:eastAsia="zh-CN"/>
        </w:rPr>
        <w:t>万元，年初结转和结余</w:t>
      </w:r>
      <w:r>
        <w:rPr>
          <w:rFonts w:hint="eastAsia" w:ascii="Times New Roman" w:hAnsi="Times New Roman" w:cs="Times New Roman"/>
          <w:sz w:val="32"/>
          <w:szCs w:val="32"/>
          <w:lang w:val="en-US" w:eastAsia="zh-CN"/>
        </w:rPr>
        <w:t>177.14</w:t>
      </w:r>
      <w:r>
        <w:rPr>
          <w:rFonts w:hint="default" w:ascii="Times New Roman" w:hAnsi="Times New Roman" w:cs="Times New Roman"/>
          <w:sz w:val="32"/>
          <w:szCs w:val="32"/>
          <w:lang w:val="en-US" w:eastAsia="zh-CN"/>
        </w:rPr>
        <w:t>万元</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支出</w:t>
      </w:r>
      <w:r>
        <w:rPr>
          <w:rFonts w:hint="eastAsia" w:ascii="Times New Roman" w:hAnsi="Times New Roman" w:cs="Times New Roman"/>
          <w:sz w:val="32"/>
          <w:szCs w:val="32"/>
          <w:lang w:val="en-US" w:eastAsia="zh-CN"/>
        </w:rPr>
        <w:t>全年</w:t>
      </w:r>
      <w:r>
        <w:rPr>
          <w:rFonts w:hint="default" w:ascii="Times New Roman" w:hAnsi="Times New Roman" w:cs="Times New Roman"/>
          <w:sz w:val="32"/>
          <w:szCs w:val="32"/>
          <w:lang w:val="en-US" w:eastAsia="zh-CN"/>
        </w:rPr>
        <w:t>预算</w:t>
      </w:r>
      <w:r>
        <w:rPr>
          <w:rFonts w:hint="eastAsia" w:ascii="Times New Roman" w:hAnsi="Times New Roman" w:cs="Times New Roman"/>
          <w:sz w:val="32"/>
          <w:szCs w:val="32"/>
          <w:lang w:val="en-US" w:eastAsia="zh-CN"/>
        </w:rPr>
        <w:t>数1094.21</w:t>
      </w:r>
      <w:r>
        <w:rPr>
          <w:rFonts w:hint="default" w:ascii="Times New Roman" w:hAnsi="Times New Roman" w:cs="Times New Roman"/>
          <w:sz w:val="32"/>
          <w:szCs w:val="32"/>
          <w:lang w:val="en-US" w:eastAsia="zh-CN"/>
        </w:rPr>
        <w:t>万元。</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（一）部门财政资金收入情况</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区应急局202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年收入调整预算数为</w:t>
      </w:r>
      <w:r>
        <w:rPr>
          <w:rFonts w:hint="eastAsia" w:ascii="Times New Roman" w:hAnsi="Times New Roman" w:cs="Times New Roman"/>
          <w:sz w:val="32"/>
          <w:szCs w:val="32"/>
          <w:lang w:val="en-US" w:eastAsia="zh-CN"/>
        </w:rPr>
        <w:t>1065.86</w:t>
      </w:r>
      <w:r>
        <w:rPr>
          <w:rFonts w:hint="default" w:ascii="Times New Roman" w:hAnsi="Times New Roman" w:cs="Times New Roman"/>
          <w:sz w:val="32"/>
          <w:szCs w:val="32"/>
          <w:lang w:val="en-US" w:eastAsia="zh-CN"/>
        </w:rPr>
        <w:t>万元，其中：一般公共预算财政拨款收入</w:t>
      </w:r>
      <w:r>
        <w:rPr>
          <w:rFonts w:hint="eastAsia" w:ascii="Times New Roman" w:hAnsi="Times New Roman" w:cs="Times New Roman"/>
          <w:sz w:val="32"/>
          <w:szCs w:val="32"/>
          <w:lang w:val="en-US" w:eastAsia="zh-CN"/>
        </w:rPr>
        <w:t>1035.87</w:t>
      </w:r>
      <w:r>
        <w:rPr>
          <w:rFonts w:hint="default" w:ascii="Times New Roman" w:hAnsi="Times New Roman" w:cs="Times New Roman"/>
          <w:sz w:val="32"/>
          <w:szCs w:val="32"/>
          <w:lang w:val="en-US" w:eastAsia="zh-CN"/>
        </w:rPr>
        <w:t>万元，占总收入的</w:t>
      </w:r>
      <w:r>
        <w:rPr>
          <w:rFonts w:hint="eastAsia" w:ascii="Times New Roman" w:hAnsi="Times New Roman" w:cs="Times New Roman"/>
          <w:sz w:val="32"/>
          <w:szCs w:val="32"/>
          <w:lang w:val="en-US" w:eastAsia="zh-CN"/>
        </w:rPr>
        <w:t>97.19</w:t>
      </w:r>
      <w:r>
        <w:rPr>
          <w:rFonts w:hint="default" w:ascii="Times New Roman" w:hAnsi="Times New Roman" w:cs="Times New Roman"/>
          <w:sz w:val="32"/>
          <w:szCs w:val="32"/>
          <w:lang w:val="en-US" w:eastAsia="zh-CN"/>
        </w:rPr>
        <w:t>%；其他收入</w:t>
      </w:r>
      <w:r>
        <w:rPr>
          <w:rFonts w:hint="eastAsia" w:ascii="Times New Roman" w:hAnsi="Times New Roman" w:cs="Times New Roman"/>
          <w:sz w:val="32"/>
          <w:szCs w:val="32"/>
          <w:lang w:val="en-US" w:eastAsia="zh-CN"/>
        </w:rPr>
        <w:t>29.99</w:t>
      </w:r>
      <w:r>
        <w:rPr>
          <w:rFonts w:hint="default" w:ascii="Times New Roman" w:hAnsi="Times New Roman" w:cs="Times New Roman"/>
          <w:sz w:val="32"/>
          <w:szCs w:val="32"/>
          <w:lang w:val="en-US" w:eastAsia="zh-CN"/>
        </w:rPr>
        <w:t>万元，占总收入的</w:t>
      </w:r>
      <w:r>
        <w:rPr>
          <w:rFonts w:hint="eastAsia" w:ascii="Times New Roman" w:hAnsi="Times New Roman" w:cs="Times New Roman"/>
          <w:sz w:val="32"/>
          <w:szCs w:val="32"/>
          <w:lang w:val="en-US" w:eastAsia="zh-CN"/>
        </w:rPr>
        <w:t>2.81</w:t>
      </w:r>
      <w:r>
        <w:rPr>
          <w:rFonts w:hint="default" w:ascii="Times New Roman" w:hAnsi="Times New Roman" w:cs="Times New Roman"/>
          <w:sz w:val="32"/>
          <w:szCs w:val="32"/>
          <w:lang w:val="en-US"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（二）部门财政资金支出情况</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船山区应急局202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年部门整体支出决算总额为</w:t>
      </w:r>
      <w:r>
        <w:rPr>
          <w:rFonts w:hint="eastAsia" w:ascii="Times New Roman" w:hAnsi="Times New Roman" w:cs="Times New Roman"/>
          <w:sz w:val="32"/>
          <w:szCs w:val="32"/>
          <w:lang w:val="en-US" w:eastAsia="zh-CN"/>
        </w:rPr>
        <w:t>1065.86</w:t>
      </w:r>
      <w:r>
        <w:rPr>
          <w:rFonts w:hint="default" w:ascii="Times New Roman" w:hAnsi="Times New Roman" w:cs="Times New Roman"/>
          <w:sz w:val="32"/>
          <w:szCs w:val="32"/>
          <w:lang w:val="en-US" w:eastAsia="zh-CN"/>
        </w:rPr>
        <w:t>万元，其中财政拨款支出</w:t>
      </w:r>
      <w:r>
        <w:rPr>
          <w:rFonts w:hint="eastAsia" w:ascii="Times New Roman" w:hAnsi="Times New Roman" w:cs="Times New Roman"/>
          <w:sz w:val="32"/>
          <w:szCs w:val="32"/>
          <w:lang w:val="en-US" w:eastAsia="zh-CN"/>
        </w:rPr>
        <w:t>1035.87</w:t>
      </w:r>
      <w:r>
        <w:rPr>
          <w:rFonts w:hint="default" w:ascii="Times New Roman" w:hAnsi="Times New Roman" w:cs="Times New Roman"/>
          <w:sz w:val="32"/>
          <w:szCs w:val="32"/>
          <w:lang w:val="en-US" w:eastAsia="zh-CN"/>
        </w:rPr>
        <w:t>万元。其中：基本支出</w:t>
      </w:r>
      <w:r>
        <w:rPr>
          <w:rFonts w:hint="eastAsia" w:ascii="Times New Roman" w:hAnsi="Times New Roman" w:cs="Times New Roman"/>
          <w:sz w:val="32"/>
          <w:szCs w:val="32"/>
          <w:lang w:val="en-US" w:eastAsia="zh-CN"/>
        </w:rPr>
        <w:t>520.55</w:t>
      </w:r>
      <w:r>
        <w:rPr>
          <w:rFonts w:hint="default" w:ascii="Times New Roman" w:hAnsi="Times New Roman" w:cs="Times New Roman"/>
          <w:sz w:val="32"/>
          <w:szCs w:val="32"/>
          <w:lang w:val="en-US" w:eastAsia="zh-CN"/>
        </w:rPr>
        <w:t>万元，占总支出的</w:t>
      </w:r>
      <w:r>
        <w:rPr>
          <w:rFonts w:hint="eastAsia" w:ascii="Times New Roman" w:hAnsi="Times New Roman" w:cs="Times New Roman"/>
          <w:sz w:val="32"/>
          <w:szCs w:val="32"/>
          <w:lang w:val="en-US" w:eastAsia="zh-CN"/>
        </w:rPr>
        <w:t>48.84</w:t>
      </w:r>
      <w:r>
        <w:rPr>
          <w:rFonts w:hint="default" w:ascii="Times New Roman" w:hAnsi="Times New Roman" w:cs="Times New Roman"/>
          <w:sz w:val="32"/>
          <w:szCs w:val="32"/>
          <w:lang w:val="en-US" w:eastAsia="zh-CN"/>
        </w:rPr>
        <w:t>%；项目支出</w:t>
      </w:r>
      <w:r>
        <w:rPr>
          <w:rFonts w:hint="eastAsia" w:ascii="Times New Roman" w:hAnsi="Times New Roman" w:cs="Times New Roman"/>
          <w:sz w:val="32"/>
          <w:szCs w:val="32"/>
          <w:lang w:val="en-US" w:eastAsia="zh-CN"/>
        </w:rPr>
        <w:t>545.31</w:t>
      </w:r>
      <w:r>
        <w:rPr>
          <w:rFonts w:hint="default" w:ascii="Times New Roman" w:hAnsi="Times New Roman" w:cs="Times New Roman"/>
          <w:sz w:val="32"/>
          <w:szCs w:val="32"/>
          <w:lang w:val="en-US" w:eastAsia="zh-CN"/>
        </w:rPr>
        <w:t>万元，占总支出的</w:t>
      </w:r>
      <w:r>
        <w:rPr>
          <w:rFonts w:hint="eastAsia" w:ascii="Times New Roman" w:hAnsi="Times New Roman" w:cs="Times New Roman"/>
          <w:sz w:val="32"/>
          <w:szCs w:val="32"/>
          <w:lang w:val="en-US" w:eastAsia="zh-CN"/>
        </w:rPr>
        <w:t>51.16</w:t>
      </w:r>
      <w:r>
        <w:rPr>
          <w:rFonts w:hint="default" w:ascii="Times New Roman" w:hAnsi="Times New Roman" w:cs="Times New Roman"/>
          <w:sz w:val="32"/>
          <w:szCs w:val="32"/>
          <w:lang w:val="en-US"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按功能科目表分类，社会保障和就业支出</w:t>
      </w:r>
      <w:r>
        <w:rPr>
          <w:rFonts w:hint="eastAsia" w:ascii="Times New Roman" w:hAnsi="Times New Roman" w:cs="Times New Roman"/>
          <w:sz w:val="32"/>
          <w:szCs w:val="32"/>
          <w:lang w:val="en-US" w:eastAsia="zh-CN"/>
        </w:rPr>
        <w:t>48.12</w:t>
      </w:r>
      <w:r>
        <w:rPr>
          <w:rFonts w:hint="default" w:ascii="Times New Roman" w:hAnsi="Times New Roman" w:cs="Times New Roman"/>
          <w:sz w:val="32"/>
          <w:szCs w:val="32"/>
          <w:lang w:val="en-US" w:eastAsia="zh-CN"/>
        </w:rPr>
        <w:t>万元、卫生健康支出</w:t>
      </w:r>
      <w:r>
        <w:rPr>
          <w:rFonts w:hint="eastAsia" w:ascii="Times New Roman" w:hAnsi="Times New Roman" w:cs="Times New Roman"/>
          <w:sz w:val="32"/>
          <w:szCs w:val="32"/>
          <w:lang w:val="en-US" w:eastAsia="zh-CN"/>
        </w:rPr>
        <w:t>19.07</w:t>
      </w:r>
      <w:r>
        <w:rPr>
          <w:rFonts w:hint="default" w:ascii="Times New Roman" w:hAnsi="Times New Roman" w:cs="Times New Roman"/>
          <w:sz w:val="32"/>
          <w:szCs w:val="32"/>
          <w:lang w:val="en-US" w:eastAsia="zh-CN"/>
        </w:rPr>
        <w:t>万元、农林水支出</w:t>
      </w:r>
      <w:r>
        <w:rPr>
          <w:rFonts w:hint="eastAsia" w:ascii="Times New Roman" w:hAnsi="Times New Roman" w:cs="Times New Roman"/>
          <w:sz w:val="32"/>
          <w:szCs w:val="32"/>
          <w:lang w:val="en-US" w:eastAsia="zh-CN"/>
        </w:rPr>
        <w:t>0万元、</w:t>
      </w:r>
      <w:r>
        <w:rPr>
          <w:rFonts w:hint="default" w:ascii="Times New Roman" w:hAnsi="Times New Roman" w:cs="Times New Roman"/>
          <w:sz w:val="32"/>
          <w:szCs w:val="32"/>
          <w:lang w:val="en-US" w:eastAsia="zh-CN"/>
        </w:rPr>
        <w:t>住房保障支出</w:t>
      </w:r>
      <w:r>
        <w:rPr>
          <w:rFonts w:hint="eastAsia" w:ascii="Times New Roman" w:hAnsi="Times New Roman" w:cs="Times New Roman"/>
          <w:sz w:val="32"/>
          <w:szCs w:val="32"/>
          <w:lang w:val="en-US" w:eastAsia="zh-CN"/>
        </w:rPr>
        <w:t>37.27</w:t>
      </w:r>
      <w:r>
        <w:rPr>
          <w:rFonts w:hint="default" w:ascii="Times New Roman" w:hAnsi="Times New Roman" w:cs="Times New Roman"/>
          <w:sz w:val="32"/>
          <w:szCs w:val="32"/>
          <w:lang w:val="en-US" w:eastAsia="zh-CN"/>
        </w:rPr>
        <w:t>万元、灾害防治及应急管理支出</w:t>
      </w:r>
      <w:r>
        <w:rPr>
          <w:rFonts w:hint="eastAsia" w:ascii="Times New Roman" w:hAnsi="Times New Roman" w:cs="Times New Roman"/>
          <w:sz w:val="32"/>
          <w:szCs w:val="32"/>
          <w:lang w:val="en-US" w:eastAsia="zh-CN"/>
        </w:rPr>
        <w:t>961.38</w:t>
      </w:r>
      <w:r>
        <w:rPr>
          <w:rFonts w:hint="default" w:ascii="Times New Roman" w:hAnsi="Times New Roman" w:cs="Times New Roman"/>
          <w:sz w:val="32"/>
          <w:szCs w:val="32"/>
          <w:lang w:val="en-US" w:eastAsia="zh-CN"/>
        </w:rPr>
        <w:t>万元。</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outlineLvl w:val="1"/>
        <w:rPr>
          <w:rFonts w:hint="default" w:ascii="Times New Roman" w:hAnsi="Times New Roman" w:cs="Times New Roman"/>
          <w:kern w:val="2"/>
          <w:sz w:val="32"/>
          <w:szCs w:val="32"/>
        </w:rPr>
      </w:pPr>
      <w:bookmarkStart w:id="72" w:name="_Toc9037"/>
      <w:r>
        <w:rPr>
          <w:rFonts w:hint="default" w:ascii="Times New Roman" w:hAnsi="Times New Roman" w:eastAsia="黑体" w:cs="Times New Roman"/>
          <w:kern w:val="2"/>
          <w:sz w:val="32"/>
          <w:szCs w:val="32"/>
        </w:rPr>
        <w:t>三、部门</w:t>
      </w:r>
      <w:r>
        <w:rPr>
          <w:rFonts w:hint="default" w:ascii="Times New Roman" w:hAnsi="Times New Roman" w:eastAsia="黑体" w:cs="Times New Roman"/>
          <w:kern w:val="2"/>
          <w:sz w:val="32"/>
          <w:szCs w:val="32"/>
          <w:lang w:eastAsia="zh-CN"/>
        </w:rPr>
        <w:t>整体预算绩效</w:t>
      </w:r>
      <w:r>
        <w:rPr>
          <w:rFonts w:hint="default" w:ascii="Times New Roman" w:hAnsi="Times New Roman" w:eastAsia="黑体" w:cs="Times New Roman"/>
          <w:kern w:val="2"/>
          <w:sz w:val="32"/>
          <w:szCs w:val="32"/>
        </w:rPr>
        <w:t>管理情况</w:t>
      </w:r>
      <w:bookmarkEnd w:id="72"/>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rPr>
        <w:t>（一）</w:t>
      </w:r>
      <w:r>
        <w:rPr>
          <w:rFonts w:hint="default" w:ascii="Times New Roman" w:hAnsi="Times New Roman" w:eastAsia="楷体" w:cs="Times New Roman"/>
          <w:b/>
          <w:bCs/>
          <w:kern w:val="2"/>
          <w:sz w:val="32"/>
          <w:szCs w:val="32"/>
          <w:lang w:eastAsia="zh-CN"/>
        </w:rPr>
        <w:t>部门</w:t>
      </w:r>
      <w:r>
        <w:rPr>
          <w:rFonts w:hint="default" w:ascii="Times New Roman" w:hAnsi="Times New Roman" w:eastAsia="楷体" w:cs="Times New Roman"/>
          <w:b/>
          <w:bCs/>
          <w:kern w:val="2"/>
          <w:sz w:val="32"/>
          <w:szCs w:val="32"/>
        </w:rPr>
        <w:t>预算</w:t>
      </w:r>
      <w:r>
        <w:rPr>
          <w:rFonts w:hint="default" w:ascii="Times New Roman" w:hAnsi="Times New Roman" w:eastAsia="楷体" w:cs="Times New Roman"/>
          <w:b/>
          <w:bCs/>
          <w:kern w:val="2"/>
          <w:sz w:val="32"/>
          <w:szCs w:val="32"/>
          <w:lang w:eastAsia="zh-CN"/>
        </w:rPr>
        <w:t>管理</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预算编制工作按照全面落实预算法和中央、省、市深化财税体制改革要求，紧紧围绕政府决策部署，加强保障重点支出，严格控制一般性支出，进行了预算编制，严格绩效目标申报，并定期对预算资金进行支付评价，保证专款专用，合理支出。无任何违规记录。同时，严格按照“费随事定”的原则，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年区应急管理局全部项目按要求编制了绩效目标，从项目</w:t>
      </w:r>
      <w:r>
        <w:rPr>
          <w:rFonts w:hint="eastAsia" w:ascii="Times New Roman" w:hAnsi="Times New Roman" w:cs="Times New Roman"/>
          <w:sz w:val="32"/>
          <w:szCs w:val="32"/>
          <w:lang w:val="en-US" w:eastAsia="zh-CN"/>
        </w:rPr>
        <w:t>产出</w:t>
      </w:r>
      <w:r>
        <w:rPr>
          <w:rFonts w:hint="default" w:ascii="Times New Roman" w:hAnsi="Times New Roman" w:cs="Times New Roman"/>
          <w:sz w:val="32"/>
          <w:szCs w:val="32"/>
          <w:lang w:val="en-US" w:eastAsia="zh-CN"/>
        </w:rPr>
        <w:t>、项目效益、满意度等方面设置了绩效指标，综合反映项目预期完成的数量、成本、时效、质量，预期达到的社会效益、经济效益、生态效益、可持续影响以及服务对象满意度等情况。</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我局在资金使用过程中，局领导定期召开党委会议专门研究了各项目执行情况，严格按照“三重一大”制度支付每一笔款项。对年初预算执行情况动态监控，并要求各分管领导要积极负责，认真制定各自负责项目的资金使用，定期对绩效目标完成情况进行自查。</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严格执行预算，控制“三公”经费</w:t>
      </w:r>
      <w:bookmarkStart w:id="128" w:name="_GoBack"/>
      <w:bookmarkEnd w:id="128"/>
      <w:r>
        <w:rPr>
          <w:rFonts w:hint="default" w:ascii="Times New Roman" w:hAnsi="Times New Roman" w:cs="Times New Roman"/>
          <w:sz w:val="32"/>
          <w:szCs w:val="32"/>
          <w:lang w:val="en-US" w:eastAsia="zh-CN"/>
        </w:rPr>
        <w:t>支出。202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年“三公”经费预算金额为4.75万元，实际支出为</w:t>
      </w:r>
      <w:r>
        <w:rPr>
          <w:rFonts w:hint="eastAsia" w:ascii="Times New Roman" w:hAnsi="Times New Roman" w:cs="Times New Roman"/>
          <w:sz w:val="32"/>
          <w:szCs w:val="32"/>
          <w:lang w:val="en-US" w:eastAsia="zh-CN"/>
        </w:rPr>
        <w:t>21.01</w:t>
      </w:r>
      <w:r>
        <w:rPr>
          <w:rFonts w:hint="default" w:ascii="Times New Roman" w:hAnsi="Times New Roman" w:cs="Times New Roman"/>
          <w:sz w:val="32"/>
          <w:szCs w:val="32"/>
          <w:lang w:val="en-US" w:eastAsia="zh-CN"/>
        </w:rPr>
        <w:t>万元，上年202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年支出为</w:t>
      </w:r>
      <w:r>
        <w:rPr>
          <w:rFonts w:hint="eastAsia" w:ascii="Times New Roman" w:hAnsi="Times New Roman" w:cs="Times New Roman"/>
          <w:sz w:val="32"/>
          <w:szCs w:val="32"/>
          <w:lang w:val="en-US" w:eastAsia="zh-CN"/>
        </w:rPr>
        <w:t>1.72</w:t>
      </w:r>
      <w:r>
        <w:rPr>
          <w:rFonts w:hint="default" w:ascii="Times New Roman" w:hAnsi="Times New Roman" w:cs="Times New Roman"/>
          <w:sz w:val="32"/>
          <w:szCs w:val="32"/>
          <w:lang w:val="en-US" w:eastAsia="zh-CN"/>
        </w:rPr>
        <w:t>万元，比上年</w:t>
      </w:r>
      <w:r>
        <w:rPr>
          <w:rFonts w:hint="eastAsia" w:ascii="Times New Roman" w:hAnsi="Times New Roman" w:cs="Times New Roman"/>
          <w:sz w:val="32"/>
          <w:szCs w:val="32"/>
          <w:lang w:val="en-US" w:eastAsia="zh-CN"/>
        </w:rPr>
        <w:t>增加了19.29</w:t>
      </w:r>
      <w:r>
        <w:rPr>
          <w:rFonts w:hint="default" w:ascii="Times New Roman" w:hAnsi="Times New Roman" w:cs="Times New Roman"/>
          <w:sz w:val="32"/>
          <w:szCs w:val="32"/>
          <w:lang w:val="en-US" w:eastAsia="zh-CN"/>
        </w:rPr>
        <w:t>万元。因公出国（境）经费0万元，公务用车购置及运行维护费</w:t>
      </w:r>
      <w:r>
        <w:rPr>
          <w:rFonts w:hint="eastAsia" w:ascii="Times New Roman" w:hAnsi="Times New Roman" w:cs="Times New Roman"/>
          <w:sz w:val="32"/>
          <w:szCs w:val="32"/>
          <w:lang w:val="en-US" w:eastAsia="zh-CN"/>
        </w:rPr>
        <w:t>18.67</w:t>
      </w:r>
      <w:r>
        <w:rPr>
          <w:rFonts w:hint="default" w:ascii="Times New Roman" w:hAnsi="Times New Roman" w:cs="Times New Roman"/>
          <w:sz w:val="32"/>
          <w:szCs w:val="32"/>
          <w:lang w:val="en-US" w:eastAsia="zh-CN"/>
        </w:rPr>
        <w:t>万元</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较202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年决算数</w:t>
      </w:r>
      <w:r>
        <w:rPr>
          <w:rFonts w:hint="eastAsia" w:ascii="Times New Roman" w:hAnsi="Times New Roman" w:cs="Times New Roman"/>
          <w:sz w:val="32"/>
          <w:szCs w:val="32"/>
          <w:lang w:val="en-US" w:eastAsia="zh-CN"/>
        </w:rPr>
        <w:t>增加了18.67</w:t>
      </w:r>
      <w:r>
        <w:rPr>
          <w:rFonts w:hint="default" w:ascii="Times New Roman" w:hAnsi="Times New Roman" w:cs="Times New Roman"/>
          <w:sz w:val="32"/>
          <w:szCs w:val="32"/>
          <w:lang w:val="en-US" w:eastAsia="zh-CN"/>
        </w:rPr>
        <w:t>万元</w:t>
      </w:r>
      <w:r>
        <w:rPr>
          <w:rFonts w:hint="eastAsia" w:ascii="Times New Roman" w:hAnsi="Times New Roman" w:cs="Times New Roman"/>
          <w:sz w:val="32"/>
          <w:szCs w:val="32"/>
          <w:lang w:val="en-US" w:eastAsia="zh-CN"/>
        </w:rPr>
        <w:t>，购车原因为提高执法能力。</w:t>
      </w: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年公务接待费</w:t>
      </w:r>
      <w:r>
        <w:rPr>
          <w:rFonts w:hint="eastAsia" w:ascii="Times New Roman" w:hAnsi="Times New Roman" w:cs="Times New Roman"/>
          <w:sz w:val="32"/>
          <w:szCs w:val="32"/>
          <w:lang w:val="en-US" w:eastAsia="zh-CN"/>
        </w:rPr>
        <w:t>2.33万</w:t>
      </w:r>
      <w:r>
        <w:rPr>
          <w:rFonts w:hint="default" w:ascii="Times New Roman" w:hAnsi="Times New Roman" w:cs="Times New Roman"/>
          <w:sz w:val="32"/>
          <w:szCs w:val="32"/>
          <w:lang w:val="en-US" w:eastAsia="zh-CN"/>
        </w:rPr>
        <w:t>元，较202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年决算数</w:t>
      </w:r>
      <w:r>
        <w:rPr>
          <w:rFonts w:hint="eastAsia" w:ascii="Times New Roman" w:hAnsi="Times New Roman" w:cs="Times New Roman"/>
          <w:sz w:val="32"/>
          <w:szCs w:val="32"/>
          <w:lang w:val="en-US" w:eastAsia="zh-CN"/>
        </w:rPr>
        <w:t>增加了0.61</w:t>
      </w:r>
      <w:r>
        <w:rPr>
          <w:rFonts w:hint="default" w:ascii="Times New Roman" w:hAnsi="Times New Roman" w:cs="Times New Roman"/>
          <w:sz w:val="32"/>
          <w:szCs w:val="32"/>
          <w:lang w:val="en-US" w:eastAsia="zh-CN"/>
        </w:rPr>
        <w:t>万元，主要原因是</w:t>
      </w:r>
      <w:r>
        <w:rPr>
          <w:rFonts w:hint="eastAsia" w:ascii="Times New Roman" w:hAnsi="Times New Roman" w:cs="Times New Roman"/>
          <w:sz w:val="32"/>
          <w:szCs w:val="32"/>
          <w:lang w:val="en-US" w:eastAsia="zh-CN"/>
        </w:rPr>
        <w:t>迎接省级督导检查组的次数增加</w:t>
      </w:r>
      <w:r>
        <w:rPr>
          <w:rFonts w:hint="default" w:ascii="Times New Roman" w:hAnsi="Times New Roman" w:cs="Times New Roman"/>
          <w:sz w:val="32"/>
          <w:szCs w:val="32"/>
          <w:lang w:val="en-US"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w:t>
      </w:r>
      <w:r>
        <w:rPr>
          <w:rFonts w:hint="default" w:ascii="Times New Roman" w:hAnsi="Times New Roman" w:cs="Times New Roman"/>
          <w:sz w:val="32"/>
          <w:szCs w:val="32"/>
          <w:lang w:val="en-US" w:eastAsia="zh-CN"/>
        </w:rPr>
        <w:t>按照财政要求，我局202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年认真进行了资产清理，做到账账相符、账实相符。同时按照《财政部关于全面推进行政事业单位内部控制建设的指导意见》（财会〔2015〕24号）的有关精神，我单位高度重视，召开会议专题研究，在202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年认真组织开展内部控制基础性评价工作，并顺利完成。</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rPr>
        <w:t>（四）</w:t>
      </w:r>
      <w:r>
        <w:rPr>
          <w:rFonts w:hint="default" w:ascii="Times New Roman" w:hAnsi="Times New Roman" w:eastAsia="楷体" w:cs="Times New Roman"/>
          <w:b/>
          <w:bCs/>
          <w:kern w:val="2"/>
          <w:sz w:val="32"/>
          <w:szCs w:val="32"/>
          <w:lang w:eastAsia="zh-CN"/>
        </w:rPr>
        <w:t>结果运用情况</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我局对照《202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年部门整体支出绩效评价指标体系》进行了自评打分，由于自评质量为评价组抽查得分，部门自评满分为90分，我局得分</w:t>
      </w:r>
      <w:r>
        <w:rPr>
          <w:rFonts w:hint="eastAsia" w:ascii="Times New Roman" w:hAnsi="Times New Roman" w:cs="Times New Roman"/>
          <w:sz w:val="32"/>
          <w:szCs w:val="32"/>
          <w:lang w:val="en-US" w:eastAsia="zh-CN"/>
        </w:rPr>
        <w:t>89.5</w:t>
      </w:r>
      <w:r>
        <w:rPr>
          <w:rFonts w:hint="default" w:ascii="Times New Roman" w:hAnsi="Times New Roman" w:cs="Times New Roman"/>
          <w:sz w:val="32"/>
          <w:szCs w:val="32"/>
          <w:lang w:val="en-US" w:eastAsia="zh-CN"/>
        </w:rPr>
        <w:t>分（换算成百分制为</w:t>
      </w:r>
      <w:r>
        <w:rPr>
          <w:rFonts w:hint="eastAsia" w:ascii="Times New Roman" w:hAnsi="Times New Roman" w:cs="Times New Roman"/>
          <w:sz w:val="32"/>
          <w:szCs w:val="32"/>
          <w:lang w:val="en-US" w:eastAsia="zh-CN"/>
        </w:rPr>
        <w:t>99.4</w:t>
      </w:r>
      <w:r>
        <w:rPr>
          <w:rFonts w:hint="default" w:ascii="Times New Roman" w:hAnsi="Times New Roman" w:cs="Times New Roman"/>
          <w:sz w:val="32"/>
          <w:szCs w:val="32"/>
          <w:lang w:val="en-US" w:eastAsia="zh-CN"/>
        </w:rPr>
        <w:t>分），详见附件，自我评价结果为优。我局将在以后的工作中加强预算管理，严格控制各项经费的开支，提高经费的使用效率。</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outlineLvl w:val="1"/>
        <w:rPr>
          <w:rFonts w:hint="default" w:ascii="Times New Roman" w:hAnsi="Times New Roman" w:eastAsia="黑体" w:cs="Times New Roman"/>
          <w:kern w:val="2"/>
          <w:sz w:val="32"/>
          <w:szCs w:val="32"/>
          <w:lang w:eastAsia="zh-CN"/>
        </w:rPr>
      </w:pPr>
      <w:bookmarkStart w:id="73" w:name="_Toc27083"/>
      <w:r>
        <w:rPr>
          <w:rFonts w:hint="default" w:ascii="Times New Roman" w:hAnsi="Times New Roman" w:eastAsia="黑体" w:cs="Times New Roman"/>
          <w:kern w:val="2"/>
          <w:sz w:val="32"/>
          <w:szCs w:val="32"/>
        </w:rPr>
        <w:t>四、</w:t>
      </w:r>
      <w:r>
        <w:rPr>
          <w:rFonts w:hint="default" w:ascii="Times New Roman" w:hAnsi="Times New Roman" w:eastAsia="黑体" w:cs="Times New Roman"/>
          <w:kern w:val="2"/>
          <w:sz w:val="32"/>
          <w:szCs w:val="32"/>
          <w:lang w:eastAsia="zh-CN"/>
        </w:rPr>
        <w:t>评价结论及建议</w:t>
      </w:r>
      <w:bookmarkEnd w:id="73"/>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eastAsia="楷体" w:cs="Times New Roman"/>
          <w:b/>
          <w:bCs/>
          <w:kern w:val="2"/>
          <w:sz w:val="32"/>
          <w:szCs w:val="32"/>
          <w:lang w:val="en-US" w:eastAsia="zh-CN"/>
        </w:rPr>
      </w:pPr>
      <w:r>
        <w:rPr>
          <w:rFonts w:hint="default" w:ascii="Times New Roman" w:hAnsi="Times New Roman" w:eastAsia="楷体" w:cs="Times New Roman"/>
          <w:b/>
          <w:bCs/>
          <w:kern w:val="2"/>
          <w:sz w:val="32"/>
          <w:szCs w:val="32"/>
          <w:lang w:val="en-US" w:eastAsia="zh-CN"/>
        </w:rPr>
        <w:t>（一）评价结论</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年，区应急局认真做好年度资金预算的编制工作，按照政府采购目录及采购限额标准编制政府采购预算，做到应编尽编。在资金使用和管理方面，进一步强化资金统筹，优化资金结构，明确开支范围，细化资金用途，确保我局职责任务顺利完成。全年支出保证了我局的正常运行和日常工作的正常开展，达到了预期绩效目标。</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2"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 w:cs="Times New Roman"/>
          <w:b/>
          <w:bCs/>
          <w:kern w:val="2"/>
          <w:sz w:val="32"/>
          <w:szCs w:val="32"/>
          <w:lang w:eastAsia="zh-CN"/>
        </w:rPr>
        <w:t>（二）存在的主要问题 </w:t>
      </w:r>
      <w:r>
        <w:rPr>
          <w:rFonts w:hint="default" w:ascii="Times New Roman" w:hAnsi="Times New Roman" w:eastAsia="楷体" w:cs="Times New Roman"/>
          <w:b/>
          <w:bCs/>
          <w:kern w:val="2"/>
          <w:sz w:val="32"/>
          <w:szCs w:val="32"/>
          <w:lang w:eastAsia="zh-CN"/>
        </w:rPr>
        <w:br w:type="textWrapping"/>
      </w:r>
      <w:r>
        <w:rPr>
          <w:rFonts w:hint="default" w:ascii="Times New Roman" w:hAnsi="Times New Roman" w:eastAsia="楷体" w:cs="Times New Roman"/>
          <w:b/>
          <w:bCs/>
          <w:kern w:val="2"/>
          <w:sz w:val="32"/>
          <w:szCs w:val="32"/>
          <w:lang w:val="en-US" w:eastAsia="zh-CN"/>
        </w:rPr>
        <w:t xml:space="preserve">   </w:t>
      </w:r>
      <w:r>
        <w:rPr>
          <w:rFonts w:hint="default" w:ascii="Times New Roman" w:hAnsi="Times New Roman" w:cs="Times New Roman"/>
          <w:sz w:val="32"/>
          <w:szCs w:val="32"/>
          <w:lang w:val="en-US" w:eastAsia="zh-CN"/>
        </w:rPr>
        <w:t xml:space="preserve"> 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在预算时各业务股室对项目资金使用能够准确预估，但项目资金目标绩效设置参与度不高。</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因应急局为安全保障部门，部门整体支出产出的社会效益较好，经济效益不明显。</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资金使用效益有待进一步提高。</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w:t>
      </w:r>
      <w:r>
        <w:rPr>
          <w:rFonts w:hint="default" w:ascii="Times New Roman" w:hAnsi="Times New Roman" w:eastAsia="楷体" w:cs="Times New Roman"/>
          <w:b/>
          <w:bCs/>
          <w:kern w:val="2"/>
          <w:sz w:val="32"/>
          <w:szCs w:val="32"/>
          <w:lang w:eastAsia="zh-CN"/>
        </w:rPr>
        <w:t xml:space="preserve"> （三）</w:t>
      </w:r>
      <w:r>
        <w:rPr>
          <w:rFonts w:hint="eastAsia" w:ascii="Times New Roman" w:hAnsi="Times New Roman" w:eastAsia="楷体" w:cs="Times New Roman"/>
          <w:b/>
          <w:bCs/>
          <w:kern w:val="2"/>
          <w:sz w:val="32"/>
          <w:szCs w:val="32"/>
          <w:lang w:eastAsia="zh-CN"/>
        </w:rPr>
        <w:t>下步工作计划</w:t>
      </w:r>
      <w:r>
        <w:rPr>
          <w:rFonts w:hint="default" w:ascii="Times New Roman" w:hAnsi="Times New Roman" w:eastAsia="楷体" w:cs="Times New Roman"/>
          <w:b/>
          <w:bCs/>
          <w:kern w:val="2"/>
          <w:sz w:val="32"/>
          <w:szCs w:val="32"/>
          <w:lang w:eastAsia="zh-CN"/>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进一步规范资金的管理和使用，</w:t>
      </w:r>
      <w:r>
        <w:rPr>
          <w:rFonts w:hint="default" w:ascii="Times New Roman" w:hAnsi="Times New Roman" w:cs="Times New Roman"/>
          <w:sz w:val="32"/>
          <w:szCs w:val="32"/>
          <w:lang w:eastAsia="zh-CN"/>
        </w:rPr>
        <w:t>按时间进度分解资金使用计划，做好事前计划、事中控制、事后总结提高。</w:t>
      </w:r>
      <w:r>
        <w:rPr>
          <w:rFonts w:hint="default" w:ascii="Times New Roman" w:hAnsi="Times New Roman" w:cs="Times New Roman"/>
          <w:sz w:val="32"/>
          <w:szCs w:val="32"/>
        </w:rPr>
        <w:t>确保资金</w:t>
      </w:r>
      <w:r>
        <w:rPr>
          <w:rFonts w:hint="default" w:ascii="Times New Roman" w:hAnsi="Times New Roman" w:cs="Times New Roman"/>
          <w:sz w:val="32"/>
          <w:szCs w:val="32"/>
          <w:lang w:eastAsia="zh-CN"/>
        </w:rPr>
        <w:t>合理使用</w:t>
      </w:r>
      <w:r>
        <w:rPr>
          <w:rFonts w:hint="default" w:ascii="Times New Roman" w:hAnsi="Times New Roman" w:cs="Times New Roman"/>
          <w:sz w:val="32"/>
          <w:szCs w:val="32"/>
        </w:rPr>
        <w:t>，严格财政资金的专款专用。 </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加强单位预算编制工作，根据人员情况、业务开展需要，加大业务股室参与预算编制的积极性，学习如何科学合理制定绩效目标及考核体系，充分发挥绩效工作效用。</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3</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加强财务管理，严格财务审核。在费用报账支付时，按照预算规定的费用项目和用途进行资金使用的审核，在预算金额内严格控制费用的支出，控制超支现象的发生；严格按照实际的费用支出内容进行财务核算，确保财务核算的真实、及时、准确、完整。 </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4</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定期做好预算支出财务分析，</w:t>
      </w:r>
      <w:r>
        <w:rPr>
          <w:rFonts w:hint="default" w:ascii="Times New Roman" w:hAnsi="Times New Roman" w:cs="Times New Roman"/>
          <w:sz w:val="32"/>
          <w:szCs w:val="32"/>
          <w:lang w:eastAsia="zh-CN"/>
        </w:rPr>
        <w:t>定期在党委会议上通报支出情况，严格按照“三重一大”制度执行</w:t>
      </w:r>
      <w:r>
        <w:rPr>
          <w:rFonts w:hint="default" w:ascii="Times New Roman" w:hAnsi="Times New Roman" w:cs="Times New Roman"/>
          <w:sz w:val="32"/>
          <w:szCs w:val="32"/>
        </w:rPr>
        <w:t>。 </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5</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eastAsia="zh-CN"/>
        </w:rPr>
        <w:t>进一步提高绩效管理水平，减少预算科目调整、追加预算等现象</w:t>
      </w:r>
      <w:r>
        <w:rPr>
          <w:rFonts w:hint="default" w:ascii="Times New Roman" w:hAnsi="Times New Roman" w:cs="Times New Roman"/>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eastAsia="仿宋" w:cs="Times New Roman"/>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eastAsia="zh-CN"/>
        </w:rPr>
        <w:sectPr>
          <w:footerReference r:id="rId5" w:type="default"/>
          <w:pgSz w:w="11906" w:h="16838"/>
          <w:pgMar w:top="1440" w:right="1800" w:bottom="1440" w:left="1800" w:header="720" w:footer="720" w:gutter="0"/>
          <w:pgNumType w:start="1"/>
          <w:cols w:space="720" w:num="1"/>
          <w:docGrid w:type="lines" w:linePitch="312" w:charSpace="0"/>
        </w:sectPr>
      </w:pPr>
      <w:r>
        <w:rPr>
          <w:rFonts w:hint="default" w:ascii="Times New Roman" w:hAnsi="Times New Roman" w:cs="Times New Roman"/>
          <w:sz w:val="32"/>
          <w:szCs w:val="32"/>
          <w:lang w:eastAsia="zh-CN"/>
        </w:rPr>
        <w:t>附件：《部门整体支出绩效评价指标体系</w:t>
      </w:r>
      <w:r>
        <w:rPr>
          <w:rFonts w:hint="default" w:ascii="Times New Roman" w:hAnsi="Times New Roman" w:cs="Times New Roman"/>
          <w:sz w:val="32"/>
          <w:szCs w:val="32"/>
          <w:lang w:val="en-US" w:eastAsia="zh-CN"/>
        </w:rPr>
        <w:t>自评表</w:t>
      </w:r>
      <w:r>
        <w:rPr>
          <w:rFonts w:hint="default" w:ascii="Times New Roman" w:hAnsi="Times New Roman"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cs="Times New Roman"/>
          <w:sz w:val="32"/>
          <w:szCs w:val="32"/>
          <w:lang w:eastAsia="zh-CN"/>
        </w:rPr>
      </w:pP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eastAsia="仿宋" w:cs="Times New Roman"/>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rPr>
          <w:rFonts w:hint="default" w:ascii="Times New Roman" w:hAnsi="Times New Roman" w:eastAsia="仿宋" w:cs="Times New Roman"/>
          <w:sz w:val="32"/>
          <w:szCs w:val="32"/>
        </w:rPr>
      </w:pPr>
    </w:p>
    <w:tbl>
      <w:tblPr>
        <w:tblStyle w:val="13"/>
        <w:tblW w:w="14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0"/>
        <w:gridCol w:w="750"/>
        <w:gridCol w:w="749"/>
        <w:gridCol w:w="900"/>
        <w:gridCol w:w="934"/>
        <w:gridCol w:w="916"/>
        <w:gridCol w:w="1841"/>
        <w:gridCol w:w="3017"/>
        <w:gridCol w:w="3117"/>
        <w:gridCol w:w="992"/>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670" w:type="dxa"/>
            <w:gridSpan w:val="2"/>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32"/>
                <w:szCs w:val="32"/>
                <w:u w:val="none"/>
                <w:lang w:val="en-US" w:eastAsia="zh-CN" w:bidi="ar"/>
              </w:rPr>
              <w:t>附件</w:t>
            </w:r>
          </w:p>
        </w:tc>
        <w:tc>
          <w:tcPr>
            <w:tcW w:w="749"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934"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916" w:type="dxa"/>
            <w:tcBorders>
              <w:top w:val="nil"/>
              <w:left w:val="nil"/>
              <w:bottom w:val="nil"/>
              <w:right w:val="nil"/>
            </w:tcBorders>
            <w:noWrap w:val="0"/>
            <w:vAlign w:val="center"/>
          </w:tcPr>
          <w:p>
            <w:pPr>
              <w:jc w:val="center"/>
              <w:rPr>
                <w:rFonts w:hint="eastAsia" w:ascii="宋体" w:hAnsi="宋体" w:eastAsia="宋体" w:cs="宋体"/>
                <w:i w:val="0"/>
                <w:iCs w:val="0"/>
                <w:color w:val="000000"/>
                <w:sz w:val="24"/>
                <w:szCs w:val="24"/>
                <w:u w:val="none"/>
              </w:rPr>
            </w:pPr>
          </w:p>
        </w:tc>
        <w:tc>
          <w:tcPr>
            <w:tcW w:w="1841" w:type="dxa"/>
            <w:tcBorders>
              <w:top w:val="nil"/>
              <w:left w:val="nil"/>
              <w:bottom w:val="nil"/>
              <w:right w:val="nil"/>
            </w:tcBorders>
            <w:noWrap w:val="0"/>
            <w:vAlign w:val="center"/>
          </w:tcPr>
          <w:p>
            <w:pPr>
              <w:jc w:val="left"/>
              <w:rPr>
                <w:rFonts w:hint="eastAsia" w:ascii="宋体" w:hAnsi="宋体" w:eastAsia="宋体" w:cs="宋体"/>
                <w:i w:val="0"/>
                <w:iCs w:val="0"/>
                <w:color w:val="000000"/>
                <w:sz w:val="24"/>
                <w:szCs w:val="24"/>
                <w:u w:val="none"/>
              </w:rPr>
            </w:pPr>
          </w:p>
        </w:tc>
        <w:tc>
          <w:tcPr>
            <w:tcW w:w="3017" w:type="dxa"/>
            <w:tcBorders>
              <w:top w:val="nil"/>
              <w:left w:val="nil"/>
              <w:bottom w:val="nil"/>
              <w:right w:val="nil"/>
            </w:tcBorders>
            <w:noWrap w:val="0"/>
            <w:vAlign w:val="center"/>
          </w:tcPr>
          <w:p>
            <w:pPr>
              <w:rPr>
                <w:rFonts w:hint="eastAsia" w:ascii="宋体" w:hAnsi="宋体" w:eastAsia="宋体" w:cs="宋体"/>
                <w:i w:val="0"/>
                <w:iCs w:val="0"/>
                <w:color w:val="000000"/>
                <w:sz w:val="16"/>
                <w:szCs w:val="16"/>
                <w:u w:val="none"/>
              </w:rPr>
            </w:pPr>
          </w:p>
        </w:tc>
        <w:tc>
          <w:tcPr>
            <w:tcW w:w="3117"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992"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758"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4894"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934"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目标指</w:t>
            </w:r>
          </w:p>
        </w:tc>
        <w:tc>
          <w:tcPr>
            <w:tcW w:w="916"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完成值</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30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31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依据资料</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评价过程（只写扣分项的原因）</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4"/>
                <w:szCs w:val="24"/>
                <w:u w:val="none"/>
              </w:rPr>
            </w:pPr>
          </w:p>
        </w:tc>
        <w:tc>
          <w:tcPr>
            <w:tcW w:w="934"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4"/>
                <w:szCs w:val="24"/>
                <w:u w:val="none"/>
              </w:rPr>
            </w:pPr>
          </w:p>
        </w:tc>
        <w:tc>
          <w:tcPr>
            <w:tcW w:w="916"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4"/>
                <w:szCs w:val="24"/>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4"/>
                <w:szCs w:val="24"/>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4"/>
                <w:szCs w:val="24"/>
                <w:u w:val="none"/>
              </w:rPr>
            </w:pPr>
          </w:p>
        </w:tc>
        <w:tc>
          <w:tcPr>
            <w:tcW w:w="31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部门预算管理（80分）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预算编制（30分）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1.绩效目标编制要素完整的，得5分，否则酌情扣分。                                                       2.绩效指标细化量化的，得5分，否则酌情扣分。                                                                    </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要素指目标的完成指标及效益指标、满意度指标是否填写完整，根据年初制定目标财政局的要求。指标细化量化指该定量表达的是否表达。</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以项目完成数量指标为核心，评价项目实际完成情况是否达到预期绩效目标，指标得分=达到预期绩效目标的部门项目个数/纳入绩效目标管理的部门预算项目个数*10</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项目绩效目标申报表（数量指标）</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编制准确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评价部门年初预算编制是否科学准确。</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指标得分=（1-（10×部门全年预算调剂金额/年初部门预算数））*10。其中：若部门全年预算调剂金额/年初部门预算数&gt;0.1，此项得0分。</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预算调剂金额：大平台中预算下达指标明细对账单—业务类型中“专项调剂”和“非专项调剂”绝对值合计数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年初部门预算数：年初部门预算批复表，表1部门预算收支总表“本年支出合计”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预算执行（30分）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决算数：财政批复的决算套表-从决算科目里删选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预算数：财政批复预算公开表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偏差程度=（决算数-预算数）的绝对值/决算数*100%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3.当部门绩效监控调整取消额与结余注销额均为零时，得满分。   </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预决算套表（Z01调整预算数、CS01）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年度预算总额：Z01总计调整预算数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绩效监控调整取消额：调整前年初结转和结余-调整后年初结转和结余=0，则没有取消额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预算结余注销额：归集上缴和缴回资金栏为0，表示当年没有注销，如果有数就是注销额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0"/>
                <w:szCs w:val="20"/>
                <w:u w:val="none"/>
                <w:lang w:val="en-US"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财政部门统一从国库总会计那取数字发送到各单位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完成结果（20分）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部门预算项目12月预算执行进度达到100%的，得10分，未达100%的，按照实际进度量化计算得分。(含所有下属单位)</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预决算套表（Z01调整预算数、决算数）；实际进度量化计算得分=80%*10=8</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依据上一年度审计监督、财政检查结果，出现部门预算管理方面违纪违规问题的，每个问题扣0.5分，直至扣完。</w:t>
            </w:r>
          </w:p>
        </w:tc>
        <w:tc>
          <w:tcPr>
            <w:tcW w:w="31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上一年度的审计监督、财政检查报告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绩效结果应用（10分）</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信息公开（6分）</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目标公开</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评价部门绩效目标是否按要求向社会公开。</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按要求随同预算公开的，得3分。</w:t>
            </w: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人民政府信息公开网—预决算公开栏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按要求随同决算公开的，得3分。</w:t>
            </w: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人民政府信息公开网—预决算公开栏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整改反馈（4分）</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结果整改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针对绩效管理过程中（包括绩效目标核查、绩效监控核查和重点绩效评价）提出的问题，发现一处未整改的，扣1分，直至扣完。</w:t>
            </w: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结果整改说明、整改报告，现场检查</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部门在规定时间内向财政部门反馈应用绩效结果报告的，得满分，否则不得分。</w:t>
            </w: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根据财政部门要求反馈的时间限制。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92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自评准确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评价部门整体支出自评准确率。</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自评总分</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6"/>
                <w:szCs w:val="16"/>
                <w:u w:val="none"/>
              </w:rPr>
            </w:pPr>
          </w:p>
        </w:tc>
        <w:tc>
          <w:tcPr>
            <w:tcW w:w="31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89.5</w:t>
            </w:r>
          </w:p>
        </w:tc>
      </w:tr>
    </w:tbl>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sectPr>
          <w:pgSz w:w="16838" w:h="11906" w:orient="landscape"/>
          <w:pgMar w:top="1800" w:right="1440" w:bottom="1800" w:left="1440" w:header="720" w:footer="720" w:gutter="0"/>
          <w:cols w:space="720" w:num="1"/>
          <w:docGrid w:type="lines" w:linePitch="312" w:charSpace="0"/>
        </w:sectPr>
      </w:pPr>
    </w:p>
    <w:p>
      <w:pPr>
        <w:pStyle w:val="2"/>
        <w:jc w:val="center"/>
        <w:rPr>
          <w:rFonts w:hint="eastAsia"/>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657"/>
        <w:gridCol w:w="1008"/>
        <w:gridCol w:w="995"/>
        <w:gridCol w:w="568"/>
        <w:gridCol w:w="690"/>
        <w:gridCol w:w="568"/>
        <w:gridCol w:w="886"/>
        <w:gridCol w:w="490"/>
        <w:gridCol w:w="404"/>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51090322T000000346802-安全生产宣传及教育培训费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四川省遂宁市船山区应急管理局部门</w:t>
            </w:r>
          </w:p>
        </w:tc>
        <w:tc>
          <w:tcPr>
            <w:tcW w:w="8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按照相关法律法规要求，为加强对安全生产、森林防灭火及防汛宣传及教育，202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预计将10万元开展宣传活动次数不少于5次，组织教育培训不少于2次。切实提高民众安全素质和人民群众的自我保护意识，建立以人为本、关注安全、关爱生命的安全文化，进一步营造加强安全生产社会舆论环境，增强全区的安全生产观念，减少安全生产事故总量，降低各类事故的死亡数，保障人民群众的生命财产安全，为全区的经济发展和社会和谐稳定创造良好的安全生产环境。</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安全生产宣传及教育培训费项目立项依据基本充分，设定了项目绩效目标，对资金配置方面均有明确的测算依据，整体情况良好。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培训次数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安全教育培训数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宣传活动参与率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培训参与率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资料印制及时率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培训内容参训人员知晓率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宣传内容群众知晓率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受益企业满意率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按照评价方法、评价指标及标准，我局认真进行安全生产宣传及教育培训费项目支出绩效自评，自评得分为98分，自我评价结果为“优”。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
      <w:pPr>
        <w:pStyle w:val="2"/>
      </w:pPr>
    </w:p>
    <w:p>
      <w:pPr>
        <w:pStyle w:val="2"/>
        <w:sectPr>
          <w:pgSz w:w="11906" w:h="16838"/>
          <w:pgMar w:top="1440" w:right="1800" w:bottom="1440" w:left="1800" w:header="851" w:footer="992" w:gutter="0"/>
          <w:cols w:space="425" w:num="1"/>
          <w:docGrid w:type="lines" w:linePitch="312" w:charSpace="0"/>
        </w:sectPr>
      </w:pP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676"/>
        <w:gridCol w:w="970"/>
        <w:gridCol w:w="885"/>
        <w:gridCol w:w="548"/>
        <w:gridCol w:w="666"/>
        <w:gridCol w:w="548"/>
        <w:gridCol w:w="896"/>
        <w:gridCol w:w="491"/>
        <w:gridCol w:w="406"/>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51090322T000000346821-综合应急演练经费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四川省遂宁市船山区应急管理局部门</w:t>
            </w:r>
          </w:p>
        </w:tc>
        <w:tc>
          <w:tcPr>
            <w:tcW w:w="89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计划共开展区级层面的生产安全事故、抗震救灾、山洪灾害防御、森林防灭火等综合应急演练及其他区级综合演练不少于1次；预计完成森林防灭火、防汛抗旱、暴雨洪涝巨灾、抗震救灾等相关应急预案编制总数不少于4次。增加演练成功率，提升应急救援、处置能力。</w:t>
            </w:r>
          </w:p>
        </w:tc>
        <w:tc>
          <w:tcPr>
            <w:tcW w:w="3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综合应急演练经费项目立项依据基本充分，设定了项目绩效目标，对资金配置方面均有明确的测算依据，整体情况良好。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现场勘查次数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应急预案编制数量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购买物资件数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预案编制达标率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购买物资验收合格率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现场勘查到岗率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应急演练成功率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演练参与人员满意度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按照评价方法、评价指标及标准，我局认真进行综合应急演练经费项目支出绩效自评，自评得分为99分，自我评价结果为“优”。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sectPr>
          <w:pgSz w:w="11906" w:h="16838"/>
          <w:pgMar w:top="1440" w:right="1800" w:bottom="1440" w:left="1800" w:header="851" w:footer="992" w:gutter="0"/>
          <w:cols w:space="425" w:num="1"/>
          <w:docGrid w:type="lines" w:linePitch="312" w:charSpace="0"/>
        </w:sectPr>
      </w:pPr>
    </w:p>
    <w:p>
      <w:pPr>
        <w:snapToGrid w:val="0"/>
        <w:spacing w:line="600" w:lineRule="exact"/>
        <w:jc w:val="center"/>
        <w:rPr>
          <w:rFonts w:hint="eastAsia" w:ascii="宋体" w:hAnsi="宋体" w:eastAsia="宋体" w:cs="宋体"/>
          <w:sz w:val="21"/>
          <w:szCs w:val="21"/>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p>
      <w:pPr>
        <w:pStyle w:val="2"/>
      </w:pP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695"/>
        <w:gridCol w:w="828"/>
        <w:gridCol w:w="889"/>
        <w:gridCol w:w="475"/>
        <w:gridCol w:w="579"/>
        <w:gridCol w:w="475"/>
        <w:gridCol w:w="906"/>
        <w:gridCol w:w="492"/>
        <w:gridCol w:w="576"/>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51090322T000000346811-执法办案专项经费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四川省遂宁市船山区应急管理局部门</w:t>
            </w:r>
          </w:p>
        </w:tc>
        <w:tc>
          <w:tcPr>
            <w:tcW w:w="90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年预计将25万元用于开展执法检查不少于</w:t>
            </w: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00次，执法装备购置不少</w:t>
            </w:r>
            <w:r>
              <w:rPr>
                <w:rFonts w:hint="eastAsia" w:ascii="宋体" w:hAnsi="宋体" w:cs="宋体"/>
                <w:i w:val="0"/>
                <w:iCs w:val="0"/>
                <w:color w:val="000000"/>
                <w:kern w:val="0"/>
                <w:sz w:val="18"/>
                <w:szCs w:val="18"/>
                <w:u w:val="none"/>
                <w:lang w:val="en-US" w:eastAsia="zh-CN" w:bidi="ar"/>
              </w:rPr>
              <w:t>于3套</w:t>
            </w:r>
            <w:r>
              <w:rPr>
                <w:rFonts w:ascii="宋体" w:hAnsi="宋体" w:eastAsia="宋体" w:cs="宋体"/>
                <w:i w:val="0"/>
                <w:iCs w:val="0"/>
                <w:color w:val="000000"/>
                <w:kern w:val="0"/>
                <w:sz w:val="18"/>
                <w:szCs w:val="18"/>
                <w:u w:val="none"/>
                <w:lang w:val="en-US" w:eastAsia="zh-CN" w:bidi="ar"/>
              </w:rPr>
              <w:t>，聘请顾问不少于1人次，以深入推进隐患排查治理体系建设工作。</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执法办案专项经费项目立项依据基本充分，设定了项目绩效目标，对资金配置方面均有明确的测算依据，整体情况良好。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聘请顾问人次</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执法检查次数</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购买执法装备数</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顾问服务达标率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执法检查企业覆盖率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执法装备验收合格率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执法检查按计划完成及时率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执法工作正常开展率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行政执法制度健全性</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购买服务单位满意度</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按照评价方法、评价指标及标准，我局认真进行执法办案专项经费项目支出绩效自评，自评得分为99.5分，自我评价结果为“优”。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sectPr>
          <w:pgSz w:w="11906" w:h="16838"/>
          <w:pgMar w:top="1440" w:right="1800" w:bottom="1440" w:left="1800" w:header="851" w:footer="992" w:gutter="0"/>
          <w:cols w:space="425" w:num="1"/>
          <w:docGrid w:type="lines" w:linePitch="312" w:charSpace="0"/>
        </w:sectPr>
      </w:pPr>
    </w:p>
    <w:p>
      <w:pPr>
        <w:pStyle w:val="2"/>
        <w:jc w:val="center"/>
        <w:rPr>
          <w:rFonts w:hint="eastAsia"/>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711"/>
        <w:gridCol w:w="854"/>
        <w:gridCol w:w="818"/>
        <w:gridCol w:w="488"/>
        <w:gridCol w:w="594"/>
        <w:gridCol w:w="488"/>
        <w:gridCol w:w="914"/>
        <w:gridCol w:w="493"/>
        <w:gridCol w:w="410"/>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51090322T000000346813-政府购买安全生产服务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四川省遂宁市船山区应急管理局部门</w:t>
            </w:r>
          </w:p>
        </w:tc>
        <w:tc>
          <w:tcPr>
            <w:tcW w:w="9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根据部门职能职责，202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年预计花费10万元聘请安全生产专业机构1家为我区安全生产工作进行服务，以提高安全监管工作专业性，降低安全隐患。</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政府购买安全生产服务项目立项依据基本充分，设定了项目绩效目标，对资金配置方面均有明确的测算依据，整体情况良好。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检查企业数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安全隐患查找准确率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专业机构服务成果利用率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安全监管机制健全性</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委托单位满意率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按照评价方法、评价指标及标准，我局认真进行政府购买安全生产服务项目支出绩效自评，自评得分为99分，自我评价结果为“优”。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eastAsia="宋体"/>
          <w:lang w:val="en-US" w:eastAsia="zh-CN"/>
        </w:rPr>
      </w:pPr>
      <w:r>
        <w:rPr>
          <w:rFonts w:hint="eastAsia" w:eastAsia="宋体"/>
          <w:lang w:val="en-US" w:eastAsia="zh-CN"/>
        </w:rPr>
        <w:t xml:space="preserve"> </w:t>
      </w:r>
    </w:p>
    <w:p>
      <w:pPr>
        <w:pStyle w:val="2"/>
        <w:jc w:val="center"/>
        <w:rPr>
          <w:rFonts w:hint="eastAsia"/>
          <w:b/>
          <w:bCs/>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66"/>
        <w:gridCol w:w="929"/>
        <w:gridCol w:w="1074"/>
        <w:gridCol w:w="527"/>
        <w:gridCol w:w="583"/>
        <w:gridCol w:w="527"/>
        <w:gridCol w:w="891"/>
        <w:gridCol w:w="491"/>
        <w:gridCol w:w="491"/>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51090322T000000346800-应急救灾工作经费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四川省遂宁市船山区应急管理局部门</w:t>
            </w:r>
          </w:p>
        </w:tc>
        <w:tc>
          <w:tcPr>
            <w:tcW w:w="8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预计开展应急处置不少于1次，实现全年24小时应急值班值守，购买储备棉被、帐篷、折叠床、睡袋等应急救灾前置、值班物资总量不少于400件，对应急救援设施设备进行维修维护不超过1次，外出核灾减灾次数不少于50次。做好生产安全事故、自然灾害等突发事件应急处置。</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应急救灾工作经费项目立项依据基本充分，设定了项目绩效目标，对资金配置方面均有明确的测算依据，整体情况良好。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购买物资总量</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应急处置数</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应急救援设施设备维修维护次数</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核灾减灾次数</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维修维护服务合格率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应急处置达标率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核灾到岗率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购买物资验收合格率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维修维护及时率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应急救灾及时率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物资购买及时率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应急救援正常工作开展率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应急处置机制健全性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按照评价方法、评价指标及标准，我局认真进行应急救灾工作经费项目支出绩效自评，自评得分为100分，自我评价结果为“优”。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2"/>
        <w:rPr>
          <w:rFonts w:hint="eastAsia" w:ascii="黑体" w:hAnsi="黑体" w:eastAsia="黑体" w:cs="黑体"/>
          <w:color w:val="auto"/>
          <w:kern w:val="0"/>
          <w:sz w:val="32"/>
          <w:szCs w:val="32"/>
          <w:highlight w:val="none"/>
          <w:shd w:val="clear" w:color="auto" w:fill="FFFFFF"/>
          <w:lang w:val="zh-CN"/>
        </w:rPr>
      </w:pPr>
    </w:p>
    <w:p>
      <w:pPr>
        <w:pStyle w:val="5"/>
        <w:outlineLvl w:val="1"/>
        <w:rPr>
          <w:rFonts w:hint="eastAsia" w:ascii="黑体" w:hAnsi="黑体" w:eastAsia="黑体" w:cs="黑体"/>
          <w:color w:val="auto"/>
          <w:sz w:val="32"/>
          <w:szCs w:val="32"/>
          <w:highlight w:val="none"/>
          <w:lang w:val="en-US" w:eastAsia="zh-CN"/>
        </w:rPr>
      </w:pPr>
      <w:bookmarkStart w:id="74" w:name="_Toc9837"/>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74"/>
    </w:p>
    <w:p>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int="eastAsia" w:ascii="楷体" w:hAnsi="楷体" w:eastAsia="楷体" w:cs="楷体"/>
          <w:b/>
          <w:bCs/>
        </w:rPr>
      </w:pPr>
      <w:r>
        <w:rPr>
          <w:rFonts w:hint="eastAsia" w:ascii="楷体" w:hAnsi="楷体" w:eastAsia="楷体" w:cs="楷体"/>
          <w:b/>
          <w:bCs/>
        </w:rPr>
        <w:t>（综合应急演练经费项目）</w:t>
      </w:r>
    </w:p>
    <w:p>
      <w:pPr>
        <w:tabs>
          <w:tab w:val="left" w:pos="3885"/>
        </w:tabs>
        <w:snapToGrid w:val="0"/>
        <w:spacing w:line="600" w:lineRule="exact"/>
        <w:ind w:firstLine="421" w:firstLineChars="200"/>
        <w:jc w:val="left"/>
        <w:rPr>
          <w:rFonts w:ascii="宋体" w:hAnsi="宋体"/>
          <w:b/>
          <w:szCs w:val="21"/>
        </w:rPr>
      </w:pPr>
    </w:p>
    <w:p>
      <w:pPr>
        <w:numPr>
          <w:ilvl w:val="0"/>
          <w:numId w:val="6"/>
        </w:numPr>
        <w:tabs>
          <w:tab w:val="left" w:pos="3885"/>
        </w:tabs>
        <w:snapToGrid w:val="0"/>
        <w:spacing w:line="600" w:lineRule="exact"/>
        <w:ind w:left="410" w:leftChars="0" w:firstLine="640" w:firstLineChars="0"/>
        <w:jc w:val="left"/>
        <w:outlineLvl w:val="1"/>
        <w:rPr>
          <w:rFonts w:hint="eastAsia" w:ascii="黑体" w:hAnsi="宋体" w:eastAsia="黑体"/>
          <w:sz w:val="32"/>
          <w:szCs w:val="32"/>
        </w:rPr>
      </w:pPr>
      <w:bookmarkStart w:id="75" w:name="_Toc10982"/>
      <w:r>
        <w:rPr>
          <w:rFonts w:hint="eastAsia" w:ascii="黑体" w:hAnsi="宋体" w:eastAsia="黑体"/>
          <w:sz w:val="32"/>
          <w:szCs w:val="32"/>
        </w:rPr>
        <w:t>基本情况</w:t>
      </w:r>
      <w:bookmarkEnd w:id="75"/>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概况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《中华人民共和国安全生产法》及应急演练方面等</w:t>
      </w:r>
      <w:r>
        <w:rPr>
          <w:rFonts w:hint="eastAsia" w:ascii="仿宋_GB2312" w:hAnsi="仿宋_GB2312" w:eastAsia="仿宋_GB2312" w:cs="仿宋_GB2312"/>
          <w:sz w:val="32"/>
          <w:szCs w:val="32"/>
        </w:rPr>
        <w:t>相关法律法规要求，202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计划共开展区级层面的生产安全事故、抗震救灾、山洪灾害防御、森林防灭火等综合应急演练及其他区级综合演练不少于1次；预计完成森林防灭火、防汛抗旱、暴雨洪涝巨灾、抗震救灾等相关应急预案编制总数不少于4次</w:t>
      </w:r>
      <w:r>
        <w:rPr>
          <w:rFonts w:hint="eastAsia" w:ascii="仿宋_GB2312" w:hAnsi="仿宋_GB2312" w:eastAsia="仿宋_GB2312" w:cs="仿宋_GB2312"/>
          <w:sz w:val="32"/>
          <w:szCs w:val="32"/>
          <w:lang w:eastAsia="zh-CN"/>
        </w:rPr>
        <w:t>，故设立综合应急演练经费项目。该项目经费主要用于开展</w:t>
      </w:r>
      <w:r>
        <w:rPr>
          <w:rFonts w:hint="eastAsia" w:ascii="仿宋_GB2312" w:hAnsi="仿宋_GB2312" w:eastAsia="仿宋_GB2312" w:cs="仿宋_GB2312"/>
          <w:sz w:val="32"/>
          <w:szCs w:val="32"/>
          <w:lang w:val="en-US" w:eastAsia="zh-CN"/>
        </w:rPr>
        <w:t>2023年各类区级层面应急演练工作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2023年综合应急演练经费项目投入经费20万元，并按要求设立</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3个1级指标、7个2级指标及11个3级指标。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黑体" w:hAnsi="宋体" w:eastAsia="黑体" w:cs="Times New Roman"/>
          <w:sz w:val="32"/>
          <w:szCs w:val="32"/>
        </w:rPr>
      </w:pPr>
      <w:bookmarkStart w:id="76" w:name="_Toc28238"/>
      <w:r>
        <w:rPr>
          <w:rFonts w:hint="eastAsia" w:ascii="黑体" w:hAnsi="宋体" w:eastAsia="黑体" w:cs="Times New Roman"/>
          <w:sz w:val="32"/>
          <w:szCs w:val="32"/>
        </w:rPr>
        <w:t>二、评价工作开展情况</w:t>
      </w:r>
      <w:bookmarkEnd w:id="76"/>
    </w:p>
    <w:p>
      <w:pPr>
        <w:snapToGrid w:val="0"/>
        <w:spacing w:line="600" w:lineRule="exact"/>
        <w:ind w:firstLine="640" w:firstLineChars="200"/>
        <w:rPr>
          <w:rFonts w:hint="eastAsia" w:ascii="仿宋_GB2312" w:hAnsi="仿宋_GB2312" w:cs="仿宋_GB2312"/>
          <w:szCs w:val="21"/>
          <w:lang w:eastAsia="zh-CN"/>
        </w:rPr>
      </w:pPr>
      <w:r>
        <w:rPr>
          <w:rFonts w:hint="eastAsia" w:ascii="仿宋_GB2312" w:hAnsi="仿宋_GB2312" w:eastAsia="仿宋_GB2312" w:cs="仿宋_GB2312"/>
          <w:sz w:val="32"/>
          <w:szCs w:val="32"/>
          <w:lang w:eastAsia="zh-CN"/>
        </w:rPr>
        <w:t>我局组织财务人员及相关业务股室分管领导、业务人员按照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w:t>
      </w:r>
      <w:r>
        <w:rPr>
          <w:rFonts w:hint="eastAsia" w:ascii="仿宋_GB2312" w:hAnsi="仿宋_GB2312" w:cs="仿宋_GB2312"/>
          <w:szCs w:val="21"/>
          <w:lang w:eastAsia="zh-CN"/>
        </w:rPr>
        <w:t>措施。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（一）评价指标体系</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本次项目支出绩效评价，按照</w:t>
      </w:r>
      <w:r>
        <w:rPr>
          <w:rFonts w:hint="default"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开展部门、项目、政策支出绩效自评工作</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，以及项目预算申报情况，本次项目支出绩效指标体系主要分为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个一级指标，分别为：</w:t>
      </w:r>
      <w:r>
        <w:rPr>
          <w:rFonts w:hint="eastAsia" w:ascii="仿宋_GB2312" w:hAnsi="仿宋_GB2312" w:eastAsia="仿宋_GB2312" w:cs="仿宋_GB2312"/>
          <w:sz w:val="32"/>
          <w:szCs w:val="32"/>
          <w:lang w:val="en-US" w:eastAsia="zh-CN"/>
        </w:rPr>
        <w:t>产出指标65分、效益指标20分、满意度指标15分，</w:t>
      </w:r>
      <w:r>
        <w:rPr>
          <w:rFonts w:hint="eastAsia" w:ascii="仿宋_GB2312" w:hAnsi="仿宋_GB2312" w:eastAsia="仿宋_GB2312" w:cs="仿宋_GB2312"/>
          <w:sz w:val="32"/>
          <w:szCs w:val="32"/>
          <w:lang w:eastAsia="zh-CN"/>
        </w:rPr>
        <w:t>一级指标下各设定了若干个二级指标和三级指标及其分值，共计100分。具体见《202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年度综合应急演练经费项目支出绩效自评表》。</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（二）评价方法</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通过核对财务账目、检查档案资料等方式，现场评价与资料评价相结合，重点查看账目，账实对照，对资金使用进行综合分析，作出总体性评价。</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（三）绩效评价标准</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绩效评价采用百分制，各级指标依据其指标权重确定分值，最终得分由各级评价指标得分加总形成。根据最终得分将评价标准分为四个等级：优（得分≥90分）；良（80分≤得分＜90分）；中（60≤得分＜80分）；差（得分＜60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黑体" w:hAnsi="宋体" w:eastAsia="黑体" w:cs="Times New Roman"/>
          <w:sz w:val="32"/>
          <w:szCs w:val="32"/>
        </w:rPr>
      </w:pPr>
      <w:bookmarkStart w:id="77" w:name="_Toc29134"/>
      <w:r>
        <w:rPr>
          <w:rFonts w:hint="eastAsia" w:ascii="黑体" w:hAnsi="宋体" w:eastAsia="黑体" w:cs="Times New Roman"/>
          <w:sz w:val="32"/>
          <w:szCs w:val="32"/>
        </w:rPr>
        <w:t>三、综合评价结论（附评分表）</w:t>
      </w:r>
      <w:bookmarkEnd w:id="77"/>
    </w:p>
    <w:tbl>
      <w:tblPr>
        <w:tblStyle w:val="13"/>
        <w:tblW w:w="8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6"/>
        <w:gridCol w:w="1035"/>
        <w:gridCol w:w="1436"/>
        <w:gridCol w:w="728"/>
        <w:gridCol w:w="1065"/>
        <w:gridCol w:w="840"/>
        <w:gridCol w:w="780"/>
        <w:gridCol w:w="885"/>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5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8"/>
                <w:szCs w:val="28"/>
                <w:u w:val="none"/>
                <w:lang w:eastAsia="zh-CN"/>
              </w:rPr>
              <w:t>202</w:t>
            </w:r>
            <w:r>
              <w:rPr>
                <w:rFonts w:hint="eastAsia" w:ascii="宋体" w:hAnsi="宋体" w:eastAsia="宋体" w:cs="宋体"/>
                <w:i w:val="0"/>
                <w:iCs w:val="0"/>
                <w:color w:val="000000"/>
                <w:sz w:val="28"/>
                <w:szCs w:val="28"/>
                <w:u w:val="none"/>
                <w:lang w:val="en-US" w:eastAsia="zh-CN"/>
              </w:rPr>
              <w:t>3</w:t>
            </w:r>
            <w:r>
              <w:rPr>
                <w:rFonts w:hint="eastAsia" w:ascii="宋体" w:hAnsi="宋体" w:eastAsia="宋体" w:cs="宋体"/>
                <w:i w:val="0"/>
                <w:iCs w:val="0"/>
                <w:color w:val="000000"/>
                <w:sz w:val="28"/>
                <w:szCs w:val="28"/>
                <w:u w:val="none"/>
                <w:lang w:eastAsia="zh-CN"/>
              </w:rPr>
              <w:t>年度综合应急演练经费项目支出绩效自评表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三级指标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指标性质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度量单位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指标分值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自评得分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现场勘查次数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应急预案编制数量</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项目完成及时率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购买物资件数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成本指标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项目总成本</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现场勘查到岗率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购买物资验收合格率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预案编制达标率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r>
              <w:rPr>
                <w:rStyle w:val="26"/>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内控制度健全性</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定性</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应急演练成功率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r>
              <w:rPr>
                <w:rStyle w:val="26"/>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演练参与人员满意度</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tabs>
          <w:tab w:val="left" w:pos="3885"/>
        </w:tabs>
        <w:snapToGrid w:val="0"/>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按照评价方法、评价指标及标准，我局认真进行综合应急演练经费项目支出绩效自评，自评得分为</w:t>
      </w:r>
      <w:r>
        <w:rPr>
          <w:rFonts w:hint="eastAsia" w:ascii="仿宋_GB2312" w:hAnsi="仿宋_GB2312" w:eastAsia="仿宋_GB2312" w:cs="仿宋_GB2312"/>
          <w:sz w:val="32"/>
          <w:szCs w:val="32"/>
          <w:lang w:val="en-US" w:eastAsia="zh-CN"/>
        </w:rPr>
        <w:t>99分，自我评价结果为“优”。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黑体" w:hAnsi="宋体" w:eastAsia="黑体" w:cs="Times New Roman"/>
          <w:sz w:val="32"/>
          <w:szCs w:val="32"/>
        </w:rPr>
      </w:pPr>
      <w:bookmarkStart w:id="78" w:name="_Toc32148"/>
      <w:r>
        <w:rPr>
          <w:rFonts w:hint="eastAsia" w:ascii="黑体" w:hAnsi="宋体" w:eastAsia="黑体" w:cs="Times New Roman"/>
          <w:sz w:val="32"/>
          <w:szCs w:val="32"/>
        </w:rPr>
        <w:t>四、绩效评价分析</w:t>
      </w:r>
      <w:bookmarkEnd w:id="78"/>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（一）项目决策情况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从评价情况来看，综合应急演练经费项目立项依据基本充分，设定了项目绩效目标，对资金配置方面均有明确的测算依据，整体情况良好。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cs="仿宋_GB2312"/>
          <w:szCs w:val="21"/>
          <w:lang w:eastAsia="zh-CN"/>
        </w:rPr>
      </w:pPr>
      <w:r>
        <w:rPr>
          <w:rFonts w:hint="eastAsia" w:ascii="仿宋_GB2312" w:hAnsi="仿宋_GB2312" w:eastAsia="仿宋_GB2312" w:cs="仿宋_GB2312"/>
          <w:sz w:val="32"/>
          <w:szCs w:val="32"/>
          <w:lang w:val="en-US" w:eastAsia="zh-CN"/>
        </w:rPr>
        <w:t>按照局财经制度，严格控制项目经费的开支，各项支出附件齐全，不存在项目资金交叉使用等不合规情况。</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（三）项目产出情况</w:t>
      </w:r>
    </w:p>
    <w:p>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_GB2312" w:hAnsi="仿宋_GB2312" w:cs="仿宋_GB2312"/>
          <w:szCs w:val="21"/>
          <w:lang w:val="en-US" w:eastAsia="zh-CN"/>
        </w:rPr>
      </w:pPr>
      <w:r>
        <w:rPr>
          <w:rFonts w:hint="eastAsia" w:ascii="仿宋_GB2312" w:hAnsi="仿宋_GB2312" w:cs="仿宋_GB2312"/>
          <w:szCs w:val="21"/>
          <w:lang w:val="en-US" w:eastAsia="zh-CN"/>
        </w:rPr>
        <w:t>从项目产出评价情况来看，基本完成各项产出目标，较好完成了我局部门工作职能。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（四）项目效益情况。</w:t>
      </w:r>
    </w:p>
    <w:p>
      <w:pPr>
        <w:tabs>
          <w:tab w:val="left" w:pos="3885"/>
        </w:tabs>
        <w:snapToGrid w:val="0"/>
        <w:spacing w:line="600" w:lineRule="exact"/>
        <w:ind w:firstLine="642"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2023</w:t>
      </w:r>
      <w:r>
        <w:rPr>
          <w:rFonts w:hint="eastAsia" w:ascii="仿宋_GB2312" w:hAnsi="仿宋_GB2312" w:eastAsia="仿宋_GB2312" w:cs="仿宋_GB2312"/>
          <w:color w:val="auto"/>
          <w:kern w:val="2"/>
          <w:sz w:val="32"/>
          <w:szCs w:val="32"/>
          <w:lang w:val="en-US" w:eastAsia="zh-CN" w:bidi="ar-SA"/>
        </w:rPr>
        <w:t>年，修订完善《遂宁市船山区多灾种叠加应急预案》《遂宁市船山区防汛抗旱应急预案（2023年修订）》《遂宁市船山区森林火灾应急预案（2023年修订）》《遂宁市船山区地震应急预案（试行）》《遂宁市船山区自然灾害救助应急预案（试行）》等，牵头我区开展安全生产、森林防灭火、城市排水防涝、地灾人员疏散、防汛、疫情防控等各类应急演练10余次，参与人数约1200人次</w:t>
      </w:r>
      <w:r>
        <w:rPr>
          <w:rFonts w:hint="eastAsia" w:ascii="仿宋_GB2312" w:hAnsi="仿宋_GB2312" w:eastAsia="仿宋_GB2312" w:cs="仿宋_GB2312"/>
          <w:sz w:val="32"/>
          <w:szCs w:val="32"/>
          <w:lang w:val="en-US" w:eastAsia="zh-CN"/>
        </w:rPr>
        <w:t>。通过该项目的实施，对全区应急管理工作具有促进作用，达到了预期目标。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黑体" w:hAnsi="宋体" w:eastAsia="黑体" w:cs="Times New Roman"/>
          <w:sz w:val="32"/>
          <w:szCs w:val="32"/>
          <w:lang w:val="en-US" w:eastAsia="zh-CN"/>
        </w:rPr>
      </w:pPr>
      <w:bookmarkStart w:id="79" w:name="_Toc22820"/>
      <w:r>
        <w:rPr>
          <w:rFonts w:hint="eastAsia" w:ascii="黑体" w:hAnsi="宋体" w:eastAsia="黑体"/>
          <w:sz w:val="32"/>
          <w:szCs w:val="32"/>
        </w:rPr>
        <w:t>五、</w:t>
      </w:r>
      <w:r>
        <w:rPr>
          <w:rFonts w:hint="eastAsia" w:ascii="黑体" w:hAnsi="宋体" w:eastAsia="黑体"/>
          <w:sz w:val="32"/>
          <w:szCs w:val="32"/>
          <w:lang w:eastAsia="zh-CN"/>
        </w:rPr>
        <w:t>下步工作计划</w:t>
      </w:r>
      <w:bookmarkEnd w:id="7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单位预算编制工作，根据人员情况、业务开展需要，加大业务股室参与预算编制的积极性，学习如何科学合理制定绩效目标及考核体系，充分发挥绩效工作效用。进一步提高绩效管理水平，减少预算科目调整、追加预算等现象。</w:t>
      </w:r>
    </w:p>
    <w:p>
      <w:pPr>
        <w:pStyle w:val="22"/>
        <w:keepNext w:val="0"/>
        <w:keepLines w:val="0"/>
        <w:pageBreakBefore w:val="0"/>
        <w:widowControl w:val="0"/>
        <w:kinsoku/>
        <w:wordWrap/>
        <w:overflowPunct/>
        <w:topLinePunct w:val="0"/>
        <w:autoSpaceDE/>
        <w:autoSpaceDN/>
        <w:bidi w:val="0"/>
        <w:adjustRightInd/>
        <w:spacing w:line="520" w:lineRule="exact"/>
        <w:ind w:left="840" w:leftChars="400" w:firstLine="3520" w:firstLineChars="1100"/>
        <w:textAlignment w:val="auto"/>
        <w:rPr>
          <w:rFonts w:hint="eastAsia" w:hAnsi="仿宋" w:cs="仿宋"/>
          <w:sz w:val="32"/>
          <w:szCs w:val="32"/>
          <w:lang w:val="en-US" w:eastAsia="zh-CN"/>
        </w:rPr>
      </w:pPr>
    </w:p>
    <w:p>
      <w:pPr>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ind w:left="0" w:leftChars="0" w:firstLine="0" w:firstLineChars="0"/>
        <w:rPr>
          <w:rFonts w:hint="eastAsia" w:hAnsi="仿宋" w:cs="仿宋"/>
          <w:sz w:val="32"/>
          <w:szCs w:val="32"/>
          <w:lang w:val="en-US" w:eastAsia="zh-CN"/>
        </w:rPr>
      </w:pPr>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int="eastAsia" w:ascii="楷体" w:hAnsi="楷体" w:eastAsia="楷体" w:cs="楷体"/>
          <w:b/>
          <w:bCs/>
        </w:rPr>
      </w:pPr>
      <w:r>
        <w:rPr>
          <w:rFonts w:hint="eastAsia" w:ascii="楷体" w:hAnsi="楷体" w:eastAsia="楷体" w:cs="楷体"/>
          <w:b/>
          <w:bCs/>
        </w:rPr>
        <w:t>（执法办案专项经费项目）</w:t>
      </w:r>
    </w:p>
    <w:p>
      <w:pPr>
        <w:tabs>
          <w:tab w:val="left" w:pos="3885"/>
        </w:tabs>
        <w:snapToGrid w:val="0"/>
        <w:spacing w:line="600" w:lineRule="exact"/>
        <w:ind w:firstLine="421" w:firstLineChars="200"/>
        <w:jc w:val="left"/>
        <w:rPr>
          <w:rFonts w:ascii="宋体" w:hAnsi="宋体"/>
          <w:b/>
          <w:szCs w:val="21"/>
        </w:rPr>
      </w:pPr>
    </w:p>
    <w:p>
      <w:pPr>
        <w:numPr>
          <w:ilvl w:val="0"/>
          <w:numId w:val="0"/>
        </w:numPr>
        <w:tabs>
          <w:tab w:val="left" w:pos="640"/>
        </w:tabs>
        <w:snapToGrid w:val="0"/>
        <w:spacing w:line="600" w:lineRule="exact"/>
        <w:ind w:left="409" w:leftChars="0" w:hanging="409" w:hangingChars="128"/>
        <w:jc w:val="left"/>
        <w:outlineLvl w:val="1"/>
        <w:rPr>
          <w:rFonts w:hint="eastAsia" w:ascii="黑体" w:hAnsi="宋体" w:eastAsia="黑体"/>
          <w:sz w:val="32"/>
          <w:szCs w:val="32"/>
        </w:rPr>
      </w:pPr>
      <w:r>
        <w:rPr>
          <w:rFonts w:hint="eastAsia" w:ascii="黑体" w:hAnsi="宋体" w:eastAsia="黑体"/>
          <w:sz w:val="32"/>
          <w:szCs w:val="32"/>
          <w:lang w:eastAsia="zh-CN"/>
        </w:rPr>
        <w:tab/>
      </w:r>
      <w:bookmarkStart w:id="80" w:name="_Toc17598"/>
      <w:r>
        <w:rPr>
          <w:rFonts w:hint="eastAsia" w:ascii="黑体" w:hAnsi="宋体" w:eastAsia="黑体"/>
          <w:sz w:val="32"/>
          <w:szCs w:val="32"/>
          <w:lang w:eastAsia="zh-CN"/>
        </w:rPr>
        <w:t>一、</w:t>
      </w:r>
      <w:r>
        <w:rPr>
          <w:rFonts w:hint="eastAsia" w:ascii="黑体" w:hAnsi="宋体" w:eastAsia="黑体"/>
          <w:sz w:val="32"/>
          <w:szCs w:val="32"/>
        </w:rPr>
        <w:t>基本情况</w:t>
      </w:r>
      <w:bookmarkEnd w:id="80"/>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概况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《中华人民共和国安全生产法》、《国务院办公厅关于加强安全生产监督执法的通知》（国办发【2015】20号）等</w:t>
      </w:r>
      <w:r>
        <w:rPr>
          <w:rFonts w:hint="eastAsia" w:ascii="仿宋_GB2312" w:hAnsi="仿宋_GB2312" w:eastAsia="仿宋_GB2312" w:cs="仿宋_GB2312"/>
          <w:sz w:val="32"/>
          <w:szCs w:val="32"/>
        </w:rPr>
        <w:t>相关法律法规要求，制定202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执法检查计划</w:t>
      </w:r>
      <w:r>
        <w:rPr>
          <w:rFonts w:hint="eastAsia" w:ascii="仿宋_GB2312" w:hAnsi="仿宋_GB2312" w:eastAsia="仿宋_GB2312" w:cs="仿宋_GB2312"/>
          <w:sz w:val="32"/>
          <w:szCs w:val="32"/>
          <w:lang w:eastAsia="zh-CN"/>
        </w:rPr>
        <w:t>，并严格</w:t>
      </w:r>
      <w:r>
        <w:rPr>
          <w:rFonts w:hint="eastAsia" w:ascii="仿宋_GB2312" w:hAnsi="仿宋_GB2312" w:eastAsia="仿宋_GB2312" w:cs="仿宋_GB2312"/>
          <w:sz w:val="32"/>
          <w:szCs w:val="32"/>
        </w:rPr>
        <w:t>进行执法检查，</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对辖区内发生的事故在区人民政府授权组织事故调查组进行事故调查</w:t>
      </w:r>
      <w:r>
        <w:rPr>
          <w:rFonts w:hint="eastAsia" w:ascii="仿宋_GB2312" w:hAnsi="仿宋_GB2312" w:eastAsia="仿宋_GB2312" w:cs="仿宋_GB2312"/>
          <w:sz w:val="32"/>
          <w:szCs w:val="32"/>
          <w:lang w:eastAsia="zh-CN"/>
        </w:rPr>
        <w:t>，故设立执法办案专项经费项目。该项目经费主要用于开展执法检查保障工作、事故调查、执法比武活动及法律咨询等。</w:t>
      </w:r>
      <w:r>
        <w:rPr>
          <w:rFonts w:hint="eastAsia" w:ascii="仿宋_GB2312" w:hAnsi="仿宋_GB2312" w:eastAsia="仿宋_GB2312" w:cs="仿宋_GB2312"/>
          <w:sz w:val="32"/>
          <w:szCs w:val="32"/>
          <w:lang w:val="en-US" w:eastAsia="zh-CN"/>
        </w:rPr>
        <w:t>2023年执法办案专项经费项目投入经费25万元，并按要求设立</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3个1级指标、7个2级指标及11个3级指标。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sz w:val="32"/>
          <w:szCs w:val="32"/>
        </w:rPr>
      </w:pPr>
      <w:bookmarkStart w:id="81" w:name="_Toc22082"/>
      <w:r>
        <w:rPr>
          <w:rFonts w:hint="eastAsia" w:ascii="黑体" w:hAnsi="黑体" w:eastAsia="黑体" w:cs="黑体"/>
          <w:bCs/>
          <w:sz w:val="32"/>
          <w:szCs w:val="32"/>
        </w:rPr>
        <w:t>二、评价工作开展情况</w:t>
      </w:r>
      <w:bookmarkEnd w:id="81"/>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组织财务人员及相关业务股室分管领导、业务人员按照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（一）评价指标体系</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本次项目支出绩效评价，按照</w:t>
      </w:r>
      <w:r>
        <w:rPr>
          <w:rFonts w:hint="default"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开展部门、项目、政策支出绩效自评工作</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，以及项目预算申报情况，本次项目支出绩效指标体系主要分为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个一级指标，分别为：</w:t>
      </w:r>
      <w:r>
        <w:rPr>
          <w:rFonts w:hint="eastAsia" w:ascii="仿宋_GB2312" w:hAnsi="仿宋_GB2312" w:eastAsia="仿宋_GB2312" w:cs="仿宋_GB2312"/>
          <w:sz w:val="32"/>
          <w:szCs w:val="32"/>
          <w:lang w:val="en-US" w:eastAsia="zh-CN"/>
        </w:rPr>
        <w:t>产出指标75分、效益指标15分、满意度指标10分，</w:t>
      </w:r>
      <w:r>
        <w:rPr>
          <w:rFonts w:hint="eastAsia" w:ascii="仿宋_GB2312" w:hAnsi="仿宋_GB2312" w:eastAsia="仿宋_GB2312" w:cs="仿宋_GB2312"/>
          <w:sz w:val="32"/>
          <w:szCs w:val="32"/>
          <w:lang w:eastAsia="zh-CN"/>
        </w:rPr>
        <w:t>一级指标下各设定了若干个二级指标和三级指标及其分值，共计100分。具体见《202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年度执法办案专项经费项目支出绩效自评表》。</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（二）评价方法</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通过核对财务账目、检查档案资料等方式，现场评价与资料评价相结合，重点查看账目，账实对照，对资金使用进行综合分析，作出总体性评价。</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（三）绩效评价标准</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绩效评价采用百分制，各级指标依据其指标权重确定分值，最终得分由各级评价指标得分加总形成。根据最终得分将评价标准分为四个等级：优（得分≥90分）；良（80分≤得分＜90分）；中（60≤得分＜80分）；差（得分＜60分）。</w:t>
      </w:r>
    </w:p>
    <w:p>
      <w:pPr>
        <w:snapToGrid w:val="0"/>
        <w:spacing w:line="600" w:lineRule="exact"/>
        <w:ind w:firstLine="640" w:firstLineChars="200"/>
        <w:outlineLvl w:val="1"/>
        <w:rPr>
          <w:rFonts w:hint="eastAsia" w:ascii="黑体" w:hAnsi="宋体" w:eastAsia="黑体"/>
          <w:szCs w:val="21"/>
        </w:rPr>
      </w:pPr>
      <w:bookmarkStart w:id="82" w:name="_Toc30511"/>
      <w:r>
        <w:rPr>
          <w:rFonts w:hint="eastAsia" w:ascii="黑体" w:hAnsi="黑体" w:eastAsia="黑体" w:cs="黑体"/>
          <w:bCs/>
          <w:sz w:val="32"/>
          <w:szCs w:val="32"/>
        </w:rPr>
        <w:t>三、综合评价结论（附评分表）</w:t>
      </w:r>
      <w:bookmarkEnd w:id="82"/>
    </w:p>
    <w:tbl>
      <w:tblPr>
        <w:tblStyle w:val="13"/>
        <w:tblW w:w="88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6"/>
        <w:gridCol w:w="1035"/>
        <w:gridCol w:w="1436"/>
        <w:gridCol w:w="728"/>
        <w:gridCol w:w="1065"/>
        <w:gridCol w:w="840"/>
        <w:gridCol w:w="780"/>
        <w:gridCol w:w="885"/>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86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8"/>
                <w:szCs w:val="28"/>
                <w:u w:val="none"/>
                <w:lang w:eastAsia="zh-CN"/>
              </w:rPr>
              <w:t>202</w:t>
            </w:r>
            <w:r>
              <w:rPr>
                <w:rFonts w:hint="eastAsia" w:ascii="宋体" w:hAnsi="宋体" w:eastAsia="宋体" w:cs="宋体"/>
                <w:i w:val="0"/>
                <w:iCs w:val="0"/>
                <w:color w:val="000000"/>
                <w:sz w:val="28"/>
                <w:szCs w:val="28"/>
                <w:u w:val="none"/>
                <w:lang w:val="en-US" w:eastAsia="zh-CN"/>
              </w:rPr>
              <w:t>3</w:t>
            </w:r>
            <w:r>
              <w:rPr>
                <w:rFonts w:hint="eastAsia" w:ascii="宋体" w:hAnsi="宋体" w:eastAsia="宋体" w:cs="宋体"/>
                <w:i w:val="0"/>
                <w:iCs w:val="0"/>
                <w:color w:val="000000"/>
                <w:sz w:val="28"/>
                <w:szCs w:val="28"/>
                <w:u w:val="none"/>
                <w:lang w:eastAsia="zh-CN"/>
              </w:rPr>
              <w:t>度执法办案专项经费项目支出绩效自评表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三级指标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指标性质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度量单位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指标分值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自评得分</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成本指标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项目总成本</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时效指标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执法检查按计划完成及时率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严格时间节点完成各项执法活动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购买执法装备数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执法检查次数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执法检查企业覆盖率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已按照年初制定执法计划中全面完成企业检查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聘请顾问人次</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顾问服务达标率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执法装备验收合格率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r>
              <w:rPr>
                <w:rStyle w:val="26"/>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可持续发展指标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行政执法制度健全性</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定性</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执法工作正常开展率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r>
              <w:rPr>
                <w:rStyle w:val="26"/>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购买服务单位满意度</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tabs>
          <w:tab w:val="left" w:pos="3885"/>
        </w:tabs>
        <w:snapToGrid w:val="0"/>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按照评价方法、评价指标及标准，我局认真进行执法办案专项经费项目支出绩效自评，自评得分为</w:t>
      </w:r>
      <w:r>
        <w:rPr>
          <w:rFonts w:hint="eastAsia" w:ascii="仿宋_GB2312" w:hAnsi="仿宋_GB2312" w:eastAsia="仿宋_GB2312" w:cs="仿宋_GB2312"/>
          <w:sz w:val="32"/>
          <w:szCs w:val="32"/>
          <w:lang w:val="en-US" w:eastAsia="zh-CN"/>
        </w:rPr>
        <w:t>99.5分，自我评价结果为“优”。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sz w:val="32"/>
          <w:szCs w:val="32"/>
        </w:rPr>
      </w:pPr>
      <w:bookmarkStart w:id="83" w:name="_Toc23720"/>
      <w:r>
        <w:rPr>
          <w:rFonts w:hint="eastAsia" w:ascii="黑体" w:hAnsi="黑体" w:eastAsia="黑体" w:cs="黑体"/>
          <w:bCs/>
          <w:sz w:val="32"/>
          <w:szCs w:val="32"/>
        </w:rPr>
        <w:t>四、绩效评价分析</w:t>
      </w:r>
      <w:bookmarkEnd w:id="83"/>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（一）项目决策情况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从评价情况来看，执法办案专项经费项目立项依据基本充分，设定了项目绩效目标，对资金配置方面均有明确的测算依据，整体情况良好。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（二）项目管理情况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按照局财经制度，严格控制项目经费的开支，各项支出附件齐全，不存在项目资金交叉使用等不合规情况。</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（三）项目产出情况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从项目产出评价情况来看，基本完成各项产出目标，较好完成了我局部门工作职能。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（四）项目效益情况。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szCs w:val="21"/>
          <w:lang w:val="en-US" w:eastAsia="zh-CN"/>
        </w:rPr>
      </w:pPr>
      <w:r>
        <w:rPr>
          <w:rFonts w:hint="eastAsia" w:ascii="仿宋_GB2312" w:hAnsi="仿宋_GB2312" w:eastAsia="仿宋_GB2312" w:cs="仿宋_GB2312"/>
          <w:sz w:val="32"/>
          <w:szCs w:val="32"/>
          <w:lang w:val="en-US" w:eastAsia="zh-CN"/>
        </w:rPr>
        <w:t>编制《2023年度船山区安全生产监督检查计划》，2023年，办理行政案件12起，其中一般行政处罚案件12起、事故处罚案件0起，共处罚金16.4余万元，约谈相关企业负责人4次，有力震慑了安全生产违法行为。通过该项目的实施，确保了我局执法检查工作的稳步推进，对全区安全发展工作具有促进作用，达到了预期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黑体" w:hAnsi="黑体" w:eastAsia="黑体" w:cs="黑体"/>
          <w:bCs/>
          <w:sz w:val="32"/>
          <w:szCs w:val="32"/>
          <w:lang w:val="en-US" w:eastAsia="zh-CN"/>
        </w:rPr>
      </w:pPr>
      <w:bookmarkStart w:id="84" w:name="_Toc14699"/>
      <w:r>
        <w:rPr>
          <w:rFonts w:hint="eastAsia" w:ascii="黑体" w:hAnsi="黑体" w:eastAsia="黑体" w:cs="黑体"/>
          <w:bCs/>
          <w:sz w:val="32"/>
          <w:szCs w:val="32"/>
        </w:rPr>
        <w:t>五、</w:t>
      </w:r>
      <w:r>
        <w:rPr>
          <w:rFonts w:hint="eastAsia" w:ascii="黑体" w:hAnsi="黑体" w:eastAsia="黑体" w:cs="黑体"/>
          <w:bCs/>
          <w:sz w:val="32"/>
          <w:szCs w:val="32"/>
          <w:lang w:eastAsia="zh-CN"/>
        </w:rPr>
        <w:t>下步工作计划</w:t>
      </w:r>
      <w:bookmarkEnd w:id="8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hAnsi="仿宋" w:cs="仿宋"/>
          <w:sz w:val="32"/>
          <w:szCs w:val="32"/>
          <w:lang w:val="en-US" w:eastAsia="zh-CN"/>
        </w:rPr>
        <w:t>加强单位预算编制工作，根据人员情况、业务开展需要，</w:t>
      </w:r>
      <w:r>
        <w:rPr>
          <w:rFonts w:hint="eastAsia" w:ascii="仿宋_GB2312" w:hAnsi="仿宋_GB2312" w:eastAsia="仿宋_GB2312" w:cs="仿宋_GB2312"/>
          <w:sz w:val="32"/>
          <w:szCs w:val="32"/>
          <w:lang w:val="en-US" w:eastAsia="zh-CN"/>
        </w:rPr>
        <w:t>加大业务股室参与预算编制的积极性，学习如何科学合理制定绩效目标及考核体系，充分发挥绩效工作效用。进一步提高绩效管理水平，减少预算科目调整、追加预算等现象。</w:t>
      </w:r>
    </w:p>
    <w:p>
      <w:pPr>
        <w:spacing w:line="600" w:lineRule="exact"/>
        <w:jc w:val="center"/>
        <w:rPr>
          <w:rFonts w:ascii="Arial" w:hAnsi="Arial" w:eastAsia="方正小标宋简体" w:cs="Arial"/>
          <w:color w:val="000000"/>
          <w:sz w:val="44"/>
          <w:szCs w:val="44"/>
        </w:rPr>
      </w:pPr>
    </w:p>
    <w:p>
      <w:pPr>
        <w:spacing w:line="600" w:lineRule="exact"/>
        <w:jc w:val="center"/>
        <w:rPr>
          <w:rFonts w:ascii="Arial" w:hAnsi="Arial" w:eastAsia="方正小标宋简体" w:cs="Arial"/>
          <w:color w:val="000000"/>
          <w:sz w:val="44"/>
          <w:szCs w:val="44"/>
        </w:rPr>
      </w:pPr>
    </w:p>
    <w:p>
      <w:pPr>
        <w:pStyle w:val="2"/>
        <w:rPr>
          <w:rFonts w:ascii="Arial" w:hAnsi="Arial" w:eastAsia="方正小标宋简体" w:cs="Arial"/>
          <w:color w:val="000000"/>
          <w:sz w:val="44"/>
          <w:szCs w:val="44"/>
        </w:rPr>
      </w:pPr>
    </w:p>
    <w:p>
      <w:pPr>
        <w:pStyle w:val="2"/>
        <w:rPr>
          <w:rFonts w:ascii="Arial" w:hAnsi="Arial" w:eastAsia="方正小标宋简体" w:cs="Arial"/>
          <w:color w:val="000000"/>
          <w:sz w:val="44"/>
          <w:szCs w:val="44"/>
        </w:rPr>
      </w:pPr>
    </w:p>
    <w:p>
      <w:pPr>
        <w:pStyle w:val="2"/>
        <w:rPr>
          <w:rFonts w:ascii="Arial" w:hAnsi="Arial" w:eastAsia="方正小标宋简体" w:cs="Arial"/>
          <w:color w:val="000000"/>
          <w:sz w:val="44"/>
          <w:szCs w:val="44"/>
        </w:rPr>
      </w:pPr>
    </w:p>
    <w:p>
      <w:pPr>
        <w:pStyle w:val="2"/>
        <w:rPr>
          <w:rFonts w:ascii="Arial" w:hAnsi="Arial" w:eastAsia="方正小标宋简体" w:cs="Arial"/>
          <w:color w:val="000000"/>
          <w:sz w:val="44"/>
          <w:szCs w:val="44"/>
        </w:rPr>
      </w:pPr>
    </w:p>
    <w:p>
      <w:pPr>
        <w:pStyle w:val="2"/>
        <w:rPr>
          <w:rFonts w:ascii="Arial" w:hAnsi="Arial" w:eastAsia="方正小标宋简体" w:cs="Arial"/>
          <w:color w:val="000000"/>
          <w:sz w:val="44"/>
          <w:szCs w:val="44"/>
        </w:rPr>
      </w:pPr>
    </w:p>
    <w:p>
      <w:pPr>
        <w:pStyle w:val="2"/>
        <w:ind w:left="0" w:leftChars="0" w:firstLine="0" w:firstLineChars="0"/>
        <w:rPr>
          <w:rFonts w:ascii="Arial" w:hAnsi="Arial" w:eastAsia="方正小标宋简体" w:cs="Arial"/>
          <w:color w:val="000000"/>
          <w:sz w:val="44"/>
          <w:szCs w:val="44"/>
        </w:rPr>
      </w:pPr>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int="eastAsia" w:ascii="楷体" w:hAnsi="楷体" w:eastAsia="楷体" w:cs="楷体"/>
          <w:b/>
          <w:bCs/>
        </w:rPr>
      </w:pPr>
      <w:r>
        <w:rPr>
          <w:rFonts w:hint="eastAsia" w:ascii="楷体" w:hAnsi="楷体" w:eastAsia="楷体" w:cs="楷体"/>
          <w:b/>
          <w:bCs/>
        </w:rPr>
        <w:t>（</w:t>
      </w:r>
      <w:r>
        <w:rPr>
          <w:rFonts w:hint="eastAsia" w:ascii="楷体" w:hAnsi="楷体" w:eastAsia="楷体" w:cs="楷体"/>
          <w:b/>
          <w:bCs/>
          <w:lang w:eastAsia="zh-CN"/>
        </w:rPr>
        <w:t>政府购买安全生产服务项目</w:t>
      </w:r>
      <w:r>
        <w:rPr>
          <w:rFonts w:hint="eastAsia" w:ascii="楷体" w:hAnsi="楷体" w:eastAsia="楷体" w:cs="楷体"/>
          <w:b/>
          <w:bCs/>
        </w:rPr>
        <w:t>）</w:t>
      </w:r>
    </w:p>
    <w:p>
      <w:pPr>
        <w:tabs>
          <w:tab w:val="left" w:pos="3885"/>
        </w:tabs>
        <w:snapToGrid w:val="0"/>
        <w:spacing w:line="600" w:lineRule="exact"/>
        <w:ind w:firstLine="421" w:firstLineChars="200"/>
        <w:jc w:val="left"/>
        <w:rPr>
          <w:rFonts w:ascii="宋体" w:hAnsi="宋体"/>
          <w:b/>
          <w:szCs w:val="21"/>
        </w:rPr>
      </w:pPr>
    </w:p>
    <w:p>
      <w:pPr>
        <w:numPr>
          <w:ilvl w:val="0"/>
          <w:numId w:val="0"/>
        </w:numPr>
        <w:tabs>
          <w:tab w:val="left" w:pos="3885"/>
        </w:tabs>
        <w:snapToGrid w:val="0"/>
        <w:spacing w:line="600" w:lineRule="exact"/>
        <w:ind w:leftChars="200"/>
        <w:jc w:val="left"/>
        <w:outlineLvl w:val="1"/>
        <w:rPr>
          <w:rFonts w:hint="eastAsia" w:ascii="黑体" w:hAnsi="宋体" w:eastAsia="黑体"/>
          <w:sz w:val="32"/>
          <w:szCs w:val="32"/>
        </w:rPr>
      </w:pPr>
      <w:bookmarkStart w:id="85" w:name="_Toc2505"/>
      <w:r>
        <w:rPr>
          <w:rFonts w:hint="eastAsia" w:ascii="黑体" w:hAnsi="宋体" w:eastAsia="黑体"/>
          <w:sz w:val="32"/>
          <w:szCs w:val="32"/>
          <w:lang w:eastAsia="zh-CN"/>
        </w:rPr>
        <w:t>一、</w:t>
      </w:r>
      <w:r>
        <w:rPr>
          <w:rFonts w:hint="eastAsia" w:ascii="黑体" w:hAnsi="宋体" w:eastAsia="黑体"/>
          <w:sz w:val="32"/>
          <w:szCs w:val="32"/>
        </w:rPr>
        <w:t>基本情况</w:t>
      </w:r>
      <w:bookmarkEnd w:id="85"/>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概况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根据《中共中央国务院关于推进安全生产领域改革发展意见》、《中共四川省委 四川省人民政府关于推进安全生产领域改革发展的实施意见》等，将安全生产专业技术服务纳入现代服务业发展规划，该项目主要用于聘请安全生产专业机构为我区安全生产工作进行服务，保证全区安全形势持续稳定发展。</w:t>
      </w:r>
      <w:r>
        <w:rPr>
          <w:rFonts w:hint="eastAsia" w:ascii="仿宋_GB2312" w:hAnsi="仿宋_GB2312" w:eastAsia="仿宋_GB2312" w:cs="仿宋_GB2312"/>
          <w:sz w:val="32"/>
          <w:szCs w:val="32"/>
          <w:lang w:val="en-US" w:eastAsia="zh-CN"/>
        </w:rPr>
        <w:t>2023年政府购买安全生产服务项目投入经费10万元，并按要求设立项目绩效目标：3个1级指标、7个2级指标及7个3级指标。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86" w:name="_Toc31275"/>
      <w:r>
        <w:rPr>
          <w:rFonts w:hint="eastAsia" w:ascii="黑体" w:hAnsi="宋体" w:eastAsia="黑体" w:cs="Times New Roman"/>
          <w:sz w:val="32"/>
          <w:szCs w:val="32"/>
          <w:lang w:eastAsia="zh-CN"/>
        </w:rPr>
        <w:t>二、评价工作开展情况</w:t>
      </w:r>
      <w:bookmarkEnd w:id="86"/>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组织财务人员及相关业务股室分管领导、业务人员按照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（一）评价指标体系</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本次项目支出绩效评价，按照</w:t>
      </w:r>
      <w:r>
        <w:rPr>
          <w:rFonts w:hint="default"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开展部门、项目、政策支出绩效自评工作</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，以及项目预算申报情况，本次项目支出绩效指标体系主要分为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个一级指标，分别为：</w:t>
      </w:r>
      <w:r>
        <w:rPr>
          <w:rFonts w:hint="eastAsia" w:ascii="仿宋_GB2312" w:hAnsi="仿宋_GB2312" w:eastAsia="仿宋_GB2312" w:cs="仿宋_GB2312"/>
          <w:sz w:val="32"/>
          <w:szCs w:val="32"/>
          <w:lang w:val="en-US" w:eastAsia="zh-CN"/>
        </w:rPr>
        <w:t>产出指标65分、效益指标25分、满意度指标10分，</w:t>
      </w:r>
      <w:r>
        <w:rPr>
          <w:rFonts w:hint="eastAsia" w:ascii="仿宋_GB2312" w:hAnsi="仿宋_GB2312" w:eastAsia="仿宋_GB2312" w:cs="仿宋_GB2312"/>
          <w:sz w:val="32"/>
          <w:szCs w:val="32"/>
          <w:lang w:eastAsia="zh-CN"/>
        </w:rPr>
        <w:t>一级指标下各设定了若干个二级指标和三级指标及其分值，共计100分。具体见《202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年度政府购买安全生产服务项目支出绩效自评表》。</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（二）评价方法</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通过核对财务账目、检查档案资料等方式，现场评价与资料评价相结合，重点查看账目，账实对照，对资金使用进行综合分析，作出总体性评价。</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（三）绩效评价标准</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绩效评价采用百分制，各级指标依据其指标权重确定分值，最终得分由各级评价指标得分加总形成。根据最终得分将评价标准分为四个等级：优（得分≥90分）；良（80分≤得分＜90分）；中（60≤得分＜80分）；差（得分＜60分）。</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87" w:name="_Toc1088"/>
      <w:r>
        <w:rPr>
          <w:rFonts w:hint="eastAsia" w:ascii="黑体" w:hAnsi="宋体" w:eastAsia="黑体" w:cs="Times New Roman"/>
          <w:sz w:val="32"/>
          <w:szCs w:val="32"/>
          <w:lang w:eastAsia="zh-CN"/>
        </w:rPr>
        <w:t>三、综合评价结论（附评分表）</w:t>
      </w:r>
      <w:bookmarkEnd w:id="87"/>
    </w:p>
    <w:tbl>
      <w:tblPr>
        <w:tblStyle w:val="13"/>
        <w:tblW w:w="8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6"/>
        <w:gridCol w:w="1035"/>
        <w:gridCol w:w="1436"/>
        <w:gridCol w:w="728"/>
        <w:gridCol w:w="1065"/>
        <w:gridCol w:w="840"/>
        <w:gridCol w:w="780"/>
        <w:gridCol w:w="885"/>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5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8"/>
                <w:szCs w:val="28"/>
                <w:u w:val="none"/>
                <w:lang w:eastAsia="zh-CN"/>
              </w:rPr>
              <w:t>202</w:t>
            </w:r>
            <w:r>
              <w:rPr>
                <w:rFonts w:hint="eastAsia" w:ascii="宋体" w:hAnsi="宋体" w:eastAsia="宋体" w:cs="宋体"/>
                <w:i w:val="0"/>
                <w:iCs w:val="0"/>
                <w:color w:val="000000"/>
                <w:sz w:val="28"/>
                <w:szCs w:val="28"/>
                <w:u w:val="none"/>
                <w:lang w:val="en-US" w:eastAsia="zh-CN"/>
              </w:rPr>
              <w:t>3</w:t>
            </w:r>
            <w:r>
              <w:rPr>
                <w:rFonts w:hint="eastAsia" w:ascii="宋体" w:hAnsi="宋体" w:eastAsia="宋体" w:cs="宋体"/>
                <w:i w:val="0"/>
                <w:iCs w:val="0"/>
                <w:color w:val="000000"/>
                <w:sz w:val="28"/>
                <w:szCs w:val="28"/>
                <w:u w:val="none"/>
                <w:lang w:eastAsia="zh-CN"/>
              </w:rPr>
              <w:t>年度政府购买安全生产服务项目支出绩效自评表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三级指标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指标性质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度量单位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指标分值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自评得分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检查企业数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时效指标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项目完成及时率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成本指标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项目总成本</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安全隐患查找准确率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可持续发展指标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安全监管机制健全性</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定性</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专业机构服务成果利用率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委托单位满意率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按照评价方法、评价指标及标准，我局认真进行政府购买安全生产服务项目支出绩效自评，自评得分为</w:t>
      </w:r>
      <w:r>
        <w:rPr>
          <w:rFonts w:hint="eastAsia" w:ascii="仿宋_GB2312" w:hAnsi="仿宋_GB2312" w:eastAsia="仿宋_GB2312" w:cs="仿宋_GB2312"/>
          <w:sz w:val="32"/>
          <w:szCs w:val="32"/>
          <w:lang w:val="en-US" w:eastAsia="zh-CN"/>
        </w:rPr>
        <w:t>99分，自我评价结果为“优”。</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88" w:name="_Toc5440"/>
      <w:r>
        <w:rPr>
          <w:rFonts w:hint="eastAsia" w:ascii="黑体" w:hAnsi="宋体" w:eastAsia="黑体" w:cs="Times New Roman"/>
          <w:sz w:val="32"/>
          <w:szCs w:val="32"/>
          <w:lang w:eastAsia="zh-CN"/>
        </w:rPr>
        <w:t>四、绩效评价分析</w:t>
      </w:r>
      <w:bookmarkEnd w:id="88"/>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（一）项目决策情况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从评价情况来看，政府购买安全生产服务项目立项依据基本充分，设定了项目绩效目标，对资金配置方面均有明确的测算依据，整体情况良好。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（二）项目管理情况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按照局财经制度，严格控制项目经费的开支，各项支出附件齐全，不存在项目资金交叉使用等不合规情况。</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（三）项目产出情况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从项目产出评价情况来看，基本完成各项产出目标，较好完成了我局部门工作职能。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（四）项目效益情况。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该项目有序推进，基本完成，实现了预期目标。通过该项目的实施，确保了船山区安全生产、应急管理、防灾减灾等工作的稳步推进，全区</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年未发生较大以上生产安全事故，安全生产形势持续稳定向好，</w:t>
      </w:r>
      <w:r>
        <w:rPr>
          <w:rFonts w:hint="eastAsia" w:ascii="仿宋_GB2312" w:hAnsi="仿宋_GB2312" w:eastAsia="仿宋_GB2312" w:cs="仿宋_GB2312"/>
          <w:sz w:val="32"/>
          <w:szCs w:val="32"/>
          <w:lang w:val="en-US" w:eastAsia="zh-CN"/>
        </w:rPr>
        <w:t>为全区实现经济社会发展提供了强有力的安全保障，达到了预期目标。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val="en-US" w:eastAsia="zh-CN"/>
        </w:rPr>
      </w:pPr>
      <w:bookmarkStart w:id="89" w:name="_Toc20921"/>
      <w:r>
        <w:rPr>
          <w:rFonts w:hint="eastAsia" w:ascii="黑体" w:hAnsi="宋体" w:eastAsia="黑体" w:cs="Times New Roman"/>
          <w:sz w:val="32"/>
          <w:szCs w:val="32"/>
          <w:lang w:eastAsia="zh-CN"/>
        </w:rPr>
        <w:t>五、下步工作计划</w:t>
      </w:r>
      <w:bookmarkEnd w:id="89"/>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单位预算编制工作，根据人员情况、业务开展需要，加大业务股室参与预算编制的积极性，学习如何科学合理制定绩效目标及考核体系，充分发挥绩效工作效用。进一步提高绩效管理水平，减少预算科目调整、追加预算等现象。</w:t>
      </w:r>
    </w:p>
    <w:p>
      <w:pPr>
        <w:snapToGrid w:val="0"/>
        <w:spacing w:line="600" w:lineRule="exact"/>
        <w:ind w:firstLine="640" w:firstLineChars="200"/>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
        <w:rPr>
          <w:rFonts w:hint="eastAsia" w:hAnsi="仿宋" w:cs="仿宋"/>
          <w:sz w:val="32"/>
          <w:szCs w:val="32"/>
          <w:lang w:val="en-US" w:eastAsia="zh-CN"/>
        </w:rPr>
      </w:pPr>
    </w:p>
    <w:p>
      <w:pPr>
        <w:pStyle w:val="22"/>
        <w:rPr>
          <w:rFonts w:hint="eastAsia" w:hAnsi="仿宋" w:cs="仿宋"/>
          <w:sz w:val="32"/>
          <w:szCs w:val="32"/>
          <w:lang w:val="en-US" w:eastAsia="zh-CN"/>
        </w:rPr>
      </w:pPr>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int="eastAsia" w:ascii="楷体" w:hAnsi="楷体" w:eastAsia="楷体" w:cs="楷体"/>
          <w:b/>
          <w:bCs/>
        </w:rPr>
      </w:pPr>
      <w:r>
        <w:rPr>
          <w:rFonts w:hint="eastAsia" w:ascii="楷体" w:hAnsi="楷体" w:eastAsia="楷体" w:cs="楷体"/>
          <w:b/>
          <w:bCs/>
        </w:rPr>
        <w:t>（</w:t>
      </w:r>
      <w:r>
        <w:rPr>
          <w:rFonts w:hint="eastAsia" w:ascii="楷体" w:hAnsi="楷体" w:eastAsia="楷体" w:cs="楷体"/>
          <w:b/>
          <w:bCs/>
          <w:lang w:val="en-US" w:eastAsia="zh-CN"/>
        </w:rPr>
        <w:t>应急救灾工作经费项目</w:t>
      </w:r>
      <w:r>
        <w:rPr>
          <w:rFonts w:hint="eastAsia" w:ascii="楷体" w:hAnsi="楷体" w:eastAsia="楷体" w:cs="楷体"/>
          <w:b/>
          <w:bCs/>
        </w:rPr>
        <w:t>）</w:t>
      </w:r>
    </w:p>
    <w:p>
      <w:pPr>
        <w:tabs>
          <w:tab w:val="left" w:pos="3885"/>
        </w:tabs>
        <w:snapToGrid w:val="0"/>
        <w:spacing w:line="600" w:lineRule="exact"/>
        <w:ind w:firstLine="421" w:firstLineChars="200"/>
        <w:jc w:val="left"/>
        <w:rPr>
          <w:rFonts w:ascii="宋体" w:hAnsi="宋体"/>
          <w:b/>
          <w:szCs w:val="21"/>
        </w:rPr>
      </w:pPr>
    </w:p>
    <w:p>
      <w:pPr>
        <w:numPr>
          <w:ilvl w:val="0"/>
          <w:numId w:val="0"/>
        </w:numPr>
        <w:tabs>
          <w:tab w:val="left" w:pos="3885"/>
        </w:tabs>
        <w:snapToGrid w:val="0"/>
        <w:spacing w:line="600" w:lineRule="exact"/>
        <w:ind w:leftChars="200"/>
        <w:jc w:val="left"/>
        <w:outlineLvl w:val="1"/>
        <w:rPr>
          <w:rFonts w:hint="eastAsia" w:ascii="黑体" w:hAnsi="宋体" w:eastAsia="黑体"/>
          <w:sz w:val="32"/>
          <w:szCs w:val="32"/>
        </w:rPr>
      </w:pPr>
      <w:bookmarkStart w:id="90" w:name="_Toc5719"/>
      <w:r>
        <w:rPr>
          <w:rFonts w:hint="eastAsia" w:ascii="黑体" w:hAnsi="宋体" w:eastAsia="黑体"/>
          <w:sz w:val="32"/>
          <w:szCs w:val="32"/>
          <w:lang w:eastAsia="zh-CN"/>
        </w:rPr>
        <w:t>一、</w:t>
      </w:r>
      <w:r>
        <w:rPr>
          <w:rFonts w:hint="eastAsia" w:ascii="黑体" w:hAnsi="宋体" w:eastAsia="黑体"/>
          <w:sz w:val="32"/>
          <w:szCs w:val="32"/>
        </w:rPr>
        <w:t>基本情况</w:t>
      </w:r>
      <w:bookmarkEnd w:id="90"/>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概况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该项目主要用于开展应急演练，发生事故后开展应急处置，值班值守物资购置等。2023年应急救灾工作经费项目投入经费15万元，并按要求设立项目绩效目标：3个1级指标、7个2级指标及16个3级指标。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1" w:name="_Toc16655"/>
      <w:r>
        <w:rPr>
          <w:rFonts w:hint="eastAsia" w:ascii="黑体" w:hAnsi="宋体" w:eastAsia="黑体" w:cs="Times New Roman"/>
          <w:sz w:val="32"/>
          <w:szCs w:val="32"/>
          <w:lang w:eastAsia="zh-CN"/>
        </w:rPr>
        <w:t>二、评价工作开展情况</w:t>
      </w:r>
      <w:bookmarkEnd w:id="91"/>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组织财务人员及相关业务股室分管领导、业务人员按照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w:t>
      </w:r>
    </w:p>
    <w:p>
      <w:pPr>
        <w:snapToGrid w:val="0"/>
        <w:spacing w:line="600" w:lineRule="exact"/>
        <w:ind w:firstLine="421" w:firstLineChars="200"/>
        <w:rPr>
          <w:rFonts w:hint="eastAsia" w:ascii="楷体" w:hAnsi="楷体" w:eastAsia="楷体" w:cs="楷体"/>
          <w:b/>
          <w:bCs/>
          <w:szCs w:val="21"/>
          <w:lang w:eastAsia="zh-CN"/>
        </w:rPr>
      </w:pP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（一）评价指标体系</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本次项目支出绩效评价，按照</w:t>
      </w:r>
      <w:r>
        <w:rPr>
          <w:rFonts w:hint="default"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开展部门、项目、政策支出绩效自评工作</w:t>
      </w:r>
      <w:r>
        <w:rPr>
          <w:rFonts w:hint="eastAsia" w:ascii="仿宋_GB2312" w:hAnsi="仿宋_GB2312" w:eastAsia="仿宋_GB2312" w:cs="仿宋_GB2312"/>
          <w:sz w:val="32"/>
          <w:szCs w:val="32"/>
          <w:lang w:val="en-US" w:eastAsia="zh-CN"/>
        </w:rPr>
        <w:t>要求，以及项目预算申报情况，本次项目支出绩效指标体系主要分为3个一级指标，分别为：产出指标78分、效益指标8分、满意度指标14，一级指标下各设定了若干个二级指标和三级指标及其分值，共计100分。具体见《2023年度应急救灾工作经费项目支出绩效自评表》。</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（二）评价方法</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通过核对财务账目、检查档案资料等方式，现场评价与资料评价相结合，重点查看账目，账实对照，对资金使用进行综合分析，作出总体性评价。</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（三）绩效评价标准</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绩效评价采用百分制，各级指标依据其指标权重确定分值，最终得分由各级评价指标得分加总形成。根据最终得分将评价标准分为四个等级：优（得分≥90分）；良（80分≤得分＜90分）；中（60≤得分＜80分）；差（得分＜60分）。</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2" w:name="_Toc25377"/>
      <w:r>
        <w:rPr>
          <w:rFonts w:hint="eastAsia" w:ascii="黑体" w:hAnsi="宋体" w:eastAsia="黑体" w:cs="Times New Roman"/>
          <w:sz w:val="32"/>
          <w:szCs w:val="32"/>
          <w:lang w:eastAsia="zh-CN"/>
        </w:rPr>
        <w:t>三、综合评价结论（附评分表）</w:t>
      </w:r>
      <w:bookmarkEnd w:id="92"/>
    </w:p>
    <w:tbl>
      <w:tblPr>
        <w:tblStyle w:val="13"/>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1020"/>
        <w:gridCol w:w="1800"/>
        <w:gridCol w:w="1020"/>
        <w:gridCol w:w="1125"/>
        <w:gridCol w:w="930"/>
        <w:gridCol w:w="114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075" w:type="dxa"/>
            <w:gridSpan w:val="8"/>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sz w:val="28"/>
                <w:szCs w:val="28"/>
                <w:u w:val="none"/>
                <w:lang w:eastAsia="zh-CN"/>
              </w:rPr>
              <w:t>202</w:t>
            </w:r>
            <w:r>
              <w:rPr>
                <w:rFonts w:hint="eastAsia" w:ascii="宋体" w:hAnsi="宋体" w:eastAsia="宋体" w:cs="宋体"/>
                <w:i w:val="0"/>
                <w:iCs w:val="0"/>
                <w:color w:val="auto"/>
                <w:sz w:val="28"/>
                <w:szCs w:val="28"/>
                <w:u w:val="none"/>
                <w:lang w:val="en-US" w:eastAsia="zh-CN"/>
              </w:rPr>
              <w:t>3</w:t>
            </w:r>
            <w:r>
              <w:rPr>
                <w:rFonts w:hint="eastAsia" w:ascii="宋体" w:hAnsi="宋体" w:eastAsia="宋体" w:cs="宋体"/>
                <w:i w:val="0"/>
                <w:iCs w:val="0"/>
                <w:color w:val="auto"/>
                <w:sz w:val="28"/>
                <w:szCs w:val="28"/>
                <w:u w:val="none"/>
                <w:lang w:eastAsia="zh-CN"/>
              </w:rPr>
              <w:t>年度应急救灾工作经费项目支出绩效自评表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一级指标</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指标性质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年度指标值</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指标分值</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自评得分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r>
              <w:rPr>
                <w:rStyle w:val="26"/>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成本指标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项目总成本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15万元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应急处置达标率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购买物资验收合格率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维修维护服务合格率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核灾到岗率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购买物资总量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应急处置次数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救灾减灾次数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应急救援设施设备维修维护次数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物资购买及时率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应急救灾及时率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维修维护及时率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项目完成及时率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应急救援正常工作开展率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可持续发展指标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应急处置机制健全性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定性</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服务对象满意度指标</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受益群众满意率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按照评价方法、评价指标及标准，我局认真进行应急救灾工作经费项目支出绩效自评，自评得分为100分，自我评价结果为“优”。</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3" w:name="_Toc12911"/>
      <w:r>
        <w:rPr>
          <w:rFonts w:hint="eastAsia" w:ascii="黑体" w:hAnsi="宋体" w:eastAsia="黑体" w:cs="Times New Roman"/>
          <w:sz w:val="32"/>
          <w:szCs w:val="32"/>
          <w:lang w:eastAsia="zh-CN"/>
        </w:rPr>
        <w:t>四、绩效评价分析</w:t>
      </w:r>
      <w:bookmarkEnd w:id="93"/>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（一）项目决策情况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从评价情况来看，应急救灾工作经费项目立项依据基本充分，设定了项目绩效目标，对资金配置方面均有明确的测算依据，整体情况良好。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（二）项目管理情况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按照局财经制度，严格控制项目经费的开支，各项支出附件齐全，不存在项目资金交叉使用等不合规情况。</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（三）项目产出情况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从项目产出评价情况来看，基本完成各项产出目标，较好完成了我局部门工作职能。</w:t>
      </w:r>
    </w:p>
    <w:p>
      <w:pPr>
        <w:tabs>
          <w:tab w:val="left" w:pos="3885"/>
        </w:tabs>
        <w:snapToGrid w:val="0"/>
        <w:spacing w:line="600" w:lineRule="exact"/>
        <w:ind w:firstLine="642"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（四）项目效益情况。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有序推进，基本完成，实现了预期目标。通过该项目的实施，确保了船山区安全生产、应急管理、防灾减灾等工作的稳步推进，全区连续16年未发生较大以上生产安全事故，安全生产形势持续稳定向好，为全区实现经济社会发展提供了强有力的安全保障，达到了预期目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val="en-US" w:eastAsia="zh-CN"/>
        </w:rPr>
      </w:pPr>
      <w:bookmarkStart w:id="94" w:name="_Toc3944"/>
      <w:r>
        <w:rPr>
          <w:rFonts w:hint="eastAsia" w:ascii="黑体" w:hAnsi="宋体" w:eastAsia="黑体" w:cs="Times New Roman"/>
          <w:sz w:val="32"/>
          <w:szCs w:val="32"/>
          <w:lang w:eastAsia="zh-CN"/>
        </w:rPr>
        <w:t>五、</w:t>
      </w:r>
      <w:r>
        <w:rPr>
          <w:rFonts w:hint="eastAsia" w:ascii="黑体" w:hAnsi="宋体" w:eastAsia="黑体" w:cs="Times New Roman"/>
          <w:sz w:val="32"/>
          <w:szCs w:val="32"/>
          <w:lang w:val="en-US" w:eastAsia="zh-CN"/>
        </w:rPr>
        <w:t>下步工作计划</w:t>
      </w:r>
      <w:bookmarkEnd w:id="94"/>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单位预算编制工作，根据人员情况、业务开展需要，加大业务股室参与预算编制的积极性，学习如何科学合理制定绩效目标及考核体系，充分发挥绩效工作效用。进一步提高绩效管理水平，减少预算科目调整、追加预算等现象。</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spacing w:line="600" w:lineRule="exact"/>
        <w:jc w:val="center"/>
        <w:rPr>
          <w:rFonts w:hint="eastAsia" w:ascii="方正小标宋简体" w:hAnsi="宋体" w:eastAsia="方正小标宋简体"/>
          <w:color w:val="000000"/>
          <w:sz w:val="44"/>
          <w:szCs w:val="44"/>
        </w:rPr>
      </w:pPr>
      <w:r>
        <w:rPr>
          <w:rFonts w:ascii="Arial" w:hAnsi="Arial" w:eastAsia="方正小标宋简体" w:cs="Arial"/>
          <w:color w:val="000000"/>
          <w:sz w:val="44"/>
          <w:szCs w:val="44"/>
        </w:rPr>
        <w:t>遂宁市船山区</w:t>
      </w:r>
      <w:r>
        <w:rPr>
          <w:rFonts w:hint="eastAsia" w:ascii="Arial" w:hAnsi="Arial" w:eastAsia="方正小标宋简体" w:cs="Arial"/>
          <w:color w:val="000000"/>
          <w:sz w:val="44"/>
          <w:szCs w:val="44"/>
        </w:rPr>
        <w:t>应急</w:t>
      </w:r>
      <w:r>
        <w:rPr>
          <w:rFonts w:ascii="Arial" w:hAnsi="Arial" w:eastAsia="方正小标宋简体" w:cs="Arial"/>
          <w:color w:val="000000"/>
          <w:sz w:val="44"/>
          <w:szCs w:val="44"/>
        </w:rPr>
        <w:t>管理局</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int="eastAsia" w:ascii="楷体" w:hAnsi="楷体" w:eastAsia="楷体" w:cs="楷体"/>
          <w:b/>
          <w:bCs/>
        </w:rPr>
      </w:pPr>
      <w:r>
        <w:rPr>
          <w:rFonts w:hint="eastAsia" w:ascii="楷体" w:hAnsi="楷体" w:eastAsia="楷体" w:cs="楷体"/>
          <w:b/>
          <w:bCs/>
        </w:rPr>
        <w:t>（</w:t>
      </w:r>
      <w:r>
        <w:rPr>
          <w:rFonts w:hint="eastAsia" w:ascii="楷体" w:hAnsi="楷体" w:eastAsia="楷体" w:cs="楷体"/>
          <w:b/>
          <w:bCs/>
          <w:lang w:val="en-US" w:eastAsia="zh-CN"/>
        </w:rPr>
        <w:t>安全生产宣传及教育培训费项目</w:t>
      </w:r>
      <w:r>
        <w:rPr>
          <w:rFonts w:hint="eastAsia" w:ascii="楷体" w:hAnsi="楷体" w:eastAsia="楷体" w:cs="楷体"/>
          <w:b/>
          <w:bCs/>
        </w:rPr>
        <w:t>）</w:t>
      </w:r>
    </w:p>
    <w:p>
      <w:pPr>
        <w:tabs>
          <w:tab w:val="left" w:pos="3885"/>
        </w:tabs>
        <w:snapToGrid w:val="0"/>
        <w:spacing w:line="600" w:lineRule="exact"/>
        <w:ind w:firstLine="421" w:firstLineChars="200"/>
        <w:jc w:val="left"/>
        <w:rPr>
          <w:rFonts w:ascii="宋体" w:hAnsi="宋体"/>
          <w:b/>
          <w:szCs w:val="21"/>
        </w:rPr>
      </w:pPr>
    </w:p>
    <w:p>
      <w:pPr>
        <w:numPr>
          <w:ilvl w:val="0"/>
          <w:numId w:val="0"/>
        </w:numPr>
        <w:tabs>
          <w:tab w:val="left" w:pos="3885"/>
        </w:tabs>
        <w:snapToGrid w:val="0"/>
        <w:spacing w:line="600" w:lineRule="exact"/>
        <w:ind w:leftChars="200"/>
        <w:jc w:val="left"/>
        <w:outlineLvl w:val="1"/>
        <w:rPr>
          <w:rFonts w:hint="eastAsia" w:ascii="黑体" w:hAnsi="宋体" w:eastAsia="黑体"/>
          <w:sz w:val="32"/>
          <w:szCs w:val="32"/>
        </w:rPr>
      </w:pPr>
      <w:bookmarkStart w:id="95" w:name="_Toc5506"/>
      <w:r>
        <w:rPr>
          <w:rFonts w:hint="eastAsia" w:ascii="黑体" w:hAnsi="宋体" w:eastAsia="黑体"/>
          <w:sz w:val="32"/>
          <w:szCs w:val="32"/>
          <w:lang w:eastAsia="zh-CN"/>
        </w:rPr>
        <w:t>一、</w:t>
      </w:r>
      <w:r>
        <w:rPr>
          <w:rFonts w:hint="eastAsia" w:ascii="黑体" w:hAnsi="宋体" w:eastAsia="黑体"/>
          <w:sz w:val="32"/>
          <w:szCs w:val="32"/>
        </w:rPr>
        <w:t>基本情况</w:t>
      </w:r>
      <w:bookmarkEnd w:id="95"/>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lang w:eastAsia="zh-CN"/>
        </w:rPr>
      </w:pPr>
      <w:r>
        <w:rPr>
          <w:rFonts w:hint="eastAsia" w:ascii="楷体_GB2312" w:hAnsi="宋体" w:eastAsia="楷体_GB2312" w:cs="Times New Roman"/>
          <w:b/>
          <w:sz w:val="32"/>
          <w:szCs w:val="32"/>
          <w:lang w:eastAsia="zh-CN"/>
        </w:rPr>
        <w:t>（一）项目</w:t>
      </w:r>
      <w:r>
        <w:rPr>
          <w:rFonts w:hint="eastAsia" w:ascii="楷体_GB2312" w:hAnsi="宋体" w:eastAsia="楷体_GB2312" w:cs="Times New Roman"/>
          <w:b/>
          <w:sz w:val="32"/>
          <w:szCs w:val="32"/>
        </w:rPr>
        <w:t>概况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根据《中共中央国务院关于推进安全生产领域改革发展意见》、《中共四川省委 四川省人民政府关于推进安全生产领域改革发展的实施意见》、《中华人民共和国安全生产法》等，全区应加强对安全生产宣传要求，切实提高全区的安全素质和人民群众的自我保护意识，建立以人为本、关注安全、关爱生命的安全文化，进一步营造加强安全生产社会舆论环境，增强全区的安全生产观念。2023年安全生产宣传及教育培训费项目投入经费10万元，并按要求设立项目绩效目标：3个1级指标、7个2级指标及13个3级指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6" w:name="_Toc29462"/>
      <w:r>
        <w:rPr>
          <w:rFonts w:hint="eastAsia" w:ascii="黑体" w:hAnsi="宋体" w:eastAsia="黑体" w:cs="Times New Roman"/>
          <w:sz w:val="32"/>
          <w:szCs w:val="32"/>
          <w:lang w:eastAsia="zh-CN"/>
        </w:rPr>
        <w:t>二、评价工作开展情况</w:t>
      </w:r>
      <w:bookmarkEnd w:id="96"/>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组织财务人员及相关业务股室分管领导、业务人员按照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lang w:eastAsia="zh-CN"/>
        </w:rPr>
      </w:pPr>
      <w:r>
        <w:rPr>
          <w:rFonts w:hint="eastAsia" w:ascii="楷体_GB2312" w:hAnsi="宋体" w:eastAsia="楷体_GB2312" w:cs="Times New Roman"/>
          <w:b/>
          <w:sz w:val="32"/>
          <w:szCs w:val="32"/>
          <w:lang w:eastAsia="zh-CN"/>
        </w:rPr>
        <w:t>（一）评价指标体系</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本次项目支出绩效评价，按照</w:t>
      </w:r>
      <w:r>
        <w:rPr>
          <w:rFonts w:hint="default" w:ascii="仿宋_GB2312" w:hAnsi="仿宋_GB2312" w:eastAsia="仿宋_GB2312" w:cs="仿宋_GB2312"/>
          <w:sz w:val="32"/>
          <w:szCs w:val="32"/>
          <w:lang w:val="en-US" w:eastAsia="zh-CN"/>
        </w:rPr>
        <w:t>区财政局</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开展部门、项目、政策支出绩效自评工作</w:t>
      </w:r>
      <w:r>
        <w:rPr>
          <w:rFonts w:hint="eastAsia" w:ascii="仿宋_GB2312" w:hAnsi="仿宋_GB2312" w:eastAsia="仿宋_GB2312" w:cs="仿宋_GB2312"/>
          <w:sz w:val="32"/>
          <w:szCs w:val="32"/>
          <w:lang w:val="en-US" w:eastAsia="zh-CN"/>
        </w:rPr>
        <w:t>要求，以及项目预算申报情况，本次项目支出绩效指标体系主要分为3个一级指标，分别为：产出指标55分、效益指标24分、满意度指标21，一级指标下各设定了若干个二级指标和三级指标及其分值，共计100分。具体见《2023年度安全生产宣传及教育培训费项目支出绩效自评表》。</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lang w:eastAsia="zh-CN"/>
        </w:rPr>
      </w:pPr>
      <w:r>
        <w:rPr>
          <w:rFonts w:hint="eastAsia" w:ascii="楷体_GB2312" w:hAnsi="宋体" w:eastAsia="楷体_GB2312" w:cs="Times New Roman"/>
          <w:b/>
          <w:sz w:val="32"/>
          <w:szCs w:val="32"/>
          <w:lang w:eastAsia="zh-CN"/>
        </w:rPr>
        <w:t>（二）评价方法</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通过核对财务账目、检查档案资料等方式，现场评价与资料评价相结合，重点查看账目，账实对照，对资金使用进行综合分析，作出总体性评价。</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lang w:eastAsia="zh-CN"/>
        </w:rPr>
      </w:pPr>
      <w:r>
        <w:rPr>
          <w:rFonts w:hint="eastAsia" w:ascii="楷体_GB2312" w:hAnsi="宋体" w:eastAsia="楷体_GB2312" w:cs="Times New Roman"/>
          <w:b/>
          <w:sz w:val="32"/>
          <w:szCs w:val="32"/>
          <w:lang w:eastAsia="zh-CN"/>
        </w:rPr>
        <w:t>（三）绩效评价标准</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绩效评价采用百分制，各级指标依据其指标权重确定分值，最终得分由各级评价指标得分加总形成。根据最终得分将评价标准分为四个等级：优（得分≥90分）；良（80分≤得分＜90分）；中（60≤得分＜80分）；差（得分＜60分）。</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7" w:name="_Toc30182"/>
      <w:r>
        <w:rPr>
          <w:rFonts w:hint="eastAsia" w:ascii="黑体" w:hAnsi="宋体" w:eastAsia="黑体" w:cs="Times New Roman"/>
          <w:sz w:val="32"/>
          <w:szCs w:val="32"/>
          <w:lang w:eastAsia="zh-CN"/>
        </w:rPr>
        <w:t>三、综合评价结论（附评分表）</w:t>
      </w:r>
      <w:bookmarkEnd w:id="97"/>
    </w:p>
    <w:tbl>
      <w:tblPr>
        <w:tblStyle w:val="13"/>
        <w:tblW w:w="8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6"/>
        <w:gridCol w:w="1204"/>
        <w:gridCol w:w="1057"/>
        <w:gridCol w:w="728"/>
        <w:gridCol w:w="1065"/>
        <w:gridCol w:w="840"/>
        <w:gridCol w:w="780"/>
        <w:gridCol w:w="885"/>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5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sz w:val="28"/>
                <w:szCs w:val="28"/>
                <w:u w:val="none"/>
                <w:lang w:eastAsia="zh-CN"/>
              </w:rPr>
              <w:t>202</w:t>
            </w:r>
            <w:r>
              <w:rPr>
                <w:rFonts w:hint="eastAsia" w:ascii="宋体" w:hAnsi="宋体" w:eastAsia="宋体" w:cs="宋体"/>
                <w:i w:val="0"/>
                <w:iCs w:val="0"/>
                <w:color w:val="auto"/>
                <w:sz w:val="28"/>
                <w:szCs w:val="28"/>
                <w:u w:val="none"/>
                <w:lang w:val="en-US" w:eastAsia="zh-CN"/>
              </w:rPr>
              <w:t>3</w:t>
            </w:r>
            <w:r>
              <w:rPr>
                <w:rFonts w:hint="eastAsia" w:ascii="宋体" w:hAnsi="宋体" w:eastAsia="宋体" w:cs="宋体"/>
                <w:i w:val="0"/>
                <w:iCs w:val="0"/>
                <w:color w:val="auto"/>
                <w:sz w:val="28"/>
                <w:szCs w:val="28"/>
                <w:u w:val="none"/>
                <w:lang w:eastAsia="zh-CN"/>
              </w:rPr>
              <w:t>年度</w:t>
            </w:r>
            <w:r>
              <w:rPr>
                <w:rFonts w:hint="eastAsia" w:ascii="宋体" w:hAnsi="宋体" w:eastAsia="宋体" w:cs="宋体"/>
                <w:i w:val="0"/>
                <w:iCs w:val="0"/>
                <w:color w:val="auto"/>
                <w:sz w:val="28"/>
                <w:szCs w:val="28"/>
                <w:u w:val="none"/>
                <w:lang w:val="en-US" w:eastAsia="zh-CN"/>
              </w:rPr>
              <w:t>安全生产宣传及教育培训费</w:t>
            </w:r>
            <w:r>
              <w:rPr>
                <w:rFonts w:hint="eastAsia" w:ascii="宋体" w:hAnsi="宋体" w:eastAsia="宋体" w:cs="宋体"/>
                <w:i w:val="0"/>
                <w:iCs w:val="0"/>
                <w:color w:val="auto"/>
                <w:sz w:val="28"/>
                <w:szCs w:val="28"/>
                <w:u w:val="none"/>
                <w:lang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一级指标</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二级指标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三级指标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指标性质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度量单位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指标分值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0"/>
                <w:sz w:val="22"/>
                <w:szCs w:val="22"/>
                <w:u w:val="none"/>
                <w:lang w:val="en-US" w:eastAsia="zh-CN" w:bidi="ar"/>
              </w:rPr>
              <w:t>自评得分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2"/>
                <w:sz w:val="22"/>
                <w:szCs w:val="22"/>
                <w:u w:val="none"/>
                <w:lang w:val="en-US" w:eastAsia="zh-CN" w:bidi="ar-SA"/>
              </w:rPr>
            </w:pPr>
            <w:r>
              <w:rPr>
                <w:rFonts w:hint="eastAsia" w:ascii="黑体" w:hAnsi="黑体" w:eastAsia="黑体" w:cs="黑体"/>
                <w:i w:val="0"/>
                <w:iCs w:val="0"/>
                <w:color w:val="000000"/>
                <w:kern w:val="2"/>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产出指标</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质量指标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培训参与率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质量指标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宣传活动参与率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成本指标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项目总成本</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数量指标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培训次数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数量指标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安全教育培训数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数量指标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宣传次数</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时效指标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项目完成及时率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时效指标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资料印制及时率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效益指标</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可持续发展指标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内控制度健全性</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定性</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社会效益指标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宣传内容群众知晓率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社会效益指标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培训内容参训人员知晓率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满意度指标</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服务对象满意度指标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受益群众满意率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07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服务对象满意度指标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受益企业满意率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2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按照评价方法、评价指标及标准，我局认真进行安全生产宣传及教育培训费项目支出绩效自评，自评得分为98分，自我评价结果为“优”。</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eastAsia="zh-CN"/>
        </w:rPr>
      </w:pPr>
      <w:bookmarkStart w:id="98" w:name="_Toc6464"/>
      <w:r>
        <w:rPr>
          <w:rFonts w:hint="eastAsia" w:ascii="黑体" w:hAnsi="宋体" w:eastAsia="黑体" w:cs="Times New Roman"/>
          <w:sz w:val="32"/>
          <w:szCs w:val="32"/>
          <w:lang w:eastAsia="zh-CN"/>
        </w:rPr>
        <w:t>四、绩效评价分析</w:t>
      </w:r>
      <w:bookmarkEnd w:id="98"/>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b/>
          <w:sz w:val="32"/>
          <w:szCs w:val="32"/>
        </w:rPr>
      </w:pPr>
      <w:r>
        <w:rPr>
          <w:rFonts w:hint="eastAsia" w:ascii="楷体_GB2312" w:hAnsi="宋体" w:eastAsia="楷体_GB2312"/>
          <w:b/>
          <w:sz w:val="32"/>
          <w:szCs w:val="32"/>
        </w:rPr>
        <w:t>（一）项目决策情况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从评价情况来看，安全生产宣传及教育培训费项目立项依据基本充分，设定了项目绩效目标，对资金配置方面均有明确的测算依据，整体情况良好。</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（二）项目管理情况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按照局财经制度，严格控制项目经费的开支，各项支出附件齐全，不存在项目资金交叉使用等不合规情况。</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（三）项目产出情况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从项目产出评价情况来看，基本完成各项产出目标，较好完成了我局部门工作职能。</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eastAsia" w:ascii="楷体_GB2312" w:hAnsi="宋体" w:eastAsia="楷体_GB2312" w:cs="Times New Roman"/>
          <w:b/>
          <w:sz w:val="32"/>
          <w:szCs w:val="32"/>
        </w:rPr>
      </w:pPr>
      <w:r>
        <w:rPr>
          <w:rFonts w:hint="eastAsia" w:ascii="楷体_GB2312" w:hAnsi="宋体" w:eastAsia="楷体_GB2312" w:cs="Times New Roman"/>
          <w:b/>
          <w:sz w:val="32"/>
          <w:szCs w:val="32"/>
        </w:rPr>
        <w:t>（四）项目效益情况。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有序推进，基本完成，实现了预期目标。通过该项目的实施，确保了船山区安全生产、应急管理、防灾减灾等工作的稳步推进，全区连续16年未发生较大以上生产安全事故，安全生产形势持续稳定向好，为全区实现经济社会发展提供了强有力的安全保障，达到了预期目标。</w:t>
      </w:r>
    </w:p>
    <w:p>
      <w:pPr>
        <w:numPr>
          <w:ilvl w:val="0"/>
          <w:numId w:val="0"/>
        </w:numPr>
        <w:tabs>
          <w:tab w:val="left" w:pos="3885"/>
        </w:tabs>
        <w:snapToGrid w:val="0"/>
        <w:spacing w:line="600" w:lineRule="exact"/>
        <w:ind w:leftChars="200"/>
        <w:jc w:val="left"/>
        <w:outlineLvl w:val="1"/>
        <w:rPr>
          <w:rFonts w:hint="eastAsia" w:ascii="黑体" w:hAnsi="宋体" w:eastAsia="黑体" w:cs="Times New Roman"/>
          <w:sz w:val="32"/>
          <w:szCs w:val="32"/>
          <w:lang w:val="en-US" w:eastAsia="zh-CN"/>
        </w:rPr>
      </w:pPr>
      <w:bookmarkStart w:id="99" w:name="_Toc28805"/>
      <w:r>
        <w:rPr>
          <w:rFonts w:hint="eastAsia" w:ascii="黑体" w:hAnsi="宋体" w:eastAsia="黑体" w:cs="Times New Roman"/>
          <w:sz w:val="32"/>
          <w:szCs w:val="32"/>
          <w:lang w:eastAsia="zh-CN"/>
        </w:rPr>
        <w:t>五、下步工作计划</w:t>
      </w:r>
      <w:bookmarkEnd w:id="99"/>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小标宋简体" w:hAnsi="方正小标宋简体" w:eastAsia="方正小标宋简体" w:cs="方正小标宋简体"/>
          <w:color w:val="auto"/>
          <w:kern w:val="2"/>
          <w:sz w:val="44"/>
          <w:szCs w:val="44"/>
          <w:highlight w:val="none"/>
          <w:lang w:val="en-US" w:eastAsia="zh-CN"/>
        </w:rPr>
        <w:sectPr>
          <w:pgSz w:w="11906" w:h="16838"/>
          <w:pgMar w:top="1440" w:right="1800" w:bottom="1440" w:left="1800" w:header="720" w:footer="720" w:gutter="0"/>
          <w:cols w:space="720" w:num="1"/>
          <w:docGrid w:type="lines" w:linePitch="312" w:charSpace="0"/>
        </w:sectPr>
      </w:pPr>
      <w:r>
        <w:rPr>
          <w:rFonts w:hint="eastAsia" w:ascii="仿宋_GB2312" w:hAnsi="仿宋_GB2312" w:eastAsia="仿宋_GB2312" w:cs="仿宋_GB2312"/>
          <w:sz w:val="32"/>
          <w:szCs w:val="32"/>
          <w:lang w:val="en-US" w:eastAsia="zh-CN"/>
        </w:rPr>
        <w:t>加强单位预算编制工作，根据人员情况、业务开展需要，加大业务股室参与预算编制的积极性，学习如何科学合理制定绩效目标及考核体系，充分发挥绩效工作效用。进一步提高绩效管理水平，减少预算科目调整、追加预算</w:t>
      </w:r>
      <w:r>
        <w:rPr>
          <w:rFonts w:hint="eastAsia" w:hAnsi="仿宋" w:cs="仿宋"/>
          <w:sz w:val="32"/>
          <w:szCs w:val="32"/>
          <w:lang w:val="en-US" w:eastAsia="zh-CN"/>
        </w:rPr>
        <w:t>等现象。</w:t>
      </w:r>
    </w:p>
    <w:p>
      <w:pPr>
        <w:widowControl/>
        <w:jc w:val="center"/>
        <w:outlineLvl w:val="0"/>
        <w:rPr>
          <w:rFonts w:hint="eastAsia" w:ascii="仿宋" w:hAnsi="仿宋" w:eastAsia="仿宋"/>
          <w:b w:val="0"/>
          <w:color w:val="auto"/>
          <w:highlight w:val="none"/>
        </w:rPr>
      </w:pPr>
      <w:bookmarkStart w:id="100" w:name="_Toc15396618"/>
      <w:bookmarkStart w:id="101" w:name="_Toc6316"/>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66"/>
      <w:bookmarkEnd w:id="100"/>
      <w:bookmarkEnd w:id="101"/>
      <w:bookmarkStart w:id="102" w:name="_Toc15396619"/>
    </w:p>
    <w:p>
      <w:pPr>
        <w:pStyle w:val="4"/>
        <w:rPr>
          <w:rFonts w:ascii="仿宋" w:hAnsi="仿宋" w:eastAsia="仿宋"/>
          <w:color w:val="auto"/>
          <w:highlight w:val="none"/>
        </w:rPr>
      </w:pPr>
      <w:bookmarkStart w:id="103" w:name="_Toc136"/>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102"/>
      <w:bookmarkEnd w:id="103"/>
    </w:p>
    <w:p>
      <w:pPr>
        <w:pStyle w:val="4"/>
        <w:rPr>
          <w:rFonts w:ascii="仿宋" w:hAnsi="仿宋" w:eastAsia="仿宋"/>
          <w:color w:val="auto"/>
          <w:highlight w:val="none"/>
        </w:rPr>
      </w:pPr>
      <w:bookmarkStart w:id="104" w:name="_Toc10608"/>
      <w:bookmarkStart w:id="105"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104"/>
      <w:bookmarkEnd w:id="105"/>
    </w:p>
    <w:p>
      <w:pPr>
        <w:pStyle w:val="4"/>
        <w:rPr>
          <w:rFonts w:ascii="仿宋" w:hAnsi="仿宋" w:eastAsia="仿宋"/>
          <w:color w:val="auto"/>
          <w:highlight w:val="none"/>
        </w:rPr>
      </w:pPr>
      <w:bookmarkStart w:id="106" w:name="_Toc15396621"/>
      <w:bookmarkStart w:id="107" w:name="_Toc18678"/>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106"/>
      <w:bookmarkEnd w:id="107"/>
    </w:p>
    <w:p>
      <w:pPr>
        <w:pStyle w:val="4"/>
        <w:rPr>
          <w:rFonts w:ascii="仿宋" w:hAnsi="仿宋" w:eastAsia="仿宋"/>
          <w:b w:val="0"/>
          <w:color w:val="auto"/>
          <w:highlight w:val="none"/>
        </w:rPr>
      </w:pPr>
      <w:bookmarkStart w:id="108" w:name="_Toc15396622"/>
      <w:bookmarkStart w:id="109" w:name="_Toc1039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108"/>
      <w:bookmarkEnd w:id="109"/>
    </w:p>
    <w:p>
      <w:pPr>
        <w:pStyle w:val="4"/>
        <w:rPr>
          <w:rStyle w:val="18"/>
          <w:rFonts w:ascii="仿宋" w:hAnsi="仿宋" w:eastAsia="仿宋"/>
          <w:b w:val="0"/>
          <w:bCs w:val="0"/>
          <w:color w:val="auto"/>
          <w:highlight w:val="none"/>
        </w:rPr>
      </w:pPr>
      <w:bookmarkStart w:id="110" w:name="_Toc15396623"/>
      <w:bookmarkStart w:id="111" w:name="_Toc26691"/>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110"/>
      <w:bookmarkEnd w:id="111"/>
      <w:bookmarkStart w:id="112" w:name="_Toc15396624"/>
    </w:p>
    <w:p>
      <w:pPr>
        <w:pStyle w:val="4"/>
        <w:rPr>
          <w:rFonts w:ascii="仿宋" w:hAnsi="仿宋" w:eastAsia="仿宋"/>
          <w:color w:val="auto"/>
          <w:highlight w:val="none"/>
        </w:rPr>
      </w:pPr>
      <w:bookmarkStart w:id="113" w:name="_Toc507"/>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112"/>
      <w:bookmarkEnd w:id="113"/>
    </w:p>
    <w:p>
      <w:pPr>
        <w:pStyle w:val="4"/>
        <w:rPr>
          <w:rFonts w:ascii="仿宋" w:hAnsi="仿宋" w:eastAsia="仿宋"/>
          <w:color w:val="auto"/>
          <w:highlight w:val="none"/>
        </w:rPr>
      </w:pPr>
      <w:bookmarkStart w:id="114" w:name="_Toc15396625"/>
      <w:bookmarkStart w:id="115" w:name="_Toc3417"/>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114"/>
      <w:bookmarkEnd w:id="115"/>
    </w:p>
    <w:p>
      <w:pPr>
        <w:pStyle w:val="4"/>
        <w:rPr>
          <w:rFonts w:ascii="仿宋" w:hAnsi="仿宋" w:eastAsia="仿宋"/>
          <w:color w:val="auto"/>
          <w:highlight w:val="none"/>
        </w:rPr>
      </w:pPr>
      <w:bookmarkStart w:id="116" w:name="_Toc31134"/>
      <w:bookmarkStart w:id="117" w:name="_Toc15396626"/>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116"/>
      <w:bookmarkEnd w:id="117"/>
    </w:p>
    <w:p>
      <w:pPr>
        <w:pStyle w:val="4"/>
        <w:rPr>
          <w:rFonts w:ascii="仿宋" w:hAnsi="仿宋" w:eastAsia="仿宋"/>
          <w:color w:val="auto"/>
          <w:highlight w:val="none"/>
        </w:rPr>
      </w:pPr>
      <w:bookmarkStart w:id="118" w:name="_Toc15396627"/>
      <w:bookmarkStart w:id="119" w:name="_Toc480"/>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118"/>
      <w:bookmarkEnd w:id="119"/>
    </w:p>
    <w:p>
      <w:pPr>
        <w:pStyle w:val="4"/>
        <w:rPr>
          <w:rFonts w:ascii="仿宋" w:hAnsi="仿宋" w:eastAsia="仿宋"/>
          <w:color w:val="auto"/>
          <w:highlight w:val="none"/>
        </w:rPr>
      </w:pPr>
      <w:bookmarkStart w:id="120" w:name="_Toc15396628"/>
      <w:bookmarkStart w:id="121" w:name="_Toc22877"/>
      <w:r>
        <w:rPr>
          <w:rStyle w:val="18"/>
          <w:rFonts w:hint="eastAsia" w:ascii="仿宋" w:hAnsi="仿宋" w:eastAsia="仿宋"/>
          <w:b w:val="0"/>
          <w:bCs w:val="0"/>
          <w:color w:val="auto"/>
          <w:highlight w:val="none"/>
        </w:rPr>
        <w:t>十、</w:t>
      </w:r>
      <w:bookmarkEnd w:id="120"/>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bookmarkEnd w:id="121"/>
    </w:p>
    <w:p>
      <w:pPr>
        <w:pStyle w:val="4"/>
        <w:rPr>
          <w:rFonts w:ascii="仿宋" w:hAnsi="仿宋" w:eastAsia="仿宋"/>
          <w:color w:val="auto"/>
          <w:highlight w:val="none"/>
        </w:rPr>
      </w:pPr>
      <w:bookmarkStart w:id="122" w:name="_Toc15396629"/>
      <w:bookmarkStart w:id="123" w:name="_Toc15310"/>
      <w:r>
        <w:rPr>
          <w:rStyle w:val="18"/>
          <w:rFonts w:hint="eastAsia" w:ascii="仿宋" w:hAnsi="仿宋" w:eastAsia="仿宋"/>
          <w:b w:val="0"/>
          <w:bCs w:val="0"/>
          <w:color w:val="auto"/>
          <w:highlight w:val="none"/>
        </w:rPr>
        <w:t>十一、</w:t>
      </w:r>
      <w:bookmarkEnd w:id="122"/>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bookmarkEnd w:id="123"/>
    </w:p>
    <w:p>
      <w:pPr>
        <w:pStyle w:val="4"/>
        <w:rPr>
          <w:rFonts w:ascii="仿宋" w:hAnsi="仿宋" w:eastAsia="仿宋"/>
          <w:color w:val="auto"/>
          <w:highlight w:val="none"/>
        </w:rPr>
      </w:pPr>
      <w:bookmarkStart w:id="124" w:name="_Toc15396630"/>
      <w:bookmarkStart w:id="125" w:name="_Toc27825"/>
      <w:r>
        <w:rPr>
          <w:rStyle w:val="18"/>
          <w:rFonts w:hint="eastAsia" w:ascii="仿宋" w:hAnsi="仿宋" w:eastAsia="仿宋"/>
          <w:b w:val="0"/>
          <w:bCs w:val="0"/>
          <w:color w:val="auto"/>
          <w:highlight w:val="none"/>
        </w:rPr>
        <w:t>十二、</w:t>
      </w:r>
      <w:bookmarkEnd w:id="124"/>
      <w:r>
        <w:rPr>
          <w:rStyle w:val="18"/>
          <w:rFonts w:hint="eastAsia" w:ascii="仿宋" w:hAnsi="仿宋" w:eastAsia="仿宋"/>
          <w:b w:val="0"/>
          <w:bCs w:val="0"/>
          <w:color w:val="auto"/>
          <w:highlight w:val="none"/>
          <w:lang w:eastAsia="zh-CN"/>
        </w:rPr>
        <w:t>国有资本经营预算财政拨款支出决算表</w:t>
      </w:r>
      <w:bookmarkEnd w:id="125"/>
    </w:p>
    <w:p>
      <w:pPr>
        <w:pStyle w:val="4"/>
        <w:rPr>
          <w:rStyle w:val="18"/>
          <w:rFonts w:hint="eastAsia" w:ascii="仿宋" w:hAnsi="仿宋" w:eastAsia="仿宋"/>
          <w:b w:val="0"/>
          <w:bCs w:val="0"/>
          <w:color w:val="auto"/>
          <w:highlight w:val="none"/>
          <w:lang w:eastAsia="zh-CN"/>
        </w:rPr>
      </w:pPr>
      <w:bookmarkStart w:id="126" w:name="_Toc15396631"/>
      <w:bookmarkStart w:id="127" w:name="_Toc22672"/>
      <w:r>
        <w:rPr>
          <w:rStyle w:val="18"/>
          <w:rFonts w:hint="eastAsia" w:ascii="仿宋" w:hAnsi="仿宋" w:eastAsia="仿宋"/>
          <w:b w:val="0"/>
          <w:bCs w:val="0"/>
          <w:color w:val="auto"/>
          <w:highlight w:val="none"/>
        </w:rPr>
        <w:t>十三、</w:t>
      </w:r>
      <w:bookmarkEnd w:id="126"/>
      <w:r>
        <w:rPr>
          <w:rStyle w:val="18"/>
          <w:rFonts w:hint="eastAsia" w:ascii="仿宋" w:hAnsi="仿宋" w:eastAsia="仿宋"/>
          <w:b w:val="0"/>
          <w:bCs w:val="0"/>
          <w:color w:val="auto"/>
          <w:highlight w:val="none"/>
          <w:lang w:eastAsia="zh-CN"/>
        </w:rPr>
        <w:t>财政拨款“三公”经费支出决算表</w:t>
      </w:r>
      <w:bookmarkEnd w:id="127"/>
    </w:p>
    <w:p/>
    <w:p>
      <w:pPr>
        <w:rPr>
          <w:rFonts w:hint="eastAsia" w:eastAsiaTheme="minorEastAsia"/>
          <w:lang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8"/>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550BA5C"/>
    <w:multiLevelType w:val="singleLevel"/>
    <w:tmpl w:val="0550BA5C"/>
    <w:lvl w:ilvl="0" w:tentative="0">
      <w:start w:val="1"/>
      <w:numFmt w:val="decimal"/>
      <w:suff w:val="nothing"/>
      <w:lvlText w:val="%1．"/>
      <w:lvlJc w:val="left"/>
      <w:pPr>
        <w:ind w:left="0" w:firstLine="400"/>
      </w:pPr>
      <w:rPr>
        <w:rFonts w:hint="default"/>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64A595"/>
    <w:multiLevelType w:val="singleLevel"/>
    <w:tmpl w:val="3064A595"/>
    <w:lvl w:ilvl="0" w:tentative="0">
      <w:start w:val="1"/>
      <w:numFmt w:val="chineseCounting"/>
      <w:suff w:val="nothing"/>
      <w:lvlText w:val="%1、"/>
      <w:lvlJc w:val="left"/>
      <w:pPr>
        <w:ind w:left="410"/>
      </w:pPr>
      <w:rPr>
        <w:rFonts w:hint="eastAsia"/>
      </w:rPr>
    </w:lvl>
  </w:abstractNum>
  <w:abstractNum w:abstractNumId="5">
    <w:nsid w:val="61CC6DDC"/>
    <w:multiLevelType w:val="singleLevel"/>
    <w:tmpl w:val="61CC6DDC"/>
    <w:lvl w:ilvl="0" w:tentative="0">
      <w:start w:val="1"/>
      <w:numFmt w:val="chineseCounting"/>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A5F7816"/>
    <w:rsid w:val="00024613"/>
    <w:rsid w:val="042E7145"/>
    <w:rsid w:val="0EA578A0"/>
    <w:rsid w:val="158B0A39"/>
    <w:rsid w:val="19D016BB"/>
    <w:rsid w:val="2EC24679"/>
    <w:rsid w:val="34916629"/>
    <w:rsid w:val="35495050"/>
    <w:rsid w:val="389F331D"/>
    <w:rsid w:val="40386BFC"/>
    <w:rsid w:val="41844094"/>
    <w:rsid w:val="5A5F7816"/>
    <w:rsid w:val="5D073A55"/>
    <w:rsid w:val="5D782DD0"/>
    <w:rsid w:val="5FC46354"/>
    <w:rsid w:val="69BC1606"/>
    <w:rsid w:val="69BE3020"/>
    <w:rsid w:val="6C3F49FA"/>
    <w:rsid w:val="FFF9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Calibri" w:hAnsi="Calibri" w:eastAsia="Times New Roman" w:cs="Times New Roman"/>
      <w:sz w:val="32"/>
      <w:szCs w:val="32"/>
    </w:rPr>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7"/>
    <w:semiHidden/>
    <w:qFormat/>
    <w:uiPriority w:val="0"/>
    <w:pPr>
      <w:snapToGrid w:val="0"/>
      <w:jc w:val="left"/>
    </w:pPr>
    <w:rPr>
      <w:sz w:val="18"/>
      <w:szCs w:val="1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Cambria" w:hAnsi="Cambria" w:eastAsia="宋体" w:cs="Times New Roman"/>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图表目录1"/>
    <w:basedOn w:val="23"/>
    <w:next w:val="1"/>
    <w:qFormat/>
    <w:uiPriority w:val="0"/>
    <w:pPr>
      <w:ind w:left="200" w:leftChars="200" w:hanging="200" w:hangingChars="200"/>
    </w:pPr>
    <w:rPr>
      <w:rFonts w:eastAsia="仿宋_GB2312"/>
      <w:sz w:val="32"/>
      <w:szCs w:val="24"/>
    </w:rPr>
  </w:style>
  <w:style w:type="paragraph" w:customStyle="1" w:styleId="23">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24">
    <w:name w:val="章标题"/>
    <w:basedOn w:val="1"/>
    <w:next w:val="25"/>
    <w:qFormat/>
    <w:uiPriority w:val="99"/>
    <w:pPr>
      <w:widowControl/>
      <w:spacing w:before="158" w:after="153" w:line="323" w:lineRule="atLeast"/>
      <w:ind w:right="-120"/>
      <w:jc w:val="center"/>
      <w:textAlignment w:val="baseline"/>
    </w:pPr>
    <w:rPr>
      <w:color w:val="FF0000"/>
      <w:sz w:val="18"/>
    </w:rPr>
  </w:style>
  <w:style w:type="paragraph" w:customStyle="1" w:styleId="25">
    <w:name w:val="节标题"/>
    <w:basedOn w:val="1"/>
    <w:next w:val="1"/>
    <w:qFormat/>
    <w:uiPriority w:val="99"/>
    <w:pPr>
      <w:widowControl/>
      <w:spacing w:line="289" w:lineRule="atLeast"/>
      <w:jc w:val="center"/>
      <w:textAlignment w:val="baseline"/>
    </w:pPr>
    <w:rPr>
      <w:color w:val="000000"/>
      <w:sz w:val="28"/>
    </w:rPr>
  </w:style>
  <w:style w:type="character" w:customStyle="1" w:styleId="26">
    <w:name w:val="font31"/>
    <w:basedOn w:val="14"/>
    <w:qFormat/>
    <w:uiPriority w:val="0"/>
    <w:rPr>
      <w:rFonts w:hint="eastAsia" w:ascii="宋体" w:hAnsi="宋体" w:eastAsia="宋体" w:cs="宋体"/>
      <w:color w:val="000000"/>
      <w:sz w:val="18"/>
      <w:szCs w:val="18"/>
      <w:u w:val="none"/>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24200</Words>
  <Characters>26217</Characters>
  <Lines>0</Lines>
  <Paragraphs>0</Paragraphs>
  <TotalTime>32</TotalTime>
  <ScaleCrop>false</ScaleCrop>
  <LinksUpToDate>false</LinksUpToDate>
  <CharactersWithSpaces>26837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2024-09-09T10:02:00Z</dcterms:created>
  <dc:creator>魏..</dc:creator>
  <cp:lastModifiedBy>csak</cp:lastModifiedBy>
  <dcterms:modified xsi:type="dcterms:W3CDTF">2024-12-19T15:49:39Z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8327DAF2CAB4F57913D06367D768ED2B</vt:lpwstr>
  </property>
</Properties>
</file>