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A91A32">
      <w:pPr>
        <w:keepNext w:val="0"/>
        <w:keepLines w:val="0"/>
        <w:pageBreakBefore w:val="0"/>
        <w:widowControl w:val="0"/>
        <w:kinsoku/>
        <w:wordWrap/>
        <w:overflowPunct/>
        <w:topLinePunct w:val="0"/>
        <w:autoSpaceDE/>
        <w:autoSpaceDN/>
        <w:bidi w:val="0"/>
        <w:adjustRightInd w:val="0"/>
        <w:snapToGrid w:val="0"/>
        <w:spacing w:before="2809" w:beforeLines="900" w:line="240" w:lineRule="auto"/>
        <w:ind w:firstLine="0" w:firstLineChars="0"/>
        <w:jc w:val="center"/>
        <w:textAlignment w:val="auto"/>
        <w:outlineLvl w:val="9"/>
        <w:rPr>
          <w:rStyle w:val="17"/>
          <w:rFonts w:hint="eastAsia"/>
          <w:b/>
          <w:bCs/>
          <w:sz w:val="72"/>
        </w:rPr>
      </w:pPr>
      <w:bookmarkStart w:id="0" w:name="_Toc25043"/>
      <w:r>
        <w:rPr>
          <w:rStyle w:val="17"/>
          <w:rFonts w:hint="eastAsia"/>
          <w:b/>
          <w:bCs/>
          <w:sz w:val="72"/>
        </w:rPr>
        <w:t>建设项目环境影响报告表</w:t>
      </w:r>
      <w:bookmarkEnd w:id="0"/>
    </w:p>
    <w:p w14:paraId="09AA8092">
      <w:pPr>
        <w:keepNext w:val="0"/>
        <w:keepLines w:val="0"/>
        <w:pageBreakBefore w:val="0"/>
        <w:widowControl w:val="0"/>
        <w:kinsoku/>
        <w:wordWrap/>
        <w:overflowPunct/>
        <w:topLinePunct w:val="0"/>
        <w:autoSpaceDE/>
        <w:autoSpaceDN/>
        <w:bidi w:val="0"/>
        <w:adjustRightInd w:val="0"/>
        <w:snapToGrid w:val="0"/>
        <w:spacing w:before="192" w:beforeLines="80" w:line="240" w:lineRule="auto"/>
        <w:ind w:firstLine="0" w:firstLineChars="0"/>
        <w:jc w:val="center"/>
        <w:textAlignment w:val="auto"/>
        <w:outlineLvl w:val="9"/>
        <w:rPr>
          <w:rStyle w:val="17"/>
          <w:rFonts w:hint="eastAsia"/>
          <w:b/>
          <w:bCs/>
          <w:sz w:val="48"/>
          <w:szCs w:val="48"/>
        </w:rPr>
      </w:pPr>
      <w:r>
        <w:rPr>
          <w:rStyle w:val="17"/>
          <w:rFonts w:hint="eastAsia"/>
          <w:b/>
          <w:bCs/>
          <w:sz w:val="48"/>
          <w:szCs w:val="48"/>
        </w:rPr>
        <w:t>（污染影响类）</w:t>
      </w:r>
    </w:p>
    <w:p w14:paraId="3791093A">
      <w:pPr>
        <w:keepNext w:val="0"/>
        <w:keepLines w:val="0"/>
        <w:pageBreakBefore w:val="0"/>
        <w:widowControl w:val="0"/>
        <w:kinsoku/>
        <w:wordWrap/>
        <w:overflowPunct/>
        <w:topLinePunct w:val="0"/>
        <w:autoSpaceDE/>
        <w:autoSpaceDN/>
        <w:bidi w:val="0"/>
        <w:adjustRightInd w:val="0"/>
        <w:snapToGrid w:val="0"/>
        <w:spacing w:before="192" w:beforeLines="80" w:line="240" w:lineRule="auto"/>
        <w:ind w:firstLine="0" w:firstLineChars="0"/>
        <w:jc w:val="center"/>
        <w:textAlignment w:val="auto"/>
        <w:outlineLvl w:val="9"/>
        <w:rPr>
          <w:rStyle w:val="17"/>
          <w:rFonts w:hint="eastAsia"/>
          <w:b/>
          <w:bCs/>
          <w:sz w:val="48"/>
          <w:szCs w:val="48"/>
        </w:rPr>
      </w:pPr>
      <w:r>
        <w:rPr>
          <w:rStyle w:val="17"/>
          <w:rFonts w:hint="eastAsia"/>
          <w:b/>
          <w:bCs/>
          <w:sz w:val="48"/>
          <w:szCs w:val="48"/>
        </w:rPr>
        <w:t>（送审本）</w:t>
      </w:r>
    </w:p>
    <w:p w14:paraId="7E8EDAD8">
      <w:pPr>
        <w:keepNext w:val="0"/>
        <w:keepLines w:val="0"/>
        <w:pageBreakBefore w:val="0"/>
        <w:widowControl w:val="0"/>
        <w:kinsoku/>
        <w:wordWrap/>
        <w:overflowPunct/>
        <w:topLinePunct w:val="0"/>
        <w:autoSpaceDE/>
        <w:autoSpaceDN/>
        <w:bidi w:val="0"/>
        <w:adjustRightInd w:val="0"/>
        <w:snapToGrid w:val="0"/>
        <w:spacing w:before="3121" w:beforeLines="1000" w:line="480" w:lineRule="auto"/>
        <w:ind w:left="0" w:leftChars="0" w:firstLine="1440" w:firstLineChars="600"/>
        <w:jc w:val="both"/>
        <w:textAlignment w:val="auto"/>
        <w:outlineLvl w:val="9"/>
        <w:rPr>
          <w:rStyle w:val="17"/>
          <w:rFonts w:hint="default"/>
          <w:lang w:eastAsia="zh-CN"/>
        </w:rPr>
      </w:pPr>
      <w:r>
        <w:rPr>
          <w:rStyle w:val="17"/>
          <w:rFonts w:hint="eastAsia"/>
        </w:rPr>
        <w:t>项目名称：</w:t>
      </w:r>
      <w:r>
        <w:rPr>
          <w:rStyle w:val="17"/>
          <w:rFonts w:hint="eastAsia"/>
          <w:u w:val="single"/>
          <w:lang w:val="en-US" w:eastAsia="zh-CN"/>
        </w:rPr>
        <w:t xml:space="preserve">  </w:t>
      </w:r>
      <w:r>
        <w:rPr>
          <w:rStyle w:val="17"/>
          <w:rFonts w:hint="eastAsia"/>
          <w:u w:val="single"/>
        </w:rPr>
        <w:t>遂宁</w:t>
      </w:r>
      <w:r>
        <w:rPr>
          <w:rStyle w:val="17"/>
          <w:rFonts w:hint="eastAsia"/>
          <w:u w:val="single"/>
          <w:lang w:val="en-US" w:eastAsia="zh-CN"/>
        </w:rPr>
        <w:t>市</w:t>
      </w:r>
      <w:r>
        <w:rPr>
          <w:rStyle w:val="17"/>
          <w:rFonts w:hint="eastAsia"/>
          <w:u w:val="single"/>
        </w:rPr>
        <w:t>益民医院</w:t>
      </w:r>
      <w:r>
        <w:rPr>
          <w:rStyle w:val="17"/>
          <w:rFonts w:hint="eastAsia"/>
          <w:u w:val="single"/>
          <w:lang w:val="en-US" w:eastAsia="zh-CN"/>
        </w:rPr>
        <w:t>综合楼（门诊、住院）</w:t>
      </w:r>
    </w:p>
    <w:p w14:paraId="7E4A9E32">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1440" w:firstLineChars="600"/>
        <w:jc w:val="both"/>
        <w:textAlignment w:val="auto"/>
        <w:outlineLvl w:val="9"/>
        <w:rPr>
          <w:rStyle w:val="17"/>
          <w:rFonts w:hint="default"/>
          <w:u w:val="single"/>
          <w:lang w:val="en-US" w:eastAsia="zh-CN"/>
        </w:rPr>
      </w:pPr>
      <w:r>
        <w:rPr>
          <w:rStyle w:val="17"/>
          <w:rFonts w:hint="eastAsia"/>
        </w:rPr>
        <w:t>建设单位（盖章）：</w:t>
      </w:r>
      <w:r>
        <w:rPr>
          <w:rStyle w:val="17"/>
          <w:rFonts w:hint="eastAsia"/>
          <w:u w:val="single"/>
        </w:rPr>
        <w:t xml:space="preserve">     遂宁益民医院         </w:t>
      </w:r>
      <w:r>
        <w:rPr>
          <w:rStyle w:val="17"/>
          <w:rFonts w:hint="eastAsia"/>
          <w:u w:val="single"/>
          <w:lang w:val="en-US" w:eastAsia="zh-CN"/>
        </w:rPr>
        <w:t xml:space="preserve">  </w:t>
      </w:r>
    </w:p>
    <w:p w14:paraId="5B3BB11C">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1440" w:firstLineChars="600"/>
        <w:jc w:val="both"/>
        <w:textAlignment w:val="auto"/>
        <w:outlineLvl w:val="9"/>
        <w:rPr>
          <w:rStyle w:val="17"/>
          <w:rFonts w:hint="eastAsia"/>
        </w:rPr>
      </w:pPr>
      <w:r>
        <w:rPr>
          <w:rStyle w:val="17"/>
          <w:rFonts w:hint="eastAsia"/>
        </w:rPr>
        <w:t>编制日期：</w:t>
      </w:r>
      <w:r>
        <w:rPr>
          <w:rStyle w:val="17"/>
          <w:rFonts w:hint="eastAsia"/>
          <w:u w:val="single"/>
        </w:rPr>
        <w:t xml:space="preserve"> </w:t>
      </w:r>
      <w:r>
        <w:rPr>
          <w:rStyle w:val="17"/>
          <w:u w:val="single"/>
        </w:rPr>
        <w:t xml:space="preserve">    </w:t>
      </w:r>
      <w:r>
        <w:rPr>
          <w:rStyle w:val="17"/>
          <w:rFonts w:hint="eastAsia"/>
          <w:u w:val="single"/>
        </w:rPr>
        <w:t xml:space="preserve">      202</w:t>
      </w:r>
      <w:r>
        <w:rPr>
          <w:rStyle w:val="17"/>
          <w:u w:val="single"/>
        </w:rPr>
        <w:t>4</w:t>
      </w:r>
      <w:r>
        <w:rPr>
          <w:rStyle w:val="17"/>
          <w:rFonts w:hint="eastAsia"/>
          <w:u w:val="single"/>
        </w:rPr>
        <w:t>年</w:t>
      </w:r>
      <w:r>
        <w:rPr>
          <w:rStyle w:val="17"/>
          <w:rFonts w:hint="eastAsia"/>
          <w:u w:val="single"/>
          <w:lang w:val="en-US" w:eastAsia="zh-CN"/>
        </w:rPr>
        <w:t>12</w:t>
      </w:r>
      <w:r>
        <w:rPr>
          <w:rStyle w:val="17"/>
          <w:rFonts w:hint="eastAsia"/>
          <w:u w:val="single"/>
        </w:rPr>
        <w:t>月</w:t>
      </w:r>
      <w:r>
        <w:rPr>
          <w:rStyle w:val="17"/>
          <w:u w:val="single"/>
        </w:rPr>
        <w:t xml:space="preserve">   </w:t>
      </w:r>
      <w:r>
        <w:rPr>
          <w:rStyle w:val="17"/>
          <w:rFonts w:hint="eastAsia"/>
          <w:u w:val="single"/>
        </w:rPr>
        <w:t xml:space="preserve">    </w:t>
      </w:r>
      <w:r>
        <w:rPr>
          <w:rStyle w:val="17"/>
          <w:u w:val="single"/>
        </w:rPr>
        <w:t xml:space="preserve">    </w:t>
      </w:r>
      <w:r>
        <w:rPr>
          <w:rStyle w:val="17"/>
          <w:rFonts w:hint="eastAsia"/>
          <w:u w:val="single"/>
          <w:lang w:val="en-US" w:eastAsia="zh-CN"/>
        </w:rPr>
        <w:t xml:space="preserve"> </w:t>
      </w:r>
      <w:r>
        <w:rPr>
          <w:rStyle w:val="17"/>
          <w:rFonts w:hint="eastAsia"/>
          <w:u w:val="single"/>
        </w:rPr>
        <w:t xml:space="preserve"> </w:t>
      </w:r>
    </w:p>
    <w:p w14:paraId="18D263A3">
      <w:pPr>
        <w:keepNext w:val="0"/>
        <w:keepLines w:val="0"/>
        <w:pageBreakBefore w:val="0"/>
        <w:widowControl w:val="0"/>
        <w:kinsoku/>
        <w:wordWrap/>
        <w:overflowPunct/>
        <w:topLinePunct w:val="0"/>
        <w:autoSpaceDE/>
        <w:autoSpaceDN/>
        <w:bidi w:val="0"/>
        <w:adjustRightInd w:val="0"/>
        <w:snapToGrid w:val="0"/>
        <w:spacing w:before="4057" w:beforeLines="1300" w:line="288" w:lineRule="auto"/>
        <w:ind w:left="0" w:leftChars="0" w:firstLine="0" w:firstLineChars="0"/>
        <w:jc w:val="center"/>
        <w:textAlignment w:val="auto"/>
        <w:outlineLvl w:val="9"/>
        <w:rPr>
          <w:rStyle w:val="17"/>
          <w:rFonts w:hint="eastAsia"/>
          <w:b/>
          <w:bCs/>
          <w:sz w:val="48"/>
          <w:szCs w:val="22"/>
        </w:rPr>
      </w:pPr>
      <w:r>
        <w:rPr>
          <w:rStyle w:val="17"/>
          <w:rFonts w:hint="eastAsia"/>
          <w:b/>
          <w:bCs/>
          <w:sz w:val="48"/>
          <w:szCs w:val="22"/>
        </w:rPr>
        <w:t>中华人民共和国生态环境部制</w:t>
      </w:r>
    </w:p>
    <w:p w14:paraId="556F0417">
      <w:pPr>
        <w:pageBreakBefore w:val="0"/>
        <w:wordWrap/>
        <w:bidi w:val="0"/>
        <w:adjustRightInd w:val="0"/>
        <w:snapToGrid w:val="0"/>
        <w:rPr>
          <w:rFonts w:ascii="仿宋_GB2312" w:eastAsia="仿宋_GB2312"/>
          <w:sz w:val="36"/>
          <w:szCs w:val="36"/>
        </w:rPr>
        <w:sectPr>
          <w:headerReference r:id="rId5" w:type="default"/>
          <w:footerReference r:id="rId6" w:type="default"/>
          <w:pgSz w:w="11906" w:h="16838"/>
          <w:pgMar w:top="1701" w:right="1531" w:bottom="1701" w:left="1531" w:header="1361" w:footer="1361" w:gutter="0"/>
          <w:pgBorders>
            <w:top w:val="none" w:sz="0" w:space="0"/>
            <w:left w:val="none" w:sz="0" w:space="0"/>
            <w:bottom w:val="none" w:sz="0" w:space="0"/>
            <w:right w:val="none" w:sz="0" w:space="0"/>
          </w:pgBorders>
          <w:pgNumType w:start="3"/>
          <w:cols w:space="720" w:num="1"/>
          <w:docGrid w:linePitch="312" w:charSpace="0"/>
        </w:sectPr>
      </w:pPr>
    </w:p>
    <w:sdt>
      <w:sdtPr>
        <w:rPr>
          <w:rFonts w:ascii="Times New Roman" w:hAnsi="Times New Roman" w:eastAsia="宋体" w:cs="Times New Roman"/>
          <w:b/>
          <w:bCs/>
          <w:kern w:val="2"/>
          <w:sz w:val="28"/>
          <w:szCs w:val="40"/>
          <w:lang w:val="en-US" w:eastAsia="zh-CN" w:bidi="ar-SA"/>
        </w:rPr>
        <w:id w:val="147454148"/>
        <w15:color w:val="DBDBDB"/>
        <w:docPartObj>
          <w:docPartGallery w:val="Table of Contents"/>
          <w:docPartUnique/>
        </w:docPartObj>
      </w:sdtPr>
      <w:sdtEndPr>
        <w:rPr>
          <w:rStyle w:val="17"/>
          <w:rFonts w:ascii="Times New Roman" w:hAnsi="Times New Roman" w:eastAsia="宋体" w:cs="Times New Roman"/>
          <w:b/>
          <w:bCs/>
          <w:kern w:val="2"/>
          <w:sz w:val="28"/>
          <w:szCs w:val="40"/>
          <w:lang w:val="en-US" w:eastAsia="zh-CN" w:bidi="ar-SA"/>
        </w:rPr>
      </w:sdtEndPr>
      <w:sdtContent>
        <w:p w14:paraId="19F4278D">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Style w:val="17"/>
              <w:rFonts w:ascii="Times New Roman" w:hAnsi="Times New Roman" w:eastAsia="宋体"/>
              <w:b/>
              <w:sz w:val="28"/>
              <w:szCs w:val="32"/>
            </w:rPr>
          </w:pPr>
          <w:r>
            <w:rPr>
              <w:rStyle w:val="17"/>
              <w:rFonts w:ascii="Times New Roman" w:hAnsi="Times New Roman" w:eastAsia="宋体"/>
              <w:b/>
              <w:sz w:val="28"/>
              <w:szCs w:val="32"/>
            </w:rPr>
            <w:t>目录</w:t>
          </w:r>
        </w:p>
        <w:p w14:paraId="244F996B">
          <w:pPr>
            <w:keepNext w:val="0"/>
            <w:keepLines w:val="0"/>
            <w:pageBreakBefore w:val="0"/>
            <w:widowControl w:val="0"/>
            <w:tabs>
              <w:tab w:val="right" w:leader="dot" w:pos="8844"/>
            </w:tabs>
            <w:kinsoku/>
            <w:wordWrap/>
            <w:overflowPunct/>
            <w:topLinePunct w:val="0"/>
            <w:autoSpaceDE/>
            <w:autoSpaceDN/>
            <w:bidi w:val="0"/>
            <w:adjustRightInd w:val="0"/>
            <w:snapToGrid w:val="0"/>
            <w:spacing w:line="360" w:lineRule="auto"/>
            <w:ind w:firstLine="0" w:firstLineChars="0"/>
            <w:textAlignment w:val="auto"/>
            <w:rPr>
              <w:rStyle w:val="17"/>
            </w:rPr>
          </w:pPr>
          <w:r>
            <w:rPr>
              <w:rStyle w:val="17"/>
            </w:rPr>
            <w:fldChar w:fldCharType="begin"/>
          </w:r>
          <w:r>
            <w:rPr>
              <w:rStyle w:val="17"/>
            </w:rPr>
            <w:instrText xml:space="preserve">TOC \o "1-1" \h \u </w:instrText>
          </w:r>
          <w:r>
            <w:rPr>
              <w:rStyle w:val="17"/>
            </w:rPr>
            <w:fldChar w:fldCharType="separate"/>
          </w:r>
          <w:r>
            <w:rPr>
              <w:rStyle w:val="17"/>
            </w:rPr>
            <w:fldChar w:fldCharType="begin"/>
          </w:r>
          <w:r>
            <w:rPr>
              <w:rStyle w:val="17"/>
            </w:rPr>
            <w:instrText xml:space="preserve"> HYPERLINK \l _Toc6221 </w:instrText>
          </w:r>
          <w:r>
            <w:rPr>
              <w:rStyle w:val="17"/>
            </w:rPr>
            <w:fldChar w:fldCharType="separate"/>
          </w:r>
          <w:r>
            <w:rPr>
              <w:rStyle w:val="17"/>
              <w:rFonts w:hint="eastAsia"/>
            </w:rPr>
            <w:t>一、建设项目基本情况</w:t>
          </w:r>
          <w:r>
            <w:rPr>
              <w:rStyle w:val="17"/>
            </w:rPr>
            <w:tab/>
          </w:r>
          <w:r>
            <w:rPr>
              <w:rStyle w:val="17"/>
            </w:rPr>
            <w:fldChar w:fldCharType="begin"/>
          </w:r>
          <w:r>
            <w:rPr>
              <w:rStyle w:val="17"/>
            </w:rPr>
            <w:instrText xml:space="preserve"> PAGEREF _Toc6221 \h </w:instrText>
          </w:r>
          <w:r>
            <w:rPr>
              <w:rStyle w:val="17"/>
            </w:rPr>
            <w:fldChar w:fldCharType="separate"/>
          </w:r>
          <w:r>
            <w:rPr>
              <w:rStyle w:val="17"/>
            </w:rPr>
            <w:t>1</w:t>
          </w:r>
          <w:r>
            <w:rPr>
              <w:rStyle w:val="17"/>
            </w:rPr>
            <w:fldChar w:fldCharType="end"/>
          </w:r>
          <w:r>
            <w:rPr>
              <w:rStyle w:val="17"/>
            </w:rPr>
            <w:fldChar w:fldCharType="end"/>
          </w:r>
        </w:p>
        <w:p w14:paraId="146BD02F">
          <w:pPr>
            <w:keepNext w:val="0"/>
            <w:keepLines w:val="0"/>
            <w:pageBreakBefore w:val="0"/>
            <w:widowControl w:val="0"/>
            <w:tabs>
              <w:tab w:val="right" w:leader="dot" w:pos="8844"/>
            </w:tabs>
            <w:kinsoku/>
            <w:wordWrap/>
            <w:overflowPunct/>
            <w:topLinePunct w:val="0"/>
            <w:autoSpaceDE/>
            <w:autoSpaceDN/>
            <w:bidi w:val="0"/>
            <w:adjustRightInd w:val="0"/>
            <w:snapToGrid w:val="0"/>
            <w:spacing w:line="360" w:lineRule="auto"/>
            <w:ind w:firstLine="0" w:firstLineChars="0"/>
            <w:textAlignment w:val="auto"/>
            <w:rPr>
              <w:rStyle w:val="17"/>
            </w:rPr>
          </w:pPr>
          <w:r>
            <w:rPr>
              <w:rStyle w:val="17"/>
            </w:rPr>
            <w:fldChar w:fldCharType="begin"/>
          </w:r>
          <w:r>
            <w:rPr>
              <w:rStyle w:val="17"/>
            </w:rPr>
            <w:instrText xml:space="preserve"> HYPERLINK \l _Toc15136 </w:instrText>
          </w:r>
          <w:r>
            <w:rPr>
              <w:rStyle w:val="17"/>
            </w:rPr>
            <w:fldChar w:fldCharType="separate"/>
          </w:r>
          <w:r>
            <w:rPr>
              <w:rStyle w:val="17"/>
              <w:rFonts w:hint="eastAsia"/>
            </w:rPr>
            <w:t>二、建设项目工程分析</w:t>
          </w:r>
          <w:r>
            <w:rPr>
              <w:rStyle w:val="17"/>
            </w:rPr>
            <w:tab/>
          </w:r>
          <w:r>
            <w:rPr>
              <w:rStyle w:val="17"/>
            </w:rPr>
            <w:fldChar w:fldCharType="begin"/>
          </w:r>
          <w:r>
            <w:rPr>
              <w:rStyle w:val="17"/>
            </w:rPr>
            <w:instrText xml:space="preserve"> PAGEREF _Toc15136 \h </w:instrText>
          </w:r>
          <w:r>
            <w:rPr>
              <w:rStyle w:val="17"/>
            </w:rPr>
            <w:fldChar w:fldCharType="separate"/>
          </w:r>
          <w:r>
            <w:rPr>
              <w:rStyle w:val="17"/>
            </w:rPr>
            <w:t>18</w:t>
          </w:r>
          <w:r>
            <w:rPr>
              <w:rStyle w:val="17"/>
            </w:rPr>
            <w:fldChar w:fldCharType="end"/>
          </w:r>
          <w:r>
            <w:rPr>
              <w:rStyle w:val="17"/>
            </w:rPr>
            <w:fldChar w:fldCharType="end"/>
          </w:r>
        </w:p>
        <w:p w14:paraId="0DFBCEE6">
          <w:pPr>
            <w:keepNext w:val="0"/>
            <w:keepLines w:val="0"/>
            <w:pageBreakBefore w:val="0"/>
            <w:widowControl w:val="0"/>
            <w:tabs>
              <w:tab w:val="right" w:leader="dot" w:pos="8844"/>
            </w:tabs>
            <w:kinsoku/>
            <w:wordWrap/>
            <w:overflowPunct/>
            <w:topLinePunct w:val="0"/>
            <w:autoSpaceDE/>
            <w:autoSpaceDN/>
            <w:bidi w:val="0"/>
            <w:adjustRightInd w:val="0"/>
            <w:snapToGrid w:val="0"/>
            <w:spacing w:line="360" w:lineRule="auto"/>
            <w:ind w:firstLine="0" w:firstLineChars="0"/>
            <w:textAlignment w:val="auto"/>
            <w:rPr>
              <w:rStyle w:val="17"/>
            </w:rPr>
          </w:pPr>
          <w:r>
            <w:rPr>
              <w:rStyle w:val="17"/>
            </w:rPr>
            <w:fldChar w:fldCharType="begin"/>
          </w:r>
          <w:r>
            <w:rPr>
              <w:rStyle w:val="17"/>
            </w:rPr>
            <w:instrText xml:space="preserve"> HYPERLINK \l _Toc6280 </w:instrText>
          </w:r>
          <w:r>
            <w:rPr>
              <w:rStyle w:val="17"/>
            </w:rPr>
            <w:fldChar w:fldCharType="separate"/>
          </w:r>
          <w:r>
            <w:rPr>
              <w:rStyle w:val="17"/>
              <w:rFonts w:hint="eastAsia"/>
            </w:rPr>
            <w:t>三、区域环境质量现状、环境保护目标及评价标准</w:t>
          </w:r>
          <w:r>
            <w:rPr>
              <w:rStyle w:val="17"/>
            </w:rPr>
            <w:tab/>
          </w:r>
          <w:r>
            <w:rPr>
              <w:rStyle w:val="17"/>
            </w:rPr>
            <w:fldChar w:fldCharType="begin"/>
          </w:r>
          <w:r>
            <w:rPr>
              <w:rStyle w:val="17"/>
            </w:rPr>
            <w:instrText xml:space="preserve"> PAGEREF _Toc6280 \h </w:instrText>
          </w:r>
          <w:r>
            <w:rPr>
              <w:rStyle w:val="17"/>
            </w:rPr>
            <w:fldChar w:fldCharType="separate"/>
          </w:r>
          <w:r>
            <w:rPr>
              <w:rStyle w:val="17"/>
            </w:rPr>
            <w:t>32</w:t>
          </w:r>
          <w:r>
            <w:rPr>
              <w:rStyle w:val="17"/>
            </w:rPr>
            <w:fldChar w:fldCharType="end"/>
          </w:r>
          <w:r>
            <w:rPr>
              <w:rStyle w:val="17"/>
            </w:rPr>
            <w:fldChar w:fldCharType="end"/>
          </w:r>
        </w:p>
        <w:p w14:paraId="34D9BD03">
          <w:pPr>
            <w:keepNext w:val="0"/>
            <w:keepLines w:val="0"/>
            <w:pageBreakBefore w:val="0"/>
            <w:widowControl w:val="0"/>
            <w:tabs>
              <w:tab w:val="right" w:leader="dot" w:pos="8844"/>
            </w:tabs>
            <w:kinsoku/>
            <w:wordWrap/>
            <w:overflowPunct/>
            <w:topLinePunct w:val="0"/>
            <w:autoSpaceDE/>
            <w:autoSpaceDN/>
            <w:bidi w:val="0"/>
            <w:adjustRightInd w:val="0"/>
            <w:snapToGrid w:val="0"/>
            <w:spacing w:line="360" w:lineRule="auto"/>
            <w:ind w:firstLine="0" w:firstLineChars="0"/>
            <w:textAlignment w:val="auto"/>
            <w:rPr>
              <w:rStyle w:val="17"/>
            </w:rPr>
          </w:pPr>
          <w:r>
            <w:rPr>
              <w:rStyle w:val="17"/>
            </w:rPr>
            <w:fldChar w:fldCharType="begin"/>
          </w:r>
          <w:r>
            <w:rPr>
              <w:rStyle w:val="17"/>
            </w:rPr>
            <w:instrText xml:space="preserve"> HYPERLINK \l _Toc32029 </w:instrText>
          </w:r>
          <w:r>
            <w:rPr>
              <w:rStyle w:val="17"/>
            </w:rPr>
            <w:fldChar w:fldCharType="separate"/>
          </w:r>
          <w:r>
            <w:rPr>
              <w:rStyle w:val="17"/>
              <w:rFonts w:hint="eastAsia"/>
            </w:rPr>
            <w:t>四、主要环境影响和保护措施</w:t>
          </w:r>
          <w:r>
            <w:rPr>
              <w:rStyle w:val="17"/>
            </w:rPr>
            <w:tab/>
          </w:r>
          <w:r>
            <w:rPr>
              <w:rStyle w:val="17"/>
            </w:rPr>
            <w:fldChar w:fldCharType="begin"/>
          </w:r>
          <w:r>
            <w:rPr>
              <w:rStyle w:val="17"/>
            </w:rPr>
            <w:instrText xml:space="preserve"> PAGEREF _Toc32029 \h </w:instrText>
          </w:r>
          <w:r>
            <w:rPr>
              <w:rStyle w:val="17"/>
            </w:rPr>
            <w:fldChar w:fldCharType="separate"/>
          </w:r>
          <w:r>
            <w:rPr>
              <w:rStyle w:val="17"/>
            </w:rPr>
            <w:t>40</w:t>
          </w:r>
          <w:r>
            <w:rPr>
              <w:rStyle w:val="17"/>
            </w:rPr>
            <w:fldChar w:fldCharType="end"/>
          </w:r>
          <w:r>
            <w:rPr>
              <w:rStyle w:val="17"/>
            </w:rPr>
            <w:fldChar w:fldCharType="end"/>
          </w:r>
        </w:p>
        <w:p w14:paraId="0F2E78EB">
          <w:pPr>
            <w:keepNext w:val="0"/>
            <w:keepLines w:val="0"/>
            <w:pageBreakBefore w:val="0"/>
            <w:widowControl w:val="0"/>
            <w:tabs>
              <w:tab w:val="right" w:leader="dot" w:pos="8844"/>
            </w:tabs>
            <w:kinsoku/>
            <w:wordWrap/>
            <w:overflowPunct/>
            <w:topLinePunct w:val="0"/>
            <w:autoSpaceDE/>
            <w:autoSpaceDN/>
            <w:bidi w:val="0"/>
            <w:adjustRightInd w:val="0"/>
            <w:snapToGrid w:val="0"/>
            <w:spacing w:line="360" w:lineRule="auto"/>
            <w:ind w:firstLine="0" w:firstLineChars="0"/>
            <w:textAlignment w:val="auto"/>
            <w:rPr>
              <w:rStyle w:val="17"/>
            </w:rPr>
          </w:pPr>
          <w:r>
            <w:rPr>
              <w:rStyle w:val="17"/>
            </w:rPr>
            <w:fldChar w:fldCharType="begin"/>
          </w:r>
          <w:r>
            <w:rPr>
              <w:rStyle w:val="17"/>
            </w:rPr>
            <w:instrText xml:space="preserve"> HYPERLINK \l _Toc11685 </w:instrText>
          </w:r>
          <w:r>
            <w:rPr>
              <w:rStyle w:val="17"/>
            </w:rPr>
            <w:fldChar w:fldCharType="separate"/>
          </w:r>
          <w:r>
            <w:rPr>
              <w:rStyle w:val="17"/>
              <w:rFonts w:hint="eastAsia"/>
            </w:rPr>
            <w:t>五、环境保护措施监督检查清单</w:t>
          </w:r>
          <w:r>
            <w:rPr>
              <w:rStyle w:val="17"/>
            </w:rPr>
            <w:tab/>
          </w:r>
          <w:r>
            <w:rPr>
              <w:rStyle w:val="17"/>
            </w:rPr>
            <w:fldChar w:fldCharType="begin"/>
          </w:r>
          <w:r>
            <w:rPr>
              <w:rStyle w:val="17"/>
            </w:rPr>
            <w:instrText xml:space="preserve"> PAGEREF _Toc11685 \h </w:instrText>
          </w:r>
          <w:r>
            <w:rPr>
              <w:rStyle w:val="17"/>
            </w:rPr>
            <w:fldChar w:fldCharType="separate"/>
          </w:r>
          <w:r>
            <w:rPr>
              <w:rStyle w:val="17"/>
            </w:rPr>
            <w:t>61</w:t>
          </w:r>
          <w:r>
            <w:rPr>
              <w:rStyle w:val="17"/>
            </w:rPr>
            <w:fldChar w:fldCharType="end"/>
          </w:r>
          <w:r>
            <w:rPr>
              <w:rStyle w:val="17"/>
            </w:rPr>
            <w:fldChar w:fldCharType="end"/>
          </w:r>
        </w:p>
        <w:p w14:paraId="0943B67F">
          <w:pPr>
            <w:keepNext w:val="0"/>
            <w:keepLines w:val="0"/>
            <w:pageBreakBefore w:val="0"/>
            <w:widowControl w:val="0"/>
            <w:tabs>
              <w:tab w:val="right" w:leader="dot" w:pos="8844"/>
            </w:tabs>
            <w:kinsoku/>
            <w:wordWrap/>
            <w:overflowPunct/>
            <w:topLinePunct w:val="0"/>
            <w:autoSpaceDE/>
            <w:autoSpaceDN/>
            <w:bidi w:val="0"/>
            <w:adjustRightInd w:val="0"/>
            <w:snapToGrid w:val="0"/>
            <w:spacing w:line="360" w:lineRule="auto"/>
            <w:ind w:firstLine="0" w:firstLineChars="0"/>
            <w:textAlignment w:val="auto"/>
            <w:rPr>
              <w:rStyle w:val="17"/>
            </w:rPr>
          </w:pPr>
          <w:r>
            <w:rPr>
              <w:rStyle w:val="17"/>
            </w:rPr>
            <w:fldChar w:fldCharType="begin"/>
          </w:r>
          <w:r>
            <w:rPr>
              <w:rStyle w:val="17"/>
            </w:rPr>
            <w:instrText xml:space="preserve"> HYPERLINK \l _Toc17189 </w:instrText>
          </w:r>
          <w:r>
            <w:rPr>
              <w:rStyle w:val="17"/>
            </w:rPr>
            <w:fldChar w:fldCharType="separate"/>
          </w:r>
          <w:r>
            <w:rPr>
              <w:rStyle w:val="17"/>
              <w:rFonts w:hint="eastAsia"/>
            </w:rPr>
            <w:t>六、结论</w:t>
          </w:r>
          <w:r>
            <w:rPr>
              <w:rStyle w:val="17"/>
            </w:rPr>
            <w:tab/>
          </w:r>
          <w:r>
            <w:rPr>
              <w:rStyle w:val="17"/>
            </w:rPr>
            <w:fldChar w:fldCharType="begin"/>
          </w:r>
          <w:r>
            <w:rPr>
              <w:rStyle w:val="17"/>
            </w:rPr>
            <w:instrText xml:space="preserve"> PAGEREF _Toc17189 \h </w:instrText>
          </w:r>
          <w:r>
            <w:rPr>
              <w:rStyle w:val="17"/>
            </w:rPr>
            <w:fldChar w:fldCharType="separate"/>
          </w:r>
          <w:r>
            <w:rPr>
              <w:rStyle w:val="17"/>
            </w:rPr>
            <w:t>64</w:t>
          </w:r>
          <w:r>
            <w:rPr>
              <w:rStyle w:val="17"/>
            </w:rPr>
            <w:fldChar w:fldCharType="end"/>
          </w:r>
          <w:r>
            <w:rPr>
              <w:rStyle w:val="17"/>
            </w:rPr>
            <w:fldChar w:fldCharType="end"/>
          </w:r>
        </w:p>
        <w:p w14:paraId="56D93627">
          <w:pPr>
            <w:keepNext w:val="0"/>
            <w:keepLines w:val="0"/>
            <w:pageBreakBefore w:val="0"/>
            <w:widowControl w:val="0"/>
            <w:tabs>
              <w:tab w:val="right" w:leader="dot" w:pos="8844"/>
            </w:tabs>
            <w:kinsoku/>
            <w:wordWrap/>
            <w:overflowPunct/>
            <w:topLinePunct w:val="0"/>
            <w:autoSpaceDE/>
            <w:autoSpaceDN/>
            <w:bidi w:val="0"/>
            <w:adjustRightInd w:val="0"/>
            <w:snapToGrid w:val="0"/>
            <w:spacing w:line="360" w:lineRule="auto"/>
            <w:ind w:firstLine="0" w:firstLineChars="0"/>
            <w:textAlignment w:val="auto"/>
            <w:rPr>
              <w:rStyle w:val="17"/>
              <w:lang w:val="en-US" w:eastAsia="zh-CN"/>
            </w:rPr>
          </w:pPr>
          <w:r>
            <w:rPr>
              <w:rStyle w:val="17"/>
            </w:rPr>
            <w:fldChar w:fldCharType="begin"/>
          </w:r>
          <w:r>
            <w:rPr>
              <w:rStyle w:val="17"/>
            </w:rPr>
            <w:instrText xml:space="preserve"> HYPERLINK \l _Toc1932 </w:instrText>
          </w:r>
          <w:r>
            <w:rPr>
              <w:rStyle w:val="17"/>
            </w:rPr>
            <w:fldChar w:fldCharType="separate"/>
          </w:r>
          <w:r>
            <w:rPr>
              <w:rStyle w:val="17"/>
              <w:rFonts w:hint="eastAsia"/>
            </w:rPr>
            <w:t>附表</w:t>
          </w:r>
          <w:r>
            <w:rPr>
              <w:rStyle w:val="17"/>
            </w:rPr>
            <w:tab/>
          </w:r>
          <w:r>
            <w:rPr>
              <w:rStyle w:val="17"/>
            </w:rPr>
            <w:fldChar w:fldCharType="begin"/>
          </w:r>
          <w:r>
            <w:rPr>
              <w:rStyle w:val="17"/>
            </w:rPr>
            <w:instrText xml:space="preserve"> PAGEREF _Toc1932 \h </w:instrText>
          </w:r>
          <w:r>
            <w:rPr>
              <w:rStyle w:val="17"/>
            </w:rPr>
            <w:fldChar w:fldCharType="separate"/>
          </w:r>
          <w:r>
            <w:rPr>
              <w:rStyle w:val="17"/>
            </w:rPr>
            <w:t>65</w:t>
          </w:r>
          <w:r>
            <w:rPr>
              <w:rStyle w:val="17"/>
            </w:rPr>
            <w:fldChar w:fldCharType="end"/>
          </w:r>
          <w:r>
            <w:rPr>
              <w:rStyle w:val="17"/>
            </w:rPr>
            <w:fldChar w:fldCharType="end"/>
          </w:r>
          <w:r>
            <w:rPr>
              <w:rStyle w:val="17"/>
            </w:rPr>
            <w:fldChar w:fldCharType="end"/>
          </w:r>
        </w:p>
      </w:sdtContent>
    </w:sdt>
    <w:p w14:paraId="3C91F1DE">
      <w:pPr>
        <w:keepNext w:val="0"/>
        <w:keepLines w:val="0"/>
        <w:pageBreakBefore w:val="0"/>
        <w:widowControl w:val="0"/>
        <w:kinsoku/>
        <w:wordWrap/>
        <w:overflowPunct/>
        <w:topLinePunct w:val="0"/>
        <w:autoSpaceDE/>
        <w:autoSpaceDN/>
        <w:bidi w:val="0"/>
        <w:adjustRightInd w:val="0"/>
        <w:snapToGrid w:val="0"/>
        <w:spacing w:before="157" w:beforeLines="50"/>
        <w:ind w:firstLine="0" w:firstLineChars="0"/>
        <w:textAlignment w:val="auto"/>
        <w:rPr>
          <w:rStyle w:val="17"/>
        </w:rPr>
      </w:pPr>
      <w:r>
        <w:rPr>
          <w:rStyle w:val="17"/>
        </w:rPr>
        <w:t>附图：</w:t>
      </w:r>
    </w:p>
    <w:p w14:paraId="67EAD352">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Pr>
      </w:pPr>
      <w:r>
        <w:rPr>
          <w:rStyle w:val="17"/>
        </w:rPr>
        <w:t>附图1</w:t>
      </w:r>
      <w:r>
        <w:rPr>
          <w:rStyle w:val="17"/>
          <w:rFonts w:hint="eastAsia"/>
          <w:lang w:val="en-US" w:eastAsia="zh-CN"/>
        </w:rPr>
        <w:t xml:space="preserve">    </w:t>
      </w:r>
      <w:r>
        <w:rPr>
          <w:rStyle w:val="17"/>
        </w:rPr>
        <w:t>项目地理位置图</w:t>
      </w:r>
    </w:p>
    <w:p w14:paraId="39745D2E">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Pr>
      </w:pPr>
      <w:r>
        <w:rPr>
          <w:rStyle w:val="17"/>
          <w:rFonts w:hint="eastAsia"/>
        </w:rPr>
        <w:t>附图2</w:t>
      </w:r>
      <w:r>
        <w:rPr>
          <w:rStyle w:val="17"/>
          <w:rFonts w:hint="eastAsia"/>
          <w:lang w:val="en-US" w:eastAsia="zh-CN"/>
        </w:rPr>
        <w:t xml:space="preserve">    </w:t>
      </w:r>
      <w:r>
        <w:rPr>
          <w:rStyle w:val="17"/>
          <w:rFonts w:hint="eastAsia"/>
        </w:rPr>
        <w:t>遂宁市城市总体规划图</w:t>
      </w:r>
    </w:p>
    <w:p w14:paraId="71275B3B">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Fonts w:hint="eastAsia"/>
        </w:rPr>
      </w:pPr>
      <w:r>
        <w:rPr>
          <w:rStyle w:val="17"/>
          <w:rFonts w:hint="eastAsia"/>
        </w:rPr>
        <w:t>附图</w:t>
      </w:r>
      <w:r>
        <w:rPr>
          <w:rStyle w:val="17"/>
          <w:rFonts w:hint="eastAsia"/>
          <w:lang w:val="en-US" w:eastAsia="zh-CN"/>
        </w:rPr>
        <w:t xml:space="preserve">3    </w:t>
      </w:r>
      <w:r>
        <w:rPr>
          <w:rStyle w:val="17"/>
          <w:rFonts w:hint="eastAsia"/>
        </w:rPr>
        <w:t>外环境关系图</w:t>
      </w:r>
    </w:p>
    <w:p w14:paraId="5DFADB7F">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Pr>
      </w:pPr>
      <w:r>
        <w:rPr>
          <w:rStyle w:val="17"/>
          <w:rFonts w:hint="eastAsia"/>
        </w:rPr>
        <w:t>附图</w:t>
      </w:r>
      <w:r>
        <w:rPr>
          <w:rStyle w:val="17"/>
          <w:rFonts w:hint="eastAsia"/>
          <w:lang w:val="en-US" w:eastAsia="zh-CN"/>
        </w:rPr>
        <w:t>4</w:t>
      </w:r>
      <w:r>
        <w:rPr>
          <w:rStyle w:val="17"/>
          <w:rFonts w:hint="eastAsia"/>
        </w:rPr>
        <w:t xml:space="preserve">-1  </w:t>
      </w:r>
      <w:r>
        <w:rPr>
          <w:rStyle w:val="17"/>
          <w:rFonts w:hint="eastAsia"/>
          <w:lang w:eastAsia="zh-CN"/>
        </w:rPr>
        <w:t>项目</w:t>
      </w:r>
      <w:r>
        <w:rPr>
          <w:rStyle w:val="17"/>
          <w:rFonts w:hint="eastAsia"/>
          <w:lang w:val="en-US" w:eastAsia="zh-CN"/>
        </w:rPr>
        <w:t>一层平面布置图</w:t>
      </w:r>
    </w:p>
    <w:p w14:paraId="66142C6B">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Pr>
      </w:pPr>
      <w:r>
        <w:rPr>
          <w:rStyle w:val="17"/>
          <w:rFonts w:hint="eastAsia"/>
        </w:rPr>
        <w:t>附图</w:t>
      </w:r>
      <w:r>
        <w:rPr>
          <w:rStyle w:val="17"/>
          <w:rFonts w:hint="eastAsia"/>
          <w:lang w:val="en-US" w:eastAsia="zh-CN"/>
        </w:rPr>
        <w:t>4</w:t>
      </w:r>
      <w:r>
        <w:rPr>
          <w:rStyle w:val="17"/>
          <w:rFonts w:hint="eastAsia"/>
        </w:rPr>
        <w:t xml:space="preserve">-2  </w:t>
      </w:r>
      <w:r>
        <w:rPr>
          <w:rStyle w:val="17"/>
          <w:rFonts w:hint="eastAsia"/>
          <w:lang w:eastAsia="zh-CN"/>
        </w:rPr>
        <w:t>项目</w:t>
      </w:r>
      <w:r>
        <w:rPr>
          <w:rStyle w:val="17"/>
          <w:rFonts w:hint="eastAsia"/>
        </w:rPr>
        <w:t>二</w:t>
      </w:r>
      <w:r>
        <w:rPr>
          <w:rStyle w:val="17"/>
          <w:rFonts w:hint="eastAsia"/>
          <w:lang w:val="en-US" w:eastAsia="zh-CN"/>
        </w:rPr>
        <w:t>层平面布置图</w:t>
      </w:r>
    </w:p>
    <w:p w14:paraId="72DD1D77">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Pr>
      </w:pPr>
      <w:r>
        <w:rPr>
          <w:rStyle w:val="17"/>
          <w:rFonts w:hint="eastAsia"/>
        </w:rPr>
        <w:t>附图</w:t>
      </w:r>
      <w:r>
        <w:rPr>
          <w:rStyle w:val="17"/>
          <w:rFonts w:hint="eastAsia"/>
          <w:lang w:val="en-US" w:eastAsia="zh-CN"/>
        </w:rPr>
        <w:t>4</w:t>
      </w:r>
      <w:r>
        <w:rPr>
          <w:rStyle w:val="17"/>
          <w:rFonts w:hint="eastAsia"/>
        </w:rPr>
        <w:t xml:space="preserve">-3  </w:t>
      </w:r>
      <w:r>
        <w:rPr>
          <w:rStyle w:val="17"/>
          <w:rFonts w:hint="eastAsia"/>
          <w:lang w:eastAsia="zh-CN"/>
        </w:rPr>
        <w:t>项目</w:t>
      </w:r>
      <w:r>
        <w:rPr>
          <w:rStyle w:val="17"/>
          <w:rFonts w:hint="eastAsia"/>
        </w:rPr>
        <w:t>三</w:t>
      </w:r>
      <w:r>
        <w:rPr>
          <w:rStyle w:val="17"/>
          <w:rFonts w:hint="eastAsia"/>
          <w:lang w:val="en-US" w:eastAsia="zh-CN"/>
        </w:rPr>
        <w:t>层平面布置图</w:t>
      </w:r>
    </w:p>
    <w:p w14:paraId="09C451B5">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Fonts w:hint="eastAsia"/>
          <w:lang w:val="en-US" w:eastAsia="zh-CN"/>
        </w:rPr>
      </w:pPr>
      <w:r>
        <w:rPr>
          <w:rStyle w:val="17"/>
          <w:rFonts w:hint="eastAsia"/>
          <w:lang w:val="en-US" w:eastAsia="zh-CN"/>
        </w:rPr>
        <w:t>附图4-4  项目四层平面布置图</w:t>
      </w:r>
    </w:p>
    <w:p w14:paraId="3C0B7A73">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Fonts w:hint="eastAsia"/>
          <w:lang w:val="en-US" w:eastAsia="zh-CN"/>
        </w:rPr>
      </w:pPr>
      <w:r>
        <w:rPr>
          <w:rStyle w:val="17"/>
          <w:rFonts w:hint="eastAsia"/>
          <w:lang w:val="en-US" w:eastAsia="zh-CN"/>
        </w:rPr>
        <w:t>附图4-5  项目五层平面布置图</w:t>
      </w:r>
    </w:p>
    <w:p w14:paraId="162FD540">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Fonts w:hint="eastAsia"/>
          <w:lang w:val="en-US" w:eastAsia="zh-CN"/>
        </w:rPr>
      </w:pPr>
      <w:r>
        <w:rPr>
          <w:rStyle w:val="17"/>
          <w:rFonts w:hint="eastAsia"/>
          <w:lang w:val="en-US" w:eastAsia="zh-CN"/>
        </w:rPr>
        <w:t>附图5    项目现场勘察图</w:t>
      </w:r>
    </w:p>
    <w:p w14:paraId="68FD0E9C">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Fonts w:hint="default"/>
          <w:lang w:val="en-US" w:eastAsia="zh-CN"/>
        </w:rPr>
      </w:pPr>
      <w:r>
        <w:rPr>
          <w:rStyle w:val="17"/>
          <w:rFonts w:hint="eastAsia"/>
          <w:lang w:val="en-US" w:eastAsia="zh-CN"/>
        </w:rPr>
        <w:t>附图6    声环境功能区划分成果图</w:t>
      </w:r>
    </w:p>
    <w:p w14:paraId="531AE70E">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Fonts w:hint="eastAsia"/>
        </w:rPr>
      </w:pPr>
    </w:p>
    <w:p w14:paraId="351924D9">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Fonts w:hint="eastAsia"/>
        </w:rPr>
      </w:pPr>
      <w:r>
        <w:rPr>
          <w:rStyle w:val="17"/>
        </w:rPr>
        <w:t>附件</w:t>
      </w:r>
      <w:r>
        <w:rPr>
          <w:rStyle w:val="17"/>
          <w:rFonts w:hint="eastAsia"/>
        </w:rPr>
        <w:t>：</w:t>
      </w:r>
    </w:p>
    <w:p w14:paraId="1FA8CDA0">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Fonts w:hint="eastAsia"/>
        </w:rPr>
      </w:pPr>
      <w:r>
        <w:rPr>
          <w:rStyle w:val="17"/>
        </w:rPr>
        <w:t>附件1</w:t>
      </w:r>
      <w:r>
        <w:rPr>
          <w:rStyle w:val="17"/>
          <w:rFonts w:hint="eastAsia"/>
          <w:lang w:val="en-US" w:eastAsia="zh-CN"/>
        </w:rPr>
        <w:t xml:space="preserve">  </w:t>
      </w:r>
      <w:r>
        <w:rPr>
          <w:rStyle w:val="17"/>
          <w:rFonts w:hint="eastAsia"/>
        </w:rPr>
        <w:t>环评</w:t>
      </w:r>
      <w:r>
        <w:rPr>
          <w:rStyle w:val="17"/>
        </w:rPr>
        <w:t>委托书</w:t>
      </w:r>
    </w:p>
    <w:p w14:paraId="247B22D6">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Fonts w:hint="eastAsia"/>
        </w:rPr>
      </w:pPr>
      <w:r>
        <w:rPr>
          <w:rStyle w:val="17"/>
          <w:rFonts w:hint="eastAsia"/>
        </w:rPr>
        <w:t>附件2  医疗机构执业许可证</w:t>
      </w:r>
    </w:p>
    <w:p w14:paraId="00C0354B">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Pr>
      </w:pPr>
      <w:r>
        <w:rPr>
          <w:rStyle w:val="17"/>
          <w:rFonts w:hint="eastAsia"/>
        </w:rPr>
        <w:t>附件3  建设用地规划许可证</w:t>
      </w:r>
    </w:p>
    <w:p w14:paraId="1E63E026">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Pr>
      </w:pPr>
      <w:r>
        <w:rPr>
          <w:rStyle w:val="17"/>
          <w:rFonts w:hint="eastAsia"/>
        </w:rPr>
        <w:t>附件4  建设用地批准书</w:t>
      </w:r>
    </w:p>
    <w:p w14:paraId="6EBB01E1">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Pr>
      </w:pPr>
      <w:r>
        <w:rPr>
          <w:rStyle w:val="17"/>
          <w:rFonts w:hint="eastAsia"/>
        </w:rPr>
        <w:t>附件5  房产证</w:t>
      </w:r>
    </w:p>
    <w:p w14:paraId="0640255C">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Pr>
      </w:pPr>
      <w:r>
        <w:rPr>
          <w:rStyle w:val="17"/>
          <w:rFonts w:hint="eastAsia"/>
        </w:rPr>
        <w:t>附件6  土地使用证</w:t>
      </w:r>
    </w:p>
    <w:p w14:paraId="1C5B3E76">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Fonts w:hint="eastAsia"/>
        </w:rPr>
      </w:pPr>
      <w:r>
        <w:rPr>
          <w:rStyle w:val="17"/>
          <w:rFonts w:hint="eastAsia"/>
        </w:rPr>
        <w:t>附件7  企业投资项目备案通知书</w:t>
      </w:r>
    </w:p>
    <w:p w14:paraId="25BAC791">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Fonts w:hint="eastAsia"/>
          <w:lang w:val="en-US" w:eastAsia="zh-CN"/>
        </w:rPr>
      </w:pPr>
      <w:r>
        <w:rPr>
          <w:rStyle w:val="17"/>
          <w:rFonts w:hint="eastAsia"/>
        </w:rPr>
        <w:t>附件</w:t>
      </w:r>
      <w:r>
        <w:rPr>
          <w:rStyle w:val="17"/>
          <w:rFonts w:hint="eastAsia"/>
          <w:lang w:val="en-US" w:eastAsia="zh-CN"/>
        </w:rPr>
        <w:t>8</w:t>
      </w:r>
      <w:r>
        <w:rPr>
          <w:rStyle w:val="17"/>
          <w:rFonts w:hint="eastAsia"/>
        </w:rPr>
        <w:t xml:space="preserve">  </w:t>
      </w:r>
      <w:r>
        <w:rPr>
          <w:rStyle w:val="17"/>
          <w:rFonts w:hint="eastAsia"/>
          <w:lang w:eastAsia="zh-CN"/>
        </w:rPr>
        <w:t>废水</w:t>
      </w:r>
      <w:r>
        <w:rPr>
          <w:rStyle w:val="17"/>
          <w:rFonts w:hint="eastAsia"/>
        </w:rPr>
        <w:t>检测</w:t>
      </w:r>
      <w:r>
        <w:rPr>
          <w:rStyle w:val="17"/>
          <w:rFonts w:hint="eastAsia"/>
          <w:lang w:val="en-US" w:eastAsia="zh-CN"/>
        </w:rPr>
        <w:t>报告</w:t>
      </w:r>
    </w:p>
    <w:p w14:paraId="6B1C3342">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Pr>
      </w:pPr>
      <w:r>
        <w:rPr>
          <w:rStyle w:val="17"/>
          <w:rFonts w:hint="eastAsia"/>
        </w:rPr>
        <w:t>附件9  遂宁市船山生态环境局关于遂宁市益民医院涉嫌环境违法行为的函</w:t>
      </w:r>
    </w:p>
    <w:p w14:paraId="2D75677F">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outlineLvl w:val="9"/>
        <w:rPr>
          <w:rStyle w:val="17"/>
          <w:rFonts w:hint="eastAsia"/>
        </w:rPr>
      </w:pPr>
      <w:r>
        <w:rPr>
          <w:rStyle w:val="17"/>
          <w:rFonts w:hint="eastAsia"/>
        </w:rPr>
        <w:t>附件10 民办非企业单位登记证书</w:t>
      </w:r>
    </w:p>
    <w:p w14:paraId="32B5AD2E">
      <w:pPr>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eastAsia="宋体"/>
          <w:kern w:val="2"/>
          <w:sz w:val="24"/>
          <w:lang w:val="en-US" w:eastAsia="zh-CN"/>
        </w:rPr>
      </w:pPr>
      <w:r>
        <w:rPr>
          <w:rFonts w:hint="eastAsia"/>
          <w:kern w:val="2"/>
          <w:sz w:val="24"/>
          <w:lang w:val="en-US" w:eastAsia="zh-CN"/>
        </w:rPr>
        <w:t xml:space="preserve">附件11 </w:t>
      </w:r>
      <w:r>
        <w:rPr>
          <w:rFonts w:hint="eastAsia"/>
          <w:sz w:val="24"/>
          <w:lang w:val="en-US" w:eastAsia="zh-CN"/>
        </w:rPr>
        <w:t>医疗废物处置委托合同</w:t>
      </w:r>
    </w:p>
    <w:p w14:paraId="4D77B967">
      <w:pPr>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lang w:val="en-US" w:eastAsia="zh-CN"/>
        </w:rPr>
      </w:pPr>
      <w:r>
        <w:rPr>
          <w:rFonts w:hint="eastAsia"/>
          <w:sz w:val="24"/>
          <w:lang w:val="en-US" w:eastAsia="zh-CN"/>
        </w:rPr>
        <w:t>附件12 污水处理站危险性废物清掏、处理服务合同</w:t>
      </w:r>
    </w:p>
    <w:p w14:paraId="22184463">
      <w:pPr>
        <w:pageBreakBefore w:val="0"/>
        <w:wordWrap/>
        <w:bidi w:val="0"/>
        <w:adjustRightInd w:val="0"/>
        <w:snapToGrid w:val="0"/>
        <w:rPr>
          <w:rStyle w:val="17"/>
          <w:rFonts w:hint="eastAsia"/>
        </w:rPr>
        <w:sectPr>
          <w:pgSz w:w="11906" w:h="16838"/>
          <w:pgMar w:top="1701" w:right="1531" w:bottom="1701" w:left="1531" w:header="1361" w:footer="1361" w:gutter="0"/>
          <w:pgBorders>
            <w:top w:val="none" w:sz="0" w:space="0"/>
            <w:left w:val="none" w:sz="0" w:space="0"/>
            <w:bottom w:val="none" w:sz="0" w:space="0"/>
            <w:right w:val="none" w:sz="0" w:space="0"/>
          </w:pgBorders>
          <w:pgNumType w:start="3"/>
          <w:cols w:space="720" w:num="1"/>
          <w:docGrid w:linePitch="312" w:charSpace="0"/>
        </w:sectPr>
      </w:pPr>
    </w:p>
    <w:p w14:paraId="6587EB1B">
      <w:pPr>
        <w:pStyle w:val="2"/>
        <w:bidi w:val="0"/>
        <w:rPr>
          <w:rFonts w:hint="eastAsia"/>
        </w:rPr>
      </w:pPr>
      <w:bookmarkStart w:id="1" w:name="_Toc6221"/>
      <w:bookmarkStart w:id="2" w:name="_Toc31794"/>
      <w:r>
        <w:rPr>
          <w:rFonts w:hint="eastAsia"/>
        </w:rPr>
        <w:t>建设项目基本情况</w:t>
      </w:r>
      <w:bookmarkEnd w:id="1"/>
      <w:bookmarkEnd w:id="2"/>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77"/>
        <w:gridCol w:w="15"/>
        <w:gridCol w:w="1117"/>
        <w:gridCol w:w="315"/>
        <w:gridCol w:w="2195"/>
        <w:gridCol w:w="1868"/>
        <w:gridCol w:w="2883"/>
      </w:tblGrid>
      <w:tr w14:paraId="3C18B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4" w:type="dxa"/>
            <w:gridSpan w:val="4"/>
            <w:noWrap w:val="0"/>
            <w:tcMar>
              <w:top w:w="16" w:type="dxa"/>
              <w:left w:w="16" w:type="dxa"/>
              <w:right w:w="16" w:type="dxa"/>
            </w:tcMar>
            <w:vAlign w:val="center"/>
          </w:tcPr>
          <w:p w14:paraId="250C014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建设项目名称</w:t>
            </w:r>
          </w:p>
        </w:tc>
        <w:tc>
          <w:tcPr>
            <w:tcW w:w="6946" w:type="dxa"/>
            <w:gridSpan w:val="3"/>
            <w:noWrap w:val="0"/>
            <w:vAlign w:val="center"/>
          </w:tcPr>
          <w:p w14:paraId="0F0AF75E">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Fonts w:hint="default"/>
                <w:lang w:val="en-US" w:eastAsia="zh-CN"/>
              </w:rPr>
            </w:pPr>
            <w:r>
              <w:rPr>
                <w:rStyle w:val="17"/>
                <w:rFonts w:hint="eastAsia"/>
                <w:lang w:val="en-US" w:eastAsia="zh-CN"/>
              </w:rPr>
              <w:t>遂宁市益民医院综合楼</w:t>
            </w:r>
            <w:r>
              <w:rPr>
                <w:rStyle w:val="17"/>
                <w:rFonts w:hint="eastAsia"/>
                <w:lang w:eastAsia="zh-CN"/>
              </w:rPr>
              <w:t>（门诊、住院）</w:t>
            </w:r>
          </w:p>
        </w:tc>
      </w:tr>
      <w:tr w14:paraId="576EB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4" w:type="dxa"/>
            <w:gridSpan w:val="4"/>
            <w:noWrap w:val="0"/>
            <w:tcMar>
              <w:top w:w="16" w:type="dxa"/>
              <w:left w:w="16" w:type="dxa"/>
              <w:right w:w="16" w:type="dxa"/>
            </w:tcMar>
            <w:vAlign w:val="center"/>
          </w:tcPr>
          <w:p w14:paraId="35C02D4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项目代码</w:t>
            </w:r>
          </w:p>
        </w:tc>
        <w:tc>
          <w:tcPr>
            <w:tcW w:w="6946" w:type="dxa"/>
            <w:gridSpan w:val="3"/>
            <w:noWrap w:val="0"/>
            <w:vAlign w:val="center"/>
          </w:tcPr>
          <w:p w14:paraId="43F64D42">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Fonts w:hint="default"/>
                <w:lang w:val="en-US" w:eastAsia="zh-CN"/>
              </w:rPr>
            </w:pPr>
            <w:r>
              <w:rPr>
                <w:rStyle w:val="17"/>
                <w:rFonts w:hint="eastAsia"/>
                <w:lang w:val="en-US" w:eastAsia="zh-CN"/>
              </w:rPr>
              <w:t>51090107092110024</w:t>
            </w:r>
          </w:p>
        </w:tc>
      </w:tr>
      <w:tr w14:paraId="759ED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4" w:type="dxa"/>
            <w:gridSpan w:val="4"/>
            <w:noWrap w:val="0"/>
            <w:tcMar>
              <w:top w:w="16" w:type="dxa"/>
              <w:left w:w="16" w:type="dxa"/>
              <w:right w:w="16" w:type="dxa"/>
            </w:tcMar>
            <w:vAlign w:val="center"/>
          </w:tcPr>
          <w:p w14:paraId="714C02E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建设单位联系人</w:t>
            </w:r>
          </w:p>
        </w:tc>
        <w:tc>
          <w:tcPr>
            <w:tcW w:w="2195" w:type="dxa"/>
            <w:noWrap w:val="0"/>
            <w:vAlign w:val="center"/>
          </w:tcPr>
          <w:p w14:paraId="50012D2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Fonts w:hint="eastAsia"/>
              </w:rPr>
            </w:pPr>
            <w:r>
              <w:rPr>
                <w:rStyle w:val="17"/>
                <w:rFonts w:hint="eastAsia"/>
              </w:rPr>
              <w:t>蒋万豪</w:t>
            </w:r>
          </w:p>
        </w:tc>
        <w:tc>
          <w:tcPr>
            <w:tcW w:w="1868" w:type="dxa"/>
            <w:noWrap w:val="0"/>
            <w:vAlign w:val="center"/>
          </w:tcPr>
          <w:p w14:paraId="23E7065A">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Pr>
            </w:pPr>
            <w:r>
              <w:rPr>
                <w:rStyle w:val="17"/>
              </w:rPr>
              <w:t>联系方式</w:t>
            </w:r>
          </w:p>
        </w:tc>
        <w:tc>
          <w:tcPr>
            <w:tcW w:w="2883" w:type="dxa"/>
            <w:noWrap w:val="0"/>
            <w:vAlign w:val="center"/>
          </w:tcPr>
          <w:p w14:paraId="2E49B02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Pr>
            </w:pPr>
            <w:r>
              <w:rPr>
                <w:rStyle w:val="17"/>
                <w:rFonts w:hint="eastAsia"/>
              </w:rPr>
              <w:t>15328538266</w:t>
            </w:r>
          </w:p>
        </w:tc>
      </w:tr>
      <w:tr w14:paraId="5E8E4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1924" w:type="dxa"/>
            <w:gridSpan w:val="4"/>
            <w:noWrap w:val="0"/>
            <w:tcMar>
              <w:top w:w="16" w:type="dxa"/>
              <w:left w:w="16" w:type="dxa"/>
              <w:right w:w="16" w:type="dxa"/>
            </w:tcMar>
            <w:vAlign w:val="center"/>
          </w:tcPr>
          <w:p w14:paraId="7DEE221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建设地点</w:t>
            </w:r>
          </w:p>
        </w:tc>
        <w:tc>
          <w:tcPr>
            <w:tcW w:w="6946" w:type="dxa"/>
            <w:gridSpan w:val="3"/>
            <w:noWrap w:val="0"/>
            <w:vAlign w:val="center"/>
          </w:tcPr>
          <w:p w14:paraId="28FE6E4F">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Fonts w:hint="eastAsia"/>
              </w:rPr>
            </w:pPr>
            <w:r>
              <w:rPr>
                <w:rStyle w:val="17"/>
                <w:rFonts w:hint="eastAsia"/>
                <w:lang w:eastAsia="zh-CN"/>
              </w:rPr>
              <w:t>四川省</w:t>
            </w:r>
            <w:r>
              <w:rPr>
                <w:rStyle w:val="17"/>
                <w:rFonts w:hint="eastAsia"/>
              </w:rPr>
              <w:t>遂宁市船山区开善东路32</w:t>
            </w:r>
            <w:r>
              <w:rPr>
                <w:rStyle w:val="17"/>
                <w:rFonts w:hint="eastAsia"/>
                <w:lang w:val="en-US" w:eastAsia="zh-CN"/>
              </w:rPr>
              <w:t>7</w:t>
            </w:r>
            <w:r>
              <w:rPr>
                <w:rStyle w:val="17"/>
                <w:rFonts w:hint="eastAsia"/>
              </w:rPr>
              <w:t>号</w:t>
            </w:r>
          </w:p>
        </w:tc>
      </w:tr>
      <w:tr w14:paraId="54F413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4" w:type="dxa"/>
            <w:gridSpan w:val="4"/>
            <w:noWrap w:val="0"/>
            <w:tcMar>
              <w:top w:w="16" w:type="dxa"/>
              <w:left w:w="16" w:type="dxa"/>
              <w:right w:w="16" w:type="dxa"/>
            </w:tcMar>
            <w:vAlign w:val="center"/>
          </w:tcPr>
          <w:p w14:paraId="580D60BA">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地理坐标</w:t>
            </w:r>
          </w:p>
        </w:tc>
        <w:tc>
          <w:tcPr>
            <w:tcW w:w="6946" w:type="dxa"/>
            <w:gridSpan w:val="3"/>
            <w:noWrap w:val="0"/>
            <w:vAlign w:val="center"/>
          </w:tcPr>
          <w:p w14:paraId="610FC07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Fonts w:hint="default"/>
                <w:lang w:val="en-US" w:eastAsia="zh-CN"/>
              </w:rPr>
            </w:pPr>
            <w:r>
              <w:rPr>
                <w:rStyle w:val="17"/>
                <w:rFonts w:hint="eastAsia"/>
                <w:lang w:val="en-US" w:eastAsia="zh-CN"/>
              </w:rPr>
              <w:t>E</w:t>
            </w:r>
            <w:r>
              <w:rPr>
                <w:rStyle w:val="17"/>
              </w:rPr>
              <w:t>10</w:t>
            </w:r>
            <w:r>
              <w:rPr>
                <w:rStyle w:val="17"/>
                <w:rFonts w:hint="eastAsia"/>
              </w:rPr>
              <w:t>5</w:t>
            </w:r>
            <w:r>
              <w:rPr>
                <w:rStyle w:val="17"/>
              </w:rPr>
              <w:t>°</w:t>
            </w:r>
            <w:r>
              <w:rPr>
                <w:rStyle w:val="17"/>
                <w:rFonts w:hint="eastAsia"/>
              </w:rPr>
              <w:t>35</w:t>
            </w:r>
            <w:r>
              <w:rPr>
                <w:rStyle w:val="17"/>
              </w:rPr>
              <w:t>′</w:t>
            </w:r>
            <w:r>
              <w:rPr>
                <w:rStyle w:val="17"/>
                <w:rFonts w:hint="eastAsia"/>
              </w:rPr>
              <w:t>28.269</w:t>
            </w:r>
            <w:r>
              <w:rPr>
                <w:rStyle w:val="17"/>
              </w:rPr>
              <w:t>″，</w:t>
            </w:r>
            <w:r>
              <w:rPr>
                <w:rStyle w:val="17"/>
                <w:rFonts w:hint="eastAsia"/>
                <w:lang w:val="en-US" w:eastAsia="zh-CN"/>
              </w:rPr>
              <w:t>N</w:t>
            </w:r>
            <w:r>
              <w:rPr>
                <w:rStyle w:val="17"/>
                <w:rFonts w:hint="eastAsia"/>
              </w:rPr>
              <w:t>30</w:t>
            </w:r>
            <w:r>
              <w:rPr>
                <w:rStyle w:val="17"/>
              </w:rPr>
              <w:t>°</w:t>
            </w:r>
            <w:r>
              <w:rPr>
                <w:rStyle w:val="17"/>
                <w:rFonts w:hint="eastAsia"/>
              </w:rPr>
              <w:t>29</w:t>
            </w:r>
            <w:r>
              <w:rPr>
                <w:rStyle w:val="17"/>
              </w:rPr>
              <w:t>′</w:t>
            </w:r>
            <w:r>
              <w:rPr>
                <w:rStyle w:val="17"/>
                <w:rFonts w:hint="eastAsia"/>
              </w:rPr>
              <w:t>47.296</w:t>
            </w:r>
            <w:r>
              <w:rPr>
                <w:rStyle w:val="17"/>
              </w:rPr>
              <w:t>″</w:t>
            </w:r>
          </w:p>
        </w:tc>
      </w:tr>
      <w:tr w14:paraId="24417D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24" w:type="dxa"/>
            <w:gridSpan w:val="4"/>
            <w:noWrap w:val="0"/>
            <w:tcMar>
              <w:top w:w="16" w:type="dxa"/>
              <w:left w:w="16" w:type="dxa"/>
              <w:right w:w="16" w:type="dxa"/>
            </w:tcMar>
            <w:vAlign w:val="center"/>
          </w:tcPr>
          <w:p w14:paraId="4330E5CD">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国民经济</w:t>
            </w:r>
          </w:p>
          <w:p w14:paraId="2576569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行业类别</w:t>
            </w:r>
          </w:p>
        </w:tc>
        <w:tc>
          <w:tcPr>
            <w:tcW w:w="2195" w:type="dxa"/>
            <w:noWrap w:val="0"/>
            <w:vAlign w:val="center"/>
          </w:tcPr>
          <w:p w14:paraId="24F26E9A">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Pr>
            </w:pPr>
            <w:r>
              <w:rPr>
                <w:rStyle w:val="17"/>
              </w:rPr>
              <w:t>Q841</w:t>
            </w:r>
            <w:r>
              <w:rPr>
                <w:rStyle w:val="17"/>
                <w:rFonts w:hint="eastAsia"/>
              </w:rPr>
              <w:t>1综合</w:t>
            </w:r>
            <w:r>
              <w:rPr>
                <w:rStyle w:val="17"/>
              </w:rPr>
              <w:t>医院</w:t>
            </w:r>
          </w:p>
        </w:tc>
        <w:tc>
          <w:tcPr>
            <w:tcW w:w="1868" w:type="dxa"/>
            <w:noWrap w:val="0"/>
            <w:vAlign w:val="center"/>
          </w:tcPr>
          <w:p w14:paraId="54C8CB7E">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bookmarkStart w:id="3" w:name="_Hlk49843745"/>
            <w:r>
              <w:rPr>
                <w:rStyle w:val="17"/>
                <w:b/>
                <w:bCs/>
              </w:rPr>
              <w:t>建设项目</w:t>
            </w:r>
          </w:p>
          <w:p w14:paraId="58D55B13">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行业类别</w:t>
            </w:r>
            <w:bookmarkEnd w:id="3"/>
          </w:p>
        </w:tc>
        <w:tc>
          <w:tcPr>
            <w:tcW w:w="2883" w:type="dxa"/>
            <w:noWrap w:val="0"/>
            <w:vAlign w:val="center"/>
          </w:tcPr>
          <w:p w14:paraId="2B078EF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Pr>
            </w:pPr>
            <w:r>
              <w:rPr>
                <w:rStyle w:val="17"/>
              </w:rPr>
              <w:t>四十九、卫生84</w:t>
            </w:r>
            <w:r>
              <w:rPr>
                <w:rStyle w:val="17"/>
                <w:rFonts w:hint="eastAsia"/>
              </w:rPr>
              <w:t>1医院-其他（住院床位20张以下的除外）</w:t>
            </w:r>
          </w:p>
        </w:tc>
      </w:tr>
      <w:tr w14:paraId="3E4D9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24" w:type="dxa"/>
            <w:gridSpan w:val="4"/>
            <w:noWrap w:val="0"/>
            <w:tcMar>
              <w:top w:w="16" w:type="dxa"/>
              <w:left w:w="16" w:type="dxa"/>
              <w:right w:w="16" w:type="dxa"/>
            </w:tcMar>
            <w:vAlign w:val="center"/>
          </w:tcPr>
          <w:p w14:paraId="5037C29D">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建设性质</w:t>
            </w:r>
          </w:p>
        </w:tc>
        <w:tc>
          <w:tcPr>
            <w:tcW w:w="2195" w:type="dxa"/>
            <w:noWrap w:val="0"/>
            <w:vAlign w:val="center"/>
          </w:tcPr>
          <w:p w14:paraId="61AC708D">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rPr>
                <w:rStyle w:val="17"/>
              </w:rPr>
            </w:pPr>
            <w:r>
              <w:rPr>
                <w:rStyle w:val="17"/>
              </w:rPr>
              <w:sym w:font="Wingdings 2" w:char="0052"/>
            </w:r>
            <w:r>
              <w:rPr>
                <w:rStyle w:val="17"/>
              </w:rPr>
              <w:t>新建（迁建）</w:t>
            </w:r>
          </w:p>
          <w:p w14:paraId="308F600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rPr>
                <w:rStyle w:val="17"/>
              </w:rPr>
            </w:pPr>
            <w:r>
              <w:rPr>
                <w:rStyle w:val="17"/>
              </w:rPr>
              <w:sym w:font="Wingdings 2" w:char="00A3"/>
            </w:r>
            <w:r>
              <w:rPr>
                <w:rStyle w:val="17"/>
              </w:rPr>
              <w:t>改建</w:t>
            </w:r>
          </w:p>
          <w:p w14:paraId="7EE22F7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rPr>
                <w:rStyle w:val="17"/>
              </w:rPr>
            </w:pPr>
            <w:r>
              <w:rPr>
                <w:rStyle w:val="17"/>
              </w:rPr>
              <w:sym w:font="Wingdings 2" w:char="00A3"/>
            </w:r>
            <w:r>
              <w:rPr>
                <w:rStyle w:val="17"/>
              </w:rPr>
              <w:t>扩建</w:t>
            </w:r>
          </w:p>
          <w:p w14:paraId="33CC9A1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rPr>
                <w:rStyle w:val="17"/>
              </w:rPr>
            </w:pPr>
            <w:r>
              <w:rPr>
                <w:rStyle w:val="17"/>
              </w:rPr>
              <w:sym w:font="Wingdings 2" w:char="00A3"/>
            </w:r>
            <w:r>
              <w:rPr>
                <w:rStyle w:val="17"/>
              </w:rPr>
              <w:t>技术改造</w:t>
            </w:r>
          </w:p>
        </w:tc>
        <w:tc>
          <w:tcPr>
            <w:tcW w:w="1868" w:type="dxa"/>
            <w:noWrap w:val="0"/>
            <w:vAlign w:val="center"/>
          </w:tcPr>
          <w:p w14:paraId="424BEF5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建设项目</w:t>
            </w:r>
          </w:p>
          <w:p w14:paraId="74FB3D12">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申报情形</w:t>
            </w:r>
          </w:p>
        </w:tc>
        <w:tc>
          <w:tcPr>
            <w:tcW w:w="2883" w:type="dxa"/>
            <w:noWrap w:val="0"/>
            <w:vAlign w:val="top"/>
          </w:tcPr>
          <w:p w14:paraId="0BA163A3">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rPr>
                <w:rStyle w:val="17"/>
              </w:rPr>
            </w:pPr>
            <w:r>
              <w:rPr>
                <w:rStyle w:val="17"/>
              </w:rPr>
              <w:sym w:font="Wingdings 2" w:char="0052"/>
            </w:r>
            <w:r>
              <w:rPr>
                <w:rStyle w:val="17"/>
              </w:rPr>
              <w:t>首次申报项目</w:t>
            </w:r>
          </w:p>
          <w:p w14:paraId="5E547A8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rPr>
                <w:rStyle w:val="17"/>
              </w:rPr>
            </w:pPr>
            <w:r>
              <w:rPr>
                <w:rStyle w:val="17"/>
              </w:rPr>
              <w:sym w:font="Wingdings 2" w:char="00A3"/>
            </w:r>
            <w:r>
              <w:rPr>
                <w:rStyle w:val="17"/>
              </w:rPr>
              <w:t>不予批准后再次申报项目</w:t>
            </w:r>
          </w:p>
          <w:p w14:paraId="42FD7720">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rPr>
                <w:rStyle w:val="17"/>
              </w:rPr>
            </w:pPr>
            <w:r>
              <w:rPr>
                <w:rStyle w:val="17"/>
              </w:rPr>
              <w:sym w:font="Wingdings 2" w:char="00A3"/>
            </w:r>
            <w:r>
              <w:rPr>
                <w:rStyle w:val="17"/>
              </w:rPr>
              <w:t>超五年重新审核项目</w:t>
            </w:r>
          </w:p>
          <w:p w14:paraId="501D1380">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rPr>
                <w:rStyle w:val="17"/>
              </w:rPr>
            </w:pPr>
            <w:r>
              <w:rPr>
                <w:rStyle w:val="17"/>
              </w:rPr>
              <w:sym w:font="Wingdings 2" w:char="00A3"/>
            </w:r>
            <w:r>
              <w:rPr>
                <w:rStyle w:val="17"/>
              </w:rPr>
              <w:t>重大变动重新报批项目</w:t>
            </w:r>
          </w:p>
        </w:tc>
      </w:tr>
      <w:tr w14:paraId="6C1228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24" w:type="dxa"/>
            <w:gridSpan w:val="4"/>
            <w:noWrap w:val="0"/>
            <w:tcMar>
              <w:top w:w="16" w:type="dxa"/>
              <w:left w:w="16" w:type="dxa"/>
              <w:right w:w="16" w:type="dxa"/>
            </w:tcMar>
            <w:vAlign w:val="center"/>
          </w:tcPr>
          <w:p w14:paraId="7A2D800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项目审批（核准/备案）部门（选填）</w:t>
            </w:r>
          </w:p>
        </w:tc>
        <w:tc>
          <w:tcPr>
            <w:tcW w:w="2195" w:type="dxa"/>
            <w:noWrap w:val="0"/>
            <w:vAlign w:val="center"/>
          </w:tcPr>
          <w:p w14:paraId="20277645">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Pr>
            </w:pPr>
            <w:r>
              <w:rPr>
                <w:rStyle w:val="17"/>
                <w:rFonts w:hint="eastAsia"/>
              </w:rPr>
              <w:t>遂宁市</w:t>
            </w:r>
            <w:r>
              <w:rPr>
                <w:rStyle w:val="17"/>
              </w:rPr>
              <w:t>发展和改革</w:t>
            </w:r>
            <w:r>
              <w:rPr>
                <w:rStyle w:val="17"/>
                <w:rFonts w:hint="eastAsia"/>
              </w:rPr>
              <w:t>委员会</w:t>
            </w:r>
          </w:p>
        </w:tc>
        <w:tc>
          <w:tcPr>
            <w:tcW w:w="1868" w:type="dxa"/>
            <w:noWrap w:val="0"/>
            <w:vAlign w:val="center"/>
          </w:tcPr>
          <w:p w14:paraId="0EB5478E">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项目审批（核准/</w:t>
            </w:r>
          </w:p>
          <w:p w14:paraId="549D5D6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备案）文号（选填）</w:t>
            </w:r>
          </w:p>
        </w:tc>
        <w:tc>
          <w:tcPr>
            <w:tcW w:w="2883" w:type="dxa"/>
            <w:noWrap w:val="0"/>
            <w:vAlign w:val="center"/>
          </w:tcPr>
          <w:p w14:paraId="6F55D50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Fonts w:hint="eastAsia"/>
                <w:lang w:eastAsia="zh-CN"/>
              </w:rPr>
            </w:pPr>
            <w:r>
              <w:rPr>
                <w:rStyle w:val="17"/>
                <w:rFonts w:hint="eastAsia"/>
                <w:lang w:val="en-US" w:eastAsia="zh-CN"/>
              </w:rPr>
              <w:t>51090107092110024</w:t>
            </w:r>
          </w:p>
        </w:tc>
      </w:tr>
      <w:tr w14:paraId="5E434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4" w:type="dxa"/>
            <w:gridSpan w:val="4"/>
            <w:noWrap w:val="0"/>
            <w:tcMar>
              <w:top w:w="16" w:type="dxa"/>
              <w:left w:w="16" w:type="dxa"/>
              <w:right w:w="16" w:type="dxa"/>
            </w:tcMar>
            <w:vAlign w:val="center"/>
          </w:tcPr>
          <w:p w14:paraId="53A75AA2">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总投资（万元）</w:t>
            </w:r>
          </w:p>
        </w:tc>
        <w:tc>
          <w:tcPr>
            <w:tcW w:w="2195" w:type="dxa"/>
            <w:noWrap w:val="0"/>
            <w:vAlign w:val="center"/>
          </w:tcPr>
          <w:p w14:paraId="60636A4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Pr>
            </w:pPr>
            <w:r>
              <w:rPr>
                <w:rStyle w:val="17"/>
                <w:rFonts w:hint="eastAsia"/>
              </w:rPr>
              <w:t>600</w:t>
            </w:r>
          </w:p>
        </w:tc>
        <w:tc>
          <w:tcPr>
            <w:tcW w:w="1868" w:type="dxa"/>
            <w:noWrap w:val="0"/>
            <w:tcMar>
              <w:top w:w="16" w:type="dxa"/>
              <w:left w:w="16" w:type="dxa"/>
              <w:right w:w="16" w:type="dxa"/>
            </w:tcMar>
            <w:vAlign w:val="center"/>
          </w:tcPr>
          <w:p w14:paraId="6D2CB6C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环保投资（万元）</w:t>
            </w:r>
          </w:p>
        </w:tc>
        <w:tc>
          <w:tcPr>
            <w:tcW w:w="2883" w:type="dxa"/>
            <w:noWrap w:val="0"/>
            <w:vAlign w:val="center"/>
          </w:tcPr>
          <w:p w14:paraId="20E5FAD5">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Fonts w:hint="eastAsia"/>
                <w:lang w:eastAsia="zh-CN"/>
              </w:rPr>
            </w:pPr>
            <w:r>
              <w:rPr>
                <w:rStyle w:val="17"/>
                <w:rFonts w:hint="eastAsia"/>
                <w:lang w:val="en-US" w:eastAsia="zh-CN"/>
              </w:rPr>
              <w:t>8</w:t>
            </w:r>
          </w:p>
        </w:tc>
      </w:tr>
      <w:tr w14:paraId="3F812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4" w:type="dxa"/>
            <w:gridSpan w:val="4"/>
            <w:noWrap w:val="0"/>
            <w:tcMar>
              <w:top w:w="16" w:type="dxa"/>
              <w:left w:w="16" w:type="dxa"/>
              <w:right w:w="16" w:type="dxa"/>
            </w:tcMar>
            <w:vAlign w:val="center"/>
          </w:tcPr>
          <w:p w14:paraId="7A1F7046">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环保投资占比（%）</w:t>
            </w:r>
          </w:p>
        </w:tc>
        <w:tc>
          <w:tcPr>
            <w:tcW w:w="2195" w:type="dxa"/>
            <w:noWrap w:val="0"/>
            <w:vAlign w:val="center"/>
          </w:tcPr>
          <w:p w14:paraId="2337CC86">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Pr>
            </w:pPr>
            <w:r>
              <w:rPr>
                <w:rStyle w:val="17"/>
                <w:rFonts w:hint="eastAsia"/>
                <w:lang w:val="en-US" w:eastAsia="zh-CN"/>
              </w:rPr>
              <w:t>1</w:t>
            </w:r>
            <w:r>
              <w:rPr>
                <w:rStyle w:val="17"/>
                <w:rFonts w:hint="eastAsia"/>
              </w:rPr>
              <w:t>.33%</w:t>
            </w:r>
          </w:p>
        </w:tc>
        <w:tc>
          <w:tcPr>
            <w:tcW w:w="1868" w:type="dxa"/>
            <w:noWrap w:val="0"/>
            <w:tcMar>
              <w:top w:w="16" w:type="dxa"/>
              <w:left w:w="16" w:type="dxa"/>
              <w:right w:w="16" w:type="dxa"/>
            </w:tcMar>
            <w:vAlign w:val="center"/>
          </w:tcPr>
          <w:p w14:paraId="6D9E3F02">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施工工期</w:t>
            </w:r>
          </w:p>
        </w:tc>
        <w:tc>
          <w:tcPr>
            <w:tcW w:w="2883" w:type="dxa"/>
            <w:noWrap w:val="0"/>
            <w:vAlign w:val="center"/>
          </w:tcPr>
          <w:p w14:paraId="30472E30">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Fonts w:hint="eastAsia"/>
              </w:rPr>
            </w:pPr>
            <w:r>
              <w:rPr>
                <w:rStyle w:val="17"/>
                <w:rFonts w:hint="eastAsia"/>
              </w:rPr>
              <w:t>已建成</w:t>
            </w:r>
          </w:p>
        </w:tc>
      </w:tr>
      <w:tr w14:paraId="62EAA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4" w:type="dxa"/>
            <w:gridSpan w:val="4"/>
            <w:noWrap w:val="0"/>
            <w:tcMar>
              <w:top w:w="16" w:type="dxa"/>
              <w:left w:w="16" w:type="dxa"/>
              <w:right w:w="16" w:type="dxa"/>
            </w:tcMar>
            <w:vAlign w:val="center"/>
          </w:tcPr>
          <w:p w14:paraId="7AA8579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是否开工建设</w:t>
            </w:r>
          </w:p>
        </w:tc>
        <w:tc>
          <w:tcPr>
            <w:tcW w:w="2195" w:type="dxa"/>
            <w:noWrap w:val="0"/>
            <w:vAlign w:val="center"/>
          </w:tcPr>
          <w:p w14:paraId="0955D08A">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rPr>
                <w:rStyle w:val="17"/>
              </w:rPr>
            </w:pPr>
            <w:r>
              <w:rPr>
                <w:rStyle w:val="17"/>
              </w:rPr>
              <w:sym w:font="Wingdings 2" w:char="00A3"/>
            </w:r>
            <w:r>
              <w:rPr>
                <w:rStyle w:val="17"/>
              </w:rPr>
              <w:t>否</w:t>
            </w:r>
          </w:p>
          <w:p w14:paraId="4EDF0955">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rPr>
                <w:rStyle w:val="17"/>
              </w:rPr>
            </w:pPr>
            <w:r>
              <w:rPr>
                <w:rStyle w:val="17"/>
              </w:rPr>
              <w:sym w:font="Wingdings 2" w:char="0052"/>
            </w:r>
            <w:r>
              <w:rPr>
                <w:rStyle w:val="17"/>
              </w:rPr>
              <w:t>是：</w:t>
            </w:r>
            <w:r>
              <w:rPr>
                <w:rStyle w:val="17"/>
                <w:rFonts w:hint="eastAsia"/>
                <w:u w:val="single"/>
              </w:rPr>
              <w:t>未批先建，已建成，不处罚</w:t>
            </w:r>
          </w:p>
        </w:tc>
        <w:tc>
          <w:tcPr>
            <w:tcW w:w="1868" w:type="dxa"/>
            <w:noWrap w:val="0"/>
            <w:tcMar>
              <w:top w:w="16" w:type="dxa"/>
              <w:left w:w="16" w:type="dxa"/>
              <w:right w:w="16" w:type="dxa"/>
            </w:tcMar>
            <w:vAlign w:val="center"/>
          </w:tcPr>
          <w:p w14:paraId="53CFC0FF">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用地（用海）</w:t>
            </w:r>
          </w:p>
          <w:p w14:paraId="25D3F3B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b/>
                <w:bCs/>
              </w:rPr>
            </w:pPr>
            <w:r>
              <w:rPr>
                <w:rStyle w:val="17"/>
                <w:b/>
                <w:bCs/>
              </w:rPr>
              <w:t>面积（m</w:t>
            </w:r>
            <w:r>
              <w:rPr>
                <w:rStyle w:val="17"/>
                <w:b/>
                <w:bCs/>
                <w:vertAlign w:val="superscript"/>
              </w:rPr>
              <w:t>2</w:t>
            </w:r>
            <w:r>
              <w:rPr>
                <w:rStyle w:val="17"/>
                <w:b/>
                <w:bCs/>
              </w:rPr>
              <w:t>）</w:t>
            </w:r>
          </w:p>
        </w:tc>
        <w:tc>
          <w:tcPr>
            <w:tcW w:w="2883" w:type="dxa"/>
            <w:noWrap w:val="0"/>
            <w:vAlign w:val="center"/>
          </w:tcPr>
          <w:p w14:paraId="37351ECE">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Style w:val="17"/>
                <w:rFonts w:hint="eastAsia"/>
              </w:rPr>
            </w:pPr>
            <w:r>
              <w:rPr>
                <w:rStyle w:val="17"/>
                <w:rFonts w:hint="eastAsia"/>
              </w:rPr>
              <w:t>621.22</w:t>
            </w:r>
          </w:p>
        </w:tc>
      </w:tr>
      <w:tr w14:paraId="5322A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92" w:type="dxa"/>
            <w:gridSpan w:val="2"/>
            <w:noWrap w:val="0"/>
            <w:vAlign w:val="center"/>
          </w:tcPr>
          <w:p w14:paraId="7BDB4C84">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kern w:val="0"/>
                <w:szCs w:val="21"/>
              </w:rPr>
            </w:pPr>
            <w:r>
              <w:rPr>
                <w:rStyle w:val="17"/>
                <w:b/>
                <w:bCs/>
              </w:rPr>
              <w:t>专项评价设置情况</w:t>
            </w:r>
          </w:p>
        </w:tc>
        <w:tc>
          <w:tcPr>
            <w:tcW w:w="8378" w:type="dxa"/>
            <w:gridSpan w:val="5"/>
            <w:noWrap w:val="0"/>
            <w:vAlign w:val="center"/>
          </w:tcPr>
          <w:p w14:paraId="67A1A65B">
            <w:pPr>
              <w:pStyle w:val="25"/>
              <w:bidi w:val="0"/>
              <w:rPr>
                <w:szCs w:val="24"/>
              </w:rPr>
            </w:pPr>
            <w:r>
              <w:rPr>
                <w:szCs w:val="24"/>
              </w:rPr>
              <w:t>根据《建设项目环境影响报告表编制技术指南（污染影响类）（试行）》，建设项目产生的环境影响需要深入论证的，应按照环境影响评价相关技术导则开展专项评价工作。根据建设项目排污情况及所涉环境敏感程度，确定专项评价的类别。本项目大气、地表水、环境风险、生态和海洋专项评价具体设置情况见</w:t>
            </w:r>
            <w:r>
              <w:rPr>
                <w:rFonts w:hint="eastAsia"/>
                <w:lang w:eastAsia="zh-CN"/>
              </w:rPr>
              <w:t>下表</w:t>
            </w:r>
            <w:r>
              <w:rPr>
                <w:szCs w:val="24"/>
              </w:rPr>
              <w:t>。</w:t>
            </w:r>
          </w:p>
          <w:p w14:paraId="51A7430C">
            <w:pPr>
              <w:pStyle w:val="22"/>
              <w:bidi w:val="0"/>
              <w:rPr>
                <w:lang w:val="en-US" w:eastAsia="zh-CN"/>
              </w:rPr>
            </w:pPr>
            <w:r>
              <w:rPr>
                <w:lang w:val="en-US" w:eastAsia="zh-CN"/>
              </w:rPr>
              <w:t>本项目专项评价设置一览表</w:t>
            </w:r>
          </w:p>
          <w:tbl>
            <w:tblPr>
              <w:tblStyle w:val="1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2883"/>
              <w:gridCol w:w="2899"/>
              <w:gridCol w:w="995"/>
            </w:tblGrid>
            <w:tr w14:paraId="090C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pct"/>
                  <w:noWrap w:val="0"/>
                  <w:vAlign w:val="center"/>
                </w:tcPr>
                <w:p w14:paraId="26CFB77D">
                  <w:pPr>
                    <w:pStyle w:val="23"/>
                    <w:bidi w:val="0"/>
                    <w:adjustRightInd/>
                    <w:snapToGrid/>
                    <w:rPr>
                      <w:rFonts w:hint="eastAsia" w:cs="Times New Roman"/>
                      <w:lang w:val="en-US" w:eastAsia="zh-CN" w:bidi="ar-SA"/>
                    </w:rPr>
                  </w:pPr>
                  <w:r>
                    <w:rPr>
                      <w:rFonts w:hint="eastAsia" w:cs="Times New Roman"/>
                      <w:lang w:val="en-US" w:eastAsia="zh-CN" w:bidi="ar-SA"/>
                    </w:rPr>
                    <w:t>专项评价的类别</w:t>
                  </w:r>
                </w:p>
              </w:tc>
              <w:tc>
                <w:tcPr>
                  <w:tcW w:w="1769" w:type="pct"/>
                  <w:noWrap w:val="0"/>
                  <w:vAlign w:val="center"/>
                </w:tcPr>
                <w:p w14:paraId="0AC30746">
                  <w:pPr>
                    <w:pStyle w:val="23"/>
                    <w:bidi w:val="0"/>
                    <w:adjustRightInd/>
                    <w:snapToGrid/>
                    <w:rPr>
                      <w:rFonts w:hint="eastAsia" w:cs="Times New Roman"/>
                      <w:lang w:val="en-US" w:eastAsia="zh-CN" w:bidi="ar-SA"/>
                    </w:rPr>
                  </w:pPr>
                  <w:r>
                    <w:rPr>
                      <w:rFonts w:hint="eastAsia" w:cs="Times New Roman"/>
                      <w:lang w:val="en-US" w:eastAsia="zh-CN" w:bidi="ar-SA"/>
                    </w:rPr>
                    <w:t>设置原则</w:t>
                  </w:r>
                </w:p>
              </w:tc>
              <w:tc>
                <w:tcPr>
                  <w:tcW w:w="1779" w:type="pct"/>
                  <w:noWrap w:val="0"/>
                  <w:vAlign w:val="center"/>
                </w:tcPr>
                <w:p w14:paraId="579A5E5B">
                  <w:pPr>
                    <w:pStyle w:val="23"/>
                    <w:bidi w:val="0"/>
                    <w:adjustRightInd/>
                    <w:snapToGrid/>
                    <w:rPr>
                      <w:rFonts w:hint="eastAsia" w:cs="Times New Roman"/>
                      <w:lang w:val="en-US" w:eastAsia="zh-CN" w:bidi="ar-SA"/>
                    </w:rPr>
                  </w:pPr>
                  <w:r>
                    <w:rPr>
                      <w:rFonts w:hint="eastAsia" w:cs="Times New Roman"/>
                      <w:lang w:val="en-US" w:eastAsia="zh-CN" w:bidi="ar-SA"/>
                    </w:rPr>
                    <w:t>本项目</w:t>
                  </w:r>
                </w:p>
              </w:tc>
              <w:tc>
                <w:tcPr>
                  <w:tcW w:w="608" w:type="pct"/>
                  <w:noWrap w:val="0"/>
                  <w:vAlign w:val="center"/>
                </w:tcPr>
                <w:p w14:paraId="3AACED3C">
                  <w:pPr>
                    <w:pStyle w:val="23"/>
                    <w:bidi w:val="0"/>
                    <w:adjustRightInd/>
                    <w:snapToGrid/>
                    <w:rPr>
                      <w:rFonts w:hint="eastAsia" w:cs="Times New Roman"/>
                      <w:lang w:val="en-US" w:eastAsia="zh-CN" w:bidi="ar-SA"/>
                    </w:rPr>
                  </w:pPr>
                  <w:r>
                    <w:rPr>
                      <w:rFonts w:hint="eastAsia" w:cs="Times New Roman"/>
                      <w:lang w:val="en-US" w:eastAsia="zh-CN" w:bidi="ar-SA"/>
                    </w:rPr>
                    <w:t>是否设置</w:t>
                  </w:r>
                </w:p>
              </w:tc>
            </w:tr>
            <w:tr w14:paraId="148F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842" w:type="pct"/>
                  <w:noWrap w:val="0"/>
                  <w:vAlign w:val="center"/>
                </w:tcPr>
                <w:p w14:paraId="2E703120">
                  <w:pPr>
                    <w:pStyle w:val="23"/>
                    <w:bidi w:val="0"/>
                    <w:adjustRightInd/>
                    <w:snapToGrid/>
                    <w:rPr>
                      <w:rFonts w:hint="eastAsia" w:cs="Times New Roman"/>
                      <w:lang w:val="en-US" w:eastAsia="zh-CN" w:bidi="ar-SA"/>
                    </w:rPr>
                  </w:pPr>
                  <w:r>
                    <w:rPr>
                      <w:rFonts w:hint="eastAsia" w:cs="Times New Roman"/>
                      <w:lang w:val="en-US" w:eastAsia="zh-CN" w:bidi="ar-SA"/>
                    </w:rPr>
                    <w:t>大气</w:t>
                  </w:r>
                </w:p>
              </w:tc>
              <w:tc>
                <w:tcPr>
                  <w:tcW w:w="1769" w:type="pct"/>
                  <w:noWrap w:val="0"/>
                  <w:vAlign w:val="center"/>
                </w:tcPr>
                <w:p w14:paraId="12EFE5FD">
                  <w:pPr>
                    <w:pStyle w:val="23"/>
                    <w:bidi w:val="0"/>
                    <w:adjustRightInd/>
                    <w:snapToGrid/>
                    <w:rPr>
                      <w:rFonts w:hint="eastAsia" w:cs="Times New Roman"/>
                      <w:lang w:val="en-US" w:eastAsia="zh-CN" w:bidi="ar-SA"/>
                    </w:rPr>
                  </w:pPr>
                  <w:r>
                    <w:rPr>
                      <w:rFonts w:hint="eastAsia" w:cs="Times New Roman"/>
                      <w:lang w:val="en-US" w:eastAsia="zh-CN" w:bidi="ar-SA"/>
                    </w:rPr>
                    <w:t>排放废气含有毒有害污染物1、二噁英、苯并[a]芘、氰化物、氯气且厂界外500米范围内有环境空气保护目标2的建设项目</w:t>
                  </w:r>
                </w:p>
              </w:tc>
              <w:tc>
                <w:tcPr>
                  <w:tcW w:w="1779" w:type="pct"/>
                  <w:noWrap w:val="0"/>
                  <w:vAlign w:val="center"/>
                </w:tcPr>
                <w:p w14:paraId="491969A7">
                  <w:pPr>
                    <w:pStyle w:val="23"/>
                    <w:bidi w:val="0"/>
                    <w:adjustRightInd/>
                    <w:snapToGrid/>
                    <w:rPr>
                      <w:rFonts w:hint="eastAsia" w:cs="Times New Roman"/>
                      <w:lang w:val="en-US" w:eastAsia="zh-CN" w:bidi="ar-SA"/>
                    </w:rPr>
                  </w:pPr>
                  <w:r>
                    <w:rPr>
                      <w:rFonts w:hint="eastAsia" w:cs="Times New Roman"/>
                      <w:lang w:val="en-US" w:eastAsia="zh-CN" w:bidi="ar-SA"/>
                    </w:rPr>
                    <w:t>本项目不属于排放废气含有毒有害污染物1、二噁英、苯并[a]芘、氰化物、氯气</w:t>
                  </w:r>
                </w:p>
              </w:tc>
              <w:tc>
                <w:tcPr>
                  <w:tcW w:w="608" w:type="pct"/>
                  <w:noWrap w:val="0"/>
                  <w:vAlign w:val="center"/>
                </w:tcPr>
                <w:p w14:paraId="01C93CF4">
                  <w:pPr>
                    <w:pStyle w:val="23"/>
                    <w:bidi w:val="0"/>
                    <w:adjustRightInd/>
                    <w:snapToGrid/>
                    <w:rPr>
                      <w:rFonts w:hint="eastAsia" w:cs="Times New Roman"/>
                      <w:lang w:val="en-US" w:eastAsia="zh-CN" w:bidi="ar-SA"/>
                    </w:rPr>
                  </w:pPr>
                  <w:r>
                    <w:rPr>
                      <w:rFonts w:hint="eastAsia" w:cs="Times New Roman"/>
                      <w:lang w:val="en-US" w:eastAsia="zh-CN" w:bidi="ar-SA"/>
                    </w:rPr>
                    <w:t>否</w:t>
                  </w:r>
                </w:p>
              </w:tc>
            </w:tr>
            <w:tr w14:paraId="3986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noWrap w:val="0"/>
                  <w:vAlign w:val="center"/>
                </w:tcPr>
                <w:p w14:paraId="33F59580">
                  <w:pPr>
                    <w:pStyle w:val="23"/>
                    <w:bidi w:val="0"/>
                    <w:adjustRightInd/>
                    <w:snapToGrid/>
                    <w:rPr>
                      <w:rFonts w:hint="eastAsia" w:cs="Times New Roman"/>
                      <w:lang w:val="en-US" w:eastAsia="zh-CN" w:bidi="ar-SA"/>
                    </w:rPr>
                  </w:pPr>
                  <w:r>
                    <w:rPr>
                      <w:rFonts w:hint="eastAsia" w:cs="Times New Roman"/>
                      <w:lang w:val="en-US" w:eastAsia="zh-CN" w:bidi="ar-SA"/>
                    </w:rPr>
                    <w:t>地表水</w:t>
                  </w:r>
                </w:p>
              </w:tc>
              <w:tc>
                <w:tcPr>
                  <w:tcW w:w="1769" w:type="pct"/>
                  <w:noWrap w:val="0"/>
                  <w:vAlign w:val="center"/>
                </w:tcPr>
                <w:p w14:paraId="39DE0F30">
                  <w:pPr>
                    <w:pStyle w:val="23"/>
                    <w:bidi w:val="0"/>
                    <w:adjustRightInd/>
                    <w:snapToGrid/>
                    <w:rPr>
                      <w:rFonts w:hint="eastAsia" w:cs="Times New Roman"/>
                      <w:lang w:val="en-US" w:eastAsia="zh-CN" w:bidi="ar-SA"/>
                    </w:rPr>
                  </w:pPr>
                  <w:r>
                    <w:rPr>
                      <w:rFonts w:hint="eastAsia" w:cs="Times New Roman"/>
                      <w:lang w:val="en-US" w:eastAsia="zh-CN" w:bidi="ar-SA"/>
                    </w:rPr>
                    <w:t>新增工业废水直排建设项目（槽罐车外送污水处理厂的除外）；新增废水直排的污水集中处理厂</w:t>
                  </w:r>
                </w:p>
              </w:tc>
              <w:tc>
                <w:tcPr>
                  <w:tcW w:w="1779" w:type="pct"/>
                  <w:noWrap w:val="0"/>
                  <w:vAlign w:val="center"/>
                </w:tcPr>
                <w:p w14:paraId="47944C20">
                  <w:pPr>
                    <w:pStyle w:val="23"/>
                    <w:bidi w:val="0"/>
                    <w:adjustRightInd/>
                    <w:snapToGrid/>
                    <w:rPr>
                      <w:rFonts w:hint="eastAsia" w:cs="Times New Roman"/>
                      <w:lang w:val="en-US" w:eastAsia="zh-CN" w:bidi="ar-SA"/>
                    </w:rPr>
                  </w:pPr>
                  <w:r>
                    <w:rPr>
                      <w:rFonts w:hint="eastAsia" w:cs="Times New Roman"/>
                      <w:lang w:val="en-US" w:eastAsia="zh-CN" w:bidi="ar-SA"/>
                    </w:rPr>
                    <w:t>本项目不属于新增工业废水直排建设项目</w:t>
                  </w:r>
                </w:p>
              </w:tc>
              <w:tc>
                <w:tcPr>
                  <w:tcW w:w="608" w:type="pct"/>
                  <w:noWrap w:val="0"/>
                  <w:vAlign w:val="center"/>
                </w:tcPr>
                <w:p w14:paraId="480A3158">
                  <w:pPr>
                    <w:pStyle w:val="23"/>
                    <w:bidi w:val="0"/>
                    <w:adjustRightInd/>
                    <w:snapToGrid/>
                    <w:rPr>
                      <w:rFonts w:hint="eastAsia" w:cs="Times New Roman"/>
                      <w:lang w:val="en-US" w:eastAsia="zh-CN" w:bidi="ar-SA"/>
                    </w:rPr>
                  </w:pPr>
                  <w:r>
                    <w:rPr>
                      <w:rFonts w:hint="eastAsia" w:cs="Times New Roman"/>
                      <w:lang w:val="en-US" w:eastAsia="zh-CN" w:bidi="ar-SA"/>
                    </w:rPr>
                    <w:t>否</w:t>
                  </w:r>
                </w:p>
              </w:tc>
            </w:tr>
            <w:tr w14:paraId="6124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noWrap w:val="0"/>
                  <w:vAlign w:val="center"/>
                </w:tcPr>
                <w:p w14:paraId="71848584">
                  <w:pPr>
                    <w:pStyle w:val="23"/>
                    <w:bidi w:val="0"/>
                    <w:adjustRightInd/>
                    <w:snapToGrid/>
                    <w:rPr>
                      <w:rFonts w:hint="eastAsia" w:cs="Times New Roman"/>
                      <w:lang w:val="en-US" w:eastAsia="zh-CN" w:bidi="ar-SA"/>
                    </w:rPr>
                  </w:pPr>
                  <w:r>
                    <w:rPr>
                      <w:rFonts w:hint="eastAsia" w:cs="Times New Roman"/>
                      <w:lang w:val="en-US" w:eastAsia="zh-CN" w:bidi="ar-SA"/>
                    </w:rPr>
                    <w:t>环境风险</w:t>
                  </w:r>
                </w:p>
              </w:tc>
              <w:tc>
                <w:tcPr>
                  <w:tcW w:w="1769" w:type="pct"/>
                  <w:noWrap w:val="0"/>
                  <w:vAlign w:val="center"/>
                </w:tcPr>
                <w:p w14:paraId="73AD5434">
                  <w:pPr>
                    <w:pStyle w:val="23"/>
                    <w:bidi w:val="0"/>
                    <w:adjustRightInd/>
                    <w:snapToGrid/>
                    <w:rPr>
                      <w:rFonts w:hint="eastAsia" w:cs="Times New Roman"/>
                      <w:lang w:val="en-US" w:eastAsia="zh-CN" w:bidi="ar-SA"/>
                    </w:rPr>
                  </w:pPr>
                  <w:r>
                    <w:rPr>
                      <w:rFonts w:hint="eastAsia" w:cs="Times New Roman"/>
                      <w:lang w:val="en-US" w:eastAsia="zh-CN" w:bidi="ar-SA"/>
                    </w:rPr>
                    <w:t>有毒有害和易燃易爆危险物质存储量超过临界量3的建设项目</w:t>
                  </w:r>
                </w:p>
              </w:tc>
              <w:tc>
                <w:tcPr>
                  <w:tcW w:w="1779" w:type="pct"/>
                  <w:noWrap w:val="0"/>
                  <w:vAlign w:val="center"/>
                </w:tcPr>
                <w:p w14:paraId="5FD70F05">
                  <w:pPr>
                    <w:pStyle w:val="23"/>
                    <w:bidi w:val="0"/>
                    <w:adjustRightInd/>
                    <w:snapToGrid/>
                    <w:rPr>
                      <w:rFonts w:hint="eastAsia" w:cs="Times New Roman"/>
                      <w:lang w:val="en-US" w:eastAsia="zh-CN" w:bidi="ar-SA"/>
                    </w:rPr>
                  </w:pPr>
                  <w:r>
                    <w:rPr>
                      <w:rFonts w:hint="eastAsia" w:cs="Times New Roman"/>
                      <w:lang w:val="en-US" w:eastAsia="zh-CN" w:bidi="ar-SA"/>
                    </w:rPr>
                    <w:t>本项目不属于有毒有害和易燃易爆危险物质存储量超过临界量的建设项目</w:t>
                  </w:r>
                </w:p>
              </w:tc>
              <w:tc>
                <w:tcPr>
                  <w:tcW w:w="608" w:type="pct"/>
                  <w:noWrap w:val="0"/>
                  <w:vAlign w:val="center"/>
                </w:tcPr>
                <w:p w14:paraId="0CDF3DB2">
                  <w:pPr>
                    <w:pStyle w:val="23"/>
                    <w:bidi w:val="0"/>
                    <w:adjustRightInd/>
                    <w:snapToGrid/>
                    <w:rPr>
                      <w:rFonts w:hint="eastAsia" w:cs="Times New Roman"/>
                      <w:lang w:val="en-US" w:eastAsia="zh-CN" w:bidi="ar-SA"/>
                    </w:rPr>
                  </w:pPr>
                  <w:r>
                    <w:rPr>
                      <w:rFonts w:hint="eastAsia" w:cs="Times New Roman"/>
                      <w:lang w:val="en-US" w:eastAsia="zh-CN" w:bidi="ar-SA"/>
                    </w:rPr>
                    <w:t>否</w:t>
                  </w:r>
                </w:p>
              </w:tc>
            </w:tr>
            <w:tr w14:paraId="2B76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noWrap w:val="0"/>
                  <w:vAlign w:val="center"/>
                </w:tcPr>
                <w:p w14:paraId="58258DD3">
                  <w:pPr>
                    <w:pStyle w:val="23"/>
                    <w:bidi w:val="0"/>
                    <w:adjustRightInd/>
                    <w:snapToGrid/>
                    <w:rPr>
                      <w:rFonts w:hint="eastAsia" w:cs="Times New Roman"/>
                      <w:lang w:val="en-US" w:eastAsia="zh-CN" w:bidi="ar-SA"/>
                    </w:rPr>
                  </w:pPr>
                  <w:r>
                    <w:rPr>
                      <w:rFonts w:hint="eastAsia" w:cs="Times New Roman"/>
                      <w:lang w:val="en-US" w:eastAsia="zh-CN" w:bidi="ar-SA"/>
                    </w:rPr>
                    <w:t>生态</w:t>
                  </w:r>
                </w:p>
              </w:tc>
              <w:tc>
                <w:tcPr>
                  <w:tcW w:w="1769" w:type="pct"/>
                  <w:noWrap w:val="0"/>
                  <w:vAlign w:val="center"/>
                </w:tcPr>
                <w:p w14:paraId="5F222845">
                  <w:pPr>
                    <w:pStyle w:val="23"/>
                    <w:bidi w:val="0"/>
                    <w:adjustRightInd/>
                    <w:snapToGrid/>
                    <w:rPr>
                      <w:rFonts w:hint="eastAsia" w:cs="Times New Roman"/>
                      <w:lang w:val="en-US" w:eastAsia="zh-CN" w:bidi="ar-SA"/>
                    </w:rPr>
                  </w:pPr>
                  <w:r>
                    <w:rPr>
                      <w:rFonts w:hint="eastAsia" w:cs="Times New Roman"/>
                      <w:lang w:val="en-US" w:eastAsia="zh-CN" w:bidi="ar-SA"/>
                    </w:rPr>
                    <w:t>取水口下游500米范围内有重要水生生物的自然产卵场、索饵场、越冬场和洄游通道的新增河道取水的污染类建设项目</w:t>
                  </w:r>
                </w:p>
              </w:tc>
              <w:tc>
                <w:tcPr>
                  <w:tcW w:w="1779" w:type="pct"/>
                  <w:noWrap w:val="0"/>
                  <w:vAlign w:val="center"/>
                </w:tcPr>
                <w:p w14:paraId="1507F024">
                  <w:pPr>
                    <w:pStyle w:val="23"/>
                    <w:bidi w:val="0"/>
                    <w:adjustRightInd/>
                    <w:snapToGrid/>
                    <w:rPr>
                      <w:rFonts w:hint="eastAsia" w:cs="Times New Roman"/>
                      <w:lang w:val="en-US" w:eastAsia="zh-CN" w:bidi="ar-SA"/>
                    </w:rPr>
                  </w:pPr>
                  <w:r>
                    <w:rPr>
                      <w:rFonts w:hint="eastAsia" w:cs="Times New Roman"/>
                      <w:lang w:val="en-US" w:eastAsia="zh-CN" w:bidi="ar-SA"/>
                    </w:rPr>
                    <w:t>本项目不属于取水口下游 500米范围内有重要水生生物的自然产卵场、索饵场、越冬场和洄游通道的新增河道取水的污染类建设项目</w:t>
                  </w:r>
                </w:p>
              </w:tc>
              <w:tc>
                <w:tcPr>
                  <w:tcW w:w="608" w:type="pct"/>
                  <w:noWrap w:val="0"/>
                  <w:vAlign w:val="center"/>
                </w:tcPr>
                <w:p w14:paraId="6DAB5BC1">
                  <w:pPr>
                    <w:pStyle w:val="23"/>
                    <w:bidi w:val="0"/>
                    <w:adjustRightInd/>
                    <w:snapToGrid/>
                    <w:rPr>
                      <w:rFonts w:hint="eastAsia" w:cs="Times New Roman"/>
                      <w:lang w:val="en-US" w:eastAsia="zh-CN" w:bidi="ar-SA"/>
                    </w:rPr>
                  </w:pPr>
                  <w:r>
                    <w:rPr>
                      <w:rFonts w:hint="eastAsia" w:cs="Times New Roman"/>
                      <w:lang w:val="en-US" w:eastAsia="zh-CN" w:bidi="ar-SA"/>
                    </w:rPr>
                    <w:t>否</w:t>
                  </w:r>
                </w:p>
              </w:tc>
            </w:tr>
            <w:tr w14:paraId="2457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noWrap w:val="0"/>
                  <w:vAlign w:val="center"/>
                </w:tcPr>
                <w:p w14:paraId="21072922">
                  <w:pPr>
                    <w:pStyle w:val="23"/>
                    <w:bidi w:val="0"/>
                    <w:adjustRightInd/>
                    <w:snapToGrid/>
                    <w:rPr>
                      <w:rFonts w:hint="eastAsia" w:cs="Times New Roman"/>
                      <w:lang w:val="en-US" w:eastAsia="zh-CN" w:bidi="ar-SA"/>
                    </w:rPr>
                  </w:pPr>
                  <w:r>
                    <w:rPr>
                      <w:rFonts w:hint="eastAsia" w:cs="Times New Roman"/>
                      <w:lang w:val="en-US" w:eastAsia="zh-CN" w:bidi="ar-SA"/>
                    </w:rPr>
                    <w:t>海洋</w:t>
                  </w:r>
                </w:p>
              </w:tc>
              <w:tc>
                <w:tcPr>
                  <w:tcW w:w="1769" w:type="pct"/>
                  <w:noWrap w:val="0"/>
                  <w:vAlign w:val="center"/>
                </w:tcPr>
                <w:p w14:paraId="5ACF2616">
                  <w:pPr>
                    <w:pStyle w:val="23"/>
                    <w:bidi w:val="0"/>
                    <w:adjustRightInd/>
                    <w:snapToGrid/>
                    <w:rPr>
                      <w:rFonts w:hint="eastAsia" w:cs="Times New Roman"/>
                      <w:lang w:val="en-US" w:eastAsia="zh-CN" w:bidi="ar-SA"/>
                    </w:rPr>
                  </w:pPr>
                  <w:r>
                    <w:rPr>
                      <w:rFonts w:hint="eastAsia" w:cs="Times New Roman"/>
                      <w:lang w:val="en-US" w:eastAsia="zh-CN" w:bidi="ar-SA"/>
                    </w:rPr>
                    <w:t>直接向海排放污染物的海洋工程建设项目</w:t>
                  </w:r>
                </w:p>
              </w:tc>
              <w:tc>
                <w:tcPr>
                  <w:tcW w:w="1779" w:type="pct"/>
                  <w:noWrap w:val="0"/>
                  <w:vAlign w:val="center"/>
                </w:tcPr>
                <w:p w14:paraId="6789640D">
                  <w:pPr>
                    <w:pStyle w:val="23"/>
                    <w:bidi w:val="0"/>
                    <w:adjustRightInd/>
                    <w:snapToGrid/>
                    <w:rPr>
                      <w:rFonts w:hint="eastAsia" w:cs="Times New Roman"/>
                      <w:lang w:val="en-US" w:eastAsia="zh-CN" w:bidi="ar-SA"/>
                    </w:rPr>
                  </w:pPr>
                  <w:r>
                    <w:rPr>
                      <w:rFonts w:hint="eastAsia" w:cs="Times New Roman"/>
                      <w:lang w:val="en-US" w:eastAsia="zh-CN" w:bidi="ar-SA"/>
                    </w:rPr>
                    <w:t>本项目不属于直接向海排放污染物的海洋工程建设项目</w:t>
                  </w:r>
                </w:p>
              </w:tc>
              <w:tc>
                <w:tcPr>
                  <w:tcW w:w="608" w:type="pct"/>
                  <w:noWrap w:val="0"/>
                  <w:vAlign w:val="center"/>
                </w:tcPr>
                <w:p w14:paraId="2A685FA4">
                  <w:pPr>
                    <w:pStyle w:val="23"/>
                    <w:bidi w:val="0"/>
                    <w:adjustRightInd/>
                    <w:snapToGrid/>
                    <w:rPr>
                      <w:rFonts w:hint="eastAsia" w:cs="Times New Roman"/>
                      <w:lang w:val="en-US" w:eastAsia="zh-CN" w:bidi="ar-SA"/>
                    </w:rPr>
                  </w:pPr>
                  <w:r>
                    <w:rPr>
                      <w:rFonts w:hint="eastAsia" w:cs="Times New Roman"/>
                      <w:lang w:val="en-US" w:eastAsia="zh-CN" w:bidi="ar-SA"/>
                    </w:rPr>
                    <w:t>否</w:t>
                  </w:r>
                </w:p>
              </w:tc>
            </w:tr>
            <w:tr w14:paraId="5E8E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trPr>
              <w:tc>
                <w:tcPr>
                  <w:tcW w:w="5000" w:type="pct"/>
                  <w:gridSpan w:val="4"/>
                  <w:noWrap w:val="0"/>
                  <w:vAlign w:val="center"/>
                </w:tcPr>
                <w:p w14:paraId="62A695AE">
                  <w:pPr>
                    <w:pStyle w:val="23"/>
                    <w:bidi w:val="0"/>
                    <w:adjustRightInd/>
                    <w:snapToGrid/>
                    <w:rPr>
                      <w:rFonts w:hint="eastAsia" w:cs="Times New Roman"/>
                      <w:lang w:val="en-US" w:eastAsia="zh-CN" w:bidi="ar-SA"/>
                    </w:rPr>
                  </w:pPr>
                  <w:r>
                    <w:rPr>
                      <w:rFonts w:hint="eastAsia" w:cs="Times New Roman"/>
                      <w:lang w:val="en-US" w:eastAsia="zh-CN" w:bidi="ar-SA"/>
                    </w:rPr>
                    <w:t>注：1.废气中有毒有害污染物指纳入《有毒有害大气污染物名录》的污染物（不包括无排放标准的污染物）。</w:t>
                  </w:r>
                </w:p>
                <w:p w14:paraId="241DD51E">
                  <w:pPr>
                    <w:pStyle w:val="23"/>
                    <w:bidi w:val="0"/>
                    <w:adjustRightInd/>
                    <w:snapToGrid/>
                    <w:rPr>
                      <w:rFonts w:hint="eastAsia" w:cs="Times New Roman"/>
                      <w:lang w:val="en-US" w:eastAsia="zh-CN" w:bidi="ar-SA"/>
                    </w:rPr>
                  </w:pPr>
                  <w:r>
                    <w:rPr>
                      <w:rFonts w:hint="eastAsia" w:cs="Times New Roman"/>
                      <w:lang w:val="en-US" w:eastAsia="zh-CN" w:bidi="ar-SA"/>
                    </w:rPr>
                    <w:t>2.环境空气保护目标指自然保护区、风景名胜区、居住区、文化区和农 村地区中人群较集中的区域。</w:t>
                  </w:r>
                </w:p>
                <w:p w14:paraId="648E7C0D">
                  <w:pPr>
                    <w:pStyle w:val="23"/>
                    <w:bidi w:val="0"/>
                    <w:adjustRightInd/>
                    <w:snapToGrid/>
                    <w:rPr>
                      <w:rFonts w:hint="eastAsia" w:cs="Times New Roman"/>
                      <w:lang w:val="en-US" w:eastAsia="zh-CN" w:bidi="ar-SA"/>
                    </w:rPr>
                  </w:pPr>
                  <w:r>
                    <w:rPr>
                      <w:rFonts w:hint="eastAsia" w:cs="Times New Roman"/>
                      <w:lang w:val="en-US" w:eastAsia="zh-CN" w:bidi="ar-SA"/>
                    </w:rPr>
                    <w:t>3.临界量及其计算方法可参考《建设项目环境风险评价技术导则》（HJ169）附录B、附录C。</w:t>
                  </w:r>
                </w:p>
                <w:p w14:paraId="2A9F11E5">
                  <w:pPr>
                    <w:pStyle w:val="23"/>
                    <w:bidi w:val="0"/>
                    <w:adjustRightInd/>
                    <w:snapToGrid/>
                    <w:rPr>
                      <w:rFonts w:hint="eastAsia" w:cs="Times New Roman"/>
                      <w:lang w:val="en-US" w:eastAsia="zh-CN" w:bidi="ar-SA"/>
                    </w:rPr>
                  </w:pPr>
                  <w:r>
                    <w:rPr>
                      <w:rFonts w:hint="eastAsia" w:cs="Times New Roman"/>
                      <w:lang w:val="en-US" w:eastAsia="zh-CN" w:bidi="ar-SA"/>
                    </w:rPr>
                    <w:t>此外，本项目土壤、声环境不开展专项评价，项目不涉及集中式饮用水水源和热水、矿泉水、温泉等特殊地下水资源保护区，因此不开展地下水专项评价。</w:t>
                  </w:r>
                </w:p>
              </w:tc>
            </w:tr>
          </w:tbl>
          <w:p w14:paraId="1BAF0297">
            <w:pPr>
              <w:pStyle w:val="25"/>
              <w:bidi w:val="0"/>
              <w:rPr>
                <w:rFonts w:hint="eastAsia"/>
                <w:kern w:val="0"/>
                <w:szCs w:val="21"/>
              </w:rPr>
            </w:pPr>
            <w:r>
              <w:t>综上，本项目不需要设置专项评价。</w:t>
            </w:r>
          </w:p>
        </w:tc>
      </w:tr>
      <w:tr w14:paraId="5B601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09" w:type="dxa"/>
            <w:gridSpan w:val="3"/>
            <w:noWrap w:val="0"/>
            <w:vAlign w:val="center"/>
          </w:tcPr>
          <w:p w14:paraId="7FD716A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Style w:val="17"/>
                <w:rFonts w:hint="eastAsia"/>
                <w:b/>
                <w:bCs/>
              </w:rPr>
            </w:pPr>
            <w:r>
              <w:rPr>
                <w:rStyle w:val="17"/>
                <w:b/>
                <w:bCs/>
              </w:rPr>
              <w:t>规划情况</w:t>
            </w:r>
          </w:p>
        </w:tc>
        <w:tc>
          <w:tcPr>
            <w:tcW w:w="7261" w:type="dxa"/>
            <w:gridSpan w:val="4"/>
            <w:noWrap w:val="0"/>
            <w:vAlign w:val="center"/>
          </w:tcPr>
          <w:p w14:paraId="181CE6A1">
            <w:pPr>
              <w:bidi w:val="0"/>
              <w:rPr>
                <w:rFonts w:hint="eastAsia" w:ascii="Times New Roman" w:hAnsi="Times New Roman" w:eastAsia="宋体" w:cs="Times New Roman"/>
                <w:kern w:val="0"/>
                <w:szCs w:val="21"/>
              </w:rPr>
            </w:pPr>
            <w:r>
              <w:rPr>
                <w:rFonts w:hint="eastAsia"/>
              </w:rPr>
              <w:t>《遂宁市人民政府关于印发〈遂宁市“十四五”卫生健康发展规划〉的通知》（遂府函〔2022〕73 号）</w:t>
            </w:r>
          </w:p>
        </w:tc>
      </w:tr>
      <w:tr w14:paraId="3653A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09" w:type="dxa"/>
            <w:gridSpan w:val="3"/>
            <w:noWrap w:val="0"/>
            <w:vAlign w:val="center"/>
          </w:tcPr>
          <w:p w14:paraId="546818B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Style w:val="17"/>
                <w:b/>
                <w:bCs/>
              </w:rPr>
            </w:pPr>
            <w:r>
              <w:rPr>
                <w:rStyle w:val="17"/>
                <w:b/>
                <w:bCs/>
              </w:rPr>
              <w:t>规划环境影响评价情况</w:t>
            </w:r>
          </w:p>
        </w:tc>
        <w:tc>
          <w:tcPr>
            <w:tcW w:w="7261" w:type="dxa"/>
            <w:gridSpan w:val="4"/>
            <w:noWrap w:val="0"/>
            <w:vAlign w:val="center"/>
          </w:tcPr>
          <w:p w14:paraId="2EFF05DC">
            <w:pPr>
              <w:pageBreakBefore w:val="0"/>
              <w:wordWrap/>
              <w:autoSpaceDE w:val="0"/>
              <w:autoSpaceDN w:val="0"/>
              <w:bidi w:val="0"/>
              <w:adjustRightInd w:val="0"/>
              <w:snapToGrid w:val="0"/>
              <w:spacing w:line="360" w:lineRule="auto"/>
              <w:jc w:val="center"/>
              <w:rPr>
                <w:rFonts w:hint="eastAsia"/>
                <w:kern w:val="0"/>
                <w:sz w:val="24"/>
                <w:szCs w:val="21"/>
              </w:rPr>
            </w:pPr>
            <w:r>
              <w:rPr>
                <w:rFonts w:hint="eastAsia"/>
                <w:kern w:val="0"/>
                <w:sz w:val="24"/>
                <w:szCs w:val="21"/>
                <w:lang w:eastAsia="zh-CN"/>
              </w:rPr>
              <w:t>/</w:t>
            </w:r>
          </w:p>
        </w:tc>
      </w:tr>
      <w:tr w14:paraId="164F1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09" w:type="dxa"/>
            <w:gridSpan w:val="3"/>
            <w:noWrap w:val="0"/>
            <w:vAlign w:val="center"/>
          </w:tcPr>
          <w:p w14:paraId="3F6EA15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Style w:val="17"/>
                <w:rFonts w:hint="eastAsia"/>
                <w:b/>
                <w:bCs/>
              </w:rPr>
            </w:pPr>
            <w:r>
              <w:rPr>
                <w:rStyle w:val="17"/>
                <w:b/>
                <w:bCs/>
              </w:rPr>
              <w:t>规划及规划环境影响评价符合</w:t>
            </w:r>
            <w:r>
              <w:rPr>
                <w:rStyle w:val="17"/>
                <w:rFonts w:hint="eastAsia"/>
                <w:b/>
                <w:bCs/>
              </w:rPr>
              <w:t>性</w:t>
            </w:r>
            <w:r>
              <w:rPr>
                <w:rStyle w:val="17"/>
                <w:b/>
                <w:bCs/>
              </w:rPr>
              <w:t>分析</w:t>
            </w:r>
          </w:p>
        </w:tc>
        <w:tc>
          <w:tcPr>
            <w:tcW w:w="7261" w:type="dxa"/>
            <w:gridSpan w:val="4"/>
            <w:noWrap w:val="0"/>
            <w:vAlign w:val="center"/>
          </w:tcPr>
          <w:p w14:paraId="4D852D89">
            <w:pPr>
              <w:pageBreakBefore w:val="0"/>
              <w:wordWrap/>
              <w:autoSpaceDE w:val="0"/>
              <w:autoSpaceDN w:val="0"/>
              <w:bidi w:val="0"/>
              <w:adjustRightInd w:val="0"/>
              <w:snapToGrid w:val="0"/>
              <w:spacing w:line="360" w:lineRule="auto"/>
              <w:jc w:val="center"/>
              <w:rPr>
                <w:color w:val="FF0000"/>
                <w:sz w:val="24"/>
              </w:rPr>
            </w:pPr>
            <w:r>
              <w:rPr>
                <w:rFonts w:hint="eastAsia"/>
                <w:sz w:val="24"/>
                <w:lang w:val="en-US" w:eastAsia="zh-CN"/>
              </w:rPr>
              <w:t>/</w:t>
            </w:r>
          </w:p>
        </w:tc>
      </w:tr>
      <w:tr w14:paraId="71C8FE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77" w:type="dxa"/>
            <w:noWrap w:val="0"/>
            <w:vAlign w:val="center"/>
          </w:tcPr>
          <w:p w14:paraId="4AE3E12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kern w:val="0"/>
                <w:szCs w:val="21"/>
              </w:rPr>
            </w:pPr>
            <w:r>
              <w:rPr>
                <w:b/>
                <w:bCs/>
                <w:kern w:val="0"/>
                <w:szCs w:val="21"/>
              </w:rPr>
              <w:t>其</w:t>
            </w:r>
            <w:r>
              <w:rPr>
                <w:rStyle w:val="17"/>
                <w:b/>
                <w:bCs/>
              </w:rPr>
              <w:t>他符合性分析</w:t>
            </w:r>
          </w:p>
        </w:tc>
        <w:tc>
          <w:tcPr>
            <w:tcW w:w="8393" w:type="dxa"/>
            <w:gridSpan w:val="6"/>
            <w:noWrap w:val="0"/>
            <w:vAlign w:val="center"/>
          </w:tcPr>
          <w:p w14:paraId="14C0C398">
            <w:pPr>
              <w:pStyle w:val="3"/>
              <w:numPr>
                <w:ilvl w:val="1"/>
                <w:numId w:val="3"/>
              </w:numPr>
              <w:tabs>
                <w:tab w:val="left" w:pos="420"/>
              </w:tabs>
              <w:bidi w:val="0"/>
              <w:rPr>
                <w:rFonts w:hint="eastAsia"/>
              </w:rPr>
            </w:pPr>
            <w:r>
              <w:rPr>
                <w:rFonts w:hint="eastAsia"/>
              </w:rPr>
              <w:t>本项目与相关规划符合性分析</w:t>
            </w:r>
          </w:p>
          <w:p w14:paraId="431B34CD">
            <w:pPr>
              <w:pStyle w:val="4"/>
              <w:numPr>
                <w:ilvl w:val="2"/>
                <w:numId w:val="3"/>
              </w:numPr>
              <w:tabs>
                <w:tab w:val="left" w:pos="420"/>
              </w:tabs>
              <w:bidi w:val="0"/>
              <w:rPr>
                <w:rFonts w:hint="eastAsia"/>
                <w:lang w:val="en-US" w:eastAsia="zh-CN"/>
              </w:rPr>
            </w:pPr>
            <w:r>
              <w:rPr>
                <w:rFonts w:hint="eastAsia"/>
                <w:lang w:val="en-US" w:eastAsia="zh-CN"/>
              </w:rPr>
              <w:t>土地与规划的符合性</w:t>
            </w:r>
          </w:p>
          <w:p w14:paraId="05260672">
            <w:pPr>
              <w:bidi w:val="0"/>
              <w:rPr>
                <w:rFonts w:hint="eastAsia"/>
              </w:rPr>
            </w:pPr>
            <w:r>
              <w:t>本项目</w:t>
            </w:r>
            <w:r>
              <w:rPr>
                <w:rFonts w:hint="eastAsia"/>
              </w:rPr>
              <w:t>选址于</w:t>
            </w:r>
            <w:r>
              <w:rPr>
                <w:rFonts w:hint="eastAsia"/>
                <w:lang w:eastAsia="zh-CN"/>
              </w:rPr>
              <w:t>四川省遂宁市船山区开善东路327号</w:t>
            </w:r>
            <w:r>
              <w:t>，</w:t>
            </w:r>
            <w:r>
              <w:rPr>
                <w:rFonts w:hint="eastAsia"/>
              </w:rPr>
              <w:t>为已建项目，</w:t>
            </w:r>
            <w:r>
              <w:rPr>
                <w:rFonts w:hint="eastAsia"/>
                <w:lang w:eastAsia="zh-CN"/>
              </w:rPr>
              <w:t>根据土地证</w:t>
            </w:r>
            <w:r>
              <w:t>（</w:t>
            </w:r>
            <w:r>
              <w:rPr>
                <w:rFonts w:hint="eastAsia"/>
                <w:lang w:val="en-US" w:eastAsia="zh-CN"/>
              </w:rPr>
              <w:t>附件6</w:t>
            </w:r>
            <w:r>
              <w:t>）</w:t>
            </w:r>
            <w:r>
              <w:rPr>
                <w:rFonts w:hint="eastAsia"/>
              </w:rPr>
              <w:t>，本项目用地使用性质为医疗卫生用地。</w:t>
            </w:r>
            <w:r>
              <w:t>因此，项目符合</w:t>
            </w:r>
            <w:r>
              <w:rPr>
                <w:rFonts w:hint="eastAsia"/>
              </w:rPr>
              <w:t>遂宁市用地</w:t>
            </w:r>
            <w:r>
              <w:t>布局规划。</w:t>
            </w:r>
          </w:p>
          <w:p w14:paraId="616DD46A">
            <w:pPr>
              <w:pStyle w:val="4"/>
              <w:numPr>
                <w:ilvl w:val="2"/>
                <w:numId w:val="3"/>
              </w:numPr>
              <w:tabs>
                <w:tab w:val="left" w:pos="420"/>
              </w:tabs>
              <w:bidi w:val="0"/>
              <w:ind w:left="0" w:leftChars="0" w:firstLine="0" w:firstLineChars="0"/>
              <w:rPr>
                <w:rFonts w:hint="eastAsia"/>
                <w:lang w:val="en-US" w:eastAsia="zh-CN"/>
              </w:rPr>
            </w:pPr>
            <w:r>
              <w:rPr>
                <w:rFonts w:hint="eastAsia"/>
                <w:lang w:val="en-US" w:eastAsia="zh-CN"/>
              </w:rPr>
              <w:t>与《医院污水处理工程技术规范》（HJ2029-2013）的符合性分析</w:t>
            </w:r>
          </w:p>
          <w:p w14:paraId="2D05F19A">
            <w:pPr>
              <w:bidi w:val="0"/>
            </w:pPr>
            <w:r>
              <w:t>根据</w:t>
            </w:r>
            <w:r>
              <w:rPr>
                <w:rFonts w:hint="eastAsia"/>
              </w:rPr>
              <w:t>《医院污水处理工程技术规范》，医院</w:t>
            </w:r>
            <w:r>
              <w:t>污水处理应满足以下要求：</w:t>
            </w:r>
          </w:p>
          <w:p w14:paraId="585EEAD1">
            <w:pPr>
              <w:pStyle w:val="22"/>
              <w:bidi w:val="0"/>
            </w:pPr>
            <w:r>
              <w:t>与</w:t>
            </w:r>
            <w:r>
              <w:rPr>
                <w:rFonts w:hint="eastAsia"/>
              </w:rPr>
              <w:t>《医院污水处理工程技术规范》</w:t>
            </w:r>
            <w:r>
              <w:t>要求符合性</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3637"/>
              <w:gridCol w:w="3600"/>
              <w:gridCol w:w="479"/>
            </w:tblGrid>
            <w:tr w14:paraId="5F8D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tcBorders>
                    <w:bottom w:val="single" w:color="auto" w:sz="4" w:space="0"/>
                  </w:tcBorders>
                  <w:noWrap w:val="0"/>
                  <w:vAlign w:val="center"/>
                </w:tcPr>
                <w:p w14:paraId="5B1FA5F1">
                  <w:pPr>
                    <w:pStyle w:val="23"/>
                    <w:bidi w:val="0"/>
                  </w:pPr>
                  <w:r>
                    <w:t>序号</w:t>
                  </w:r>
                </w:p>
              </w:tc>
              <w:tc>
                <w:tcPr>
                  <w:tcW w:w="2226" w:type="pct"/>
                  <w:tcBorders>
                    <w:bottom w:val="single" w:color="auto" w:sz="4" w:space="0"/>
                  </w:tcBorders>
                  <w:noWrap w:val="0"/>
                  <w:vAlign w:val="center"/>
                </w:tcPr>
                <w:p w14:paraId="00D66ADD">
                  <w:pPr>
                    <w:pStyle w:val="23"/>
                    <w:bidi w:val="0"/>
                  </w:pPr>
                  <w:r>
                    <w:t>规范要求</w:t>
                  </w:r>
                </w:p>
              </w:tc>
              <w:tc>
                <w:tcPr>
                  <w:tcW w:w="2203" w:type="pct"/>
                  <w:tcBorders>
                    <w:bottom w:val="single" w:color="auto" w:sz="4" w:space="0"/>
                  </w:tcBorders>
                  <w:noWrap w:val="0"/>
                  <w:vAlign w:val="center"/>
                </w:tcPr>
                <w:p w14:paraId="57021314">
                  <w:pPr>
                    <w:pStyle w:val="23"/>
                    <w:bidi w:val="0"/>
                  </w:pPr>
                  <w:r>
                    <w:t>本项目</w:t>
                  </w:r>
                </w:p>
              </w:tc>
              <w:tc>
                <w:tcPr>
                  <w:tcW w:w="293" w:type="pct"/>
                  <w:tcBorders>
                    <w:bottom w:val="single" w:color="auto" w:sz="4" w:space="0"/>
                  </w:tcBorders>
                  <w:noWrap w:val="0"/>
                  <w:vAlign w:val="center"/>
                </w:tcPr>
                <w:p w14:paraId="7F3C48EB">
                  <w:pPr>
                    <w:pStyle w:val="23"/>
                    <w:bidi w:val="0"/>
                  </w:pPr>
                  <w:r>
                    <w:t>符合性</w:t>
                  </w:r>
                </w:p>
              </w:tc>
            </w:tr>
            <w:tr w14:paraId="14D5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tcBorders>
                    <w:top w:val="single" w:color="auto" w:sz="4" w:space="0"/>
                    <w:bottom w:val="single" w:color="auto" w:sz="4" w:space="0"/>
                  </w:tcBorders>
                  <w:noWrap w:val="0"/>
                  <w:vAlign w:val="center"/>
                </w:tcPr>
                <w:p w14:paraId="5D602B00">
                  <w:pPr>
                    <w:pStyle w:val="23"/>
                    <w:bidi w:val="0"/>
                  </w:pPr>
                  <w:r>
                    <w:t>1</w:t>
                  </w:r>
                </w:p>
              </w:tc>
              <w:tc>
                <w:tcPr>
                  <w:tcW w:w="2226" w:type="pct"/>
                  <w:tcBorders>
                    <w:top w:val="single" w:color="auto" w:sz="4" w:space="0"/>
                    <w:bottom w:val="single" w:color="auto" w:sz="4" w:space="0"/>
                  </w:tcBorders>
                  <w:noWrap w:val="0"/>
                  <w:vAlign w:val="center"/>
                </w:tcPr>
                <w:p w14:paraId="3FC1100A">
                  <w:pPr>
                    <w:pStyle w:val="23"/>
                    <w:bidi w:val="0"/>
                    <w:rPr>
                      <w:rFonts w:hint="eastAsia"/>
                    </w:rPr>
                  </w:pPr>
                  <w:r>
                    <w:t>新</w:t>
                  </w:r>
                  <w:r>
                    <w:rPr>
                      <w:rFonts w:hint="eastAsia"/>
                    </w:rPr>
                    <w:t>（改、扩建）医院，在设计医院污水处理系统时应考虑将医院病区、非病区、传染病房、非传染病房污水分别收集</w:t>
                  </w:r>
                </w:p>
              </w:tc>
              <w:tc>
                <w:tcPr>
                  <w:tcW w:w="2203" w:type="pct"/>
                  <w:tcBorders>
                    <w:top w:val="single" w:color="auto" w:sz="4" w:space="0"/>
                    <w:bottom w:val="single" w:color="auto" w:sz="4" w:space="0"/>
                  </w:tcBorders>
                  <w:noWrap w:val="0"/>
                  <w:vAlign w:val="center"/>
                </w:tcPr>
                <w:p w14:paraId="6189B726">
                  <w:pPr>
                    <w:pStyle w:val="23"/>
                    <w:bidi w:val="0"/>
                    <w:rPr>
                      <w:rFonts w:hint="default"/>
                      <w:lang w:val="en-US" w:eastAsia="zh-CN"/>
                    </w:rPr>
                  </w:pPr>
                  <w:r>
                    <w:t>本项目为</w:t>
                  </w:r>
                  <w:r>
                    <w:rPr>
                      <w:rFonts w:hint="eastAsia"/>
                    </w:rPr>
                    <w:t>综合</w:t>
                  </w:r>
                  <w:r>
                    <w:rPr>
                      <w:rFonts w:hint="eastAsia"/>
                      <w:lang w:val="en-US" w:eastAsia="zh-CN"/>
                    </w:rPr>
                    <w:t>医院</w:t>
                  </w:r>
                  <w:r>
                    <w:rPr>
                      <w:rFonts w:hint="eastAsia"/>
                    </w:rPr>
                    <w:t>项目，</w:t>
                  </w:r>
                  <w:r>
                    <w:rPr>
                      <w:rFonts w:hint="eastAsia"/>
                      <w:lang w:val="en-US" w:eastAsia="zh-CN"/>
                    </w:rPr>
                    <w:t>无传染病科室，因此无传染性废水，</w:t>
                  </w:r>
                  <w:r>
                    <w:rPr>
                      <w:rFonts w:hint="default"/>
                      <w:lang w:val="en-US" w:eastAsia="zh-CN"/>
                    </w:rPr>
                    <w:t>污水进入</w:t>
                  </w:r>
                  <w:r>
                    <w:rPr>
                      <w:rFonts w:hint="default"/>
                    </w:rPr>
                    <w:t>院区内</w:t>
                  </w:r>
                  <w:r>
                    <w:rPr>
                      <w:rFonts w:hint="default"/>
                      <w:lang w:val="en-US" w:eastAsia="zh-CN"/>
                    </w:rPr>
                    <w:t>预处理池收集处理后，</w:t>
                  </w:r>
                  <w:r>
                    <w:rPr>
                      <w:rFonts w:hint="eastAsia"/>
                      <w:lang w:val="en-US" w:eastAsia="zh-CN"/>
                    </w:rPr>
                    <w:t>进入</w:t>
                  </w:r>
                  <w:r>
                    <w:rPr>
                      <w:rFonts w:hint="default"/>
                      <w:lang w:val="en-US" w:eastAsia="zh-CN"/>
                    </w:rPr>
                    <w:t>一体化污水处理设备（</w:t>
                  </w:r>
                  <w:r>
                    <w:rPr>
                      <w:rFonts w:hint="default"/>
                    </w:rPr>
                    <w:t>采用</w:t>
                  </w:r>
                  <w:r>
                    <w:rPr>
                      <w:rFonts w:hint="default"/>
                      <w:lang w:val="en-US" w:eastAsia="zh-CN"/>
                    </w:rPr>
                    <w:t>格栅调节+接触氧化+沉淀+消毒</w:t>
                  </w:r>
                  <w:r>
                    <w:rPr>
                      <w:rFonts w:hint="default"/>
                    </w:rPr>
                    <w:t>工艺</w:t>
                  </w:r>
                  <w:r>
                    <w:rPr>
                      <w:rFonts w:hint="default"/>
                      <w:lang w:eastAsia="zh-CN"/>
                    </w:rPr>
                    <w:t>）</w:t>
                  </w:r>
                  <w:r>
                    <w:rPr>
                      <w:rFonts w:hint="default"/>
                    </w:rPr>
                    <w:t>处理达标</w:t>
                  </w:r>
                  <w:r>
                    <w:rPr>
                      <w:rFonts w:hint="default"/>
                      <w:lang w:val="en-US" w:eastAsia="zh-CN"/>
                    </w:rPr>
                    <w:t>后</w:t>
                  </w:r>
                  <w:r>
                    <w:rPr>
                      <w:rFonts w:hint="default"/>
                      <w:lang w:eastAsia="zh-CN"/>
                    </w:rPr>
                    <w:t>，</w:t>
                  </w:r>
                  <w:r>
                    <w:rPr>
                      <w:rFonts w:hint="default"/>
                      <w:lang w:val="en-US" w:eastAsia="zh-CN"/>
                    </w:rPr>
                    <w:t>通过</w:t>
                  </w:r>
                  <w:r>
                    <w:rPr>
                      <w:rFonts w:hint="default"/>
                    </w:rPr>
                    <w:t>市政污水管网进入</w:t>
                  </w:r>
                  <w:r>
                    <w:rPr>
                      <w:rFonts w:hint="eastAsia"/>
                      <w:lang w:eastAsia="zh-CN"/>
                    </w:rPr>
                    <w:t>遂宁市城南第一污水处理厂</w:t>
                  </w:r>
                  <w:r>
                    <w:rPr>
                      <w:rFonts w:hint="default"/>
                    </w:rPr>
                    <w:t>处理，最终排入涪江</w:t>
                  </w:r>
                </w:p>
              </w:tc>
              <w:tc>
                <w:tcPr>
                  <w:tcW w:w="293" w:type="pct"/>
                  <w:tcBorders>
                    <w:top w:val="single" w:color="auto" w:sz="4" w:space="0"/>
                    <w:bottom w:val="single" w:color="auto" w:sz="4" w:space="0"/>
                  </w:tcBorders>
                  <w:noWrap w:val="0"/>
                  <w:vAlign w:val="center"/>
                </w:tcPr>
                <w:p w14:paraId="72868E64">
                  <w:pPr>
                    <w:pStyle w:val="23"/>
                    <w:bidi w:val="0"/>
                  </w:pPr>
                  <w:r>
                    <w:t>符合</w:t>
                  </w:r>
                </w:p>
              </w:tc>
            </w:tr>
            <w:tr w14:paraId="5513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tcBorders>
                    <w:top w:val="single" w:color="auto" w:sz="4" w:space="0"/>
                    <w:bottom w:val="single" w:color="auto" w:sz="4" w:space="0"/>
                  </w:tcBorders>
                  <w:noWrap w:val="0"/>
                  <w:vAlign w:val="center"/>
                </w:tcPr>
                <w:p w14:paraId="429D9F3F">
                  <w:pPr>
                    <w:pStyle w:val="23"/>
                    <w:bidi w:val="0"/>
                  </w:pPr>
                  <w:r>
                    <w:t>2</w:t>
                  </w:r>
                </w:p>
              </w:tc>
              <w:tc>
                <w:tcPr>
                  <w:tcW w:w="2226" w:type="pct"/>
                  <w:tcBorders>
                    <w:top w:val="single" w:color="auto" w:sz="4" w:space="0"/>
                    <w:bottom w:val="single" w:color="auto" w:sz="4" w:space="0"/>
                  </w:tcBorders>
                  <w:noWrap w:val="0"/>
                  <w:vAlign w:val="center"/>
                </w:tcPr>
                <w:p w14:paraId="32A8F593">
                  <w:pPr>
                    <w:pStyle w:val="23"/>
                    <w:bidi w:val="0"/>
                    <w:rPr>
                      <w:rFonts w:hint="eastAsia"/>
                    </w:rPr>
                  </w:pPr>
                  <w:r>
                    <w:rPr>
                      <w:rFonts w:hint="eastAsia"/>
                    </w:rPr>
                    <w:t>特殊性质污水应单独收集，经</w:t>
                  </w:r>
                  <w:r>
                    <w:rPr>
                      <w:rFonts w:hint="eastAsia"/>
                      <w:lang w:eastAsia="zh-CN"/>
                    </w:rPr>
                    <w:t>预</w:t>
                  </w:r>
                  <w:r>
                    <w:rPr>
                      <w:rFonts w:hint="eastAsia"/>
                    </w:rPr>
                    <w:t>处理后与医院污水合并处理，不得将特殊性质污水随意排入下水道</w:t>
                  </w:r>
                </w:p>
              </w:tc>
              <w:tc>
                <w:tcPr>
                  <w:tcW w:w="2203" w:type="pct"/>
                  <w:tcBorders>
                    <w:top w:val="single" w:color="auto" w:sz="4" w:space="0"/>
                    <w:bottom w:val="single" w:color="auto" w:sz="4" w:space="0"/>
                  </w:tcBorders>
                  <w:noWrap w:val="0"/>
                  <w:vAlign w:val="center"/>
                </w:tcPr>
                <w:p w14:paraId="6356B92A">
                  <w:pPr>
                    <w:pStyle w:val="23"/>
                    <w:bidi w:val="0"/>
                  </w:pPr>
                  <w:r>
                    <w:t>本项目不产生特殊性质污水</w:t>
                  </w:r>
                </w:p>
              </w:tc>
              <w:tc>
                <w:tcPr>
                  <w:tcW w:w="293" w:type="pct"/>
                  <w:tcBorders>
                    <w:top w:val="single" w:color="auto" w:sz="4" w:space="0"/>
                    <w:bottom w:val="single" w:color="auto" w:sz="4" w:space="0"/>
                  </w:tcBorders>
                  <w:noWrap w:val="0"/>
                  <w:vAlign w:val="center"/>
                </w:tcPr>
                <w:p w14:paraId="2D8FF24D">
                  <w:pPr>
                    <w:pStyle w:val="23"/>
                    <w:bidi w:val="0"/>
                  </w:pPr>
                  <w:r>
                    <w:t>符合</w:t>
                  </w:r>
                </w:p>
              </w:tc>
            </w:tr>
            <w:tr w14:paraId="3627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tcBorders>
                    <w:top w:val="single" w:color="auto" w:sz="4" w:space="0"/>
                  </w:tcBorders>
                  <w:noWrap w:val="0"/>
                  <w:vAlign w:val="center"/>
                </w:tcPr>
                <w:p w14:paraId="5E716EA3">
                  <w:pPr>
                    <w:pStyle w:val="23"/>
                    <w:bidi w:val="0"/>
                  </w:pPr>
                  <w:r>
                    <w:t>3</w:t>
                  </w:r>
                </w:p>
              </w:tc>
              <w:tc>
                <w:tcPr>
                  <w:tcW w:w="2226" w:type="pct"/>
                  <w:tcBorders>
                    <w:top w:val="single" w:color="auto" w:sz="4" w:space="0"/>
                  </w:tcBorders>
                  <w:noWrap w:val="0"/>
                  <w:vAlign w:val="center"/>
                </w:tcPr>
                <w:p w14:paraId="5D96EAA1">
                  <w:pPr>
                    <w:pStyle w:val="23"/>
                    <w:bidi w:val="0"/>
                    <w:rPr>
                      <w:rFonts w:hint="eastAsia"/>
                    </w:rPr>
                  </w:pPr>
                  <w:r>
                    <w:t>非传染病医院污水</w:t>
                  </w:r>
                  <w:r>
                    <w:rPr>
                      <w:rFonts w:hint="eastAsia"/>
                    </w:rPr>
                    <w:t>，</w:t>
                  </w:r>
                  <w:r>
                    <w:t>若处理出水直接或间接排入地表水体或海域时</w:t>
                  </w:r>
                  <w:r>
                    <w:rPr>
                      <w:rFonts w:hint="eastAsia"/>
                    </w:rPr>
                    <w:t>，</w:t>
                  </w:r>
                  <w:r>
                    <w:t>应采用二级处理</w:t>
                  </w:r>
                  <w:r>
                    <w:rPr>
                      <w:rFonts w:hint="eastAsia"/>
                    </w:rPr>
                    <w:t>+</w:t>
                  </w:r>
                  <w:r>
                    <w:t>消毒工艺或二级处理</w:t>
                  </w:r>
                  <w:r>
                    <w:rPr>
                      <w:rFonts w:hint="eastAsia"/>
                    </w:rPr>
                    <w:t>+</w:t>
                  </w:r>
                  <w:r>
                    <w:t>深度处理</w:t>
                  </w:r>
                  <w:r>
                    <w:rPr>
                      <w:rFonts w:hint="eastAsia"/>
                    </w:rPr>
                    <w:t>+</w:t>
                  </w:r>
                  <w:r>
                    <w:t>消毒工艺</w:t>
                  </w:r>
                  <w:r>
                    <w:rPr>
                      <w:rFonts w:hint="eastAsia"/>
                    </w:rPr>
                    <w:t>；</w:t>
                  </w:r>
                  <w:r>
                    <w:t>若处理出水排入终端已建有正常运行的二级污水处理厂</w:t>
                  </w:r>
                  <w:r>
                    <w:rPr>
                      <w:rFonts w:hint="eastAsia"/>
                    </w:rPr>
                    <w:t>的城市污水管网时，可采用</w:t>
                  </w:r>
                  <w:r>
                    <w:rPr>
                      <w:rFonts w:hint="eastAsia"/>
                      <w:lang w:val="en-US" w:eastAsia="zh-CN"/>
                    </w:rPr>
                    <w:t>格栅调节+接触氧化+沉淀+消毒</w:t>
                  </w:r>
                </w:p>
              </w:tc>
              <w:tc>
                <w:tcPr>
                  <w:tcW w:w="2203" w:type="pct"/>
                  <w:tcBorders>
                    <w:top w:val="single" w:color="auto" w:sz="4" w:space="0"/>
                  </w:tcBorders>
                  <w:noWrap w:val="0"/>
                  <w:vAlign w:val="center"/>
                </w:tcPr>
                <w:p w14:paraId="0410D223">
                  <w:pPr>
                    <w:pStyle w:val="23"/>
                    <w:bidi w:val="0"/>
                    <w:rPr>
                      <w:rFonts w:hint="default"/>
                    </w:rPr>
                  </w:pPr>
                  <w:r>
                    <w:t>本项目为</w:t>
                  </w:r>
                  <w:r>
                    <w:rPr>
                      <w:rFonts w:hint="eastAsia"/>
                    </w:rPr>
                    <w:t>综合</w:t>
                  </w:r>
                  <w:r>
                    <w:rPr>
                      <w:rFonts w:hint="eastAsia"/>
                      <w:lang w:val="en-US" w:eastAsia="zh-CN"/>
                    </w:rPr>
                    <w:t>医院</w:t>
                  </w:r>
                  <w:r>
                    <w:rPr>
                      <w:rFonts w:hint="eastAsia"/>
                    </w:rPr>
                    <w:t>项目，</w:t>
                  </w:r>
                  <w:r>
                    <w:rPr>
                      <w:rFonts w:hint="eastAsia"/>
                      <w:lang w:val="en-US" w:eastAsia="zh-CN"/>
                    </w:rPr>
                    <w:t>无传染病科室，</w:t>
                  </w:r>
                  <w:r>
                    <w:rPr>
                      <w:rFonts w:hint="default"/>
                    </w:rPr>
                    <w:t>污水进入院区内预处理池收集处理后，进入一体化污水处理设备（采用格栅调节+接触氧化+沉淀+消毒工艺）处理达标后，通过市政污水管网进入</w:t>
                  </w:r>
                  <w:r>
                    <w:rPr>
                      <w:rFonts w:hint="eastAsia"/>
                      <w:lang w:eastAsia="zh-CN"/>
                    </w:rPr>
                    <w:t>遂宁市城南第一污水处理厂</w:t>
                  </w:r>
                  <w:r>
                    <w:rPr>
                      <w:rFonts w:hint="default"/>
                    </w:rPr>
                    <w:t>处理，最终排入涪江。</w:t>
                  </w:r>
                </w:p>
              </w:tc>
              <w:tc>
                <w:tcPr>
                  <w:tcW w:w="293" w:type="pct"/>
                  <w:tcBorders>
                    <w:top w:val="single" w:color="auto" w:sz="4" w:space="0"/>
                  </w:tcBorders>
                  <w:noWrap w:val="0"/>
                  <w:vAlign w:val="center"/>
                </w:tcPr>
                <w:p w14:paraId="3A935E8C">
                  <w:pPr>
                    <w:pStyle w:val="23"/>
                    <w:bidi w:val="0"/>
                  </w:pPr>
                  <w:r>
                    <w:t>符合</w:t>
                  </w:r>
                </w:p>
              </w:tc>
            </w:tr>
          </w:tbl>
          <w:p w14:paraId="74EFAB7D">
            <w:pPr>
              <w:pStyle w:val="25"/>
              <w:bidi w:val="0"/>
              <w:rPr>
                <w:rFonts w:hint="eastAsia"/>
              </w:rPr>
            </w:pPr>
            <w:r>
              <w:t>由上表可知，</w:t>
            </w:r>
            <w:r>
              <w:rPr>
                <w:rFonts w:hint="eastAsia"/>
              </w:rPr>
              <w:t>医院污水处理设计</w:t>
            </w:r>
            <w:r>
              <w:t>符合《</w:t>
            </w:r>
            <w:r>
              <w:rPr>
                <w:rFonts w:hint="eastAsia"/>
              </w:rPr>
              <w:t>医院污水处理工程技术规范</w:t>
            </w:r>
            <w:r>
              <w:t>》</w:t>
            </w:r>
            <w:r>
              <w:rPr>
                <w:rFonts w:hint="eastAsia"/>
              </w:rPr>
              <w:t>（H</w:t>
            </w:r>
            <w:r>
              <w:t>J2029-2013</w:t>
            </w:r>
            <w:r>
              <w:rPr>
                <w:rFonts w:hint="eastAsia"/>
              </w:rPr>
              <w:t>）</w:t>
            </w:r>
            <w:r>
              <w:t>要求。</w:t>
            </w:r>
          </w:p>
          <w:p w14:paraId="30E9FA42">
            <w:pPr>
              <w:pStyle w:val="3"/>
              <w:bidi w:val="0"/>
            </w:pPr>
            <w:r>
              <w:t>选址合理性</w:t>
            </w:r>
            <w:r>
              <w:rPr>
                <w:rFonts w:hint="eastAsia"/>
              </w:rPr>
              <w:t>及相容性</w:t>
            </w:r>
            <w:r>
              <w:t>分析</w:t>
            </w:r>
          </w:p>
          <w:p w14:paraId="1560A6E8">
            <w:pPr>
              <w:pStyle w:val="4"/>
              <w:bidi w:val="0"/>
            </w:pPr>
            <w:r>
              <w:rPr>
                <w:rFonts w:hint="eastAsia"/>
              </w:rPr>
              <w:t>与周边环境相容性分析</w:t>
            </w:r>
          </w:p>
          <w:p w14:paraId="07F02DF8">
            <w:pPr>
              <w:bidi w:val="0"/>
              <w:rPr>
                <w:rFonts w:hint="eastAsia"/>
              </w:rPr>
            </w:pPr>
            <w:r>
              <w:t>本项目位于</w:t>
            </w:r>
            <w:r>
              <w:rPr>
                <w:rFonts w:hint="eastAsia"/>
              </w:rPr>
              <w:t>遂宁市船山区开善东路32</w:t>
            </w:r>
            <w:r>
              <w:rPr>
                <w:rFonts w:hint="eastAsia"/>
                <w:lang w:val="en-US" w:eastAsia="zh-CN"/>
              </w:rPr>
              <w:t>7</w:t>
            </w:r>
            <w:r>
              <w:rPr>
                <w:rFonts w:hint="eastAsia"/>
              </w:rPr>
              <w:t>号，</w:t>
            </w:r>
            <w:r>
              <w:t>根据现场踏勘，</w:t>
            </w:r>
            <w:r>
              <w:rPr>
                <w:rFonts w:hint="eastAsia"/>
              </w:rPr>
              <w:t>本项目用地5</w:t>
            </w:r>
            <w:r>
              <w:t>00m范围内主要为</w:t>
            </w:r>
            <w:r>
              <w:rPr>
                <w:rFonts w:hint="eastAsia"/>
              </w:rPr>
              <w:t>居民及</w:t>
            </w:r>
            <w:r>
              <w:rPr>
                <w:rFonts w:hint="eastAsia"/>
                <w:lang w:eastAsia="zh-CN"/>
              </w:rPr>
              <w:t>学校</w:t>
            </w:r>
            <w:r>
              <w:rPr>
                <w:rFonts w:hint="eastAsia"/>
              </w:rPr>
              <w:t>，</w:t>
            </w:r>
            <w:r>
              <w:t>项目周边外环境</w:t>
            </w:r>
            <w:r>
              <w:rPr>
                <w:rFonts w:hint="eastAsia"/>
              </w:rPr>
              <w:t>如下。</w:t>
            </w:r>
          </w:p>
          <w:p w14:paraId="452B4172">
            <w:pPr>
              <w:pStyle w:val="22"/>
              <w:bidi w:val="0"/>
            </w:pPr>
            <w:r>
              <w:t>项目外环境关系</w:t>
            </w:r>
            <w:r>
              <w:rPr>
                <w:rFonts w:hint="eastAsia"/>
              </w:rPr>
              <w:t>一览</w:t>
            </w:r>
            <w:r>
              <w:t>表</w:t>
            </w:r>
          </w:p>
          <w:tbl>
            <w:tblPr>
              <w:tblStyle w:val="15"/>
              <w:tblW w:w="497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2723"/>
              <w:gridCol w:w="854"/>
              <w:gridCol w:w="1184"/>
              <w:gridCol w:w="2510"/>
            </w:tblGrid>
            <w:tr w14:paraId="056F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41B650DD">
                  <w:pPr>
                    <w:pStyle w:val="23"/>
                    <w:bidi w:val="0"/>
                  </w:pPr>
                  <w:r>
                    <w:rPr>
                      <w:rFonts w:hint="default"/>
                    </w:rPr>
                    <w:t>序号</w:t>
                  </w:r>
                </w:p>
              </w:tc>
              <w:tc>
                <w:tcPr>
                  <w:tcW w:w="1674" w:type="pct"/>
                  <w:noWrap w:val="0"/>
                  <w:vAlign w:val="center"/>
                </w:tcPr>
                <w:p w14:paraId="1BFAD08E">
                  <w:pPr>
                    <w:pStyle w:val="23"/>
                    <w:bidi w:val="0"/>
                  </w:pPr>
                  <w:r>
                    <w:rPr>
                      <w:rFonts w:hint="default"/>
                    </w:rPr>
                    <w:t>外环境</w:t>
                  </w:r>
                </w:p>
              </w:tc>
              <w:tc>
                <w:tcPr>
                  <w:tcW w:w="525" w:type="pct"/>
                  <w:noWrap w:val="0"/>
                  <w:vAlign w:val="center"/>
                </w:tcPr>
                <w:p w14:paraId="4CD5C954">
                  <w:pPr>
                    <w:pStyle w:val="23"/>
                    <w:bidi w:val="0"/>
                  </w:pPr>
                  <w:r>
                    <w:rPr>
                      <w:rFonts w:hint="default"/>
                    </w:rPr>
                    <w:t>方位</w:t>
                  </w:r>
                </w:p>
              </w:tc>
              <w:tc>
                <w:tcPr>
                  <w:tcW w:w="728" w:type="pct"/>
                  <w:noWrap w:val="0"/>
                  <w:vAlign w:val="center"/>
                </w:tcPr>
                <w:p w14:paraId="0E76610C">
                  <w:pPr>
                    <w:pStyle w:val="23"/>
                    <w:bidi w:val="0"/>
                  </w:pPr>
                  <w:r>
                    <w:rPr>
                      <w:rFonts w:hint="default"/>
                    </w:rPr>
                    <w:t>距离（</w:t>
                  </w:r>
                  <w:r>
                    <w:t>m</w:t>
                  </w:r>
                  <w:r>
                    <w:rPr>
                      <w:rFonts w:hint="default"/>
                    </w:rPr>
                    <w:t>）</w:t>
                  </w:r>
                </w:p>
              </w:tc>
              <w:tc>
                <w:tcPr>
                  <w:tcW w:w="1543" w:type="pct"/>
                  <w:noWrap w:val="0"/>
                  <w:vAlign w:val="center"/>
                </w:tcPr>
                <w:p w14:paraId="7C309120">
                  <w:pPr>
                    <w:pStyle w:val="23"/>
                    <w:bidi w:val="0"/>
                  </w:pPr>
                  <w:r>
                    <w:rPr>
                      <w:rFonts w:hint="default"/>
                    </w:rPr>
                    <w:t>规模</w:t>
                  </w:r>
                  <w:r>
                    <w:t>/</w:t>
                  </w:r>
                  <w:r>
                    <w:rPr>
                      <w:rFonts w:hint="default"/>
                    </w:rPr>
                    <w:t>性质</w:t>
                  </w:r>
                </w:p>
              </w:tc>
            </w:tr>
            <w:tr w14:paraId="3C21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8" w:type="pct"/>
                  <w:noWrap w:val="0"/>
                  <w:vAlign w:val="center"/>
                </w:tcPr>
                <w:p w14:paraId="56232861">
                  <w:pPr>
                    <w:pStyle w:val="23"/>
                    <w:bidi w:val="0"/>
                  </w:pPr>
                  <w:r>
                    <w:t>1</w:t>
                  </w:r>
                </w:p>
              </w:tc>
              <w:tc>
                <w:tcPr>
                  <w:tcW w:w="1674" w:type="pct"/>
                  <w:noWrap w:val="0"/>
                  <w:vAlign w:val="center"/>
                </w:tcPr>
                <w:p w14:paraId="7F11E59A">
                  <w:pPr>
                    <w:pStyle w:val="23"/>
                    <w:bidi w:val="0"/>
                  </w:pPr>
                  <w:r>
                    <w:rPr>
                      <w:rFonts w:hint="eastAsia"/>
                    </w:rPr>
                    <w:t>明睿堂幼儿园</w:t>
                  </w:r>
                </w:p>
              </w:tc>
              <w:tc>
                <w:tcPr>
                  <w:tcW w:w="842" w:type="dxa"/>
                  <w:noWrap w:val="0"/>
                  <w:vAlign w:val="center"/>
                </w:tcPr>
                <w:p w14:paraId="0BAE6FD4">
                  <w:pPr>
                    <w:pStyle w:val="23"/>
                    <w:bidi w:val="0"/>
                  </w:pPr>
                  <w:r>
                    <w:rPr>
                      <w:rFonts w:hint="eastAsia"/>
                      <w:lang w:val="en-US" w:eastAsia="zh-CN"/>
                    </w:rPr>
                    <w:t>东</w:t>
                  </w:r>
                </w:p>
              </w:tc>
              <w:tc>
                <w:tcPr>
                  <w:tcW w:w="1167" w:type="dxa"/>
                  <w:noWrap w:val="0"/>
                  <w:vAlign w:val="center"/>
                </w:tcPr>
                <w:p w14:paraId="18C3E867">
                  <w:pPr>
                    <w:pStyle w:val="23"/>
                    <w:bidi w:val="0"/>
                  </w:pPr>
                  <w:r>
                    <w:rPr>
                      <w:rFonts w:hint="eastAsia"/>
                      <w:lang w:val="en-US" w:eastAsia="zh-CN"/>
                    </w:rPr>
                    <w:t>100</w:t>
                  </w:r>
                </w:p>
              </w:tc>
              <w:tc>
                <w:tcPr>
                  <w:tcW w:w="1543" w:type="pct"/>
                  <w:noWrap w:val="0"/>
                  <w:vAlign w:val="center"/>
                </w:tcPr>
                <w:p w14:paraId="5525CD05">
                  <w:pPr>
                    <w:pStyle w:val="23"/>
                    <w:bidi w:val="0"/>
                    <w:rPr>
                      <w:rFonts w:hint="eastAsia"/>
                    </w:rPr>
                  </w:pPr>
                  <w:r>
                    <w:rPr>
                      <w:rFonts w:hint="eastAsia"/>
                    </w:rPr>
                    <w:t>幼儿园</w:t>
                  </w:r>
                </w:p>
              </w:tc>
            </w:tr>
            <w:tr w14:paraId="72BF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0A62465E">
                  <w:pPr>
                    <w:pStyle w:val="23"/>
                    <w:bidi w:val="0"/>
                  </w:pPr>
                  <w:r>
                    <w:t>2</w:t>
                  </w:r>
                </w:p>
              </w:tc>
              <w:tc>
                <w:tcPr>
                  <w:tcW w:w="1674" w:type="pct"/>
                  <w:noWrap w:val="0"/>
                  <w:vAlign w:val="center"/>
                </w:tcPr>
                <w:p w14:paraId="13664A84">
                  <w:pPr>
                    <w:pStyle w:val="23"/>
                    <w:bidi w:val="0"/>
                  </w:pPr>
                  <w:r>
                    <w:rPr>
                      <w:rFonts w:hint="eastAsia"/>
                    </w:rPr>
                    <w:t>锦澜馨苑</w:t>
                  </w:r>
                </w:p>
              </w:tc>
              <w:tc>
                <w:tcPr>
                  <w:tcW w:w="842" w:type="dxa"/>
                  <w:noWrap w:val="0"/>
                  <w:vAlign w:val="center"/>
                </w:tcPr>
                <w:p w14:paraId="3B2C00E4">
                  <w:pPr>
                    <w:pStyle w:val="23"/>
                    <w:bidi w:val="0"/>
                  </w:pPr>
                  <w:r>
                    <w:rPr>
                      <w:rFonts w:hint="eastAsia"/>
                      <w:lang w:val="en-US" w:eastAsia="zh-CN"/>
                    </w:rPr>
                    <w:t>东</w:t>
                  </w:r>
                </w:p>
              </w:tc>
              <w:tc>
                <w:tcPr>
                  <w:tcW w:w="1167" w:type="dxa"/>
                  <w:noWrap w:val="0"/>
                  <w:vAlign w:val="center"/>
                </w:tcPr>
                <w:p w14:paraId="017D93CA">
                  <w:pPr>
                    <w:pStyle w:val="23"/>
                    <w:bidi w:val="0"/>
                  </w:pPr>
                  <w:r>
                    <w:rPr>
                      <w:rFonts w:hint="eastAsia"/>
                      <w:lang w:val="en-US" w:eastAsia="zh-CN"/>
                    </w:rPr>
                    <w:t>400</w:t>
                  </w:r>
                </w:p>
              </w:tc>
              <w:tc>
                <w:tcPr>
                  <w:tcW w:w="1543" w:type="pct"/>
                  <w:noWrap w:val="0"/>
                  <w:vAlign w:val="center"/>
                </w:tcPr>
                <w:p w14:paraId="6205AFD9">
                  <w:pPr>
                    <w:pStyle w:val="23"/>
                    <w:bidi w:val="0"/>
                  </w:pPr>
                  <w:r>
                    <w:t>居民</w:t>
                  </w:r>
                  <w:r>
                    <w:rPr>
                      <w:rFonts w:hint="default"/>
                    </w:rPr>
                    <w:t>，</w:t>
                  </w:r>
                  <w:r>
                    <w:t>180</w:t>
                  </w:r>
                  <w:r>
                    <w:rPr>
                      <w:rFonts w:hint="default"/>
                    </w:rPr>
                    <w:t>户，</w:t>
                  </w:r>
                  <w:r>
                    <w:t>540</w:t>
                  </w:r>
                  <w:r>
                    <w:rPr>
                      <w:rFonts w:hint="default"/>
                    </w:rPr>
                    <w:t>人</w:t>
                  </w:r>
                </w:p>
              </w:tc>
            </w:tr>
            <w:tr w14:paraId="18B0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7546F163">
                  <w:pPr>
                    <w:pStyle w:val="23"/>
                    <w:bidi w:val="0"/>
                  </w:pPr>
                  <w:r>
                    <w:t>3</w:t>
                  </w:r>
                </w:p>
              </w:tc>
              <w:tc>
                <w:tcPr>
                  <w:tcW w:w="1674" w:type="pct"/>
                  <w:noWrap w:val="0"/>
                  <w:vAlign w:val="center"/>
                </w:tcPr>
                <w:p w14:paraId="315E2552">
                  <w:pPr>
                    <w:pStyle w:val="23"/>
                    <w:bidi w:val="0"/>
                  </w:pPr>
                  <w:r>
                    <w:t>红祥苑小区</w:t>
                  </w:r>
                </w:p>
              </w:tc>
              <w:tc>
                <w:tcPr>
                  <w:tcW w:w="842" w:type="dxa"/>
                  <w:noWrap w:val="0"/>
                  <w:vAlign w:val="center"/>
                </w:tcPr>
                <w:p w14:paraId="3F0B7B3E">
                  <w:pPr>
                    <w:pStyle w:val="23"/>
                    <w:bidi w:val="0"/>
                  </w:pPr>
                  <w:r>
                    <w:rPr>
                      <w:rFonts w:hint="eastAsia"/>
                      <w:lang w:val="en-US" w:eastAsia="zh-CN"/>
                    </w:rPr>
                    <w:t>东</w:t>
                  </w:r>
                </w:p>
              </w:tc>
              <w:tc>
                <w:tcPr>
                  <w:tcW w:w="1167" w:type="dxa"/>
                  <w:noWrap w:val="0"/>
                  <w:vAlign w:val="center"/>
                </w:tcPr>
                <w:p w14:paraId="3EAF62F4">
                  <w:pPr>
                    <w:pStyle w:val="23"/>
                    <w:bidi w:val="0"/>
                  </w:pPr>
                  <w:r>
                    <w:rPr>
                      <w:rFonts w:hint="eastAsia"/>
                      <w:lang w:val="en-US" w:eastAsia="zh-CN"/>
                    </w:rPr>
                    <w:t>200</w:t>
                  </w:r>
                </w:p>
              </w:tc>
              <w:tc>
                <w:tcPr>
                  <w:tcW w:w="1543" w:type="pct"/>
                  <w:noWrap w:val="0"/>
                  <w:vAlign w:val="center"/>
                </w:tcPr>
                <w:p w14:paraId="32672310">
                  <w:pPr>
                    <w:pStyle w:val="23"/>
                    <w:bidi w:val="0"/>
                  </w:pPr>
                  <w:r>
                    <w:rPr>
                      <w:rFonts w:hint="default"/>
                    </w:rPr>
                    <w:t>居民，</w:t>
                  </w:r>
                  <w:r>
                    <w:t>180</w:t>
                  </w:r>
                  <w:r>
                    <w:rPr>
                      <w:rFonts w:hint="default"/>
                    </w:rPr>
                    <w:t>户，</w:t>
                  </w:r>
                  <w:r>
                    <w:t>540</w:t>
                  </w:r>
                  <w:r>
                    <w:rPr>
                      <w:rFonts w:hint="default"/>
                    </w:rPr>
                    <w:t>人</w:t>
                  </w:r>
                </w:p>
              </w:tc>
            </w:tr>
            <w:tr w14:paraId="2D48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6E948EDC">
                  <w:pPr>
                    <w:pStyle w:val="23"/>
                    <w:bidi w:val="0"/>
                  </w:pPr>
                  <w:r>
                    <w:t>4</w:t>
                  </w:r>
                </w:p>
              </w:tc>
              <w:tc>
                <w:tcPr>
                  <w:tcW w:w="1674" w:type="pct"/>
                  <w:noWrap w:val="0"/>
                  <w:vAlign w:val="center"/>
                </w:tcPr>
                <w:p w14:paraId="25DD5B8E">
                  <w:pPr>
                    <w:pStyle w:val="23"/>
                    <w:bidi w:val="0"/>
                  </w:pPr>
                  <w:r>
                    <w:rPr>
                      <w:rFonts w:hint="eastAsia"/>
                    </w:rPr>
                    <w:t>天宫石油小区</w:t>
                  </w:r>
                </w:p>
              </w:tc>
              <w:tc>
                <w:tcPr>
                  <w:tcW w:w="842" w:type="dxa"/>
                  <w:noWrap w:val="0"/>
                  <w:vAlign w:val="center"/>
                </w:tcPr>
                <w:p w14:paraId="46F6F5F0">
                  <w:pPr>
                    <w:pStyle w:val="23"/>
                    <w:bidi w:val="0"/>
                    <w:rPr>
                      <w:rFonts w:hint="eastAsia"/>
                    </w:rPr>
                  </w:pPr>
                  <w:r>
                    <w:rPr>
                      <w:rFonts w:hint="eastAsia"/>
                      <w:lang w:val="en-US" w:eastAsia="zh-CN"/>
                    </w:rPr>
                    <w:t>东北</w:t>
                  </w:r>
                </w:p>
              </w:tc>
              <w:tc>
                <w:tcPr>
                  <w:tcW w:w="1167" w:type="dxa"/>
                  <w:noWrap w:val="0"/>
                  <w:vAlign w:val="center"/>
                </w:tcPr>
                <w:p w14:paraId="61DFA51F">
                  <w:pPr>
                    <w:pStyle w:val="23"/>
                    <w:bidi w:val="0"/>
                    <w:rPr>
                      <w:rFonts w:hint="eastAsia"/>
                    </w:rPr>
                  </w:pPr>
                  <w:r>
                    <w:rPr>
                      <w:rFonts w:hint="eastAsia"/>
                      <w:lang w:val="en-US" w:eastAsia="zh-CN"/>
                    </w:rPr>
                    <w:t>紧邻</w:t>
                  </w:r>
                </w:p>
              </w:tc>
              <w:tc>
                <w:tcPr>
                  <w:tcW w:w="1543" w:type="pct"/>
                  <w:noWrap w:val="0"/>
                  <w:vAlign w:val="center"/>
                </w:tcPr>
                <w:p w14:paraId="1500B2D2">
                  <w:pPr>
                    <w:pStyle w:val="23"/>
                    <w:bidi w:val="0"/>
                  </w:pPr>
                  <w:r>
                    <w:rPr>
                      <w:rFonts w:hint="default"/>
                    </w:rPr>
                    <w:t>居民，</w:t>
                  </w:r>
                  <w:r>
                    <w:t>144</w:t>
                  </w:r>
                  <w:r>
                    <w:rPr>
                      <w:rFonts w:hint="default"/>
                    </w:rPr>
                    <w:t>户，</w:t>
                  </w:r>
                  <w:r>
                    <w:t>432</w:t>
                  </w:r>
                  <w:r>
                    <w:rPr>
                      <w:rFonts w:hint="default"/>
                    </w:rPr>
                    <w:t>人</w:t>
                  </w:r>
                </w:p>
              </w:tc>
            </w:tr>
            <w:tr w14:paraId="020B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0DCF26E6">
                  <w:pPr>
                    <w:pStyle w:val="23"/>
                    <w:bidi w:val="0"/>
                  </w:pPr>
                  <w:r>
                    <w:t>5</w:t>
                  </w:r>
                </w:p>
              </w:tc>
              <w:tc>
                <w:tcPr>
                  <w:tcW w:w="1674" w:type="pct"/>
                  <w:noWrap/>
                  <w:vAlign w:val="center"/>
                </w:tcPr>
                <w:p w14:paraId="5A3C3503">
                  <w:pPr>
                    <w:pStyle w:val="23"/>
                    <w:bidi w:val="0"/>
                    <w:rPr>
                      <w:rFonts w:hint="eastAsia"/>
                    </w:rPr>
                  </w:pPr>
                  <w:r>
                    <w:rPr>
                      <w:rFonts w:hint="eastAsia"/>
                    </w:rPr>
                    <w:t>凯悦江岸</w:t>
                  </w:r>
                </w:p>
              </w:tc>
              <w:tc>
                <w:tcPr>
                  <w:tcW w:w="842" w:type="dxa"/>
                  <w:noWrap w:val="0"/>
                  <w:vAlign w:val="center"/>
                </w:tcPr>
                <w:p w14:paraId="0EE6E8CF">
                  <w:pPr>
                    <w:pStyle w:val="23"/>
                    <w:bidi w:val="0"/>
                  </w:pPr>
                  <w:r>
                    <w:rPr>
                      <w:rFonts w:hint="eastAsia"/>
                      <w:lang w:val="en-US" w:eastAsia="zh-CN"/>
                    </w:rPr>
                    <w:t>东北</w:t>
                  </w:r>
                </w:p>
              </w:tc>
              <w:tc>
                <w:tcPr>
                  <w:tcW w:w="1167" w:type="dxa"/>
                  <w:noWrap w:val="0"/>
                  <w:vAlign w:val="center"/>
                </w:tcPr>
                <w:p w14:paraId="419B63BD">
                  <w:pPr>
                    <w:pStyle w:val="23"/>
                    <w:bidi w:val="0"/>
                  </w:pPr>
                  <w:r>
                    <w:rPr>
                      <w:rFonts w:hint="eastAsia"/>
                      <w:lang w:val="en-US" w:eastAsia="zh-CN"/>
                    </w:rPr>
                    <w:t>450</w:t>
                  </w:r>
                </w:p>
              </w:tc>
              <w:tc>
                <w:tcPr>
                  <w:tcW w:w="1543" w:type="pct"/>
                  <w:noWrap w:val="0"/>
                  <w:vAlign w:val="center"/>
                </w:tcPr>
                <w:p w14:paraId="645CFB7F">
                  <w:pPr>
                    <w:pStyle w:val="23"/>
                    <w:bidi w:val="0"/>
                  </w:pPr>
                  <w:r>
                    <w:rPr>
                      <w:rFonts w:hint="default"/>
                    </w:rPr>
                    <w:t>居民，</w:t>
                  </w:r>
                  <w:r>
                    <w:t>60</w:t>
                  </w:r>
                  <w:r>
                    <w:rPr>
                      <w:rFonts w:hint="default"/>
                    </w:rPr>
                    <w:t>户，</w:t>
                  </w:r>
                  <w:r>
                    <w:t>180</w:t>
                  </w:r>
                  <w:r>
                    <w:rPr>
                      <w:rFonts w:hint="default"/>
                    </w:rPr>
                    <w:t>人</w:t>
                  </w:r>
                </w:p>
              </w:tc>
            </w:tr>
            <w:tr w14:paraId="0B00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6BB3A0C7">
                  <w:pPr>
                    <w:pStyle w:val="23"/>
                    <w:bidi w:val="0"/>
                  </w:pPr>
                  <w:r>
                    <w:t>6</w:t>
                  </w:r>
                </w:p>
              </w:tc>
              <w:tc>
                <w:tcPr>
                  <w:tcW w:w="1674" w:type="pct"/>
                  <w:noWrap w:val="0"/>
                  <w:vAlign w:val="center"/>
                </w:tcPr>
                <w:p w14:paraId="099A4CC1">
                  <w:pPr>
                    <w:pStyle w:val="23"/>
                    <w:bidi w:val="0"/>
                  </w:pPr>
                  <w:r>
                    <w:t>船山区支渠巷金悦华府</w:t>
                  </w:r>
                </w:p>
              </w:tc>
              <w:tc>
                <w:tcPr>
                  <w:tcW w:w="842" w:type="dxa"/>
                  <w:noWrap w:val="0"/>
                  <w:vAlign w:val="center"/>
                </w:tcPr>
                <w:p w14:paraId="074F4FDB">
                  <w:pPr>
                    <w:pStyle w:val="23"/>
                    <w:bidi w:val="0"/>
                    <w:rPr>
                      <w:rFonts w:hint="eastAsia"/>
                    </w:rPr>
                  </w:pPr>
                  <w:r>
                    <w:rPr>
                      <w:rFonts w:hint="eastAsia"/>
                      <w:lang w:val="en-US" w:eastAsia="zh-CN"/>
                    </w:rPr>
                    <w:t>北</w:t>
                  </w:r>
                </w:p>
              </w:tc>
              <w:tc>
                <w:tcPr>
                  <w:tcW w:w="1167" w:type="dxa"/>
                  <w:noWrap w:val="0"/>
                  <w:vAlign w:val="center"/>
                </w:tcPr>
                <w:p w14:paraId="13765C54">
                  <w:pPr>
                    <w:pStyle w:val="23"/>
                    <w:bidi w:val="0"/>
                  </w:pPr>
                  <w:r>
                    <w:rPr>
                      <w:rFonts w:hint="eastAsia"/>
                      <w:lang w:val="en-US" w:eastAsia="zh-CN"/>
                    </w:rPr>
                    <w:t>450</w:t>
                  </w:r>
                </w:p>
              </w:tc>
              <w:tc>
                <w:tcPr>
                  <w:tcW w:w="1543" w:type="pct"/>
                  <w:noWrap w:val="0"/>
                  <w:vAlign w:val="center"/>
                </w:tcPr>
                <w:p w14:paraId="45F30677">
                  <w:pPr>
                    <w:pStyle w:val="23"/>
                    <w:bidi w:val="0"/>
                  </w:pPr>
                  <w:r>
                    <w:rPr>
                      <w:rFonts w:hint="default"/>
                    </w:rPr>
                    <w:t>居民，</w:t>
                  </w:r>
                  <w:r>
                    <w:t>90</w:t>
                  </w:r>
                  <w:r>
                    <w:rPr>
                      <w:rFonts w:hint="default"/>
                    </w:rPr>
                    <w:t>户，</w:t>
                  </w:r>
                  <w:r>
                    <w:t>270</w:t>
                  </w:r>
                  <w:r>
                    <w:rPr>
                      <w:rFonts w:hint="default"/>
                    </w:rPr>
                    <w:t>人</w:t>
                  </w:r>
                </w:p>
              </w:tc>
            </w:tr>
            <w:tr w14:paraId="76B7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7850CBA5">
                  <w:pPr>
                    <w:pStyle w:val="23"/>
                    <w:bidi w:val="0"/>
                  </w:pPr>
                  <w:r>
                    <w:t>7</w:t>
                  </w:r>
                </w:p>
              </w:tc>
              <w:tc>
                <w:tcPr>
                  <w:tcW w:w="1674" w:type="pct"/>
                  <w:noWrap w:val="0"/>
                  <w:vAlign w:val="center"/>
                </w:tcPr>
                <w:p w14:paraId="26CE8D6E">
                  <w:pPr>
                    <w:pStyle w:val="23"/>
                    <w:bidi w:val="0"/>
                  </w:pPr>
                  <w:r>
                    <w:rPr>
                      <w:rFonts w:hint="eastAsia"/>
                    </w:rPr>
                    <w:t>交通运输局公路管理局</w:t>
                  </w:r>
                </w:p>
              </w:tc>
              <w:tc>
                <w:tcPr>
                  <w:tcW w:w="842" w:type="dxa"/>
                  <w:noWrap w:val="0"/>
                  <w:vAlign w:val="center"/>
                </w:tcPr>
                <w:p w14:paraId="57BBBFB0">
                  <w:pPr>
                    <w:pStyle w:val="23"/>
                    <w:bidi w:val="0"/>
                    <w:rPr>
                      <w:rFonts w:hint="eastAsia"/>
                    </w:rPr>
                  </w:pPr>
                  <w:r>
                    <w:rPr>
                      <w:rFonts w:hint="eastAsia"/>
                      <w:lang w:val="en-US" w:eastAsia="zh-CN"/>
                    </w:rPr>
                    <w:t>西</w:t>
                  </w:r>
                </w:p>
              </w:tc>
              <w:tc>
                <w:tcPr>
                  <w:tcW w:w="1167" w:type="dxa"/>
                  <w:noWrap w:val="0"/>
                  <w:vAlign w:val="center"/>
                </w:tcPr>
                <w:p w14:paraId="5A70F45E">
                  <w:pPr>
                    <w:pStyle w:val="23"/>
                    <w:bidi w:val="0"/>
                  </w:pPr>
                  <w:r>
                    <w:rPr>
                      <w:rFonts w:hint="eastAsia"/>
                      <w:lang w:val="en-US" w:eastAsia="zh-CN"/>
                    </w:rPr>
                    <w:t>100</w:t>
                  </w:r>
                </w:p>
              </w:tc>
              <w:tc>
                <w:tcPr>
                  <w:tcW w:w="1543" w:type="pct"/>
                  <w:noWrap w:val="0"/>
                  <w:vAlign w:val="center"/>
                </w:tcPr>
                <w:p w14:paraId="70D92FE0">
                  <w:pPr>
                    <w:pStyle w:val="23"/>
                    <w:bidi w:val="0"/>
                    <w:rPr>
                      <w:rFonts w:hint="eastAsia"/>
                    </w:rPr>
                  </w:pPr>
                  <w:r>
                    <w:rPr>
                      <w:rFonts w:hint="eastAsia"/>
                    </w:rPr>
                    <w:t>居民</w:t>
                  </w:r>
                </w:p>
              </w:tc>
            </w:tr>
            <w:tr w14:paraId="1686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23FE53B8">
                  <w:pPr>
                    <w:pStyle w:val="23"/>
                    <w:bidi w:val="0"/>
                  </w:pPr>
                  <w:r>
                    <w:t>8</w:t>
                  </w:r>
                </w:p>
              </w:tc>
              <w:tc>
                <w:tcPr>
                  <w:tcW w:w="1674" w:type="pct"/>
                  <w:noWrap w:val="0"/>
                  <w:vAlign w:val="center"/>
                </w:tcPr>
                <w:p w14:paraId="3B1A9ABF">
                  <w:pPr>
                    <w:pStyle w:val="23"/>
                    <w:bidi w:val="0"/>
                  </w:pPr>
                  <w:r>
                    <w:rPr>
                      <w:rFonts w:hint="eastAsia"/>
                    </w:rPr>
                    <w:t>新民街幼儿园</w:t>
                  </w:r>
                </w:p>
              </w:tc>
              <w:tc>
                <w:tcPr>
                  <w:tcW w:w="842" w:type="dxa"/>
                  <w:noWrap w:val="0"/>
                  <w:vAlign w:val="center"/>
                </w:tcPr>
                <w:p w14:paraId="17DFA1AF">
                  <w:pPr>
                    <w:pStyle w:val="23"/>
                    <w:bidi w:val="0"/>
                  </w:pPr>
                  <w:r>
                    <w:rPr>
                      <w:rFonts w:hint="eastAsia"/>
                      <w:lang w:val="en-US" w:eastAsia="zh-CN"/>
                    </w:rPr>
                    <w:t>西北</w:t>
                  </w:r>
                </w:p>
              </w:tc>
              <w:tc>
                <w:tcPr>
                  <w:tcW w:w="1167" w:type="dxa"/>
                  <w:noWrap w:val="0"/>
                  <w:vAlign w:val="center"/>
                </w:tcPr>
                <w:p w14:paraId="60885A4F">
                  <w:pPr>
                    <w:pStyle w:val="23"/>
                    <w:bidi w:val="0"/>
                    <w:rPr>
                      <w:rFonts w:hint="eastAsia"/>
                    </w:rPr>
                  </w:pPr>
                  <w:r>
                    <w:rPr>
                      <w:rFonts w:hint="eastAsia"/>
                      <w:lang w:val="en-US" w:eastAsia="zh-CN"/>
                    </w:rPr>
                    <w:t>350</w:t>
                  </w:r>
                </w:p>
              </w:tc>
              <w:tc>
                <w:tcPr>
                  <w:tcW w:w="1543" w:type="pct"/>
                  <w:noWrap w:val="0"/>
                  <w:vAlign w:val="center"/>
                </w:tcPr>
                <w:p w14:paraId="48B8DF7C">
                  <w:pPr>
                    <w:pStyle w:val="23"/>
                    <w:bidi w:val="0"/>
                    <w:rPr>
                      <w:rFonts w:hint="eastAsia"/>
                    </w:rPr>
                  </w:pPr>
                  <w:r>
                    <w:rPr>
                      <w:rFonts w:hint="eastAsia"/>
                    </w:rPr>
                    <w:t>学校</w:t>
                  </w:r>
                </w:p>
              </w:tc>
            </w:tr>
            <w:tr w14:paraId="4145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09BC3942">
                  <w:pPr>
                    <w:pStyle w:val="23"/>
                    <w:bidi w:val="0"/>
                  </w:pPr>
                  <w:r>
                    <w:t>9</w:t>
                  </w:r>
                </w:p>
              </w:tc>
              <w:tc>
                <w:tcPr>
                  <w:tcW w:w="1674" w:type="pct"/>
                  <w:noWrap/>
                  <w:vAlign w:val="center"/>
                </w:tcPr>
                <w:p w14:paraId="239EA5D8">
                  <w:pPr>
                    <w:pStyle w:val="23"/>
                    <w:bidi w:val="0"/>
                  </w:pPr>
                  <w:r>
                    <w:rPr>
                      <w:rFonts w:hint="eastAsia"/>
                    </w:rPr>
                    <w:t>彩虹街35号</w:t>
                  </w:r>
                </w:p>
              </w:tc>
              <w:tc>
                <w:tcPr>
                  <w:tcW w:w="842" w:type="dxa"/>
                  <w:noWrap w:val="0"/>
                  <w:vAlign w:val="center"/>
                </w:tcPr>
                <w:p w14:paraId="01CFD9DF">
                  <w:pPr>
                    <w:pStyle w:val="23"/>
                    <w:bidi w:val="0"/>
                  </w:pPr>
                  <w:r>
                    <w:rPr>
                      <w:rFonts w:hint="eastAsia"/>
                      <w:lang w:val="en-US" w:eastAsia="zh-CN"/>
                    </w:rPr>
                    <w:t>东北</w:t>
                  </w:r>
                </w:p>
              </w:tc>
              <w:tc>
                <w:tcPr>
                  <w:tcW w:w="1167" w:type="dxa"/>
                  <w:noWrap/>
                  <w:vAlign w:val="center"/>
                </w:tcPr>
                <w:p w14:paraId="272B6C61">
                  <w:pPr>
                    <w:pStyle w:val="23"/>
                    <w:bidi w:val="0"/>
                  </w:pPr>
                  <w:r>
                    <w:rPr>
                      <w:rFonts w:hint="eastAsia"/>
                      <w:lang w:val="en-US" w:eastAsia="zh-CN"/>
                    </w:rPr>
                    <w:t>220</w:t>
                  </w:r>
                </w:p>
              </w:tc>
              <w:tc>
                <w:tcPr>
                  <w:tcW w:w="1543" w:type="pct"/>
                  <w:noWrap/>
                  <w:vAlign w:val="center"/>
                </w:tcPr>
                <w:p w14:paraId="427DBB60">
                  <w:pPr>
                    <w:pStyle w:val="23"/>
                    <w:bidi w:val="0"/>
                  </w:pPr>
                  <w:r>
                    <w:rPr>
                      <w:rFonts w:hint="default"/>
                    </w:rPr>
                    <w:t>居民，</w:t>
                  </w:r>
                  <w:r>
                    <w:t>234</w:t>
                  </w:r>
                  <w:r>
                    <w:rPr>
                      <w:rFonts w:hint="default"/>
                    </w:rPr>
                    <w:t>户，</w:t>
                  </w:r>
                  <w:r>
                    <w:t>702</w:t>
                  </w:r>
                  <w:r>
                    <w:rPr>
                      <w:rFonts w:hint="default"/>
                    </w:rPr>
                    <w:t>人</w:t>
                  </w:r>
                </w:p>
              </w:tc>
            </w:tr>
            <w:tr w14:paraId="1A7B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47C47381">
                  <w:pPr>
                    <w:pStyle w:val="23"/>
                    <w:bidi w:val="0"/>
                  </w:pPr>
                  <w:r>
                    <w:t>10</w:t>
                  </w:r>
                </w:p>
              </w:tc>
              <w:tc>
                <w:tcPr>
                  <w:tcW w:w="1674" w:type="pct"/>
                  <w:noWrap/>
                  <w:vAlign w:val="center"/>
                </w:tcPr>
                <w:p w14:paraId="09FE46EA">
                  <w:pPr>
                    <w:pStyle w:val="23"/>
                    <w:bidi w:val="0"/>
                  </w:pPr>
                  <w:r>
                    <w:rPr>
                      <w:rFonts w:hint="eastAsia"/>
                    </w:rPr>
                    <w:t>龙王井东巷1号</w:t>
                  </w:r>
                </w:p>
              </w:tc>
              <w:tc>
                <w:tcPr>
                  <w:tcW w:w="842" w:type="dxa"/>
                  <w:noWrap w:val="0"/>
                  <w:vAlign w:val="center"/>
                </w:tcPr>
                <w:p w14:paraId="7550AA76">
                  <w:pPr>
                    <w:pStyle w:val="23"/>
                    <w:bidi w:val="0"/>
                    <w:rPr>
                      <w:rFonts w:hint="eastAsia"/>
                    </w:rPr>
                  </w:pPr>
                  <w:r>
                    <w:rPr>
                      <w:rFonts w:hint="eastAsia"/>
                      <w:lang w:val="en-US" w:eastAsia="zh-CN"/>
                    </w:rPr>
                    <w:t>西北</w:t>
                  </w:r>
                </w:p>
              </w:tc>
              <w:tc>
                <w:tcPr>
                  <w:tcW w:w="1167" w:type="dxa"/>
                  <w:noWrap/>
                  <w:vAlign w:val="center"/>
                </w:tcPr>
                <w:p w14:paraId="373C16E6">
                  <w:pPr>
                    <w:pStyle w:val="23"/>
                    <w:bidi w:val="0"/>
                  </w:pPr>
                  <w:r>
                    <w:rPr>
                      <w:rFonts w:hint="eastAsia"/>
                      <w:lang w:val="en-US" w:eastAsia="zh-CN"/>
                    </w:rPr>
                    <w:t>190</w:t>
                  </w:r>
                </w:p>
              </w:tc>
              <w:tc>
                <w:tcPr>
                  <w:tcW w:w="1543" w:type="pct"/>
                  <w:noWrap/>
                  <w:vAlign w:val="center"/>
                </w:tcPr>
                <w:p w14:paraId="1EF9CB00">
                  <w:pPr>
                    <w:pStyle w:val="23"/>
                    <w:bidi w:val="0"/>
                  </w:pPr>
                  <w:r>
                    <w:rPr>
                      <w:rFonts w:hint="default"/>
                    </w:rPr>
                    <w:t>居民，</w:t>
                  </w:r>
                  <w:r>
                    <w:t>126</w:t>
                  </w:r>
                  <w:r>
                    <w:rPr>
                      <w:rFonts w:hint="default"/>
                    </w:rPr>
                    <w:t>户，</w:t>
                  </w:r>
                  <w:r>
                    <w:t>378</w:t>
                  </w:r>
                  <w:r>
                    <w:rPr>
                      <w:rFonts w:hint="default"/>
                    </w:rPr>
                    <w:t>人</w:t>
                  </w:r>
                </w:p>
              </w:tc>
            </w:tr>
            <w:tr w14:paraId="7390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6F8B274C">
                  <w:pPr>
                    <w:pStyle w:val="23"/>
                    <w:bidi w:val="0"/>
                  </w:pPr>
                  <w:r>
                    <w:t>11</w:t>
                  </w:r>
                </w:p>
              </w:tc>
              <w:tc>
                <w:tcPr>
                  <w:tcW w:w="1674" w:type="pct"/>
                  <w:noWrap/>
                  <w:vAlign w:val="center"/>
                </w:tcPr>
                <w:p w14:paraId="6663ADF1">
                  <w:pPr>
                    <w:pStyle w:val="23"/>
                    <w:bidi w:val="0"/>
                    <w:rPr>
                      <w:rFonts w:hint="eastAsia"/>
                    </w:rPr>
                  </w:pPr>
                  <w:r>
                    <w:rPr>
                      <w:rFonts w:hint="eastAsia"/>
                    </w:rPr>
                    <w:t>国泰公寓</w:t>
                  </w:r>
                </w:p>
              </w:tc>
              <w:tc>
                <w:tcPr>
                  <w:tcW w:w="842" w:type="dxa"/>
                  <w:noWrap w:val="0"/>
                  <w:vAlign w:val="center"/>
                </w:tcPr>
                <w:p w14:paraId="547F1515">
                  <w:pPr>
                    <w:pStyle w:val="23"/>
                    <w:bidi w:val="0"/>
                    <w:rPr>
                      <w:rFonts w:hint="eastAsia"/>
                    </w:rPr>
                  </w:pPr>
                  <w:r>
                    <w:rPr>
                      <w:rFonts w:hint="eastAsia"/>
                      <w:lang w:val="en-US" w:eastAsia="zh-CN"/>
                    </w:rPr>
                    <w:t>西</w:t>
                  </w:r>
                </w:p>
              </w:tc>
              <w:tc>
                <w:tcPr>
                  <w:tcW w:w="1167" w:type="dxa"/>
                  <w:noWrap w:val="0"/>
                  <w:vAlign w:val="center"/>
                </w:tcPr>
                <w:p w14:paraId="2E8A6CD0">
                  <w:pPr>
                    <w:pStyle w:val="23"/>
                    <w:bidi w:val="0"/>
                  </w:pPr>
                  <w:r>
                    <w:rPr>
                      <w:rFonts w:hint="eastAsia"/>
                      <w:lang w:val="en-US" w:eastAsia="zh-CN"/>
                    </w:rPr>
                    <w:t>450</w:t>
                  </w:r>
                </w:p>
              </w:tc>
              <w:tc>
                <w:tcPr>
                  <w:tcW w:w="1543" w:type="pct"/>
                  <w:noWrap w:val="0"/>
                  <w:vAlign w:val="center"/>
                </w:tcPr>
                <w:p w14:paraId="503C0C50">
                  <w:pPr>
                    <w:pStyle w:val="23"/>
                    <w:bidi w:val="0"/>
                  </w:pPr>
                  <w:r>
                    <w:rPr>
                      <w:rFonts w:hint="default"/>
                    </w:rPr>
                    <w:t>居民，</w:t>
                  </w:r>
                  <w:r>
                    <w:t>162</w:t>
                  </w:r>
                  <w:r>
                    <w:rPr>
                      <w:rFonts w:hint="default"/>
                    </w:rPr>
                    <w:t>户，</w:t>
                  </w:r>
                  <w:r>
                    <w:t>486</w:t>
                  </w:r>
                  <w:r>
                    <w:rPr>
                      <w:rFonts w:hint="default"/>
                    </w:rPr>
                    <w:t>人</w:t>
                  </w:r>
                </w:p>
              </w:tc>
            </w:tr>
            <w:tr w14:paraId="2B49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3D02CCA1">
                  <w:pPr>
                    <w:pStyle w:val="23"/>
                    <w:bidi w:val="0"/>
                  </w:pPr>
                  <w:r>
                    <w:t>12</w:t>
                  </w:r>
                </w:p>
              </w:tc>
              <w:tc>
                <w:tcPr>
                  <w:tcW w:w="1674" w:type="pct"/>
                  <w:noWrap/>
                  <w:vAlign w:val="center"/>
                </w:tcPr>
                <w:p w14:paraId="04040DF8">
                  <w:pPr>
                    <w:pStyle w:val="23"/>
                    <w:bidi w:val="0"/>
                    <w:rPr>
                      <w:rFonts w:hint="eastAsia"/>
                    </w:rPr>
                  </w:pPr>
                  <w:r>
                    <w:rPr>
                      <w:rFonts w:hint="eastAsia"/>
                    </w:rPr>
                    <w:t>玉泉街社区</w:t>
                  </w:r>
                </w:p>
              </w:tc>
              <w:tc>
                <w:tcPr>
                  <w:tcW w:w="842" w:type="dxa"/>
                  <w:noWrap w:val="0"/>
                  <w:vAlign w:val="center"/>
                </w:tcPr>
                <w:p w14:paraId="6625530E">
                  <w:pPr>
                    <w:pStyle w:val="23"/>
                    <w:bidi w:val="0"/>
                    <w:rPr>
                      <w:rFonts w:hint="eastAsia"/>
                    </w:rPr>
                  </w:pPr>
                  <w:r>
                    <w:rPr>
                      <w:rFonts w:hint="eastAsia"/>
                      <w:lang w:val="en-US" w:eastAsia="zh-CN"/>
                    </w:rPr>
                    <w:t>西</w:t>
                  </w:r>
                </w:p>
              </w:tc>
              <w:tc>
                <w:tcPr>
                  <w:tcW w:w="1167" w:type="dxa"/>
                  <w:noWrap/>
                  <w:vAlign w:val="center"/>
                </w:tcPr>
                <w:p w14:paraId="7C0B26F5">
                  <w:pPr>
                    <w:pStyle w:val="23"/>
                    <w:bidi w:val="0"/>
                  </w:pPr>
                  <w:r>
                    <w:rPr>
                      <w:rFonts w:hint="eastAsia"/>
                      <w:lang w:val="en-US" w:eastAsia="zh-CN"/>
                    </w:rPr>
                    <w:t>450</w:t>
                  </w:r>
                </w:p>
              </w:tc>
              <w:tc>
                <w:tcPr>
                  <w:tcW w:w="1543" w:type="pct"/>
                  <w:noWrap/>
                  <w:vAlign w:val="center"/>
                </w:tcPr>
                <w:p w14:paraId="54CE50D9">
                  <w:pPr>
                    <w:pStyle w:val="23"/>
                    <w:bidi w:val="0"/>
                  </w:pPr>
                  <w:r>
                    <w:rPr>
                      <w:rFonts w:hint="default"/>
                    </w:rPr>
                    <w:t>居民，</w:t>
                  </w:r>
                  <w:r>
                    <w:t>396</w:t>
                  </w:r>
                  <w:r>
                    <w:rPr>
                      <w:rFonts w:hint="default"/>
                    </w:rPr>
                    <w:t>户，</w:t>
                  </w:r>
                  <w:r>
                    <w:t>1188</w:t>
                  </w:r>
                  <w:r>
                    <w:rPr>
                      <w:rFonts w:hint="default"/>
                    </w:rPr>
                    <w:t>人</w:t>
                  </w:r>
                </w:p>
              </w:tc>
            </w:tr>
            <w:tr w14:paraId="460F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25EFA497">
                  <w:pPr>
                    <w:pStyle w:val="23"/>
                    <w:bidi w:val="0"/>
                  </w:pPr>
                  <w:r>
                    <w:t>13</w:t>
                  </w:r>
                </w:p>
              </w:tc>
              <w:tc>
                <w:tcPr>
                  <w:tcW w:w="1674" w:type="pct"/>
                  <w:noWrap w:val="0"/>
                  <w:vAlign w:val="center"/>
                </w:tcPr>
                <w:p w14:paraId="62449393">
                  <w:pPr>
                    <w:pStyle w:val="23"/>
                    <w:bidi w:val="0"/>
                  </w:pPr>
                  <w:r>
                    <w:rPr>
                      <w:rFonts w:hint="eastAsia"/>
                    </w:rPr>
                    <w:t>玉泉街137号</w:t>
                  </w:r>
                </w:p>
              </w:tc>
              <w:tc>
                <w:tcPr>
                  <w:tcW w:w="842" w:type="dxa"/>
                  <w:noWrap w:val="0"/>
                  <w:vAlign w:val="center"/>
                </w:tcPr>
                <w:p w14:paraId="02FAFAAE">
                  <w:pPr>
                    <w:pStyle w:val="23"/>
                    <w:bidi w:val="0"/>
                    <w:rPr>
                      <w:rFonts w:hint="eastAsia"/>
                    </w:rPr>
                  </w:pPr>
                  <w:r>
                    <w:rPr>
                      <w:rFonts w:hint="eastAsia"/>
                      <w:lang w:val="en-US" w:eastAsia="zh-CN"/>
                    </w:rPr>
                    <w:t>西北</w:t>
                  </w:r>
                </w:p>
              </w:tc>
              <w:tc>
                <w:tcPr>
                  <w:tcW w:w="1167" w:type="dxa"/>
                  <w:noWrap w:val="0"/>
                  <w:vAlign w:val="center"/>
                </w:tcPr>
                <w:p w14:paraId="1E20A783">
                  <w:pPr>
                    <w:pStyle w:val="23"/>
                    <w:bidi w:val="0"/>
                    <w:rPr>
                      <w:rFonts w:hint="eastAsia"/>
                    </w:rPr>
                  </w:pPr>
                  <w:r>
                    <w:rPr>
                      <w:rFonts w:hint="eastAsia"/>
                      <w:lang w:val="en-US" w:eastAsia="zh-CN"/>
                    </w:rPr>
                    <w:t>265</w:t>
                  </w:r>
                </w:p>
              </w:tc>
              <w:tc>
                <w:tcPr>
                  <w:tcW w:w="1543" w:type="pct"/>
                  <w:noWrap w:val="0"/>
                  <w:vAlign w:val="center"/>
                </w:tcPr>
                <w:p w14:paraId="548C051C">
                  <w:pPr>
                    <w:pStyle w:val="23"/>
                    <w:bidi w:val="0"/>
                  </w:pPr>
                  <w:r>
                    <w:rPr>
                      <w:rFonts w:hint="default"/>
                    </w:rPr>
                    <w:t>居民，</w:t>
                  </w:r>
                  <w:r>
                    <w:t>108</w:t>
                  </w:r>
                  <w:r>
                    <w:rPr>
                      <w:rFonts w:hint="default"/>
                    </w:rPr>
                    <w:t>户，</w:t>
                  </w:r>
                  <w:r>
                    <w:t>324</w:t>
                  </w:r>
                  <w:r>
                    <w:rPr>
                      <w:rFonts w:hint="default"/>
                    </w:rPr>
                    <w:t>人</w:t>
                  </w:r>
                </w:p>
              </w:tc>
            </w:tr>
            <w:tr w14:paraId="4337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49744367">
                  <w:pPr>
                    <w:pStyle w:val="23"/>
                    <w:bidi w:val="0"/>
                  </w:pPr>
                  <w:r>
                    <w:t>14</w:t>
                  </w:r>
                </w:p>
              </w:tc>
              <w:tc>
                <w:tcPr>
                  <w:tcW w:w="1674" w:type="pct"/>
                  <w:noWrap/>
                  <w:vAlign w:val="center"/>
                </w:tcPr>
                <w:p w14:paraId="0EEAFCCF">
                  <w:pPr>
                    <w:pStyle w:val="23"/>
                    <w:bidi w:val="0"/>
                  </w:pPr>
                  <w:r>
                    <w:rPr>
                      <w:rFonts w:hint="eastAsia"/>
                    </w:rPr>
                    <w:t>金泽丽园</w:t>
                  </w:r>
                </w:p>
              </w:tc>
              <w:tc>
                <w:tcPr>
                  <w:tcW w:w="842" w:type="dxa"/>
                  <w:noWrap w:val="0"/>
                  <w:vAlign w:val="center"/>
                </w:tcPr>
                <w:p w14:paraId="3C9100D2">
                  <w:pPr>
                    <w:pStyle w:val="23"/>
                    <w:bidi w:val="0"/>
                    <w:rPr>
                      <w:rFonts w:hint="eastAsia"/>
                    </w:rPr>
                  </w:pPr>
                  <w:r>
                    <w:rPr>
                      <w:rFonts w:hint="eastAsia"/>
                      <w:lang w:val="en-US" w:eastAsia="zh-CN"/>
                    </w:rPr>
                    <w:t>西北</w:t>
                  </w:r>
                </w:p>
              </w:tc>
              <w:tc>
                <w:tcPr>
                  <w:tcW w:w="1167" w:type="dxa"/>
                  <w:noWrap w:val="0"/>
                  <w:vAlign w:val="center"/>
                </w:tcPr>
                <w:p w14:paraId="53A3639A">
                  <w:pPr>
                    <w:pStyle w:val="23"/>
                    <w:bidi w:val="0"/>
                    <w:rPr>
                      <w:rFonts w:hint="eastAsia"/>
                    </w:rPr>
                  </w:pPr>
                  <w:r>
                    <w:rPr>
                      <w:rFonts w:hint="eastAsia"/>
                      <w:lang w:val="en-US" w:eastAsia="zh-CN"/>
                    </w:rPr>
                    <w:t>400</w:t>
                  </w:r>
                </w:p>
              </w:tc>
              <w:tc>
                <w:tcPr>
                  <w:tcW w:w="1543" w:type="pct"/>
                  <w:noWrap w:val="0"/>
                  <w:vAlign w:val="center"/>
                </w:tcPr>
                <w:p w14:paraId="3A3BAAC8">
                  <w:pPr>
                    <w:pStyle w:val="23"/>
                    <w:bidi w:val="0"/>
                  </w:pPr>
                  <w:r>
                    <w:rPr>
                      <w:rFonts w:hint="default"/>
                    </w:rPr>
                    <w:t>居民，</w:t>
                  </w:r>
                  <w:r>
                    <w:t>180</w:t>
                  </w:r>
                  <w:r>
                    <w:rPr>
                      <w:rFonts w:hint="default"/>
                    </w:rPr>
                    <w:t>户，</w:t>
                  </w:r>
                  <w:r>
                    <w:t>540</w:t>
                  </w:r>
                  <w:r>
                    <w:rPr>
                      <w:rFonts w:hint="default"/>
                    </w:rPr>
                    <w:t>人</w:t>
                  </w:r>
                </w:p>
              </w:tc>
            </w:tr>
            <w:tr w14:paraId="2C7D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6E68E634">
                  <w:pPr>
                    <w:pStyle w:val="23"/>
                    <w:bidi w:val="0"/>
                  </w:pPr>
                  <w:r>
                    <w:t>15</w:t>
                  </w:r>
                </w:p>
              </w:tc>
              <w:tc>
                <w:tcPr>
                  <w:tcW w:w="1674" w:type="pct"/>
                  <w:noWrap w:val="0"/>
                  <w:vAlign w:val="center"/>
                </w:tcPr>
                <w:p w14:paraId="2F6DEA01">
                  <w:pPr>
                    <w:pStyle w:val="23"/>
                    <w:bidi w:val="0"/>
                  </w:pPr>
                  <w:r>
                    <w:rPr>
                      <w:rFonts w:hint="eastAsia"/>
                    </w:rPr>
                    <w:t>泰佳尔阳光城</w:t>
                  </w:r>
                </w:p>
              </w:tc>
              <w:tc>
                <w:tcPr>
                  <w:tcW w:w="842" w:type="dxa"/>
                  <w:noWrap w:val="0"/>
                  <w:vAlign w:val="center"/>
                </w:tcPr>
                <w:p w14:paraId="1868DFC4">
                  <w:pPr>
                    <w:pStyle w:val="23"/>
                    <w:bidi w:val="0"/>
                    <w:rPr>
                      <w:rFonts w:hint="eastAsia"/>
                    </w:rPr>
                  </w:pPr>
                  <w:r>
                    <w:rPr>
                      <w:rFonts w:hint="eastAsia"/>
                      <w:lang w:val="en-US" w:eastAsia="zh-CN"/>
                    </w:rPr>
                    <w:t>东南</w:t>
                  </w:r>
                </w:p>
              </w:tc>
              <w:tc>
                <w:tcPr>
                  <w:tcW w:w="1167" w:type="dxa"/>
                  <w:noWrap w:val="0"/>
                  <w:vAlign w:val="center"/>
                </w:tcPr>
                <w:p w14:paraId="1486B57E">
                  <w:pPr>
                    <w:pStyle w:val="23"/>
                    <w:bidi w:val="0"/>
                  </w:pPr>
                  <w:r>
                    <w:rPr>
                      <w:rFonts w:hint="eastAsia"/>
                      <w:lang w:val="en-US" w:eastAsia="zh-CN"/>
                    </w:rPr>
                    <w:t>450</w:t>
                  </w:r>
                </w:p>
              </w:tc>
              <w:tc>
                <w:tcPr>
                  <w:tcW w:w="1543" w:type="pct"/>
                  <w:noWrap w:val="0"/>
                  <w:vAlign w:val="center"/>
                </w:tcPr>
                <w:p w14:paraId="2A2FEDCC">
                  <w:pPr>
                    <w:pStyle w:val="23"/>
                    <w:bidi w:val="0"/>
                  </w:pPr>
                  <w:r>
                    <w:rPr>
                      <w:rFonts w:hint="default"/>
                    </w:rPr>
                    <w:t>居民，</w:t>
                  </w:r>
                  <w:r>
                    <w:t>160</w:t>
                  </w:r>
                  <w:r>
                    <w:rPr>
                      <w:rFonts w:hint="default"/>
                    </w:rPr>
                    <w:t>户，</w:t>
                  </w:r>
                  <w:r>
                    <w:t>480</w:t>
                  </w:r>
                  <w:r>
                    <w:rPr>
                      <w:rFonts w:hint="default"/>
                    </w:rPr>
                    <w:t>人</w:t>
                  </w:r>
                </w:p>
              </w:tc>
            </w:tr>
            <w:tr w14:paraId="273B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2584F5A5">
                  <w:pPr>
                    <w:pStyle w:val="23"/>
                    <w:bidi w:val="0"/>
                  </w:pPr>
                  <w:r>
                    <w:t>16</w:t>
                  </w:r>
                </w:p>
              </w:tc>
              <w:tc>
                <w:tcPr>
                  <w:tcW w:w="1674" w:type="pct"/>
                  <w:noWrap w:val="0"/>
                  <w:vAlign w:val="center"/>
                </w:tcPr>
                <w:p w14:paraId="78C5334F">
                  <w:pPr>
                    <w:pStyle w:val="23"/>
                    <w:bidi w:val="0"/>
                  </w:pPr>
                  <w:r>
                    <w:rPr>
                      <w:rFonts w:hint="eastAsia"/>
                    </w:rPr>
                    <w:t>深南小区</w:t>
                  </w:r>
                </w:p>
              </w:tc>
              <w:tc>
                <w:tcPr>
                  <w:tcW w:w="842" w:type="dxa"/>
                  <w:noWrap w:val="0"/>
                  <w:vAlign w:val="center"/>
                </w:tcPr>
                <w:p w14:paraId="5C525F78">
                  <w:pPr>
                    <w:pStyle w:val="23"/>
                    <w:bidi w:val="0"/>
                    <w:rPr>
                      <w:rFonts w:hint="eastAsia"/>
                    </w:rPr>
                  </w:pPr>
                  <w:r>
                    <w:rPr>
                      <w:rFonts w:hint="eastAsia"/>
                      <w:lang w:val="en-US" w:eastAsia="zh-CN"/>
                    </w:rPr>
                    <w:t>东南</w:t>
                  </w:r>
                </w:p>
              </w:tc>
              <w:tc>
                <w:tcPr>
                  <w:tcW w:w="1167" w:type="dxa"/>
                  <w:noWrap w:val="0"/>
                  <w:vAlign w:val="center"/>
                </w:tcPr>
                <w:p w14:paraId="2CB73ACE">
                  <w:pPr>
                    <w:pStyle w:val="23"/>
                    <w:bidi w:val="0"/>
                  </w:pPr>
                  <w:r>
                    <w:rPr>
                      <w:rFonts w:hint="eastAsia"/>
                      <w:lang w:val="en-US" w:eastAsia="zh-CN"/>
                    </w:rPr>
                    <w:t>350</w:t>
                  </w:r>
                </w:p>
              </w:tc>
              <w:tc>
                <w:tcPr>
                  <w:tcW w:w="1543" w:type="pct"/>
                  <w:noWrap w:val="0"/>
                  <w:vAlign w:val="center"/>
                </w:tcPr>
                <w:p w14:paraId="1A910DBE">
                  <w:pPr>
                    <w:pStyle w:val="23"/>
                    <w:bidi w:val="0"/>
                  </w:pPr>
                  <w:r>
                    <w:rPr>
                      <w:rFonts w:hint="default"/>
                    </w:rPr>
                    <w:t>居民，</w:t>
                  </w:r>
                  <w:r>
                    <w:t>180</w:t>
                  </w:r>
                  <w:r>
                    <w:rPr>
                      <w:rFonts w:hint="default"/>
                    </w:rPr>
                    <w:t>户，</w:t>
                  </w:r>
                  <w:r>
                    <w:t>540</w:t>
                  </w:r>
                  <w:r>
                    <w:rPr>
                      <w:rFonts w:hint="default"/>
                    </w:rPr>
                    <w:t>人</w:t>
                  </w:r>
                </w:p>
              </w:tc>
            </w:tr>
            <w:tr w14:paraId="419D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26D84252">
                  <w:pPr>
                    <w:pStyle w:val="23"/>
                    <w:bidi w:val="0"/>
                  </w:pPr>
                  <w:r>
                    <w:t>17</w:t>
                  </w:r>
                </w:p>
              </w:tc>
              <w:tc>
                <w:tcPr>
                  <w:tcW w:w="1674" w:type="pct"/>
                  <w:noWrap/>
                  <w:vAlign w:val="center"/>
                </w:tcPr>
                <w:p w14:paraId="4F11E42E">
                  <w:pPr>
                    <w:pStyle w:val="23"/>
                    <w:bidi w:val="0"/>
                  </w:pPr>
                  <w:r>
                    <w:rPr>
                      <w:rFonts w:hint="eastAsia"/>
                    </w:rPr>
                    <w:t>荣兴南苑</w:t>
                  </w:r>
                </w:p>
              </w:tc>
              <w:tc>
                <w:tcPr>
                  <w:tcW w:w="842" w:type="dxa"/>
                  <w:noWrap/>
                  <w:vAlign w:val="center"/>
                </w:tcPr>
                <w:p w14:paraId="6816ADBD">
                  <w:pPr>
                    <w:pStyle w:val="23"/>
                    <w:bidi w:val="0"/>
                  </w:pPr>
                  <w:r>
                    <w:rPr>
                      <w:rFonts w:hint="eastAsia"/>
                      <w:lang w:val="en-US" w:eastAsia="zh-CN"/>
                    </w:rPr>
                    <w:t>东南</w:t>
                  </w:r>
                </w:p>
              </w:tc>
              <w:tc>
                <w:tcPr>
                  <w:tcW w:w="1167" w:type="dxa"/>
                  <w:noWrap/>
                  <w:vAlign w:val="center"/>
                </w:tcPr>
                <w:p w14:paraId="08B34833">
                  <w:pPr>
                    <w:pStyle w:val="23"/>
                    <w:bidi w:val="0"/>
                  </w:pPr>
                  <w:r>
                    <w:rPr>
                      <w:rFonts w:hint="eastAsia"/>
                      <w:lang w:val="en-US" w:eastAsia="zh-CN"/>
                    </w:rPr>
                    <w:t>400</w:t>
                  </w:r>
                </w:p>
              </w:tc>
              <w:tc>
                <w:tcPr>
                  <w:tcW w:w="1543" w:type="pct"/>
                  <w:noWrap/>
                  <w:vAlign w:val="center"/>
                </w:tcPr>
                <w:p w14:paraId="0B7D63D3">
                  <w:pPr>
                    <w:pStyle w:val="23"/>
                    <w:bidi w:val="0"/>
                  </w:pPr>
                  <w:r>
                    <w:rPr>
                      <w:rFonts w:hint="default"/>
                    </w:rPr>
                    <w:t>居民，</w:t>
                  </w:r>
                  <w:r>
                    <w:t>234</w:t>
                  </w:r>
                  <w:r>
                    <w:rPr>
                      <w:rFonts w:hint="default"/>
                    </w:rPr>
                    <w:t>户，</w:t>
                  </w:r>
                  <w:r>
                    <w:t>702</w:t>
                  </w:r>
                  <w:r>
                    <w:rPr>
                      <w:rFonts w:hint="default"/>
                    </w:rPr>
                    <w:t>人</w:t>
                  </w:r>
                </w:p>
              </w:tc>
            </w:tr>
            <w:tr w14:paraId="49C6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63CDBE78">
                  <w:pPr>
                    <w:pStyle w:val="23"/>
                    <w:bidi w:val="0"/>
                  </w:pPr>
                  <w:r>
                    <w:t>18</w:t>
                  </w:r>
                </w:p>
              </w:tc>
              <w:tc>
                <w:tcPr>
                  <w:tcW w:w="1674" w:type="pct"/>
                  <w:noWrap/>
                  <w:vAlign w:val="center"/>
                </w:tcPr>
                <w:p w14:paraId="5BCC2845">
                  <w:pPr>
                    <w:pStyle w:val="23"/>
                    <w:bidi w:val="0"/>
                    <w:rPr>
                      <w:rFonts w:hint="eastAsia"/>
                    </w:rPr>
                  </w:pPr>
                  <w:r>
                    <w:rPr>
                      <w:rFonts w:hint="eastAsia"/>
                    </w:rPr>
                    <w:t>欢欢幼稚园</w:t>
                  </w:r>
                </w:p>
              </w:tc>
              <w:tc>
                <w:tcPr>
                  <w:tcW w:w="842" w:type="dxa"/>
                  <w:noWrap/>
                  <w:vAlign w:val="center"/>
                </w:tcPr>
                <w:p w14:paraId="3DEFE805">
                  <w:pPr>
                    <w:pStyle w:val="23"/>
                    <w:bidi w:val="0"/>
                  </w:pPr>
                  <w:r>
                    <w:rPr>
                      <w:rFonts w:hint="eastAsia"/>
                      <w:lang w:val="en-US" w:eastAsia="zh-CN"/>
                    </w:rPr>
                    <w:t>东南</w:t>
                  </w:r>
                </w:p>
              </w:tc>
              <w:tc>
                <w:tcPr>
                  <w:tcW w:w="1167" w:type="dxa"/>
                  <w:noWrap/>
                  <w:vAlign w:val="center"/>
                </w:tcPr>
                <w:p w14:paraId="2FD95EAA">
                  <w:pPr>
                    <w:pStyle w:val="23"/>
                    <w:bidi w:val="0"/>
                  </w:pPr>
                  <w:r>
                    <w:rPr>
                      <w:rFonts w:hint="eastAsia"/>
                      <w:lang w:val="en-US" w:eastAsia="zh-CN"/>
                    </w:rPr>
                    <w:t>200</w:t>
                  </w:r>
                </w:p>
              </w:tc>
              <w:tc>
                <w:tcPr>
                  <w:tcW w:w="1543" w:type="pct"/>
                  <w:noWrap/>
                  <w:vAlign w:val="center"/>
                </w:tcPr>
                <w:p w14:paraId="5D74B2D8">
                  <w:pPr>
                    <w:pStyle w:val="23"/>
                    <w:bidi w:val="0"/>
                    <w:rPr>
                      <w:rFonts w:hint="eastAsia"/>
                    </w:rPr>
                  </w:pPr>
                  <w:r>
                    <w:rPr>
                      <w:rFonts w:hint="eastAsia"/>
                    </w:rPr>
                    <w:t>学校</w:t>
                  </w:r>
                </w:p>
              </w:tc>
            </w:tr>
            <w:tr w14:paraId="63E9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414A55B2">
                  <w:pPr>
                    <w:pStyle w:val="23"/>
                    <w:bidi w:val="0"/>
                  </w:pPr>
                  <w:r>
                    <w:t>19</w:t>
                  </w:r>
                </w:p>
              </w:tc>
              <w:tc>
                <w:tcPr>
                  <w:tcW w:w="1674" w:type="pct"/>
                  <w:noWrap/>
                  <w:vAlign w:val="center"/>
                </w:tcPr>
                <w:p w14:paraId="7B6486AA">
                  <w:pPr>
                    <w:pStyle w:val="23"/>
                    <w:bidi w:val="0"/>
                  </w:pPr>
                  <w:r>
                    <w:rPr>
                      <w:rFonts w:hint="eastAsia"/>
                    </w:rPr>
                    <w:t>富源路小学</w:t>
                  </w:r>
                </w:p>
              </w:tc>
              <w:tc>
                <w:tcPr>
                  <w:tcW w:w="842" w:type="dxa"/>
                  <w:noWrap/>
                  <w:vAlign w:val="center"/>
                </w:tcPr>
                <w:p w14:paraId="4CE611E3">
                  <w:pPr>
                    <w:pStyle w:val="23"/>
                    <w:bidi w:val="0"/>
                  </w:pPr>
                  <w:r>
                    <w:rPr>
                      <w:rFonts w:hint="eastAsia"/>
                      <w:lang w:val="en-US" w:eastAsia="zh-CN"/>
                    </w:rPr>
                    <w:t>东南</w:t>
                  </w:r>
                </w:p>
              </w:tc>
              <w:tc>
                <w:tcPr>
                  <w:tcW w:w="1167" w:type="dxa"/>
                  <w:noWrap/>
                  <w:vAlign w:val="center"/>
                </w:tcPr>
                <w:p w14:paraId="63760095">
                  <w:pPr>
                    <w:pStyle w:val="23"/>
                    <w:bidi w:val="0"/>
                  </w:pPr>
                  <w:r>
                    <w:rPr>
                      <w:rFonts w:hint="eastAsia"/>
                      <w:lang w:val="en-US" w:eastAsia="zh-CN"/>
                    </w:rPr>
                    <w:t>300</w:t>
                  </w:r>
                </w:p>
              </w:tc>
              <w:tc>
                <w:tcPr>
                  <w:tcW w:w="1543" w:type="pct"/>
                  <w:noWrap/>
                  <w:vAlign w:val="center"/>
                </w:tcPr>
                <w:p w14:paraId="4629CF93">
                  <w:pPr>
                    <w:pStyle w:val="23"/>
                    <w:bidi w:val="0"/>
                    <w:rPr>
                      <w:rFonts w:hint="eastAsia"/>
                    </w:rPr>
                  </w:pPr>
                  <w:r>
                    <w:rPr>
                      <w:rFonts w:hint="eastAsia"/>
                    </w:rPr>
                    <w:t>学校</w:t>
                  </w:r>
                </w:p>
              </w:tc>
            </w:tr>
            <w:tr w14:paraId="2E31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2E3FCD2A">
                  <w:pPr>
                    <w:pStyle w:val="23"/>
                    <w:bidi w:val="0"/>
                  </w:pPr>
                  <w:r>
                    <w:t>20</w:t>
                  </w:r>
                </w:p>
              </w:tc>
              <w:tc>
                <w:tcPr>
                  <w:tcW w:w="1674" w:type="pct"/>
                  <w:noWrap/>
                  <w:vAlign w:val="center"/>
                </w:tcPr>
                <w:p w14:paraId="7E4142D7">
                  <w:pPr>
                    <w:pStyle w:val="23"/>
                    <w:bidi w:val="0"/>
                    <w:rPr>
                      <w:rFonts w:hint="eastAsia"/>
                    </w:rPr>
                  </w:pPr>
                  <w:r>
                    <w:rPr>
                      <w:rFonts w:hint="eastAsia"/>
                    </w:rPr>
                    <w:t>富成小区</w:t>
                  </w:r>
                </w:p>
              </w:tc>
              <w:tc>
                <w:tcPr>
                  <w:tcW w:w="842" w:type="dxa"/>
                  <w:noWrap/>
                  <w:vAlign w:val="center"/>
                </w:tcPr>
                <w:p w14:paraId="2BDFCB85">
                  <w:pPr>
                    <w:pStyle w:val="23"/>
                    <w:bidi w:val="0"/>
                  </w:pPr>
                  <w:r>
                    <w:rPr>
                      <w:rFonts w:hint="eastAsia"/>
                      <w:lang w:val="en-US" w:eastAsia="zh-CN"/>
                    </w:rPr>
                    <w:t>南</w:t>
                  </w:r>
                </w:p>
              </w:tc>
              <w:tc>
                <w:tcPr>
                  <w:tcW w:w="1167" w:type="dxa"/>
                  <w:noWrap/>
                  <w:vAlign w:val="center"/>
                </w:tcPr>
                <w:p w14:paraId="3A48517D">
                  <w:pPr>
                    <w:pStyle w:val="23"/>
                    <w:bidi w:val="0"/>
                  </w:pPr>
                  <w:r>
                    <w:rPr>
                      <w:rFonts w:hint="eastAsia"/>
                      <w:lang w:val="en-US" w:eastAsia="zh-CN"/>
                    </w:rPr>
                    <w:t>350</w:t>
                  </w:r>
                </w:p>
              </w:tc>
              <w:tc>
                <w:tcPr>
                  <w:tcW w:w="1543" w:type="pct"/>
                  <w:noWrap/>
                  <w:vAlign w:val="center"/>
                </w:tcPr>
                <w:p w14:paraId="19F2A048">
                  <w:pPr>
                    <w:pStyle w:val="23"/>
                    <w:bidi w:val="0"/>
                  </w:pPr>
                  <w:r>
                    <w:t>居民，235户，708人</w:t>
                  </w:r>
                </w:p>
              </w:tc>
            </w:tr>
            <w:tr w14:paraId="797A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2DF2C946">
                  <w:pPr>
                    <w:pStyle w:val="23"/>
                    <w:bidi w:val="0"/>
                  </w:pPr>
                  <w:r>
                    <w:t>21</w:t>
                  </w:r>
                </w:p>
              </w:tc>
              <w:tc>
                <w:tcPr>
                  <w:tcW w:w="1674" w:type="pct"/>
                  <w:noWrap/>
                  <w:vAlign w:val="center"/>
                </w:tcPr>
                <w:p w14:paraId="3D109250">
                  <w:pPr>
                    <w:pStyle w:val="23"/>
                    <w:bidi w:val="0"/>
                  </w:pPr>
                  <w:r>
                    <w:rPr>
                      <w:rFonts w:hint="eastAsia"/>
                    </w:rPr>
                    <w:t>富源实验学校</w:t>
                  </w:r>
                </w:p>
              </w:tc>
              <w:tc>
                <w:tcPr>
                  <w:tcW w:w="842" w:type="dxa"/>
                  <w:noWrap/>
                  <w:vAlign w:val="center"/>
                </w:tcPr>
                <w:p w14:paraId="4699D27C">
                  <w:pPr>
                    <w:pStyle w:val="23"/>
                    <w:bidi w:val="0"/>
                    <w:rPr>
                      <w:rFonts w:hint="eastAsia"/>
                    </w:rPr>
                  </w:pPr>
                  <w:r>
                    <w:rPr>
                      <w:rFonts w:hint="eastAsia"/>
                      <w:lang w:val="en-US" w:eastAsia="zh-CN"/>
                    </w:rPr>
                    <w:t>南</w:t>
                  </w:r>
                </w:p>
              </w:tc>
              <w:tc>
                <w:tcPr>
                  <w:tcW w:w="1167" w:type="dxa"/>
                  <w:noWrap/>
                  <w:vAlign w:val="center"/>
                </w:tcPr>
                <w:p w14:paraId="2220FA17">
                  <w:pPr>
                    <w:pStyle w:val="23"/>
                    <w:bidi w:val="0"/>
                    <w:rPr>
                      <w:rFonts w:hint="eastAsia"/>
                    </w:rPr>
                  </w:pPr>
                  <w:r>
                    <w:rPr>
                      <w:rFonts w:hint="eastAsia"/>
                      <w:lang w:val="en-US" w:eastAsia="zh-CN"/>
                    </w:rPr>
                    <w:t>305</w:t>
                  </w:r>
                </w:p>
              </w:tc>
              <w:tc>
                <w:tcPr>
                  <w:tcW w:w="1543" w:type="pct"/>
                  <w:noWrap/>
                  <w:vAlign w:val="center"/>
                </w:tcPr>
                <w:p w14:paraId="2074FA1C">
                  <w:pPr>
                    <w:pStyle w:val="23"/>
                    <w:bidi w:val="0"/>
                  </w:pPr>
                  <w:r>
                    <w:rPr>
                      <w:rFonts w:hint="eastAsia"/>
                    </w:rPr>
                    <w:t>学校</w:t>
                  </w:r>
                </w:p>
              </w:tc>
            </w:tr>
            <w:tr w14:paraId="1322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7E974723">
                  <w:pPr>
                    <w:pStyle w:val="23"/>
                    <w:bidi w:val="0"/>
                  </w:pPr>
                  <w:r>
                    <w:t>22</w:t>
                  </w:r>
                </w:p>
              </w:tc>
              <w:tc>
                <w:tcPr>
                  <w:tcW w:w="1674" w:type="pct"/>
                  <w:noWrap/>
                  <w:vAlign w:val="center"/>
                </w:tcPr>
                <w:p w14:paraId="2938B2AF">
                  <w:pPr>
                    <w:pStyle w:val="23"/>
                    <w:bidi w:val="0"/>
                  </w:pPr>
                  <w:r>
                    <w:rPr>
                      <w:rFonts w:hint="eastAsia"/>
                    </w:rPr>
                    <w:t>遂宁市职业技术学校</w:t>
                  </w:r>
                </w:p>
              </w:tc>
              <w:tc>
                <w:tcPr>
                  <w:tcW w:w="842" w:type="dxa"/>
                  <w:noWrap/>
                  <w:vAlign w:val="center"/>
                </w:tcPr>
                <w:p w14:paraId="00282AC8">
                  <w:pPr>
                    <w:pStyle w:val="23"/>
                    <w:bidi w:val="0"/>
                    <w:rPr>
                      <w:rFonts w:hint="eastAsia"/>
                    </w:rPr>
                  </w:pPr>
                  <w:r>
                    <w:rPr>
                      <w:rFonts w:hint="eastAsia"/>
                      <w:lang w:val="en-US" w:eastAsia="zh-CN"/>
                    </w:rPr>
                    <w:t>南</w:t>
                  </w:r>
                </w:p>
              </w:tc>
              <w:tc>
                <w:tcPr>
                  <w:tcW w:w="1167" w:type="dxa"/>
                  <w:noWrap/>
                  <w:vAlign w:val="center"/>
                </w:tcPr>
                <w:p w14:paraId="73AF4BA7">
                  <w:pPr>
                    <w:pStyle w:val="23"/>
                    <w:bidi w:val="0"/>
                  </w:pPr>
                  <w:r>
                    <w:rPr>
                      <w:rFonts w:hint="eastAsia"/>
                      <w:lang w:val="en-US" w:eastAsia="zh-CN"/>
                    </w:rPr>
                    <w:t>230</w:t>
                  </w:r>
                </w:p>
              </w:tc>
              <w:tc>
                <w:tcPr>
                  <w:tcW w:w="1543" w:type="pct"/>
                  <w:noWrap/>
                  <w:vAlign w:val="center"/>
                </w:tcPr>
                <w:p w14:paraId="46B5175C">
                  <w:pPr>
                    <w:pStyle w:val="23"/>
                    <w:bidi w:val="0"/>
                    <w:rPr>
                      <w:rFonts w:hint="eastAsia"/>
                    </w:rPr>
                  </w:pPr>
                  <w:r>
                    <w:t>学校</w:t>
                  </w:r>
                </w:p>
              </w:tc>
            </w:tr>
            <w:tr w14:paraId="3ECF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0AC8F74E">
                  <w:pPr>
                    <w:pStyle w:val="23"/>
                    <w:bidi w:val="0"/>
                  </w:pPr>
                  <w:r>
                    <w:t>23</w:t>
                  </w:r>
                </w:p>
              </w:tc>
              <w:tc>
                <w:tcPr>
                  <w:tcW w:w="1674" w:type="pct"/>
                  <w:noWrap/>
                  <w:vAlign w:val="center"/>
                </w:tcPr>
                <w:p w14:paraId="49BE2473">
                  <w:pPr>
                    <w:pStyle w:val="23"/>
                    <w:bidi w:val="0"/>
                  </w:pPr>
                  <w:r>
                    <w:rPr>
                      <w:rFonts w:hint="eastAsia"/>
                    </w:rPr>
                    <w:t>南城金座</w:t>
                  </w:r>
                </w:p>
              </w:tc>
              <w:tc>
                <w:tcPr>
                  <w:tcW w:w="842" w:type="dxa"/>
                  <w:noWrap/>
                  <w:vAlign w:val="center"/>
                </w:tcPr>
                <w:p w14:paraId="74FFB54D">
                  <w:pPr>
                    <w:pStyle w:val="23"/>
                    <w:bidi w:val="0"/>
                  </w:pPr>
                  <w:r>
                    <w:rPr>
                      <w:rFonts w:hint="eastAsia"/>
                      <w:lang w:val="en-US" w:eastAsia="zh-CN"/>
                    </w:rPr>
                    <w:t>西南</w:t>
                  </w:r>
                </w:p>
              </w:tc>
              <w:tc>
                <w:tcPr>
                  <w:tcW w:w="1167" w:type="dxa"/>
                  <w:noWrap/>
                  <w:vAlign w:val="center"/>
                </w:tcPr>
                <w:p w14:paraId="089E2039">
                  <w:pPr>
                    <w:pStyle w:val="23"/>
                    <w:bidi w:val="0"/>
                  </w:pPr>
                  <w:r>
                    <w:rPr>
                      <w:rFonts w:hint="eastAsia"/>
                      <w:lang w:val="en-US" w:eastAsia="zh-CN"/>
                    </w:rPr>
                    <w:t>200</w:t>
                  </w:r>
                </w:p>
              </w:tc>
              <w:tc>
                <w:tcPr>
                  <w:tcW w:w="1543" w:type="pct"/>
                  <w:noWrap/>
                  <w:vAlign w:val="center"/>
                </w:tcPr>
                <w:p w14:paraId="0553C1F5">
                  <w:pPr>
                    <w:pStyle w:val="23"/>
                    <w:bidi w:val="0"/>
                  </w:pPr>
                  <w:r>
                    <w:rPr>
                      <w:rFonts w:hint="default"/>
                    </w:rPr>
                    <w:t>居民，</w:t>
                  </w:r>
                  <w:r>
                    <w:t>378</w:t>
                  </w:r>
                  <w:r>
                    <w:rPr>
                      <w:rFonts w:hint="default"/>
                    </w:rPr>
                    <w:t>户，</w:t>
                  </w:r>
                  <w:r>
                    <w:t>1134</w:t>
                  </w:r>
                  <w:r>
                    <w:rPr>
                      <w:rFonts w:hint="default"/>
                    </w:rPr>
                    <w:t>人</w:t>
                  </w:r>
                </w:p>
              </w:tc>
            </w:tr>
            <w:tr w14:paraId="2211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shd w:val="clear" w:color="auto" w:fill="auto"/>
                  <w:noWrap w:val="0"/>
                  <w:vAlign w:val="center"/>
                </w:tcPr>
                <w:p w14:paraId="58CC524D">
                  <w:pPr>
                    <w:pStyle w:val="23"/>
                    <w:bidi w:val="0"/>
                    <w:rPr>
                      <w:rFonts w:hint="eastAsia"/>
                      <w:lang w:val="en-US" w:eastAsia="zh-CN"/>
                    </w:rPr>
                  </w:pPr>
                  <w:r>
                    <w:rPr>
                      <w:rFonts w:hint="eastAsia"/>
                      <w:lang w:val="en-US" w:eastAsia="zh-CN"/>
                    </w:rPr>
                    <w:t>24</w:t>
                  </w:r>
                </w:p>
              </w:tc>
              <w:tc>
                <w:tcPr>
                  <w:tcW w:w="1674" w:type="pct"/>
                  <w:shd w:val="clear" w:color="auto" w:fill="auto"/>
                  <w:noWrap/>
                  <w:vAlign w:val="center"/>
                </w:tcPr>
                <w:p w14:paraId="420FFE68">
                  <w:pPr>
                    <w:pStyle w:val="23"/>
                    <w:bidi w:val="0"/>
                    <w:rPr>
                      <w:rFonts w:hint="eastAsia"/>
                      <w:lang w:val="en-US" w:eastAsia="zh-CN"/>
                    </w:rPr>
                  </w:pPr>
                  <w:r>
                    <w:rPr>
                      <w:rFonts w:hint="eastAsia"/>
                      <w:lang w:val="en-US" w:eastAsia="zh-CN"/>
                    </w:rPr>
                    <w:t>美宁·万象新天</w:t>
                  </w:r>
                </w:p>
              </w:tc>
              <w:tc>
                <w:tcPr>
                  <w:tcW w:w="842" w:type="dxa"/>
                  <w:noWrap/>
                  <w:vAlign w:val="center"/>
                </w:tcPr>
                <w:p w14:paraId="3E04932E">
                  <w:pPr>
                    <w:pStyle w:val="23"/>
                    <w:bidi w:val="0"/>
                    <w:rPr>
                      <w:rFonts w:hint="eastAsia"/>
                      <w:lang w:eastAsia="zh-CN"/>
                    </w:rPr>
                  </w:pPr>
                  <w:r>
                    <w:rPr>
                      <w:rFonts w:hint="eastAsia"/>
                      <w:lang w:val="en-US" w:eastAsia="zh-CN"/>
                    </w:rPr>
                    <w:t>南</w:t>
                  </w:r>
                </w:p>
              </w:tc>
              <w:tc>
                <w:tcPr>
                  <w:tcW w:w="1167" w:type="dxa"/>
                  <w:noWrap/>
                  <w:vAlign w:val="center"/>
                </w:tcPr>
                <w:p w14:paraId="4DF096C4">
                  <w:pPr>
                    <w:pStyle w:val="23"/>
                    <w:bidi w:val="0"/>
                    <w:rPr>
                      <w:rFonts w:hint="default"/>
                      <w:lang w:val="en-US" w:eastAsia="zh-CN"/>
                    </w:rPr>
                  </w:pPr>
                  <w:r>
                    <w:rPr>
                      <w:rFonts w:hint="eastAsia"/>
                      <w:lang w:val="en-US" w:eastAsia="zh-CN"/>
                    </w:rPr>
                    <w:t>120</w:t>
                  </w:r>
                </w:p>
              </w:tc>
              <w:tc>
                <w:tcPr>
                  <w:tcW w:w="1543" w:type="pct"/>
                  <w:noWrap/>
                  <w:vAlign w:val="center"/>
                </w:tcPr>
                <w:p w14:paraId="620C7E32">
                  <w:pPr>
                    <w:pStyle w:val="23"/>
                    <w:bidi w:val="0"/>
                    <w:rPr>
                      <w:rFonts w:hint="default"/>
                    </w:rPr>
                  </w:pPr>
                  <w:r>
                    <w:rPr>
                      <w:rFonts w:hint="default"/>
                    </w:rPr>
                    <w:t>居民，</w:t>
                  </w:r>
                  <w:r>
                    <w:rPr>
                      <w:rFonts w:hint="eastAsia"/>
                      <w:lang w:val="en-US" w:eastAsia="zh-CN"/>
                    </w:rPr>
                    <w:t>26</w:t>
                  </w:r>
                  <w:r>
                    <w:t>8</w:t>
                  </w:r>
                  <w:r>
                    <w:rPr>
                      <w:rFonts w:hint="default"/>
                    </w:rPr>
                    <w:t>户，</w:t>
                  </w:r>
                  <w:r>
                    <w:rPr>
                      <w:rFonts w:hint="eastAsia"/>
                      <w:lang w:val="en-US" w:eastAsia="zh-CN"/>
                    </w:rPr>
                    <w:t>98</w:t>
                  </w:r>
                  <w:r>
                    <w:t>4</w:t>
                  </w:r>
                  <w:r>
                    <w:rPr>
                      <w:rFonts w:hint="default"/>
                    </w:rPr>
                    <w:t>人</w:t>
                  </w:r>
                </w:p>
              </w:tc>
            </w:tr>
            <w:tr w14:paraId="0D45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shd w:val="clear" w:color="auto" w:fill="auto"/>
                  <w:noWrap w:val="0"/>
                  <w:vAlign w:val="center"/>
                </w:tcPr>
                <w:p w14:paraId="38400526">
                  <w:pPr>
                    <w:pStyle w:val="23"/>
                    <w:bidi w:val="0"/>
                    <w:rPr>
                      <w:rFonts w:hint="default"/>
                      <w:lang w:val="en-US" w:eastAsia="zh-CN"/>
                    </w:rPr>
                  </w:pPr>
                  <w:r>
                    <w:rPr>
                      <w:rFonts w:hint="eastAsia"/>
                      <w:lang w:val="en-US" w:eastAsia="zh-CN"/>
                    </w:rPr>
                    <w:t>25</w:t>
                  </w:r>
                </w:p>
              </w:tc>
              <w:tc>
                <w:tcPr>
                  <w:tcW w:w="1674" w:type="pct"/>
                  <w:noWrap/>
                  <w:vAlign w:val="center"/>
                </w:tcPr>
                <w:p w14:paraId="7B4CCE09">
                  <w:pPr>
                    <w:pStyle w:val="23"/>
                    <w:bidi w:val="0"/>
                  </w:pPr>
                  <w:r>
                    <w:rPr>
                      <w:rFonts w:hint="eastAsia"/>
                    </w:rPr>
                    <w:t>学林雅苑</w:t>
                  </w:r>
                </w:p>
              </w:tc>
              <w:tc>
                <w:tcPr>
                  <w:tcW w:w="842" w:type="dxa"/>
                  <w:noWrap/>
                  <w:vAlign w:val="center"/>
                </w:tcPr>
                <w:p w14:paraId="0AD8BFE2">
                  <w:pPr>
                    <w:pStyle w:val="23"/>
                    <w:bidi w:val="0"/>
                    <w:rPr>
                      <w:rFonts w:hint="eastAsia"/>
                    </w:rPr>
                  </w:pPr>
                  <w:r>
                    <w:rPr>
                      <w:rFonts w:hint="eastAsia"/>
                      <w:lang w:val="en-US" w:eastAsia="zh-CN"/>
                    </w:rPr>
                    <w:t>西南</w:t>
                  </w:r>
                </w:p>
              </w:tc>
              <w:tc>
                <w:tcPr>
                  <w:tcW w:w="1167" w:type="dxa"/>
                  <w:noWrap/>
                  <w:vAlign w:val="center"/>
                </w:tcPr>
                <w:p w14:paraId="3E6998FD">
                  <w:pPr>
                    <w:pStyle w:val="23"/>
                    <w:bidi w:val="0"/>
                    <w:rPr>
                      <w:rFonts w:hint="eastAsia"/>
                    </w:rPr>
                  </w:pPr>
                  <w:r>
                    <w:rPr>
                      <w:rFonts w:hint="eastAsia"/>
                      <w:lang w:val="en-US" w:eastAsia="zh-CN"/>
                    </w:rPr>
                    <w:t>350</w:t>
                  </w:r>
                </w:p>
              </w:tc>
              <w:tc>
                <w:tcPr>
                  <w:tcW w:w="1543" w:type="pct"/>
                  <w:noWrap/>
                  <w:vAlign w:val="center"/>
                </w:tcPr>
                <w:p w14:paraId="4835A762">
                  <w:pPr>
                    <w:pStyle w:val="23"/>
                    <w:bidi w:val="0"/>
                  </w:pPr>
                  <w:r>
                    <w:rPr>
                      <w:rFonts w:hint="default"/>
                    </w:rPr>
                    <w:t>居民，</w:t>
                  </w:r>
                  <w:r>
                    <w:t>126</w:t>
                  </w:r>
                  <w:r>
                    <w:rPr>
                      <w:rFonts w:hint="default"/>
                    </w:rPr>
                    <w:t>户，</w:t>
                  </w:r>
                  <w:r>
                    <w:t>378</w:t>
                  </w:r>
                  <w:r>
                    <w:rPr>
                      <w:rFonts w:hint="default"/>
                    </w:rPr>
                    <w:t>人</w:t>
                  </w:r>
                </w:p>
              </w:tc>
            </w:tr>
            <w:tr w14:paraId="4A24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shd w:val="clear" w:color="auto" w:fill="auto"/>
                  <w:noWrap w:val="0"/>
                  <w:vAlign w:val="center"/>
                </w:tcPr>
                <w:p w14:paraId="0AC3E844">
                  <w:pPr>
                    <w:pStyle w:val="23"/>
                    <w:bidi w:val="0"/>
                    <w:rPr>
                      <w:rFonts w:hint="default"/>
                      <w:lang w:val="en-US" w:eastAsia="zh-CN"/>
                    </w:rPr>
                  </w:pPr>
                  <w:r>
                    <w:rPr>
                      <w:rFonts w:hint="eastAsia"/>
                      <w:lang w:val="en-US" w:eastAsia="zh-CN"/>
                    </w:rPr>
                    <w:t>26</w:t>
                  </w:r>
                </w:p>
              </w:tc>
              <w:tc>
                <w:tcPr>
                  <w:tcW w:w="1674" w:type="pct"/>
                  <w:noWrap/>
                  <w:vAlign w:val="center"/>
                </w:tcPr>
                <w:p w14:paraId="1303B7A9">
                  <w:pPr>
                    <w:pStyle w:val="23"/>
                    <w:bidi w:val="0"/>
                    <w:rPr>
                      <w:rFonts w:hint="eastAsia"/>
                    </w:rPr>
                  </w:pPr>
                  <w:r>
                    <w:rPr>
                      <w:rFonts w:hint="eastAsia"/>
                    </w:rPr>
                    <w:t>美宁小区</w:t>
                  </w:r>
                </w:p>
              </w:tc>
              <w:tc>
                <w:tcPr>
                  <w:tcW w:w="842" w:type="dxa"/>
                  <w:noWrap/>
                  <w:vAlign w:val="center"/>
                </w:tcPr>
                <w:p w14:paraId="5E34E5B8">
                  <w:pPr>
                    <w:pStyle w:val="23"/>
                    <w:bidi w:val="0"/>
                    <w:rPr>
                      <w:rFonts w:hint="eastAsia"/>
                    </w:rPr>
                  </w:pPr>
                  <w:r>
                    <w:rPr>
                      <w:rFonts w:hint="eastAsia"/>
                      <w:lang w:val="en-US" w:eastAsia="zh-CN"/>
                    </w:rPr>
                    <w:t>西</w:t>
                  </w:r>
                </w:p>
              </w:tc>
              <w:tc>
                <w:tcPr>
                  <w:tcW w:w="1167" w:type="dxa"/>
                  <w:noWrap/>
                  <w:vAlign w:val="center"/>
                </w:tcPr>
                <w:p w14:paraId="230C2EAC">
                  <w:pPr>
                    <w:pStyle w:val="23"/>
                    <w:bidi w:val="0"/>
                  </w:pPr>
                  <w:r>
                    <w:rPr>
                      <w:rFonts w:hint="eastAsia"/>
                      <w:lang w:val="en-US" w:eastAsia="zh-CN"/>
                    </w:rPr>
                    <w:t>350</w:t>
                  </w:r>
                </w:p>
              </w:tc>
              <w:tc>
                <w:tcPr>
                  <w:tcW w:w="1543" w:type="pct"/>
                  <w:noWrap/>
                  <w:vAlign w:val="center"/>
                </w:tcPr>
                <w:p w14:paraId="13AB5BD2">
                  <w:pPr>
                    <w:pStyle w:val="23"/>
                    <w:bidi w:val="0"/>
                  </w:pPr>
                  <w:r>
                    <w:rPr>
                      <w:rFonts w:hint="eastAsia"/>
                    </w:rPr>
                    <w:t>居民，405户，1182人</w:t>
                  </w:r>
                </w:p>
              </w:tc>
            </w:tr>
            <w:tr w14:paraId="4957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shd w:val="clear" w:color="auto" w:fill="auto"/>
                  <w:noWrap w:val="0"/>
                  <w:vAlign w:val="center"/>
                </w:tcPr>
                <w:p w14:paraId="2024D85E">
                  <w:pPr>
                    <w:pStyle w:val="23"/>
                    <w:bidi w:val="0"/>
                    <w:rPr>
                      <w:rFonts w:hint="default"/>
                      <w:lang w:val="en-US" w:eastAsia="zh-CN"/>
                    </w:rPr>
                  </w:pPr>
                  <w:r>
                    <w:rPr>
                      <w:rFonts w:hint="eastAsia"/>
                      <w:lang w:val="en-US" w:eastAsia="zh-CN"/>
                    </w:rPr>
                    <w:t>27</w:t>
                  </w:r>
                </w:p>
              </w:tc>
              <w:tc>
                <w:tcPr>
                  <w:tcW w:w="1674" w:type="pct"/>
                  <w:noWrap/>
                  <w:vAlign w:val="center"/>
                </w:tcPr>
                <w:p w14:paraId="71E680DC">
                  <w:pPr>
                    <w:pStyle w:val="23"/>
                    <w:bidi w:val="0"/>
                  </w:pPr>
                  <w:r>
                    <w:rPr>
                      <w:rFonts w:hint="eastAsia"/>
                    </w:rPr>
                    <w:t>明星托育园</w:t>
                  </w:r>
                </w:p>
              </w:tc>
              <w:tc>
                <w:tcPr>
                  <w:tcW w:w="842" w:type="dxa"/>
                  <w:noWrap/>
                  <w:vAlign w:val="center"/>
                </w:tcPr>
                <w:p w14:paraId="5A301A18">
                  <w:pPr>
                    <w:pStyle w:val="23"/>
                    <w:bidi w:val="0"/>
                    <w:rPr>
                      <w:rFonts w:hint="eastAsia"/>
                    </w:rPr>
                  </w:pPr>
                  <w:r>
                    <w:rPr>
                      <w:rFonts w:hint="eastAsia"/>
                      <w:lang w:val="en-US" w:eastAsia="zh-CN"/>
                    </w:rPr>
                    <w:t>西南</w:t>
                  </w:r>
                </w:p>
              </w:tc>
              <w:tc>
                <w:tcPr>
                  <w:tcW w:w="1167" w:type="dxa"/>
                  <w:noWrap/>
                  <w:vAlign w:val="center"/>
                </w:tcPr>
                <w:p w14:paraId="31E27AC3">
                  <w:pPr>
                    <w:pStyle w:val="23"/>
                    <w:bidi w:val="0"/>
                  </w:pPr>
                  <w:r>
                    <w:rPr>
                      <w:rFonts w:hint="eastAsia"/>
                      <w:lang w:val="en-US" w:eastAsia="zh-CN"/>
                    </w:rPr>
                    <w:t>300</w:t>
                  </w:r>
                </w:p>
              </w:tc>
              <w:tc>
                <w:tcPr>
                  <w:tcW w:w="1543" w:type="pct"/>
                  <w:noWrap/>
                  <w:vAlign w:val="center"/>
                </w:tcPr>
                <w:p w14:paraId="334F4F7C">
                  <w:pPr>
                    <w:pStyle w:val="23"/>
                    <w:bidi w:val="0"/>
                    <w:rPr>
                      <w:rFonts w:hint="eastAsia"/>
                    </w:rPr>
                  </w:pPr>
                  <w:r>
                    <w:t>学校</w:t>
                  </w:r>
                </w:p>
              </w:tc>
            </w:tr>
            <w:tr w14:paraId="6EA6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shd w:val="clear" w:color="auto" w:fill="auto"/>
                  <w:noWrap w:val="0"/>
                  <w:vAlign w:val="center"/>
                </w:tcPr>
                <w:p w14:paraId="17CDE685">
                  <w:pPr>
                    <w:pStyle w:val="23"/>
                    <w:bidi w:val="0"/>
                    <w:rPr>
                      <w:rFonts w:hint="default"/>
                      <w:lang w:val="en-US" w:eastAsia="zh-CN"/>
                    </w:rPr>
                  </w:pPr>
                  <w:r>
                    <w:rPr>
                      <w:rFonts w:hint="eastAsia"/>
                      <w:lang w:val="en-US" w:eastAsia="zh-CN"/>
                    </w:rPr>
                    <w:t>28</w:t>
                  </w:r>
                </w:p>
              </w:tc>
              <w:tc>
                <w:tcPr>
                  <w:tcW w:w="1674" w:type="pct"/>
                  <w:noWrap/>
                  <w:vAlign w:val="center"/>
                </w:tcPr>
                <w:p w14:paraId="226E504E">
                  <w:pPr>
                    <w:pStyle w:val="23"/>
                    <w:bidi w:val="0"/>
                  </w:pPr>
                  <w:r>
                    <w:rPr>
                      <w:rFonts w:hint="eastAsia"/>
                    </w:rPr>
                    <w:t>天星石油小区</w:t>
                  </w:r>
                </w:p>
              </w:tc>
              <w:tc>
                <w:tcPr>
                  <w:tcW w:w="842" w:type="dxa"/>
                  <w:noWrap/>
                  <w:vAlign w:val="center"/>
                </w:tcPr>
                <w:p w14:paraId="38BF06EC">
                  <w:pPr>
                    <w:pStyle w:val="23"/>
                    <w:bidi w:val="0"/>
                    <w:rPr>
                      <w:rFonts w:hint="eastAsia"/>
                    </w:rPr>
                  </w:pPr>
                  <w:r>
                    <w:rPr>
                      <w:rFonts w:hint="eastAsia"/>
                      <w:lang w:val="en-US" w:eastAsia="zh-CN"/>
                    </w:rPr>
                    <w:t>东南</w:t>
                  </w:r>
                </w:p>
              </w:tc>
              <w:tc>
                <w:tcPr>
                  <w:tcW w:w="1167" w:type="dxa"/>
                  <w:noWrap/>
                  <w:vAlign w:val="center"/>
                </w:tcPr>
                <w:p w14:paraId="3E908D1C">
                  <w:pPr>
                    <w:pStyle w:val="23"/>
                    <w:bidi w:val="0"/>
                  </w:pPr>
                  <w:r>
                    <w:rPr>
                      <w:rFonts w:hint="eastAsia"/>
                      <w:lang w:val="en-US" w:eastAsia="zh-CN"/>
                    </w:rPr>
                    <w:t>220</w:t>
                  </w:r>
                </w:p>
              </w:tc>
              <w:tc>
                <w:tcPr>
                  <w:tcW w:w="1543" w:type="pct"/>
                  <w:noWrap/>
                  <w:vAlign w:val="center"/>
                </w:tcPr>
                <w:p w14:paraId="6A62FAD3">
                  <w:pPr>
                    <w:pStyle w:val="23"/>
                    <w:bidi w:val="0"/>
                  </w:pPr>
                  <w:r>
                    <w:rPr>
                      <w:rFonts w:hint="default"/>
                    </w:rPr>
                    <w:t>居民，</w:t>
                  </w:r>
                  <w:r>
                    <w:t>288</w:t>
                  </w:r>
                  <w:r>
                    <w:rPr>
                      <w:rFonts w:hint="default"/>
                    </w:rPr>
                    <w:t>户，</w:t>
                  </w:r>
                  <w:r>
                    <w:t>864</w:t>
                  </w:r>
                  <w:r>
                    <w:rPr>
                      <w:rFonts w:hint="default"/>
                    </w:rPr>
                    <w:t>人</w:t>
                  </w:r>
                </w:p>
              </w:tc>
            </w:tr>
            <w:tr w14:paraId="5294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pct"/>
                  <w:noWrap w:val="0"/>
                  <w:vAlign w:val="center"/>
                </w:tcPr>
                <w:p w14:paraId="7D2CCBA5">
                  <w:pPr>
                    <w:pStyle w:val="23"/>
                    <w:bidi w:val="0"/>
                    <w:rPr>
                      <w:rFonts w:hint="default"/>
                      <w:lang w:val="en-US" w:eastAsia="zh-CN"/>
                    </w:rPr>
                  </w:pPr>
                  <w:r>
                    <w:rPr>
                      <w:rFonts w:hint="eastAsia"/>
                      <w:lang w:val="en-US" w:eastAsia="zh-CN"/>
                    </w:rPr>
                    <w:t>29</w:t>
                  </w:r>
                </w:p>
              </w:tc>
              <w:tc>
                <w:tcPr>
                  <w:tcW w:w="1674" w:type="pct"/>
                  <w:noWrap/>
                  <w:vAlign w:val="center"/>
                </w:tcPr>
                <w:p w14:paraId="2D5D8A33">
                  <w:pPr>
                    <w:pStyle w:val="23"/>
                    <w:bidi w:val="0"/>
                  </w:pPr>
                  <w:r>
                    <w:rPr>
                      <w:rFonts w:hint="eastAsia"/>
                    </w:rPr>
                    <w:t>宜园小区</w:t>
                  </w:r>
                </w:p>
              </w:tc>
              <w:tc>
                <w:tcPr>
                  <w:tcW w:w="842" w:type="dxa"/>
                  <w:noWrap/>
                  <w:vAlign w:val="center"/>
                </w:tcPr>
                <w:p w14:paraId="62C1128A">
                  <w:pPr>
                    <w:pStyle w:val="23"/>
                    <w:bidi w:val="0"/>
                    <w:rPr>
                      <w:rFonts w:hint="eastAsia"/>
                    </w:rPr>
                  </w:pPr>
                  <w:r>
                    <w:rPr>
                      <w:rFonts w:hint="eastAsia"/>
                      <w:lang w:val="en-US" w:eastAsia="zh-CN"/>
                    </w:rPr>
                    <w:t>东南</w:t>
                  </w:r>
                </w:p>
              </w:tc>
              <w:tc>
                <w:tcPr>
                  <w:tcW w:w="1167" w:type="dxa"/>
                  <w:noWrap/>
                  <w:vAlign w:val="center"/>
                </w:tcPr>
                <w:p w14:paraId="1C7A6C00">
                  <w:pPr>
                    <w:pStyle w:val="23"/>
                    <w:bidi w:val="0"/>
                  </w:pPr>
                  <w:r>
                    <w:rPr>
                      <w:rFonts w:hint="eastAsia"/>
                      <w:lang w:val="en-US" w:eastAsia="zh-CN"/>
                    </w:rPr>
                    <w:t>390</w:t>
                  </w:r>
                </w:p>
              </w:tc>
              <w:tc>
                <w:tcPr>
                  <w:tcW w:w="1543" w:type="pct"/>
                  <w:noWrap/>
                  <w:vAlign w:val="center"/>
                </w:tcPr>
                <w:p w14:paraId="303341CF">
                  <w:pPr>
                    <w:pStyle w:val="23"/>
                    <w:bidi w:val="0"/>
                  </w:pPr>
                  <w:r>
                    <w:rPr>
                      <w:rFonts w:hint="default"/>
                    </w:rPr>
                    <w:t>居民，</w:t>
                  </w:r>
                  <w:r>
                    <w:t>288</w:t>
                  </w:r>
                  <w:r>
                    <w:rPr>
                      <w:rFonts w:hint="default"/>
                    </w:rPr>
                    <w:t>户，</w:t>
                  </w:r>
                  <w:r>
                    <w:t>864</w:t>
                  </w:r>
                  <w:r>
                    <w:rPr>
                      <w:rFonts w:hint="default"/>
                    </w:rPr>
                    <w:t>人</w:t>
                  </w:r>
                </w:p>
              </w:tc>
            </w:tr>
          </w:tbl>
          <w:p w14:paraId="78E0C0E0">
            <w:pPr>
              <w:pStyle w:val="25"/>
              <w:bidi w:val="0"/>
              <w:rPr>
                <w:rFonts w:hint="eastAsia"/>
                <w:lang w:val="zh-CN"/>
              </w:rPr>
            </w:pPr>
            <w:r>
              <w:rPr>
                <w:rFonts w:hint="eastAsia"/>
                <w:lang w:val="zh-CN"/>
              </w:rPr>
              <w:t>根据现场勘查，项目所在区域周边以居民、商户、</w:t>
            </w:r>
            <w:r>
              <w:rPr>
                <w:rFonts w:hint="eastAsia"/>
              </w:rPr>
              <w:t>学校</w:t>
            </w:r>
            <w:r>
              <w:rPr>
                <w:rFonts w:hint="eastAsia"/>
                <w:lang w:val="zh-CN"/>
              </w:rPr>
              <w:t>为主，</w:t>
            </w:r>
            <w:r>
              <w:t>项目区域交通便利</w:t>
            </w:r>
            <w:r>
              <w:rPr>
                <w:rFonts w:hint="eastAsia"/>
              </w:rPr>
              <w:t>，</w:t>
            </w:r>
            <w:r>
              <w:t>项目周边</w:t>
            </w:r>
            <w:r>
              <w:rPr>
                <w:rFonts w:hint="eastAsia"/>
                <w:lang w:val="zh-CN"/>
              </w:rPr>
              <w:t>无自然保护区、风景名胜区、文物古迹等环境敏感区域，无重大环境制约因素。</w:t>
            </w:r>
          </w:p>
          <w:p w14:paraId="154A367E">
            <w:pPr>
              <w:bidi w:val="0"/>
            </w:pPr>
            <w:r>
              <w:rPr>
                <w:lang w:val="zh-CN"/>
              </w:rPr>
              <w:t>本项目为</w:t>
            </w:r>
            <w:r>
              <w:rPr>
                <w:rFonts w:hint="eastAsia"/>
                <w:lang w:val="zh-CN"/>
              </w:rPr>
              <w:t>综合医院</w:t>
            </w:r>
            <w:r>
              <w:rPr>
                <w:lang w:val="zh-CN"/>
              </w:rPr>
              <w:t>建设项目，</w:t>
            </w:r>
            <w:r>
              <w:rPr>
                <w:rFonts w:hint="eastAsia"/>
                <w:lang w:val="zh-CN"/>
              </w:rPr>
              <w:t>运营期废水主要为</w:t>
            </w:r>
            <w:r>
              <w:rPr>
                <w:rFonts w:hint="eastAsia"/>
                <w:lang w:val="en-US" w:eastAsia="zh-CN"/>
              </w:rPr>
              <w:t>住院病人及门诊活动</w:t>
            </w:r>
            <w:r>
              <w:t>废水</w:t>
            </w:r>
            <w:r>
              <w:rPr>
                <w:rFonts w:hint="eastAsia"/>
                <w:lang w:val="en-US" w:eastAsia="zh-CN"/>
              </w:rPr>
              <w:t>和</w:t>
            </w:r>
            <w:r>
              <w:t>办公生活</w:t>
            </w:r>
            <w:r>
              <w:rPr>
                <w:rFonts w:hint="eastAsia"/>
                <w:lang w:eastAsia="zh-CN"/>
              </w:rPr>
              <w:t>污水；</w:t>
            </w:r>
            <w:r>
              <w:rPr>
                <w:lang w:val="zh-CN"/>
              </w:rPr>
              <w:t>本项</w:t>
            </w:r>
            <w:r>
              <w:rPr>
                <w:rFonts w:hint="eastAsia"/>
                <w:lang w:val="en-US"/>
              </w:rPr>
              <w:t>目</w:t>
            </w:r>
            <w:r>
              <w:rPr>
                <w:rFonts w:hint="eastAsia"/>
                <w:lang w:val="en-US" w:eastAsia="zh-CN"/>
              </w:rPr>
              <w:t>产生的生活污水和医疗废水进入</w:t>
            </w:r>
            <w:r>
              <w:rPr>
                <w:rFonts w:hint="eastAsia"/>
              </w:rPr>
              <w:t>院区内</w:t>
            </w:r>
            <w:r>
              <w:rPr>
                <w:rFonts w:hint="eastAsia"/>
                <w:lang w:val="en-US" w:eastAsia="zh-CN"/>
              </w:rPr>
              <w:t>预处理池收集处理后，进入一体化污水处理设备（</w:t>
            </w:r>
            <w:r>
              <w:rPr>
                <w:rFonts w:hint="eastAsia"/>
              </w:rPr>
              <w:t>采用</w:t>
            </w:r>
            <w:r>
              <w:rPr>
                <w:rFonts w:hint="eastAsia"/>
                <w:lang w:val="en-US" w:eastAsia="zh-CN"/>
              </w:rPr>
              <w:t>格栅调节+接触氧化+沉淀+消毒</w:t>
            </w:r>
            <w:r>
              <w:rPr>
                <w:rFonts w:hint="eastAsia"/>
              </w:rPr>
              <w:t>工艺</w:t>
            </w:r>
            <w:r>
              <w:rPr>
                <w:rFonts w:hint="eastAsia"/>
                <w:lang w:eastAsia="zh-CN"/>
              </w:rPr>
              <w:t>）</w:t>
            </w:r>
            <w:r>
              <w:rPr>
                <w:rFonts w:hint="eastAsia"/>
              </w:rPr>
              <w:t>处理达标</w:t>
            </w:r>
            <w:r>
              <w:rPr>
                <w:rFonts w:hint="eastAsia"/>
                <w:lang w:val="en-US" w:eastAsia="zh-CN"/>
              </w:rPr>
              <w:t>后</w:t>
            </w:r>
            <w:r>
              <w:rPr>
                <w:rFonts w:hint="eastAsia"/>
                <w:lang w:eastAsia="zh-CN"/>
              </w:rPr>
              <w:t>，</w:t>
            </w:r>
            <w:r>
              <w:rPr>
                <w:rFonts w:hint="eastAsia"/>
                <w:lang w:val="en-US" w:eastAsia="zh-CN"/>
              </w:rPr>
              <w:t>通过</w:t>
            </w:r>
            <w:r>
              <w:rPr>
                <w:rFonts w:hint="eastAsia"/>
              </w:rPr>
              <w:t>市政污水管网进入</w:t>
            </w:r>
            <w:r>
              <w:rPr>
                <w:rFonts w:hint="eastAsia"/>
                <w:lang w:eastAsia="zh-CN"/>
              </w:rPr>
              <w:t>遂宁市城南第一污水处理厂</w:t>
            </w:r>
            <w:r>
              <w:rPr>
                <w:rFonts w:hint="eastAsia"/>
              </w:rPr>
              <w:t>处理，最终排入涪江</w:t>
            </w:r>
            <w:r>
              <w:rPr>
                <w:rFonts w:hint="eastAsia"/>
                <w:lang w:eastAsia="zh-CN"/>
              </w:rPr>
              <w:t>。</w:t>
            </w:r>
            <w:r>
              <w:rPr>
                <w:rFonts w:hint="eastAsia"/>
                <w:lang w:val="en-US" w:eastAsia="zh-CN"/>
              </w:rPr>
              <w:t>废气主要为污水处理站产生的恶臭，医疗暂存间恶臭，医院浑浊空气和</w:t>
            </w:r>
            <w:r>
              <w:t>备用柴油发电机废气</w:t>
            </w:r>
            <w:r>
              <w:rPr>
                <w:rFonts w:hint="eastAsia"/>
                <w:lang w:eastAsia="zh-CN"/>
              </w:rPr>
              <w:t>；污水处理站产生少量的恶臭，并</w:t>
            </w:r>
            <w:r>
              <w:rPr>
                <w:rFonts w:hint="eastAsia"/>
              </w:rPr>
              <w:t>定期对污水处理站区域喷洒除臭剂</w:t>
            </w:r>
            <w:r>
              <w:rPr>
                <w:rFonts w:hint="eastAsia"/>
                <w:lang w:eastAsia="zh-CN"/>
              </w:rPr>
              <w:t>；</w:t>
            </w:r>
            <w:r>
              <w:rPr>
                <w:rFonts w:hint="eastAsia"/>
                <w:lang w:val="en-US" w:eastAsia="zh-CN"/>
              </w:rPr>
              <w:t>医疗暂存间恶臭</w:t>
            </w:r>
            <w:r>
              <w:t>设专人负责清理和喷洒消毒药水，做到定期清理</w:t>
            </w:r>
            <w:r>
              <w:rPr>
                <w:rFonts w:hint="eastAsia"/>
                <w:lang w:eastAsia="zh-CN"/>
              </w:rPr>
              <w:t>；医院浑浊空气采取对室内定期进行紫外消毒灭菌（每日至少一次）以降低空气中含菌量，同时加强室内通风，靠窗办公室及病房采用自然通风，其他区域拟采用机械通风，利用空调系统送风，排风口均置于本项目所在大楼屋顶平台；备用柴油发电机废气采用</w:t>
            </w:r>
            <w:r>
              <w:t>发电机自带的消烟除尘装置处理后，由专用排烟道引至</w:t>
            </w:r>
            <w:r>
              <w:rPr>
                <w:rFonts w:hint="eastAsia"/>
                <w:lang w:val="en-US" w:eastAsia="zh-CN"/>
              </w:rPr>
              <w:t>楼外</w:t>
            </w:r>
            <w:r>
              <w:t>排放。</w:t>
            </w:r>
            <w:r>
              <w:rPr>
                <w:rFonts w:hint="eastAsia"/>
                <w:lang w:eastAsia="zh-CN"/>
              </w:rPr>
              <w:t>固废主要为</w:t>
            </w:r>
            <w:r>
              <w:rPr>
                <w:rFonts w:hint="eastAsia"/>
                <w:lang w:val="en-US" w:eastAsia="zh-CN"/>
              </w:rPr>
              <w:t>医疗废物、住院病人和医护人员产生的生活垃圾，污水处理站产生的污泥；生活垃圾院内收集后环卫清运；医疗废物、污水站污泥由有资质单位转运处理。</w:t>
            </w:r>
            <w:r>
              <w:rPr>
                <w:rFonts w:hint="eastAsia"/>
                <w:lang w:val="zh-CN"/>
              </w:rPr>
              <w:t>综上，本项目</w:t>
            </w:r>
            <w:r>
              <w:rPr>
                <w:lang w:val="zh-CN"/>
              </w:rPr>
              <w:t>对周边环境无明显影响。</w:t>
            </w:r>
          </w:p>
          <w:p w14:paraId="38085C72">
            <w:pPr>
              <w:bidi w:val="0"/>
            </w:pPr>
            <w:r>
              <w:t>同时，项目周边无重大污染排放源，对本项目的建设没有明显影响。外环境对本项目的主要影响因素为</w:t>
            </w:r>
            <w:r>
              <w:rPr>
                <w:rFonts w:hint="eastAsia"/>
                <w:lang w:val="en-US" w:eastAsia="zh-CN"/>
              </w:rPr>
              <w:t>东侧</w:t>
            </w:r>
            <w:r>
              <w:rPr>
                <w:rFonts w:hint="eastAsia"/>
              </w:rPr>
              <w:t>天宫</w:t>
            </w:r>
            <w:r>
              <w:rPr>
                <w:rFonts w:hint="eastAsia"/>
                <w:lang w:eastAsia="zh-CN"/>
              </w:rPr>
              <w:t>北</w:t>
            </w:r>
            <w:r>
              <w:rPr>
                <w:rFonts w:hint="eastAsia"/>
              </w:rPr>
              <w:t>路</w:t>
            </w:r>
            <w:r>
              <w:rPr>
                <w:rFonts w:hint="eastAsia"/>
                <w:lang w:val="en-US" w:eastAsia="zh-CN"/>
              </w:rPr>
              <w:t>及南侧开善东路</w:t>
            </w:r>
            <w:r>
              <w:t>产生的交通噪声。因此，本项目环评要求建设单位在本项目医院</w:t>
            </w:r>
            <w:r>
              <w:rPr>
                <w:rFonts w:hint="eastAsia"/>
                <w:lang w:val="en-US" w:eastAsia="zh-CN"/>
              </w:rPr>
              <w:t>东侧及</w:t>
            </w:r>
            <w:r>
              <w:rPr>
                <w:rFonts w:hint="eastAsia"/>
              </w:rPr>
              <w:t>南</w:t>
            </w:r>
            <w:r>
              <w:t>侧临街一面窗户设置双层隔音玻璃等降噪措施。</w:t>
            </w:r>
          </w:p>
          <w:p w14:paraId="333230B4">
            <w:pPr>
              <w:bidi w:val="0"/>
            </w:pPr>
            <w:r>
              <w:t>综上，本项目选址符合规划，无明显的环境制约因素，与外环境相容选址合理。</w:t>
            </w:r>
          </w:p>
          <w:p w14:paraId="3B3ED5A4">
            <w:pPr>
              <w:pStyle w:val="4"/>
              <w:bidi w:val="0"/>
            </w:pPr>
            <w:r>
              <w:rPr>
                <w:rFonts w:hint="eastAsia"/>
              </w:rPr>
              <w:t>基础设施条件</w:t>
            </w:r>
          </w:p>
          <w:p w14:paraId="4ABFB169">
            <w:pPr>
              <w:bidi w:val="0"/>
            </w:pPr>
            <w:r>
              <w:t>本项目所在区域内供水</w:t>
            </w:r>
            <w:r>
              <w:rPr>
                <w:rFonts w:hint="eastAsia"/>
              </w:rPr>
              <w:t>、</w:t>
            </w:r>
            <w:r>
              <w:t>供电</w:t>
            </w:r>
            <w:r>
              <w:rPr>
                <w:rFonts w:hint="eastAsia"/>
              </w:rPr>
              <w:t>、</w:t>
            </w:r>
            <w:r>
              <w:t>供气</w:t>
            </w:r>
            <w:r>
              <w:rPr>
                <w:rFonts w:hint="eastAsia"/>
              </w:rPr>
              <w:t>、</w:t>
            </w:r>
            <w:r>
              <w:t>通讯</w:t>
            </w:r>
            <w:r>
              <w:rPr>
                <w:rFonts w:hint="eastAsia"/>
              </w:rPr>
              <w:t>、</w:t>
            </w:r>
            <w:r>
              <w:t>道路</w:t>
            </w:r>
            <w:r>
              <w:rPr>
                <w:rFonts w:hint="eastAsia"/>
              </w:rPr>
              <w:t>、</w:t>
            </w:r>
            <w:r>
              <w:t>交通及排水等基础设施完善</w:t>
            </w:r>
            <w:r>
              <w:rPr>
                <w:rFonts w:hint="eastAsia"/>
              </w:rPr>
              <w:t>，</w:t>
            </w:r>
            <w:r>
              <w:t>基础条件良好</w:t>
            </w:r>
            <w:r>
              <w:rPr>
                <w:rFonts w:hint="eastAsia"/>
              </w:rPr>
              <w:t>。本项目产生的</w:t>
            </w:r>
            <w:r>
              <w:rPr>
                <w:rFonts w:hint="eastAsia"/>
                <w:lang w:val="en-US" w:eastAsia="zh-CN"/>
              </w:rPr>
              <w:t>污水进入</w:t>
            </w:r>
            <w:r>
              <w:rPr>
                <w:rFonts w:hint="eastAsia"/>
              </w:rPr>
              <w:t>院区内</w:t>
            </w:r>
            <w:r>
              <w:rPr>
                <w:rFonts w:hint="eastAsia"/>
                <w:lang w:val="en-US" w:eastAsia="zh-CN"/>
              </w:rPr>
              <w:t>预处理池收集处理后，进入一体化污水处理设备（</w:t>
            </w:r>
            <w:r>
              <w:rPr>
                <w:rFonts w:hint="eastAsia"/>
              </w:rPr>
              <w:t>采用</w:t>
            </w:r>
            <w:r>
              <w:rPr>
                <w:rFonts w:hint="eastAsia"/>
                <w:lang w:val="en-US" w:eastAsia="zh-CN"/>
              </w:rPr>
              <w:t>格栅调节+接触氧化+沉淀+消毒</w:t>
            </w:r>
            <w:r>
              <w:rPr>
                <w:rFonts w:hint="eastAsia"/>
              </w:rPr>
              <w:t>工艺</w:t>
            </w:r>
            <w:r>
              <w:rPr>
                <w:rFonts w:hint="eastAsia"/>
                <w:lang w:eastAsia="zh-CN"/>
              </w:rPr>
              <w:t>）</w:t>
            </w:r>
            <w:r>
              <w:rPr>
                <w:rFonts w:hint="eastAsia"/>
              </w:rPr>
              <w:t>处理达标</w:t>
            </w:r>
            <w:r>
              <w:rPr>
                <w:rFonts w:hint="eastAsia"/>
                <w:lang w:val="en-US" w:eastAsia="zh-CN"/>
              </w:rPr>
              <w:t>后</w:t>
            </w:r>
            <w:r>
              <w:rPr>
                <w:rFonts w:hint="eastAsia"/>
                <w:lang w:eastAsia="zh-CN"/>
              </w:rPr>
              <w:t>，</w:t>
            </w:r>
            <w:r>
              <w:rPr>
                <w:rFonts w:hint="eastAsia"/>
                <w:lang w:val="en-US" w:eastAsia="zh-CN"/>
              </w:rPr>
              <w:t>通过</w:t>
            </w:r>
            <w:r>
              <w:rPr>
                <w:rFonts w:hint="eastAsia"/>
              </w:rPr>
              <w:t>市政污水管网进入</w:t>
            </w:r>
            <w:r>
              <w:rPr>
                <w:rFonts w:hint="eastAsia"/>
                <w:lang w:eastAsia="zh-CN"/>
              </w:rPr>
              <w:t>遂宁市城南第一污水处理厂</w:t>
            </w:r>
            <w:r>
              <w:rPr>
                <w:rFonts w:hint="eastAsia"/>
              </w:rPr>
              <w:t>处理，最终排入涪江。</w:t>
            </w:r>
          </w:p>
          <w:p w14:paraId="402F681A">
            <w:pPr>
              <w:bidi w:val="0"/>
            </w:pPr>
            <w:r>
              <w:t>项目</w:t>
            </w:r>
            <w:r>
              <w:rPr>
                <w:rFonts w:hint="eastAsia"/>
              </w:rPr>
              <w:t>所在地</w:t>
            </w:r>
            <w:r>
              <w:t>交通便利，区域基础设施完善、电力能源供应可靠，能稳定供应生产所需的能源。周边外环境关系简单，无明显、重大环境制约因素。</w:t>
            </w:r>
            <w:r>
              <w:rPr>
                <w:lang w:val="zh-CN"/>
              </w:rPr>
              <w:t>本项目在满足各项污染物达标排放的前提下，不会对周边</w:t>
            </w:r>
            <w:r>
              <w:rPr>
                <w:rFonts w:hint="eastAsia"/>
                <w:lang w:val="zh-CN"/>
              </w:rPr>
              <w:t>环境</w:t>
            </w:r>
            <w:r>
              <w:rPr>
                <w:lang w:val="zh-CN"/>
              </w:rPr>
              <w:t>及居民生活造成不良影响，</w:t>
            </w:r>
            <w:r>
              <w:t>因此</w:t>
            </w:r>
            <w:r>
              <w:rPr>
                <w:lang w:val="zh-CN"/>
              </w:rPr>
              <w:t>项目选址与外环境相容。且</w:t>
            </w:r>
            <w:r>
              <w:rPr>
                <w:rFonts w:hint="eastAsia"/>
                <w:lang w:val="zh-CN"/>
              </w:rPr>
              <w:t>项目</w:t>
            </w:r>
            <w:r>
              <w:rPr>
                <w:rFonts w:hint="eastAsia"/>
              </w:rPr>
              <w:t>所在区域</w:t>
            </w:r>
            <w:r>
              <w:rPr>
                <w:lang w:val="zh-CN"/>
              </w:rPr>
              <w:t>内无特殊保护的文物古迹、自然保护区和特殊环境等特殊环境制约因素。</w:t>
            </w:r>
          </w:p>
          <w:p w14:paraId="1335D3A7">
            <w:pPr>
              <w:pStyle w:val="3"/>
              <w:bidi w:val="0"/>
            </w:pPr>
            <w:r>
              <w:rPr>
                <w:rFonts w:hint="eastAsia"/>
              </w:rPr>
              <w:t>与四川省生态环境分区管控</w:t>
            </w:r>
            <w:r>
              <w:t>的符合性分析</w:t>
            </w:r>
          </w:p>
          <w:p w14:paraId="43413F16">
            <w:pPr>
              <w:pStyle w:val="4"/>
              <w:bidi w:val="0"/>
            </w:pPr>
            <w:r>
              <w:rPr>
                <w:rFonts w:hint="eastAsia"/>
              </w:rPr>
              <w:t>生态环境分区管控单元</w:t>
            </w:r>
          </w:p>
          <w:p w14:paraId="395725CB">
            <w:pPr>
              <w:bidi w:val="0"/>
            </w:pPr>
            <w:r>
              <w:t>本项目位于</w:t>
            </w:r>
            <w:r>
              <w:rPr>
                <w:rFonts w:hint="eastAsia"/>
                <w:lang w:eastAsia="zh-CN"/>
              </w:rPr>
              <w:t>四川省遂宁市船山区开善东路327号</w:t>
            </w:r>
            <w:r>
              <w:t>，项目中心点经纬度为：</w:t>
            </w:r>
            <w:r>
              <w:rPr>
                <w:rFonts w:hint="eastAsia"/>
                <w:lang w:val="en-US" w:eastAsia="zh-CN"/>
              </w:rPr>
              <w:t>E</w:t>
            </w:r>
            <w:r>
              <w:rPr>
                <w:rFonts w:hint="eastAsia"/>
              </w:rPr>
              <w:t>105.591186，</w:t>
            </w:r>
            <w:r>
              <w:rPr>
                <w:rFonts w:hint="eastAsia"/>
                <w:lang w:val="en-US" w:eastAsia="zh-CN"/>
              </w:rPr>
              <w:t>N</w:t>
            </w:r>
            <w:r>
              <w:rPr>
                <w:rFonts w:hint="eastAsia"/>
              </w:rPr>
              <w:t>30.496471</w:t>
            </w:r>
            <w:r>
              <w:t>。经查询四川省政务服务网“</w:t>
            </w:r>
            <w:r>
              <w:rPr>
                <w:rFonts w:hint="eastAsia"/>
              </w:rPr>
              <w:t>四川生态环境分区管控数据分析系统</w:t>
            </w:r>
            <w:r>
              <w:t>”在线系统，项目共涉及</w:t>
            </w:r>
            <w:r>
              <w:rPr>
                <w:rFonts w:hint="eastAsia"/>
              </w:rPr>
              <w:t>6</w:t>
            </w:r>
            <w:r>
              <w:t>个管控单元，见</w:t>
            </w:r>
            <w:r>
              <w:rPr>
                <w:rFonts w:hint="eastAsia"/>
                <w:lang w:eastAsia="zh-CN"/>
              </w:rPr>
              <w:t>下表</w:t>
            </w:r>
            <w:r>
              <w:t>：</w:t>
            </w:r>
          </w:p>
          <w:p w14:paraId="2A1DDB35">
            <w:pPr>
              <w:pStyle w:val="22"/>
              <w:bidi w:val="0"/>
            </w:pPr>
            <w:r>
              <w:rPr>
                <w:rFonts w:hint="eastAsia"/>
              </w:rPr>
              <w:t>环境管控单元基本情况表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1551"/>
              <w:gridCol w:w="1126"/>
              <w:gridCol w:w="706"/>
              <w:gridCol w:w="1082"/>
              <w:gridCol w:w="1833"/>
            </w:tblGrid>
            <w:tr w14:paraId="2FE7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tcBorders>
                    <w:tl2br w:val="nil"/>
                    <w:tr2bl w:val="nil"/>
                  </w:tcBorders>
                  <w:shd w:val="clear" w:color="auto" w:fill="auto"/>
                  <w:noWrap w:val="0"/>
                  <w:vAlign w:val="center"/>
                </w:tcPr>
                <w:p w14:paraId="462FB66F">
                  <w:pPr>
                    <w:pStyle w:val="23"/>
                    <w:bidi w:val="0"/>
                    <w:rPr>
                      <w:color w:val="auto"/>
                      <w:lang w:val="en-US" w:eastAsia="zh-CN"/>
                    </w:rPr>
                  </w:pPr>
                  <w:r>
                    <w:rPr>
                      <w:rFonts w:hint="eastAsia"/>
                      <w:color w:val="auto"/>
                      <w:lang w:val="en-US" w:eastAsia="zh-CN"/>
                    </w:rPr>
                    <w:t>环境管控单元编码</w:t>
                  </w:r>
                </w:p>
              </w:tc>
              <w:tc>
                <w:tcPr>
                  <w:tcW w:w="949" w:type="pct"/>
                  <w:tcBorders>
                    <w:tl2br w:val="nil"/>
                    <w:tr2bl w:val="nil"/>
                  </w:tcBorders>
                  <w:shd w:val="clear" w:color="auto" w:fill="auto"/>
                  <w:noWrap w:val="0"/>
                  <w:vAlign w:val="center"/>
                </w:tcPr>
                <w:p w14:paraId="7ABD490C">
                  <w:pPr>
                    <w:pStyle w:val="23"/>
                    <w:bidi w:val="0"/>
                    <w:rPr>
                      <w:color w:val="auto"/>
                      <w:lang w:val="en-US" w:eastAsia="zh-CN"/>
                    </w:rPr>
                  </w:pPr>
                  <w:r>
                    <w:rPr>
                      <w:rFonts w:hint="eastAsia"/>
                      <w:color w:val="auto"/>
                      <w:lang w:val="en-US" w:eastAsia="zh-CN"/>
                    </w:rPr>
                    <w:t>环境管控单元名称</w:t>
                  </w:r>
                </w:p>
              </w:tc>
              <w:tc>
                <w:tcPr>
                  <w:tcW w:w="689" w:type="pct"/>
                  <w:tcBorders>
                    <w:tl2br w:val="nil"/>
                    <w:tr2bl w:val="nil"/>
                  </w:tcBorders>
                  <w:shd w:val="clear" w:color="auto" w:fill="auto"/>
                  <w:noWrap w:val="0"/>
                  <w:vAlign w:val="center"/>
                </w:tcPr>
                <w:p w14:paraId="1FF40082">
                  <w:pPr>
                    <w:pStyle w:val="23"/>
                    <w:bidi w:val="0"/>
                    <w:rPr>
                      <w:color w:val="auto"/>
                      <w:lang w:val="en-US" w:eastAsia="zh-CN"/>
                    </w:rPr>
                  </w:pPr>
                  <w:r>
                    <w:rPr>
                      <w:rFonts w:hint="eastAsia"/>
                      <w:color w:val="auto"/>
                      <w:lang w:val="en-US" w:eastAsia="zh-CN"/>
                    </w:rPr>
                    <w:t>所属市（州）</w:t>
                  </w:r>
                </w:p>
              </w:tc>
              <w:tc>
                <w:tcPr>
                  <w:tcW w:w="432" w:type="pct"/>
                  <w:tcBorders>
                    <w:tl2br w:val="nil"/>
                    <w:tr2bl w:val="nil"/>
                  </w:tcBorders>
                  <w:shd w:val="clear" w:color="auto" w:fill="auto"/>
                  <w:noWrap w:val="0"/>
                  <w:vAlign w:val="center"/>
                </w:tcPr>
                <w:p w14:paraId="4284529B">
                  <w:pPr>
                    <w:pStyle w:val="23"/>
                    <w:bidi w:val="0"/>
                    <w:rPr>
                      <w:color w:val="auto"/>
                      <w:lang w:val="en-US" w:eastAsia="zh-CN"/>
                    </w:rPr>
                  </w:pPr>
                  <w:r>
                    <w:rPr>
                      <w:rFonts w:hint="eastAsia"/>
                      <w:color w:val="auto"/>
                      <w:lang w:val="en-US" w:eastAsia="zh-CN"/>
                    </w:rPr>
                    <w:t>所属区县</w:t>
                  </w:r>
                </w:p>
              </w:tc>
              <w:tc>
                <w:tcPr>
                  <w:tcW w:w="662" w:type="pct"/>
                  <w:tcBorders>
                    <w:tl2br w:val="nil"/>
                    <w:tr2bl w:val="nil"/>
                  </w:tcBorders>
                  <w:shd w:val="clear" w:color="auto" w:fill="auto"/>
                  <w:noWrap w:val="0"/>
                  <w:vAlign w:val="center"/>
                </w:tcPr>
                <w:p w14:paraId="4BD55EE1">
                  <w:pPr>
                    <w:pStyle w:val="23"/>
                    <w:bidi w:val="0"/>
                    <w:rPr>
                      <w:color w:val="auto"/>
                      <w:lang w:val="en-US" w:eastAsia="zh-CN"/>
                    </w:rPr>
                  </w:pPr>
                  <w:r>
                    <w:rPr>
                      <w:rFonts w:hint="eastAsia"/>
                      <w:color w:val="auto"/>
                      <w:lang w:val="en-US" w:eastAsia="zh-CN"/>
                    </w:rPr>
                    <w:t>准入清单类型</w:t>
                  </w:r>
                </w:p>
              </w:tc>
              <w:tc>
                <w:tcPr>
                  <w:tcW w:w="1121" w:type="pct"/>
                  <w:tcBorders>
                    <w:tl2br w:val="nil"/>
                    <w:tr2bl w:val="nil"/>
                  </w:tcBorders>
                  <w:shd w:val="clear" w:color="auto" w:fill="auto"/>
                  <w:noWrap w:val="0"/>
                  <w:vAlign w:val="center"/>
                </w:tcPr>
                <w:p w14:paraId="071A29BF">
                  <w:pPr>
                    <w:pStyle w:val="23"/>
                    <w:bidi w:val="0"/>
                    <w:rPr>
                      <w:color w:val="auto"/>
                      <w:lang w:val="en-US" w:eastAsia="zh-CN"/>
                    </w:rPr>
                  </w:pPr>
                  <w:r>
                    <w:rPr>
                      <w:rFonts w:hint="eastAsia"/>
                      <w:color w:val="auto"/>
                      <w:lang w:val="en-US" w:eastAsia="zh-CN"/>
                    </w:rPr>
                    <w:t>管控类型</w:t>
                  </w:r>
                </w:p>
              </w:tc>
            </w:tr>
            <w:tr w14:paraId="2E6E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tcBorders>
                    <w:tl2br w:val="nil"/>
                    <w:tr2bl w:val="nil"/>
                  </w:tcBorders>
                  <w:noWrap w:val="0"/>
                  <w:vAlign w:val="center"/>
                </w:tcPr>
                <w:p w14:paraId="3F58AAF6">
                  <w:pPr>
                    <w:pStyle w:val="23"/>
                    <w:bidi w:val="0"/>
                    <w:rPr>
                      <w:lang w:val="en-US" w:eastAsia="zh-CN"/>
                    </w:rPr>
                  </w:pPr>
                  <w:r>
                    <w:rPr>
                      <w:lang w:val="en-US" w:eastAsia="zh-CN"/>
                    </w:rPr>
                    <w:t>YS5109032220001</w:t>
                  </w:r>
                </w:p>
              </w:tc>
              <w:tc>
                <w:tcPr>
                  <w:tcW w:w="949" w:type="pct"/>
                  <w:tcBorders>
                    <w:tl2br w:val="nil"/>
                    <w:tr2bl w:val="nil"/>
                  </w:tcBorders>
                  <w:noWrap w:val="0"/>
                  <w:vAlign w:val="center"/>
                </w:tcPr>
                <w:p w14:paraId="1F9E46E0">
                  <w:pPr>
                    <w:pStyle w:val="23"/>
                    <w:bidi w:val="0"/>
                    <w:rPr>
                      <w:lang w:val="en-US" w:eastAsia="zh-CN"/>
                    </w:rPr>
                  </w:pPr>
                  <w:r>
                    <w:rPr>
                      <w:lang w:val="en-US" w:eastAsia="zh-CN"/>
                    </w:rPr>
                    <w:t>涪江-船山区-米家桥-控制单元</w:t>
                  </w:r>
                </w:p>
              </w:tc>
              <w:tc>
                <w:tcPr>
                  <w:tcW w:w="689" w:type="pct"/>
                  <w:tcBorders>
                    <w:tl2br w:val="nil"/>
                    <w:tr2bl w:val="nil"/>
                  </w:tcBorders>
                  <w:noWrap w:val="0"/>
                  <w:vAlign w:val="center"/>
                </w:tcPr>
                <w:p w14:paraId="799B883E">
                  <w:pPr>
                    <w:pStyle w:val="23"/>
                    <w:bidi w:val="0"/>
                    <w:rPr>
                      <w:lang w:val="en-US" w:eastAsia="zh-CN"/>
                    </w:rPr>
                  </w:pPr>
                  <w:r>
                    <w:rPr>
                      <w:lang w:val="en-US" w:eastAsia="zh-CN"/>
                    </w:rPr>
                    <w:t>遂宁市</w:t>
                  </w:r>
                </w:p>
              </w:tc>
              <w:tc>
                <w:tcPr>
                  <w:tcW w:w="432" w:type="pct"/>
                  <w:tcBorders>
                    <w:tl2br w:val="nil"/>
                    <w:tr2bl w:val="nil"/>
                  </w:tcBorders>
                  <w:noWrap w:val="0"/>
                  <w:vAlign w:val="center"/>
                </w:tcPr>
                <w:p w14:paraId="18A3460E">
                  <w:pPr>
                    <w:pStyle w:val="23"/>
                    <w:bidi w:val="0"/>
                    <w:rPr>
                      <w:lang w:val="en-US" w:eastAsia="zh-CN"/>
                    </w:rPr>
                  </w:pPr>
                  <w:r>
                    <w:rPr>
                      <w:lang w:val="en-US" w:eastAsia="zh-CN"/>
                    </w:rPr>
                    <w:t>船山区</w:t>
                  </w:r>
                </w:p>
              </w:tc>
              <w:tc>
                <w:tcPr>
                  <w:tcW w:w="662" w:type="pct"/>
                  <w:tcBorders>
                    <w:tl2br w:val="nil"/>
                    <w:tr2bl w:val="nil"/>
                  </w:tcBorders>
                  <w:noWrap w:val="0"/>
                  <w:vAlign w:val="center"/>
                </w:tcPr>
                <w:p w14:paraId="2069CDA7">
                  <w:pPr>
                    <w:pStyle w:val="23"/>
                    <w:bidi w:val="0"/>
                    <w:rPr>
                      <w:lang w:val="en-US" w:eastAsia="zh-CN"/>
                    </w:rPr>
                  </w:pPr>
                  <w:r>
                    <w:rPr>
                      <w:lang w:val="en-US" w:eastAsia="zh-CN"/>
                    </w:rPr>
                    <w:t>水环境管控分区</w:t>
                  </w:r>
                </w:p>
              </w:tc>
              <w:tc>
                <w:tcPr>
                  <w:tcW w:w="1121" w:type="pct"/>
                  <w:tcBorders>
                    <w:tl2br w:val="nil"/>
                    <w:tr2bl w:val="nil"/>
                  </w:tcBorders>
                  <w:noWrap w:val="0"/>
                  <w:vAlign w:val="center"/>
                </w:tcPr>
                <w:p w14:paraId="7C336593">
                  <w:pPr>
                    <w:pStyle w:val="23"/>
                    <w:bidi w:val="0"/>
                    <w:rPr>
                      <w:lang w:val="en-US" w:eastAsia="zh-CN"/>
                    </w:rPr>
                  </w:pPr>
                  <w:r>
                    <w:rPr>
                      <w:lang w:val="en-US" w:eastAsia="zh-CN"/>
                    </w:rPr>
                    <w:t>水环境城镇生活污染重点管控区</w:t>
                  </w:r>
                </w:p>
              </w:tc>
            </w:tr>
            <w:tr w14:paraId="0858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tcBorders>
                    <w:tl2br w:val="nil"/>
                    <w:tr2bl w:val="nil"/>
                  </w:tcBorders>
                  <w:noWrap w:val="0"/>
                  <w:vAlign w:val="center"/>
                </w:tcPr>
                <w:p w14:paraId="5E38E7A9">
                  <w:pPr>
                    <w:pStyle w:val="23"/>
                    <w:bidi w:val="0"/>
                    <w:rPr>
                      <w:lang w:val="en-US" w:eastAsia="zh-CN"/>
                    </w:rPr>
                  </w:pPr>
                  <w:r>
                    <w:rPr>
                      <w:lang w:val="en-US" w:eastAsia="zh-CN"/>
                    </w:rPr>
                    <w:t>YS5109032340001</w:t>
                  </w:r>
                </w:p>
              </w:tc>
              <w:tc>
                <w:tcPr>
                  <w:tcW w:w="949" w:type="pct"/>
                  <w:tcBorders>
                    <w:tl2br w:val="nil"/>
                    <w:tr2bl w:val="nil"/>
                  </w:tcBorders>
                  <w:noWrap w:val="0"/>
                  <w:vAlign w:val="center"/>
                </w:tcPr>
                <w:p w14:paraId="1527E650">
                  <w:pPr>
                    <w:pStyle w:val="23"/>
                    <w:bidi w:val="0"/>
                    <w:rPr>
                      <w:lang w:val="en-US" w:eastAsia="zh-CN"/>
                    </w:rPr>
                  </w:pPr>
                  <w:r>
                    <w:rPr>
                      <w:lang w:val="en-US" w:eastAsia="zh-CN"/>
                    </w:rPr>
                    <w:t>船山区城镇集中建设区</w:t>
                  </w:r>
                </w:p>
              </w:tc>
              <w:tc>
                <w:tcPr>
                  <w:tcW w:w="689" w:type="pct"/>
                  <w:tcBorders>
                    <w:tl2br w:val="nil"/>
                    <w:tr2bl w:val="nil"/>
                  </w:tcBorders>
                  <w:noWrap w:val="0"/>
                  <w:vAlign w:val="center"/>
                </w:tcPr>
                <w:p w14:paraId="5FD1B236">
                  <w:pPr>
                    <w:pStyle w:val="23"/>
                    <w:bidi w:val="0"/>
                    <w:rPr>
                      <w:lang w:val="en-US" w:eastAsia="zh-CN"/>
                    </w:rPr>
                  </w:pPr>
                  <w:r>
                    <w:rPr>
                      <w:lang w:val="en-US" w:eastAsia="zh-CN"/>
                    </w:rPr>
                    <w:t>遂宁市</w:t>
                  </w:r>
                </w:p>
              </w:tc>
              <w:tc>
                <w:tcPr>
                  <w:tcW w:w="432" w:type="pct"/>
                  <w:tcBorders>
                    <w:tl2br w:val="nil"/>
                    <w:tr2bl w:val="nil"/>
                  </w:tcBorders>
                  <w:noWrap w:val="0"/>
                  <w:vAlign w:val="center"/>
                </w:tcPr>
                <w:p w14:paraId="4479A2F5">
                  <w:pPr>
                    <w:pStyle w:val="23"/>
                    <w:bidi w:val="0"/>
                    <w:rPr>
                      <w:lang w:val="en-US" w:eastAsia="zh-CN"/>
                    </w:rPr>
                  </w:pPr>
                  <w:r>
                    <w:rPr>
                      <w:lang w:val="en-US" w:eastAsia="zh-CN"/>
                    </w:rPr>
                    <w:t>船山区</w:t>
                  </w:r>
                </w:p>
              </w:tc>
              <w:tc>
                <w:tcPr>
                  <w:tcW w:w="662" w:type="pct"/>
                  <w:tcBorders>
                    <w:tl2br w:val="nil"/>
                    <w:tr2bl w:val="nil"/>
                  </w:tcBorders>
                  <w:noWrap w:val="0"/>
                  <w:vAlign w:val="center"/>
                </w:tcPr>
                <w:p w14:paraId="7437D0D6">
                  <w:pPr>
                    <w:pStyle w:val="23"/>
                    <w:bidi w:val="0"/>
                    <w:rPr>
                      <w:lang w:val="en-US" w:eastAsia="zh-CN"/>
                    </w:rPr>
                  </w:pPr>
                  <w:r>
                    <w:rPr>
                      <w:lang w:val="en-US" w:eastAsia="zh-CN"/>
                    </w:rPr>
                    <w:t>大气环境管控分区</w:t>
                  </w:r>
                </w:p>
              </w:tc>
              <w:tc>
                <w:tcPr>
                  <w:tcW w:w="1121" w:type="pct"/>
                  <w:tcBorders>
                    <w:tl2br w:val="nil"/>
                    <w:tr2bl w:val="nil"/>
                  </w:tcBorders>
                  <w:noWrap w:val="0"/>
                  <w:vAlign w:val="center"/>
                </w:tcPr>
                <w:p w14:paraId="650CDF08">
                  <w:pPr>
                    <w:pStyle w:val="23"/>
                    <w:bidi w:val="0"/>
                    <w:rPr>
                      <w:lang w:val="en-US" w:eastAsia="zh-CN"/>
                    </w:rPr>
                  </w:pPr>
                  <w:r>
                    <w:rPr>
                      <w:lang w:val="en-US" w:eastAsia="zh-CN"/>
                    </w:rPr>
                    <w:t>大气环境受体敏感重点管控区</w:t>
                  </w:r>
                </w:p>
              </w:tc>
            </w:tr>
            <w:tr w14:paraId="4407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tcBorders>
                    <w:tl2br w:val="nil"/>
                    <w:tr2bl w:val="nil"/>
                  </w:tcBorders>
                  <w:noWrap w:val="0"/>
                  <w:vAlign w:val="center"/>
                </w:tcPr>
                <w:p w14:paraId="008CC943">
                  <w:pPr>
                    <w:pStyle w:val="23"/>
                    <w:bidi w:val="0"/>
                    <w:rPr>
                      <w:lang w:val="en-US" w:eastAsia="zh-CN"/>
                    </w:rPr>
                  </w:pPr>
                  <w:r>
                    <w:rPr>
                      <w:lang w:val="en-US" w:eastAsia="zh-CN"/>
                    </w:rPr>
                    <w:t>YS5109032530001</w:t>
                  </w:r>
                </w:p>
              </w:tc>
              <w:tc>
                <w:tcPr>
                  <w:tcW w:w="949" w:type="pct"/>
                  <w:tcBorders>
                    <w:tl2br w:val="nil"/>
                    <w:tr2bl w:val="nil"/>
                  </w:tcBorders>
                  <w:noWrap w:val="0"/>
                  <w:vAlign w:val="center"/>
                </w:tcPr>
                <w:p w14:paraId="3BEBD105">
                  <w:pPr>
                    <w:pStyle w:val="23"/>
                    <w:bidi w:val="0"/>
                    <w:rPr>
                      <w:lang w:val="en-US" w:eastAsia="zh-CN"/>
                    </w:rPr>
                  </w:pPr>
                  <w:r>
                    <w:rPr>
                      <w:lang w:val="en-US" w:eastAsia="zh-CN"/>
                    </w:rPr>
                    <w:t>船山区城镇开发边界</w:t>
                  </w:r>
                </w:p>
              </w:tc>
              <w:tc>
                <w:tcPr>
                  <w:tcW w:w="689" w:type="pct"/>
                  <w:tcBorders>
                    <w:tl2br w:val="nil"/>
                    <w:tr2bl w:val="nil"/>
                  </w:tcBorders>
                  <w:noWrap w:val="0"/>
                  <w:vAlign w:val="center"/>
                </w:tcPr>
                <w:p w14:paraId="0D8CCA8E">
                  <w:pPr>
                    <w:pStyle w:val="23"/>
                    <w:bidi w:val="0"/>
                    <w:rPr>
                      <w:rFonts w:hint="eastAsia"/>
                      <w:lang w:val="en-US" w:eastAsia="zh-CN"/>
                    </w:rPr>
                  </w:pPr>
                  <w:r>
                    <w:rPr>
                      <w:lang w:val="en-US" w:eastAsia="zh-CN"/>
                    </w:rPr>
                    <w:t>遂宁市</w:t>
                  </w:r>
                </w:p>
              </w:tc>
              <w:tc>
                <w:tcPr>
                  <w:tcW w:w="432" w:type="pct"/>
                  <w:tcBorders>
                    <w:tl2br w:val="nil"/>
                    <w:tr2bl w:val="nil"/>
                  </w:tcBorders>
                  <w:noWrap w:val="0"/>
                  <w:vAlign w:val="center"/>
                </w:tcPr>
                <w:p w14:paraId="0D92E094">
                  <w:pPr>
                    <w:pStyle w:val="23"/>
                    <w:bidi w:val="0"/>
                    <w:rPr>
                      <w:rFonts w:hint="eastAsia"/>
                      <w:lang w:val="en-US" w:eastAsia="zh-CN"/>
                    </w:rPr>
                  </w:pPr>
                  <w:r>
                    <w:rPr>
                      <w:lang w:val="en-US" w:eastAsia="zh-CN"/>
                    </w:rPr>
                    <w:t>船山区</w:t>
                  </w:r>
                </w:p>
              </w:tc>
              <w:tc>
                <w:tcPr>
                  <w:tcW w:w="662" w:type="pct"/>
                  <w:tcBorders>
                    <w:tl2br w:val="nil"/>
                    <w:tr2bl w:val="nil"/>
                  </w:tcBorders>
                  <w:noWrap w:val="0"/>
                  <w:vAlign w:val="center"/>
                </w:tcPr>
                <w:p w14:paraId="7BCE4EBD">
                  <w:pPr>
                    <w:pStyle w:val="23"/>
                    <w:bidi w:val="0"/>
                    <w:rPr>
                      <w:lang w:val="en-US" w:eastAsia="zh-CN"/>
                    </w:rPr>
                  </w:pPr>
                  <w:r>
                    <w:rPr>
                      <w:lang w:val="en-US" w:eastAsia="zh-CN"/>
                    </w:rPr>
                    <w:t>资源管控分区</w:t>
                  </w:r>
                </w:p>
              </w:tc>
              <w:tc>
                <w:tcPr>
                  <w:tcW w:w="1121" w:type="pct"/>
                  <w:tcBorders>
                    <w:tl2br w:val="nil"/>
                    <w:tr2bl w:val="nil"/>
                  </w:tcBorders>
                  <w:noWrap w:val="0"/>
                  <w:vAlign w:val="center"/>
                </w:tcPr>
                <w:p w14:paraId="641FF1AE">
                  <w:pPr>
                    <w:pStyle w:val="23"/>
                    <w:bidi w:val="0"/>
                    <w:rPr>
                      <w:lang w:val="en-US" w:eastAsia="zh-CN"/>
                    </w:rPr>
                  </w:pPr>
                  <w:r>
                    <w:rPr>
                      <w:lang w:val="en-US" w:eastAsia="zh-CN"/>
                    </w:rPr>
                    <w:t>土地资源重点管控区</w:t>
                  </w:r>
                </w:p>
              </w:tc>
            </w:tr>
            <w:tr w14:paraId="4A6A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tcBorders>
                    <w:tl2br w:val="nil"/>
                    <w:tr2bl w:val="nil"/>
                  </w:tcBorders>
                  <w:noWrap w:val="0"/>
                  <w:vAlign w:val="center"/>
                </w:tcPr>
                <w:p w14:paraId="7A88DE00">
                  <w:pPr>
                    <w:pStyle w:val="23"/>
                    <w:bidi w:val="0"/>
                    <w:rPr>
                      <w:lang w:val="en-US" w:eastAsia="zh-CN"/>
                    </w:rPr>
                  </w:pPr>
                  <w:r>
                    <w:rPr>
                      <w:lang w:val="en-US" w:eastAsia="zh-CN"/>
                    </w:rPr>
                    <w:t>YS5109032540004</w:t>
                  </w:r>
                </w:p>
              </w:tc>
              <w:tc>
                <w:tcPr>
                  <w:tcW w:w="949" w:type="pct"/>
                  <w:tcBorders>
                    <w:tl2br w:val="nil"/>
                    <w:tr2bl w:val="nil"/>
                  </w:tcBorders>
                  <w:noWrap w:val="0"/>
                  <w:vAlign w:val="center"/>
                </w:tcPr>
                <w:p w14:paraId="34E712BB">
                  <w:pPr>
                    <w:pStyle w:val="23"/>
                    <w:bidi w:val="0"/>
                    <w:rPr>
                      <w:lang w:val="en-US" w:eastAsia="zh-CN"/>
                    </w:rPr>
                  </w:pPr>
                  <w:r>
                    <w:rPr>
                      <w:lang w:val="en-US" w:eastAsia="zh-CN"/>
                    </w:rPr>
                    <w:t>中环线范围</w:t>
                  </w:r>
                </w:p>
              </w:tc>
              <w:tc>
                <w:tcPr>
                  <w:tcW w:w="689" w:type="pct"/>
                  <w:tcBorders>
                    <w:tl2br w:val="nil"/>
                    <w:tr2bl w:val="nil"/>
                  </w:tcBorders>
                  <w:noWrap w:val="0"/>
                  <w:vAlign w:val="center"/>
                </w:tcPr>
                <w:p w14:paraId="5C54C4F0">
                  <w:pPr>
                    <w:pStyle w:val="23"/>
                    <w:bidi w:val="0"/>
                    <w:rPr>
                      <w:rFonts w:hint="eastAsia"/>
                      <w:lang w:val="en-US" w:eastAsia="zh-CN"/>
                    </w:rPr>
                  </w:pPr>
                  <w:r>
                    <w:rPr>
                      <w:lang w:val="en-US" w:eastAsia="zh-CN"/>
                    </w:rPr>
                    <w:t>遂宁市</w:t>
                  </w:r>
                </w:p>
              </w:tc>
              <w:tc>
                <w:tcPr>
                  <w:tcW w:w="432" w:type="pct"/>
                  <w:tcBorders>
                    <w:tl2br w:val="nil"/>
                    <w:tr2bl w:val="nil"/>
                  </w:tcBorders>
                  <w:noWrap w:val="0"/>
                  <w:vAlign w:val="center"/>
                </w:tcPr>
                <w:p w14:paraId="4FDFB028">
                  <w:pPr>
                    <w:pStyle w:val="23"/>
                    <w:bidi w:val="0"/>
                    <w:rPr>
                      <w:rFonts w:hint="eastAsia"/>
                      <w:lang w:val="en-US" w:eastAsia="zh-CN"/>
                    </w:rPr>
                  </w:pPr>
                  <w:r>
                    <w:rPr>
                      <w:lang w:val="en-US" w:eastAsia="zh-CN"/>
                    </w:rPr>
                    <w:t>船山区</w:t>
                  </w:r>
                </w:p>
              </w:tc>
              <w:tc>
                <w:tcPr>
                  <w:tcW w:w="662" w:type="pct"/>
                  <w:tcBorders>
                    <w:tl2br w:val="nil"/>
                    <w:tr2bl w:val="nil"/>
                  </w:tcBorders>
                  <w:noWrap w:val="0"/>
                  <w:vAlign w:val="center"/>
                </w:tcPr>
                <w:p w14:paraId="32F12F56">
                  <w:pPr>
                    <w:pStyle w:val="23"/>
                    <w:bidi w:val="0"/>
                    <w:rPr>
                      <w:rFonts w:hint="eastAsia"/>
                      <w:lang w:val="en-US" w:eastAsia="zh-CN"/>
                    </w:rPr>
                  </w:pPr>
                  <w:r>
                    <w:rPr>
                      <w:lang w:val="en-US" w:eastAsia="zh-CN"/>
                    </w:rPr>
                    <w:t>资源管控分区</w:t>
                  </w:r>
                </w:p>
              </w:tc>
              <w:tc>
                <w:tcPr>
                  <w:tcW w:w="1121" w:type="pct"/>
                  <w:tcBorders>
                    <w:tl2br w:val="nil"/>
                    <w:tr2bl w:val="nil"/>
                  </w:tcBorders>
                  <w:noWrap w:val="0"/>
                  <w:vAlign w:val="center"/>
                </w:tcPr>
                <w:p w14:paraId="062D1648">
                  <w:pPr>
                    <w:pStyle w:val="23"/>
                    <w:bidi w:val="0"/>
                    <w:rPr>
                      <w:lang w:val="en-US" w:eastAsia="zh-CN"/>
                    </w:rPr>
                  </w:pPr>
                  <w:r>
                    <w:rPr>
                      <w:lang w:val="en-US" w:eastAsia="zh-CN"/>
                    </w:rPr>
                    <w:t>高污染燃料禁燃区</w:t>
                  </w:r>
                </w:p>
              </w:tc>
            </w:tr>
            <w:tr w14:paraId="098F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tcBorders>
                    <w:tl2br w:val="nil"/>
                    <w:tr2bl w:val="nil"/>
                  </w:tcBorders>
                  <w:noWrap w:val="0"/>
                  <w:vAlign w:val="center"/>
                </w:tcPr>
                <w:p w14:paraId="59E9682C">
                  <w:pPr>
                    <w:pStyle w:val="23"/>
                    <w:bidi w:val="0"/>
                    <w:rPr>
                      <w:lang w:val="en-US" w:eastAsia="zh-CN"/>
                    </w:rPr>
                  </w:pPr>
                  <w:r>
                    <w:rPr>
                      <w:lang w:val="en-US" w:eastAsia="zh-CN"/>
                    </w:rPr>
                    <w:t>YS5109032550001</w:t>
                  </w:r>
                </w:p>
              </w:tc>
              <w:tc>
                <w:tcPr>
                  <w:tcW w:w="949" w:type="pct"/>
                  <w:tcBorders>
                    <w:tl2br w:val="nil"/>
                    <w:tr2bl w:val="nil"/>
                  </w:tcBorders>
                  <w:noWrap w:val="0"/>
                  <w:vAlign w:val="center"/>
                </w:tcPr>
                <w:p w14:paraId="478A9E1C">
                  <w:pPr>
                    <w:pStyle w:val="23"/>
                    <w:bidi w:val="0"/>
                    <w:rPr>
                      <w:lang w:val="en-US" w:eastAsia="zh-CN"/>
                    </w:rPr>
                  </w:pPr>
                  <w:r>
                    <w:rPr>
                      <w:lang w:val="en-US" w:eastAsia="zh-CN"/>
                    </w:rPr>
                    <w:t>船山区自然资源重点管控区</w:t>
                  </w:r>
                </w:p>
              </w:tc>
              <w:tc>
                <w:tcPr>
                  <w:tcW w:w="689" w:type="pct"/>
                  <w:tcBorders>
                    <w:tl2br w:val="nil"/>
                    <w:tr2bl w:val="nil"/>
                  </w:tcBorders>
                  <w:noWrap w:val="0"/>
                  <w:vAlign w:val="center"/>
                </w:tcPr>
                <w:p w14:paraId="7C600D95">
                  <w:pPr>
                    <w:pStyle w:val="23"/>
                    <w:bidi w:val="0"/>
                    <w:rPr>
                      <w:rFonts w:hint="eastAsia"/>
                      <w:lang w:val="en-US" w:eastAsia="zh-CN"/>
                    </w:rPr>
                  </w:pPr>
                  <w:r>
                    <w:rPr>
                      <w:lang w:val="en-US" w:eastAsia="zh-CN"/>
                    </w:rPr>
                    <w:t>遂宁市</w:t>
                  </w:r>
                </w:p>
              </w:tc>
              <w:tc>
                <w:tcPr>
                  <w:tcW w:w="432" w:type="pct"/>
                  <w:tcBorders>
                    <w:tl2br w:val="nil"/>
                    <w:tr2bl w:val="nil"/>
                  </w:tcBorders>
                  <w:noWrap w:val="0"/>
                  <w:vAlign w:val="center"/>
                </w:tcPr>
                <w:p w14:paraId="5A05C901">
                  <w:pPr>
                    <w:pStyle w:val="23"/>
                    <w:bidi w:val="0"/>
                    <w:rPr>
                      <w:rFonts w:hint="eastAsia"/>
                      <w:lang w:val="en-US" w:eastAsia="zh-CN"/>
                    </w:rPr>
                  </w:pPr>
                  <w:r>
                    <w:rPr>
                      <w:lang w:val="en-US" w:eastAsia="zh-CN"/>
                    </w:rPr>
                    <w:t>船山区</w:t>
                  </w:r>
                </w:p>
              </w:tc>
              <w:tc>
                <w:tcPr>
                  <w:tcW w:w="662" w:type="pct"/>
                  <w:tcBorders>
                    <w:tl2br w:val="nil"/>
                    <w:tr2bl w:val="nil"/>
                  </w:tcBorders>
                  <w:noWrap w:val="0"/>
                  <w:vAlign w:val="center"/>
                </w:tcPr>
                <w:p w14:paraId="7BCE5345">
                  <w:pPr>
                    <w:pStyle w:val="23"/>
                    <w:bidi w:val="0"/>
                    <w:rPr>
                      <w:rFonts w:hint="eastAsia"/>
                      <w:lang w:val="en-US" w:eastAsia="zh-CN"/>
                    </w:rPr>
                  </w:pPr>
                  <w:r>
                    <w:rPr>
                      <w:lang w:val="en-US" w:eastAsia="zh-CN"/>
                    </w:rPr>
                    <w:t>资源管控分区</w:t>
                  </w:r>
                </w:p>
              </w:tc>
              <w:tc>
                <w:tcPr>
                  <w:tcW w:w="1121" w:type="pct"/>
                  <w:tcBorders>
                    <w:tl2br w:val="nil"/>
                    <w:tr2bl w:val="nil"/>
                  </w:tcBorders>
                  <w:noWrap w:val="0"/>
                  <w:vAlign w:val="center"/>
                </w:tcPr>
                <w:p w14:paraId="6E8E464A">
                  <w:pPr>
                    <w:pStyle w:val="23"/>
                    <w:bidi w:val="0"/>
                    <w:rPr>
                      <w:lang w:val="en-US" w:eastAsia="zh-CN"/>
                    </w:rPr>
                  </w:pPr>
                  <w:r>
                    <w:rPr>
                      <w:lang w:val="en-US" w:eastAsia="zh-CN"/>
                    </w:rPr>
                    <w:t>自然资源重点管控区</w:t>
                  </w:r>
                </w:p>
              </w:tc>
            </w:tr>
            <w:tr w14:paraId="49C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tcBorders>
                    <w:tl2br w:val="nil"/>
                    <w:tr2bl w:val="nil"/>
                  </w:tcBorders>
                  <w:noWrap w:val="0"/>
                  <w:vAlign w:val="center"/>
                </w:tcPr>
                <w:p w14:paraId="1143491D">
                  <w:pPr>
                    <w:pStyle w:val="23"/>
                    <w:bidi w:val="0"/>
                    <w:rPr>
                      <w:lang w:val="en-US" w:eastAsia="zh-CN"/>
                    </w:rPr>
                  </w:pPr>
                  <w:r>
                    <w:rPr>
                      <w:rFonts w:hint="eastAsia"/>
                      <w:lang w:val="en-US" w:eastAsia="zh-CN"/>
                    </w:rPr>
                    <w:t>ZH51090320001</w:t>
                  </w:r>
                </w:p>
              </w:tc>
              <w:tc>
                <w:tcPr>
                  <w:tcW w:w="949" w:type="pct"/>
                  <w:tcBorders>
                    <w:tl2br w:val="nil"/>
                    <w:tr2bl w:val="nil"/>
                  </w:tcBorders>
                  <w:noWrap w:val="0"/>
                  <w:vAlign w:val="center"/>
                </w:tcPr>
                <w:p w14:paraId="13CF0771">
                  <w:pPr>
                    <w:pStyle w:val="23"/>
                    <w:bidi w:val="0"/>
                    <w:rPr>
                      <w:lang w:val="en-US" w:eastAsia="zh-CN"/>
                    </w:rPr>
                  </w:pPr>
                  <w:r>
                    <w:rPr>
                      <w:rFonts w:hint="eastAsia"/>
                      <w:lang w:val="en-US" w:eastAsia="zh-CN"/>
                    </w:rPr>
                    <w:t>船山区城镇空间</w:t>
                  </w:r>
                </w:p>
              </w:tc>
              <w:tc>
                <w:tcPr>
                  <w:tcW w:w="689" w:type="pct"/>
                  <w:tcBorders>
                    <w:tl2br w:val="nil"/>
                    <w:tr2bl w:val="nil"/>
                  </w:tcBorders>
                  <w:noWrap w:val="0"/>
                  <w:vAlign w:val="center"/>
                </w:tcPr>
                <w:p w14:paraId="7F77087F">
                  <w:pPr>
                    <w:pStyle w:val="23"/>
                    <w:bidi w:val="0"/>
                    <w:rPr>
                      <w:lang w:val="en-US" w:eastAsia="zh-CN"/>
                    </w:rPr>
                  </w:pPr>
                  <w:r>
                    <w:rPr>
                      <w:rFonts w:hint="eastAsia"/>
                      <w:lang w:val="en-US" w:eastAsia="zh-CN"/>
                    </w:rPr>
                    <w:t>遂宁市</w:t>
                  </w:r>
                </w:p>
              </w:tc>
              <w:tc>
                <w:tcPr>
                  <w:tcW w:w="432" w:type="pct"/>
                  <w:tcBorders>
                    <w:tl2br w:val="nil"/>
                    <w:tr2bl w:val="nil"/>
                  </w:tcBorders>
                  <w:noWrap w:val="0"/>
                  <w:vAlign w:val="center"/>
                </w:tcPr>
                <w:p w14:paraId="696802B5">
                  <w:pPr>
                    <w:pStyle w:val="23"/>
                    <w:bidi w:val="0"/>
                    <w:rPr>
                      <w:lang w:val="en-US" w:eastAsia="zh-CN"/>
                    </w:rPr>
                  </w:pPr>
                  <w:r>
                    <w:rPr>
                      <w:rFonts w:hint="eastAsia"/>
                      <w:lang w:val="en-US" w:eastAsia="zh-CN"/>
                    </w:rPr>
                    <w:t>船山区</w:t>
                  </w:r>
                </w:p>
              </w:tc>
              <w:tc>
                <w:tcPr>
                  <w:tcW w:w="662" w:type="pct"/>
                  <w:tcBorders>
                    <w:tl2br w:val="nil"/>
                    <w:tr2bl w:val="nil"/>
                  </w:tcBorders>
                  <w:noWrap w:val="0"/>
                  <w:vAlign w:val="center"/>
                </w:tcPr>
                <w:p w14:paraId="3020271C">
                  <w:pPr>
                    <w:pStyle w:val="23"/>
                    <w:bidi w:val="0"/>
                    <w:rPr>
                      <w:lang w:val="en-US" w:eastAsia="zh-CN"/>
                    </w:rPr>
                  </w:pPr>
                  <w:r>
                    <w:rPr>
                      <w:rFonts w:hint="eastAsia"/>
                      <w:lang w:val="en-US" w:eastAsia="zh-CN"/>
                    </w:rPr>
                    <w:t>环境综合管控单元</w:t>
                  </w:r>
                </w:p>
              </w:tc>
              <w:tc>
                <w:tcPr>
                  <w:tcW w:w="1121" w:type="pct"/>
                  <w:tcBorders>
                    <w:tl2br w:val="nil"/>
                    <w:tr2bl w:val="nil"/>
                  </w:tcBorders>
                  <w:noWrap w:val="0"/>
                  <w:vAlign w:val="center"/>
                </w:tcPr>
                <w:p w14:paraId="7B7EB579">
                  <w:pPr>
                    <w:pStyle w:val="23"/>
                    <w:bidi w:val="0"/>
                    <w:rPr>
                      <w:lang w:val="en-US" w:eastAsia="zh-CN"/>
                    </w:rPr>
                  </w:pPr>
                  <w:r>
                    <w:rPr>
                      <w:rFonts w:hint="eastAsia"/>
                      <w:lang w:val="en-US" w:eastAsia="zh-CN"/>
                    </w:rPr>
                    <w:t>环境综合管控单元城镇重点管控单元</w:t>
                  </w:r>
                </w:p>
              </w:tc>
            </w:tr>
          </w:tbl>
          <w:p w14:paraId="72597D31">
            <w:pPr>
              <w:pStyle w:val="25"/>
              <w:bidi w:val="0"/>
              <w:rPr>
                <w:rFonts w:hint="eastAsia"/>
              </w:rPr>
            </w:pPr>
            <w:r>
              <w:rPr>
                <w:rFonts w:hint="eastAsia"/>
              </w:rPr>
              <w:t>本项目在四川省“生态环境分区管控符合性分析系统”数据分析系统查询结果详见下图。</w:t>
            </w:r>
          </w:p>
          <w:p w14:paraId="60FC14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r>
              <w:rPr>
                <w:rFonts w:hint="eastAsia"/>
                <w:sz w:val="24"/>
                <w:szCs w:val="32"/>
              </w:rPr>
              <w:drawing>
                <wp:inline distT="0" distB="0" distL="114300" distR="114300">
                  <wp:extent cx="4272280" cy="2678430"/>
                  <wp:effectExtent l="9525" t="9525" r="23495" b="17145"/>
                  <wp:docPr id="4" name="图片 49" descr="877fc02ce10392911a4b8a550bfe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9" descr="877fc02ce10392911a4b8a550bfe67a"/>
                          <pic:cNvPicPr>
                            <a:picLocks noChangeAspect="1"/>
                          </pic:cNvPicPr>
                        </pic:nvPicPr>
                        <pic:blipFill>
                          <a:blip r:embed="rId10"/>
                          <a:stretch>
                            <a:fillRect/>
                          </a:stretch>
                        </pic:blipFill>
                        <pic:spPr>
                          <a:xfrm>
                            <a:off x="0" y="0"/>
                            <a:ext cx="4272280" cy="267843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40F62334">
            <w:pPr>
              <w:pStyle w:val="27"/>
              <w:bidi w:val="0"/>
              <w:rPr>
                <w:rFonts w:hint="eastAsia"/>
              </w:rPr>
            </w:pPr>
            <w:r>
              <w:rPr>
                <w:rFonts w:hint="eastAsia"/>
              </w:rPr>
              <w:t>本项目</w:t>
            </w:r>
            <w:r>
              <w:rPr>
                <w:rFonts w:hint="eastAsia"/>
                <w:lang w:eastAsia="zh-CN"/>
              </w:rPr>
              <w:t>生态环境分区管控符合性分析</w:t>
            </w:r>
            <w:r>
              <w:rPr>
                <w:rFonts w:hint="eastAsia"/>
              </w:rPr>
              <w:t xml:space="preserve">查询结果 </w:t>
            </w:r>
          </w:p>
          <w:p w14:paraId="6B1F3294">
            <w:pPr>
              <w:pStyle w:val="25"/>
              <w:bidi w:val="0"/>
            </w:pPr>
            <w:r>
              <w:rPr>
                <w:rFonts w:hint="eastAsia"/>
              </w:rPr>
              <w:t>本项目与管控单元相对位置如下图所示：</w:t>
            </w:r>
          </w:p>
          <w:p w14:paraId="5F286D1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Helvetica" w:hAnsi="Helvetica" w:cs="Helvetica"/>
                <w:sz w:val="28"/>
                <w:szCs w:val="28"/>
              </w:rPr>
            </w:pPr>
            <w:r>
              <w:rPr>
                <w:rFonts w:ascii="Helvetica" w:hAnsi="Helvetica" w:eastAsia="Helvetica"/>
                <w:sz w:val="28"/>
              </w:rPr>
              <w:drawing>
                <wp:inline distT="0" distB="0" distL="114300" distR="114300">
                  <wp:extent cx="4520565" cy="3197225"/>
                  <wp:effectExtent l="9525" t="9525" r="22860" b="12700"/>
                  <wp:docPr id="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0"/>
                          <pic:cNvPicPr>
                            <a:picLocks noChangeAspect="1"/>
                          </pic:cNvPicPr>
                        </pic:nvPicPr>
                        <pic:blipFill>
                          <a:blip r:embed="rId11"/>
                          <a:stretch>
                            <a:fillRect/>
                          </a:stretch>
                        </pic:blipFill>
                        <pic:spPr>
                          <a:xfrm>
                            <a:off x="0" y="0"/>
                            <a:ext cx="4520565" cy="319722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1EDF13E3">
            <w:pPr>
              <w:pStyle w:val="27"/>
              <w:bidi w:val="0"/>
              <w:rPr>
                <w:rFonts w:hint="eastAsia"/>
              </w:rPr>
            </w:pPr>
            <w:r>
              <w:rPr>
                <w:rFonts w:hint="eastAsia"/>
              </w:rPr>
              <w:t>环境综合管控单元图（图中▼表示项目位置）</w:t>
            </w:r>
          </w:p>
          <w:p w14:paraId="396C1DAC">
            <w:pPr>
              <w:pStyle w:val="4"/>
              <w:bidi w:val="0"/>
            </w:pPr>
            <w:r>
              <w:rPr>
                <w:rFonts w:hint="eastAsia"/>
                <w:lang w:val="en-US" w:eastAsia="zh-CN"/>
              </w:rPr>
              <w:t>生态环境准入清单符合性分析</w:t>
            </w:r>
          </w:p>
          <w:p w14:paraId="30DF3A4C">
            <w:pPr>
              <w:bidi w:val="0"/>
              <w:rPr>
                <w:rFonts w:hint="eastAsia"/>
              </w:rPr>
            </w:pPr>
            <w:r>
              <w:rPr>
                <w:rFonts w:hint="eastAsia"/>
                <w:lang w:val="en-US" w:eastAsia="zh-CN"/>
              </w:rPr>
              <w:t>本项目位于四川省遂宁市船山区开善东路327号，本项目与《遂宁市人民政府关于落实生态保护红线、环境质量底线、资源利用上线制定生态环境准入清单实施生态环境分区管控的通知》（遂府函〔</w:t>
            </w:r>
            <w:r>
              <w:rPr>
                <w:rFonts w:hint="default"/>
                <w:lang w:val="en-US" w:eastAsia="zh-CN"/>
              </w:rPr>
              <w:t>2021</w:t>
            </w:r>
            <w:r>
              <w:rPr>
                <w:rFonts w:hint="eastAsia"/>
                <w:lang w:val="en-US" w:eastAsia="zh-CN"/>
              </w:rPr>
              <w:t>〕</w:t>
            </w:r>
            <w:r>
              <w:rPr>
                <w:rFonts w:hint="default"/>
                <w:lang w:val="en-US" w:eastAsia="zh-CN"/>
              </w:rPr>
              <w:t>74</w:t>
            </w:r>
            <w:r>
              <w:rPr>
                <w:rFonts w:hint="eastAsia"/>
                <w:lang w:val="en-US" w:eastAsia="zh-CN"/>
              </w:rPr>
              <w:t>号）生态环境准入总体要求符合性分析见下表。</w:t>
            </w:r>
          </w:p>
          <w:p w14:paraId="6CFF8F4A">
            <w:pPr>
              <w:pStyle w:val="22"/>
              <w:bidi w:val="0"/>
            </w:pPr>
            <w:r>
              <w:rPr>
                <w:rFonts w:hint="eastAsia"/>
                <w:lang w:val="en-US" w:eastAsia="zh-CN"/>
              </w:rPr>
              <w:t>本项目与“遂府函〔</w:t>
            </w:r>
            <w:r>
              <w:rPr>
                <w:rFonts w:hint="default"/>
                <w:lang w:val="en-US" w:eastAsia="zh-CN"/>
              </w:rPr>
              <w:t>2021</w:t>
            </w:r>
            <w:r>
              <w:rPr>
                <w:rFonts w:hint="eastAsia"/>
                <w:lang w:val="en-US" w:eastAsia="zh-CN"/>
              </w:rPr>
              <w:t>〕</w:t>
            </w:r>
            <w:r>
              <w:rPr>
                <w:rFonts w:hint="default"/>
                <w:lang w:val="en-US" w:eastAsia="zh-CN"/>
              </w:rPr>
              <w:t xml:space="preserve">74 </w:t>
            </w:r>
            <w:r>
              <w:rPr>
                <w:rFonts w:hint="eastAsia"/>
                <w:lang w:val="en-US" w:eastAsia="zh-CN"/>
              </w:rPr>
              <w:t>号”生态环境准入总体要求符合性</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4558"/>
              <w:gridCol w:w="2360"/>
              <w:gridCol w:w="711"/>
            </w:tblGrid>
            <w:tr w14:paraId="250F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Align w:val="center"/>
                </w:tcPr>
                <w:p w14:paraId="0F31FD38">
                  <w:pPr>
                    <w:pStyle w:val="23"/>
                    <w:bidi w:val="0"/>
                    <w:rPr>
                      <w:rFonts w:hint="eastAsia"/>
                      <w:lang w:val="en-US" w:eastAsia="zh-CN" w:bidi="ar-SA"/>
                    </w:rPr>
                  </w:pPr>
                  <w:r>
                    <w:rPr>
                      <w:rFonts w:hint="eastAsia"/>
                      <w:lang w:val="en-US" w:eastAsia="zh-CN" w:bidi="ar-SA"/>
                    </w:rPr>
                    <w:t>项目</w:t>
                  </w:r>
                </w:p>
              </w:tc>
              <w:tc>
                <w:tcPr>
                  <w:tcW w:w="2789" w:type="pct"/>
                  <w:vAlign w:val="center"/>
                </w:tcPr>
                <w:p w14:paraId="752AF808">
                  <w:pPr>
                    <w:pStyle w:val="23"/>
                    <w:bidi w:val="0"/>
                    <w:rPr>
                      <w:rFonts w:hint="eastAsia"/>
                      <w:lang w:val="en-US" w:eastAsia="zh-CN" w:bidi="ar-SA"/>
                    </w:rPr>
                  </w:pPr>
                  <w:r>
                    <w:rPr>
                      <w:rFonts w:hint="eastAsia"/>
                      <w:lang w:val="en-US" w:eastAsia="zh-CN" w:bidi="ar-SA"/>
                    </w:rPr>
                    <w:t>生态环境管控要求</w:t>
                  </w:r>
                </w:p>
              </w:tc>
              <w:tc>
                <w:tcPr>
                  <w:tcW w:w="1444" w:type="pct"/>
                  <w:vAlign w:val="center"/>
                </w:tcPr>
                <w:p w14:paraId="610643DB">
                  <w:pPr>
                    <w:pStyle w:val="23"/>
                    <w:bidi w:val="0"/>
                    <w:rPr>
                      <w:rFonts w:hint="eastAsia"/>
                      <w:lang w:val="en-US" w:eastAsia="zh-CN" w:bidi="ar-SA"/>
                    </w:rPr>
                  </w:pPr>
                  <w:r>
                    <w:rPr>
                      <w:rFonts w:hint="eastAsia"/>
                      <w:lang w:val="en-US" w:eastAsia="zh-CN" w:bidi="ar-SA"/>
                    </w:rPr>
                    <w:t>本项目情况</w:t>
                  </w:r>
                </w:p>
              </w:tc>
              <w:tc>
                <w:tcPr>
                  <w:tcW w:w="435" w:type="pct"/>
                  <w:vAlign w:val="center"/>
                </w:tcPr>
                <w:p w14:paraId="389A6ADE">
                  <w:pPr>
                    <w:pStyle w:val="23"/>
                    <w:bidi w:val="0"/>
                    <w:rPr>
                      <w:rFonts w:hint="eastAsia"/>
                      <w:lang w:val="en-US" w:eastAsia="zh-CN" w:bidi="ar-SA"/>
                    </w:rPr>
                  </w:pPr>
                  <w:r>
                    <w:rPr>
                      <w:rFonts w:hint="eastAsia"/>
                      <w:lang w:val="en-US" w:eastAsia="zh-CN" w:bidi="ar-SA"/>
                    </w:rPr>
                    <w:t>符合性</w:t>
                  </w:r>
                </w:p>
              </w:tc>
            </w:tr>
            <w:tr w14:paraId="74E7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restart"/>
                  <w:vAlign w:val="center"/>
                </w:tcPr>
                <w:p w14:paraId="2460E1D9">
                  <w:pPr>
                    <w:pStyle w:val="23"/>
                    <w:bidi w:val="0"/>
                    <w:rPr>
                      <w:lang w:val="en-US" w:eastAsia="zh-CN" w:bidi="ar-SA"/>
                    </w:rPr>
                  </w:pPr>
                  <w:r>
                    <w:rPr>
                      <w:rFonts w:hint="eastAsia"/>
                      <w:lang w:val="en-US" w:eastAsia="zh-CN" w:bidi="ar-SA"/>
                    </w:rPr>
                    <w:t>遂宁市生态环境管控要求</w:t>
                  </w:r>
                </w:p>
              </w:tc>
              <w:tc>
                <w:tcPr>
                  <w:tcW w:w="2789" w:type="pct"/>
                  <w:vAlign w:val="center"/>
                </w:tcPr>
                <w:p w14:paraId="472D8F62">
                  <w:pPr>
                    <w:pStyle w:val="23"/>
                    <w:bidi w:val="0"/>
                    <w:rPr>
                      <w:lang w:val="en-US" w:eastAsia="zh-CN" w:bidi="ar-SA"/>
                    </w:rPr>
                  </w:pPr>
                  <w:r>
                    <w:rPr>
                      <w:rFonts w:hint="eastAsia"/>
                      <w:lang w:val="en-US" w:eastAsia="zh-CN" w:bidi="ar-SA"/>
                    </w:rPr>
                    <w:t>（1）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tc>
              <w:tc>
                <w:tcPr>
                  <w:tcW w:w="1444" w:type="pct"/>
                  <w:vAlign w:val="center"/>
                </w:tcPr>
                <w:p w14:paraId="3566E316">
                  <w:pPr>
                    <w:pStyle w:val="23"/>
                    <w:bidi w:val="0"/>
                    <w:rPr>
                      <w:lang w:val="en-US" w:eastAsia="zh-CN" w:bidi="ar-SA"/>
                    </w:rPr>
                  </w:pPr>
                  <w:r>
                    <w:rPr>
                      <w:rFonts w:hint="eastAsia"/>
                      <w:lang w:val="en-US" w:eastAsia="zh-CN" w:bidi="ar-SA"/>
                    </w:rPr>
                    <w:t>本项目为医院项目，不涉及重金属污染物排放；不属于有色冶炼、电镀、采选、化工、铅蓄电池制造业、皮革等涉重企业</w:t>
                  </w:r>
                </w:p>
              </w:tc>
              <w:tc>
                <w:tcPr>
                  <w:tcW w:w="435" w:type="pct"/>
                  <w:vAlign w:val="center"/>
                </w:tcPr>
                <w:p w14:paraId="1A0E7420">
                  <w:pPr>
                    <w:pStyle w:val="23"/>
                    <w:bidi w:val="0"/>
                    <w:rPr>
                      <w:rFonts w:hint="eastAsia"/>
                      <w:lang w:val="en-US" w:eastAsia="zh-CN" w:bidi="ar-SA"/>
                    </w:rPr>
                  </w:pPr>
                  <w:r>
                    <w:rPr>
                      <w:rFonts w:hint="eastAsia"/>
                      <w:lang w:val="en-US" w:eastAsia="zh-CN" w:bidi="ar-SA"/>
                    </w:rPr>
                    <w:t>符合</w:t>
                  </w:r>
                </w:p>
              </w:tc>
            </w:tr>
            <w:tr w14:paraId="5C24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vAlign w:val="center"/>
                </w:tcPr>
                <w:p w14:paraId="77C15995">
                  <w:pPr>
                    <w:pStyle w:val="23"/>
                    <w:bidi w:val="0"/>
                    <w:rPr>
                      <w:lang w:val="en-US" w:eastAsia="zh-CN" w:bidi="ar-SA"/>
                    </w:rPr>
                  </w:pPr>
                </w:p>
              </w:tc>
              <w:tc>
                <w:tcPr>
                  <w:tcW w:w="2789" w:type="pct"/>
                  <w:vAlign w:val="center"/>
                </w:tcPr>
                <w:p w14:paraId="3B0EA5B5">
                  <w:pPr>
                    <w:pStyle w:val="23"/>
                    <w:bidi w:val="0"/>
                    <w:rPr>
                      <w:lang w:val="en-US" w:eastAsia="zh-CN" w:bidi="ar-SA"/>
                    </w:rPr>
                  </w:pPr>
                  <w:r>
                    <w:rPr>
                      <w:rFonts w:hint="eastAsia"/>
                      <w:lang w:val="en-US" w:eastAsia="zh-CN" w:bidi="ar-SA"/>
                    </w:rPr>
                    <w:t>（2）锂电产业中锂离子电池行业引入，严格执行其行业资源环境绩效指标准入要求；</w:t>
                  </w:r>
                </w:p>
              </w:tc>
              <w:tc>
                <w:tcPr>
                  <w:tcW w:w="1444" w:type="pct"/>
                  <w:vAlign w:val="center"/>
                </w:tcPr>
                <w:p w14:paraId="387E8CC0">
                  <w:pPr>
                    <w:pStyle w:val="23"/>
                    <w:bidi w:val="0"/>
                    <w:rPr>
                      <w:lang w:val="en-US" w:eastAsia="zh-CN" w:bidi="ar-SA"/>
                    </w:rPr>
                  </w:pPr>
                  <w:r>
                    <w:rPr>
                      <w:rFonts w:hint="eastAsia"/>
                      <w:lang w:val="en-US" w:eastAsia="zh-CN" w:bidi="ar-SA"/>
                    </w:rPr>
                    <w:t>本项目不属于锂离子电池行业</w:t>
                  </w:r>
                </w:p>
              </w:tc>
              <w:tc>
                <w:tcPr>
                  <w:tcW w:w="435" w:type="pct"/>
                  <w:vAlign w:val="center"/>
                </w:tcPr>
                <w:p w14:paraId="5D19A2F1">
                  <w:pPr>
                    <w:pStyle w:val="23"/>
                    <w:bidi w:val="0"/>
                    <w:rPr>
                      <w:lang w:val="en-US" w:eastAsia="zh-CN" w:bidi="ar-SA"/>
                    </w:rPr>
                  </w:pPr>
                  <w:r>
                    <w:rPr>
                      <w:rFonts w:hint="eastAsia"/>
                      <w:lang w:val="en-US" w:eastAsia="zh-CN" w:bidi="ar-SA"/>
                    </w:rPr>
                    <w:t>符合</w:t>
                  </w:r>
                </w:p>
              </w:tc>
            </w:tr>
            <w:tr w14:paraId="2A44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vAlign w:val="center"/>
                </w:tcPr>
                <w:p w14:paraId="671E13C0">
                  <w:pPr>
                    <w:pStyle w:val="23"/>
                    <w:bidi w:val="0"/>
                    <w:rPr>
                      <w:lang w:val="en-US" w:eastAsia="zh-CN" w:bidi="ar-SA"/>
                    </w:rPr>
                  </w:pPr>
                </w:p>
              </w:tc>
              <w:tc>
                <w:tcPr>
                  <w:tcW w:w="2789" w:type="pct"/>
                  <w:vAlign w:val="center"/>
                </w:tcPr>
                <w:p w14:paraId="6B437910">
                  <w:pPr>
                    <w:pStyle w:val="23"/>
                    <w:bidi w:val="0"/>
                    <w:rPr>
                      <w:lang w:val="en-US" w:eastAsia="zh-CN" w:bidi="ar-SA"/>
                    </w:rPr>
                  </w:pPr>
                  <w:r>
                    <w:rPr>
                      <w:rFonts w:hint="eastAsia"/>
                      <w:lang w:val="en-US" w:eastAsia="zh-CN" w:bidi="ar-SA"/>
                    </w:rPr>
                    <w:t>（3）全市大气污染物排放执行《四川省生态环境厅关于执行大气污染物特别排放限值的公告》相关要求；</w:t>
                  </w:r>
                </w:p>
              </w:tc>
              <w:tc>
                <w:tcPr>
                  <w:tcW w:w="1444" w:type="pct"/>
                  <w:vAlign w:val="center"/>
                </w:tcPr>
                <w:p w14:paraId="6B6CD8BB">
                  <w:pPr>
                    <w:pStyle w:val="23"/>
                    <w:bidi w:val="0"/>
                    <w:rPr>
                      <w:lang w:val="en-US" w:eastAsia="zh-CN" w:bidi="ar-SA"/>
                    </w:rPr>
                  </w:pPr>
                  <w:r>
                    <w:rPr>
                      <w:rFonts w:hint="eastAsia"/>
                      <w:lang w:val="en-US" w:eastAsia="zh-CN" w:bidi="ar-SA"/>
                    </w:rPr>
                    <w:t>本项目执行《四川省生态环境厅关于执行大气污染物特别排放限值的公告》相关要求</w:t>
                  </w:r>
                </w:p>
              </w:tc>
              <w:tc>
                <w:tcPr>
                  <w:tcW w:w="435" w:type="pct"/>
                  <w:vAlign w:val="center"/>
                </w:tcPr>
                <w:p w14:paraId="39D6D48E">
                  <w:pPr>
                    <w:pStyle w:val="23"/>
                    <w:bidi w:val="0"/>
                    <w:rPr>
                      <w:lang w:val="en-US" w:eastAsia="zh-CN" w:bidi="ar-SA"/>
                    </w:rPr>
                  </w:pPr>
                  <w:r>
                    <w:rPr>
                      <w:rFonts w:hint="eastAsia"/>
                      <w:lang w:val="en-US" w:eastAsia="zh-CN" w:bidi="ar-SA"/>
                    </w:rPr>
                    <w:t>符合</w:t>
                  </w:r>
                </w:p>
              </w:tc>
            </w:tr>
            <w:tr w14:paraId="3227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vAlign w:val="center"/>
                </w:tcPr>
                <w:p w14:paraId="13796373">
                  <w:pPr>
                    <w:pStyle w:val="23"/>
                    <w:bidi w:val="0"/>
                    <w:rPr>
                      <w:lang w:val="en-US" w:eastAsia="zh-CN" w:bidi="ar-SA"/>
                    </w:rPr>
                  </w:pPr>
                </w:p>
              </w:tc>
              <w:tc>
                <w:tcPr>
                  <w:tcW w:w="2789" w:type="pct"/>
                  <w:vAlign w:val="center"/>
                </w:tcPr>
                <w:p w14:paraId="2E59A7FA">
                  <w:pPr>
                    <w:pStyle w:val="23"/>
                    <w:bidi w:val="0"/>
                    <w:rPr>
                      <w:lang w:val="en-US" w:eastAsia="zh-CN" w:bidi="ar-SA"/>
                    </w:rPr>
                  </w:pPr>
                  <w:r>
                    <w:rPr>
                      <w:rFonts w:hint="eastAsia"/>
                      <w:lang w:val="en-US" w:eastAsia="zh-CN" w:bidi="ar-SA"/>
                    </w:rPr>
                    <w:t>（4）强化沿江化工企业与园区的污染治理与风险管控，细化突发环境事件风险管控措施，严控流域型环境风险；严格落实《生态环境部水利部关于建立跨省流域上下游突发水污染事件联防联控机制的指导意见》；</w:t>
                  </w:r>
                </w:p>
              </w:tc>
              <w:tc>
                <w:tcPr>
                  <w:tcW w:w="1444" w:type="pct"/>
                  <w:vAlign w:val="center"/>
                </w:tcPr>
                <w:p w14:paraId="7372675F">
                  <w:pPr>
                    <w:pStyle w:val="23"/>
                    <w:bidi w:val="0"/>
                    <w:rPr>
                      <w:lang w:val="en-US" w:eastAsia="zh-CN" w:bidi="ar-SA"/>
                    </w:rPr>
                  </w:pPr>
                  <w:r>
                    <w:rPr>
                      <w:rFonts w:hint="eastAsia"/>
                      <w:lang w:val="en-US" w:eastAsia="zh-CN" w:bidi="ar-SA"/>
                    </w:rPr>
                    <w:t>本项目不属于沿江化工企业</w:t>
                  </w:r>
                </w:p>
              </w:tc>
              <w:tc>
                <w:tcPr>
                  <w:tcW w:w="435" w:type="pct"/>
                  <w:vAlign w:val="center"/>
                </w:tcPr>
                <w:p w14:paraId="65AAC935">
                  <w:pPr>
                    <w:pStyle w:val="23"/>
                    <w:bidi w:val="0"/>
                    <w:rPr>
                      <w:lang w:val="en-US" w:eastAsia="zh-CN" w:bidi="ar-SA"/>
                    </w:rPr>
                  </w:pPr>
                  <w:r>
                    <w:rPr>
                      <w:rFonts w:hint="eastAsia"/>
                      <w:lang w:val="en-US" w:eastAsia="zh-CN" w:bidi="ar-SA"/>
                    </w:rPr>
                    <w:t>符合</w:t>
                  </w:r>
                </w:p>
              </w:tc>
            </w:tr>
            <w:tr w14:paraId="1131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vAlign w:val="center"/>
                </w:tcPr>
                <w:p w14:paraId="201071E7">
                  <w:pPr>
                    <w:pStyle w:val="23"/>
                    <w:bidi w:val="0"/>
                    <w:rPr>
                      <w:lang w:val="en-US" w:eastAsia="zh-CN" w:bidi="ar-SA"/>
                    </w:rPr>
                  </w:pPr>
                </w:p>
              </w:tc>
              <w:tc>
                <w:tcPr>
                  <w:tcW w:w="2789" w:type="pct"/>
                  <w:vAlign w:val="center"/>
                </w:tcPr>
                <w:p w14:paraId="3964CCB7">
                  <w:pPr>
                    <w:pStyle w:val="23"/>
                    <w:bidi w:val="0"/>
                    <w:rPr>
                      <w:lang w:val="en-US" w:eastAsia="zh-CN" w:bidi="ar-SA"/>
                    </w:rPr>
                  </w:pPr>
                  <w:r>
                    <w:rPr>
                      <w:rFonts w:hint="eastAsia"/>
                      <w:lang w:val="en-US" w:eastAsia="zh-CN" w:bidi="ar-SA"/>
                    </w:rPr>
                    <w:t>（5）优化中心城区园区布局。</w:t>
                  </w:r>
                </w:p>
              </w:tc>
              <w:tc>
                <w:tcPr>
                  <w:tcW w:w="1444" w:type="pct"/>
                  <w:vAlign w:val="center"/>
                </w:tcPr>
                <w:p w14:paraId="01159725">
                  <w:pPr>
                    <w:pStyle w:val="23"/>
                    <w:bidi w:val="0"/>
                    <w:rPr>
                      <w:lang w:val="en-US" w:eastAsia="zh-CN" w:bidi="ar-SA"/>
                    </w:rPr>
                  </w:pPr>
                  <w:r>
                    <w:rPr>
                      <w:rFonts w:hint="eastAsia"/>
                      <w:lang w:val="en-US" w:eastAsia="zh-CN" w:bidi="ar-SA"/>
                    </w:rPr>
                    <w:t>本项目不位于园区</w:t>
                  </w:r>
                </w:p>
              </w:tc>
              <w:tc>
                <w:tcPr>
                  <w:tcW w:w="435" w:type="pct"/>
                  <w:vAlign w:val="center"/>
                </w:tcPr>
                <w:p w14:paraId="6277B797">
                  <w:pPr>
                    <w:pStyle w:val="23"/>
                    <w:bidi w:val="0"/>
                    <w:rPr>
                      <w:lang w:val="en-US" w:eastAsia="zh-CN" w:bidi="ar-SA"/>
                    </w:rPr>
                  </w:pPr>
                  <w:r>
                    <w:rPr>
                      <w:rFonts w:hint="eastAsia"/>
                      <w:lang w:val="en-US" w:eastAsia="zh-CN" w:bidi="ar-SA"/>
                    </w:rPr>
                    <w:t>符合</w:t>
                  </w:r>
                </w:p>
              </w:tc>
            </w:tr>
            <w:tr w14:paraId="4376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restart"/>
                  <w:vAlign w:val="center"/>
                </w:tcPr>
                <w:p w14:paraId="73FD805D">
                  <w:pPr>
                    <w:pStyle w:val="23"/>
                    <w:bidi w:val="0"/>
                    <w:rPr>
                      <w:lang w:val="en-US" w:eastAsia="zh-CN" w:bidi="ar-SA"/>
                    </w:rPr>
                  </w:pPr>
                  <w:r>
                    <w:rPr>
                      <w:rFonts w:hint="eastAsia"/>
                      <w:lang w:val="en-US" w:eastAsia="zh-CN" w:bidi="ar-SA"/>
                    </w:rPr>
                    <w:t>船山区生态准入要求</w:t>
                  </w:r>
                </w:p>
              </w:tc>
              <w:tc>
                <w:tcPr>
                  <w:tcW w:w="2789" w:type="pct"/>
                  <w:vAlign w:val="center"/>
                </w:tcPr>
                <w:p w14:paraId="1EC52B0B">
                  <w:pPr>
                    <w:pStyle w:val="23"/>
                    <w:bidi w:val="0"/>
                    <w:rPr>
                      <w:lang w:val="en-US" w:eastAsia="zh-CN" w:bidi="ar-SA"/>
                    </w:rPr>
                  </w:pPr>
                  <w:r>
                    <w:rPr>
                      <w:rFonts w:hint="eastAsia"/>
                      <w:lang w:val="en-US" w:eastAsia="zh-CN" w:bidi="ar-SA"/>
                    </w:rPr>
                    <w:t>（1）加强乡镇集中式饮用水水源保护区保护，确保饮用水安全；</w:t>
                  </w:r>
                </w:p>
              </w:tc>
              <w:tc>
                <w:tcPr>
                  <w:tcW w:w="1444" w:type="pct"/>
                  <w:vAlign w:val="center"/>
                </w:tcPr>
                <w:p w14:paraId="2FD01DA9">
                  <w:pPr>
                    <w:pStyle w:val="23"/>
                    <w:bidi w:val="0"/>
                    <w:rPr>
                      <w:lang w:val="en-US" w:eastAsia="zh-CN" w:bidi="ar-SA"/>
                    </w:rPr>
                  </w:pPr>
                  <w:r>
                    <w:rPr>
                      <w:rFonts w:hint="eastAsia"/>
                      <w:lang w:val="en-US" w:eastAsia="zh-CN" w:bidi="ar-SA"/>
                    </w:rPr>
                    <w:t>本项目不设置直接排污口</w:t>
                  </w:r>
                </w:p>
              </w:tc>
              <w:tc>
                <w:tcPr>
                  <w:tcW w:w="435" w:type="pct"/>
                  <w:vAlign w:val="center"/>
                </w:tcPr>
                <w:p w14:paraId="4D368EFB">
                  <w:pPr>
                    <w:pStyle w:val="23"/>
                    <w:bidi w:val="0"/>
                    <w:rPr>
                      <w:lang w:val="en-US" w:eastAsia="zh-CN" w:bidi="ar-SA"/>
                    </w:rPr>
                  </w:pPr>
                  <w:r>
                    <w:rPr>
                      <w:rFonts w:hint="eastAsia"/>
                      <w:lang w:val="en-US" w:eastAsia="zh-CN" w:bidi="ar-SA"/>
                    </w:rPr>
                    <w:t>符合</w:t>
                  </w:r>
                </w:p>
              </w:tc>
            </w:tr>
            <w:tr w14:paraId="3594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vAlign w:val="center"/>
                </w:tcPr>
                <w:p w14:paraId="4920A239">
                  <w:pPr>
                    <w:pStyle w:val="23"/>
                    <w:bidi w:val="0"/>
                    <w:rPr>
                      <w:lang w:val="en-US" w:eastAsia="zh-CN" w:bidi="ar-SA"/>
                    </w:rPr>
                  </w:pPr>
                </w:p>
              </w:tc>
              <w:tc>
                <w:tcPr>
                  <w:tcW w:w="2789" w:type="pct"/>
                  <w:vAlign w:val="center"/>
                </w:tcPr>
                <w:p w14:paraId="5905A1F2">
                  <w:pPr>
                    <w:pStyle w:val="23"/>
                    <w:bidi w:val="0"/>
                    <w:rPr>
                      <w:lang w:val="en-US" w:eastAsia="zh-CN" w:bidi="ar-SA"/>
                    </w:rPr>
                  </w:pPr>
                  <w:r>
                    <w:rPr>
                      <w:rFonts w:hint="eastAsia"/>
                      <w:lang w:val="en-US" w:eastAsia="zh-CN" w:bidi="ar-SA"/>
                    </w:rPr>
                    <w:t>（2）严格落实《生态环境部水利部关于建立跨省流域上下游突发水污染事件联防联控机制的指导意见》；</w:t>
                  </w:r>
                </w:p>
              </w:tc>
              <w:tc>
                <w:tcPr>
                  <w:tcW w:w="1444" w:type="pct"/>
                  <w:vAlign w:val="center"/>
                </w:tcPr>
                <w:p w14:paraId="4888D087">
                  <w:pPr>
                    <w:pStyle w:val="23"/>
                    <w:bidi w:val="0"/>
                    <w:rPr>
                      <w:rFonts w:hint="eastAsia"/>
                      <w:lang w:val="en-US" w:eastAsia="zh-CN" w:bidi="ar-SA"/>
                    </w:rPr>
                  </w:pPr>
                  <w:r>
                    <w:rPr>
                      <w:rFonts w:hint="eastAsia"/>
                      <w:lang w:val="en-US" w:eastAsia="zh-CN" w:bidi="ar-SA"/>
                    </w:rPr>
                    <w:t>/</w:t>
                  </w:r>
                </w:p>
              </w:tc>
              <w:tc>
                <w:tcPr>
                  <w:tcW w:w="435" w:type="pct"/>
                  <w:vAlign w:val="center"/>
                </w:tcPr>
                <w:p w14:paraId="01973126">
                  <w:pPr>
                    <w:pStyle w:val="23"/>
                    <w:bidi w:val="0"/>
                    <w:rPr>
                      <w:rFonts w:hint="eastAsia"/>
                      <w:lang w:val="en-US" w:eastAsia="zh-CN" w:bidi="ar-SA"/>
                    </w:rPr>
                  </w:pPr>
                  <w:r>
                    <w:rPr>
                      <w:rFonts w:hint="eastAsia"/>
                      <w:lang w:val="en-US" w:eastAsia="zh-CN" w:bidi="ar-SA"/>
                    </w:rPr>
                    <w:t>/</w:t>
                  </w:r>
                </w:p>
              </w:tc>
            </w:tr>
            <w:tr w14:paraId="35A0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vAlign w:val="center"/>
                </w:tcPr>
                <w:p w14:paraId="1FC2C63F">
                  <w:pPr>
                    <w:pStyle w:val="23"/>
                    <w:bidi w:val="0"/>
                    <w:rPr>
                      <w:lang w:val="en-US" w:eastAsia="zh-CN" w:bidi="ar-SA"/>
                    </w:rPr>
                  </w:pPr>
                </w:p>
              </w:tc>
              <w:tc>
                <w:tcPr>
                  <w:tcW w:w="2789" w:type="pct"/>
                  <w:vAlign w:val="center"/>
                </w:tcPr>
                <w:p w14:paraId="208519B5">
                  <w:pPr>
                    <w:pStyle w:val="23"/>
                    <w:bidi w:val="0"/>
                    <w:rPr>
                      <w:lang w:val="en-US" w:eastAsia="zh-CN" w:bidi="ar-SA"/>
                    </w:rPr>
                  </w:pPr>
                  <w:r>
                    <w:rPr>
                      <w:rFonts w:hint="eastAsia"/>
                      <w:lang w:val="en-US" w:eastAsia="zh-CN" w:bidi="ar-SA"/>
                    </w:rPr>
                    <w:t>（3）加强污染地块、土壤污染重点监管企业环境风险防控管理；</w:t>
                  </w:r>
                </w:p>
              </w:tc>
              <w:tc>
                <w:tcPr>
                  <w:tcW w:w="1444" w:type="pct"/>
                  <w:vAlign w:val="center"/>
                </w:tcPr>
                <w:p w14:paraId="52CF261E">
                  <w:pPr>
                    <w:pStyle w:val="23"/>
                    <w:bidi w:val="0"/>
                    <w:rPr>
                      <w:lang w:val="en-US" w:eastAsia="zh-CN" w:bidi="ar-SA"/>
                    </w:rPr>
                  </w:pPr>
                  <w:r>
                    <w:rPr>
                      <w:rFonts w:hint="eastAsia"/>
                      <w:lang w:val="en-US" w:eastAsia="zh-CN" w:bidi="ar-SA"/>
                    </w:rPr>
                    <w:t>不属于污染地块、土壤污染重点监管企业</w:t>
                  </w:r>
                </w:p>
              </w:tc>
              <w:tc>
                <w:tcPr>
                  <w:tcW w:w="435" w:type="pct"/>
                  <w:vAlign w:val="center"/>
                </w:tcPr>
                <w:p w14:paraId="28BB2787">
                  <w:pPr>
                    <w:pStyle w:val="23"/>
                    <w:bidi w:val="0"/>
                    <w:rPr>
                      <w:lang w:val="en-US" w:eastAsia="zh-CN" w:bidi="ar-SA"/>
                    </w:rPr>
                  </w:pPr>
                  <w:r>
                    <w:rPr>
                      <w:rFonts w:hint="eastAsia"/>
                      <w:lang w:val="en-US" w:eastAsia="zh-CN" w:bidi="ar-SA"/>
                    </w:rPr>
                    <w:t>符合</w:t>
                  </w:r>
                </w:p>
              </w:tc>
            </w:tr>
            <w:tr w14:paraId="7DDC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vAlign w:val="center"/>
                </w:tcPr>
                <w:p w14:paraId="7CDB0496">
                  <w:pPr>
                    <w:pStyle w:val="23"/>
                    <w:bidi w:val="0"/>
                    <w:rPr>
                      <w:lang w:val="en-US" w:eastAsia="zh-CN" w:bidi="ar-SA"/>
                    </w:rPr>
                  </w:pPr>
                </w:p>
              </w:tc>
              <w:tc>
                <w:tcPr>
                  <w:tcW w:w="2789" w:type="pct"/>
                  <w:vAlign w:val="center"/>
                </w:tcPr>
                <w:p w14:paraId="76404025">
                  <w:pPr>
                    <w:pStyle w:val="23"/>
                    <w:bidi w:val="0"/>
                    <w:rPr>
                      <w:lang w:val="en-US" w:eastAsia="zh-CN" w:bidi="ar-SA"/>
                    </w:rPr>
                  </w:pPr>
                  <w:r>
                    <w:rPr>
                      <w:rFonts w:hint="eastAsia"/>
                      <w:lang w:val="en-US" w:eastAsia="zh-CN" w:bidi="ar-SA"/>
                    </w:rPr>
                    <w:t>（4）与风景名胜区相邻园区，严格项目准入，严控污染物排放；</w:t>
                  </w:r>
                </w:p>
              </w:tc>
              <w:tc>
                <w:tcPr>
                  <w:tcW w:w="1444" w:type="pct"/>
                  <w:vAlign w:val="center"/>
                </w:tcPr>
                <w:p w14:paraId="79C69063">
                  <w:pPr>
                    <w:pStyle w:val="23"/>
                    <w:bidi w:val="0"/>
                    <w:rPr>
                      <w:lang w:val="en-US" w:eastAsia="zh-CN" w:bidi="ar-SA"/>
                    </w:rPr>
                  </w:pPr>
                  <w:r>
                    <w:rPr>
                      <w:rFonts w:hint="eastAsia"/>
                      <w:lang w:val="en-US" w:eastAsia="zh-CN" w:bidi="ar-SA"/>
                    </w:rPr>
                    <w:t>本项目不位于风景名胜区相邻园区</w:t>
                  </w:r>
                </w:p>
              </w:tc>
              <w:tc>
                <w:tcPr>
                  <w:tcW w:w="435" w:type="pct"/>
                  <w:vAlign w:val="center"/>
                </w:tcPr>
                <w:p w14:paraId="49E0970D">
                  <w:pPr>
                    <w:pStyle w:val="23"/>
                    <w:bidi w:val="0"/>
                    <w:rPr>
                      <w:lang w:val="en-US" w:eastAsia="zh-CN" w:bidi="ar-SA"/>
                    </w:rPr>
                  </w:pPr>
                  <w:r>
                    <w:rPr>
                      <w:rFonts w:hint="eastAsia"/>
                      <w:lang w:val="en-US" w:eastAsia="zh-CN" w:bidi="ar-SA"/>
                    </w:rPr>
                    <w:t>符合</w:t>
                  </w:r>
                </w:p>
              </w:tc>
            </w:tr>
            <w:tr w14:paraId="60B3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vAlign w:val="center"/>
                </w:tcPr>
                <w:p w14:paraId="3D199E0E">
                  <w:pPr>
                    <w:pStyle w:val="23"/>
                    <w:bidi w:val="0"/>
                    <w:rPr>
                      <w:lang w:val="en-US" w:eastAsia="zh-CN" w:bidi="ar-SA"/>
                    </w:rPr>
                  </w:pPr>
                </w:p>
              </w:tc>
              <w:tc>
                <w:tcPr>
                  <w:tcW w:w="2789" w:type="pct"/>
                  <w:vAlign w:val="center"/>
                </w:tcPr>
                <w:p w14:paraId="18343C76">
                  <w:pPr>
                    <w:pStyle w:val="23"/>
                    <w:bidi w:val="0"/>
                    <w:rPr>
                      <w:lang w:val="en-US" w:eastAsia="zh-CN" w:bidi="ar-SA"/>
                    </w:rPr>
                  </w:pPr>
                  <w:r>
                    <w:rPr>
                      <w:rFonts w:hint="eastAsia"/>
                      <w:lang w:val="en-US" w:eastAsia="zh-CN" w:bidi="ar-SA"/>
                    </w:rPr>
                    <w:t>（5）锂离子电池行业引入，严格执行其行业资源环境绩效指标准入要求。</w:t>
                  </w:r>
                </w:p>
              </w:tc>
              <w:tc>
                <w:tcPr>
                  <w:tcW w:w="1444" w:type="pct"/>
                  <w:vAlign w:val="center"/>
                </w:tcPr>
                <w:p w14:paraId="3776053B">
                  <w:pPr>
                    <w:pStyle w:val="23"/>
                    <w:bidi w:val="0"/>
                    <w:rPr>
                      <w:lang w:val="en-US" w:eastAsia="zh-CN" w:bidi="ar-SA"/>
                    </w:rPr>
                  </w:pPr>
                  <w:r>
                    <w:rPr>
                      <w:rFonts w:hint="eastAsia"/>
                      <w:lang w:val="en-US" w:eastAsia="zh-CN" w:bidi="ar-SA"/>
                    </w:rPr>
                    <w:t>本项目不属于锂离子电池行业</w:t>
                  </w:r>
                </w:p>
              </w:tc>
              <w:tc>
                <w:tcPr>
                  <w:tcW w:w="435" w:type="pct"/>
                  <w:vAlign w:val="center"/>
                </w:tcPr>
                <w:p w14:paraId="40688F9B">
                  <w:pPr>
                    <w:pStyle w:val="23"/>
                    <w:bidi w:val="0"/>
                    <w:rPr>
                      <w:lang w:val="en-US" w:eastAsia="zh-CN" w:bidi="ar-SA"/>
                    </w:rPr>
                  </w:pPr>
                  <w:r>
                    <w:rPr>
                      <w:rFonts w:hint="eastAsia"/>
                      <w:lang w:val="en-US" w:eastAsia="zh-CN" w:bidi="ar-SA"/>
                    </w:rPr>
                    <w:t>符合</w:t>
                  </w:r>
                </w:p>
              </w:tc>
            </w:tr>
          </w:tbl>
          <w:p w14:paraId="3C7DCCC2">
            <w:pPr>
              <w:pStyle w:val="25"/>
              <w:bidi w:val="0"/>
            </w:pPr>
            <w:r>
              <w:rPr>
                <w:rFonts w:hint="eastAsia"/>
              </w:rPr>
              <w:t>综上，本项目符合“遂府函〔2021〕74号”生态环境准入总体要求。</w:t>
            </w:r>
          </w:p>
          <w:p w14:paraId="0965AD0E">
            <w:pPr>
              <w:pStyle w:val="4"/>
              <w:bidi w:val="0"/>
            </w:pPr>
            <w:r>
              <w:rPr>
                <w:rFonts w:hint="eastAsia"/>
              </w:rPr>
              <w:t>与环境管控单元及生态环境准入清单的符合性分析</w:t>
            </w:r>
          </w:p>
          <w:p w14:paraId="28C0CACE">
            <w:pPr>
              <w:bidi w:val="0"/>
            </w:pPr>
            <w:r>
              <w:rPr>
                <w:rFonts w:hint="eastAsia"/>
              </w:rPr>
              <w:t>根据四川省“生态环境分区管控符合性分析系统”查询结果，本项目与各环境管控单元环境准入符合性分析如下</w:t>
            </w:r>
            <w:r>
              <w:t>：</w:t>
            </w:r>
          </w:p>
        </w:tc>
      </w:tr>
    </w:tbl>
    <w:p w14:paraId="66BF819C">
      <w:pPr>
        <w:pageBreakBefore w:val="0"/>
        <w:wordWrap/>
        <w:bidi w:val="0"/>
        <w:adjustRightInd w:val="0"/>
        <w:snapToGrid w:val="0"/>
        <w:spacing w:line="360" w:lineRule="auto"/>
        <w:outlineLvl w:val="9"/>
        <w:rPr>
          <w:rFonts w:hint="eastAsia" w:eastAsia="黑体"/>
          <w:sz w:val="30"/>
        </w:rPr>
        <w:sectPr>
          <w:footerReference r:id="rId7" w:type="default"/>
          <w:pgSz w:w="11906" w:h="16838"/>
          <w:pgMar w:top="1701" w:right="1531" w:bottom="1701" w:left="1531" w:header="1361" w:footer="1304" w:gutter="0"/>
          <w:pgBorders>
            <w:top w:val="none" w:sz="0" w:space="0"/>
            <w:left w:val="none" w:sz="0" w:space="0"/>
            <w:bottom w:val="none" w:sz="0" w:space="0"/>
            <w:right w:val="none" w:sz="0" w:space="0"/>
          </w:pgBorders>
          <w:pgNumType w:fmt="decimal" w:start="1"/>
          <w:cols w:space="720" w:num="1"/>
          <w:docGrid w:linePitch="312" w:charSpace="0"/>
        </w:sectPr>
      </w:pPr>
    </w:p>
    <w:p w14:paraId="6C1637ED">
      <w:pPr>
        <w:pStyle w:val="22"/>
        <w:bidi w:val="0"/>
        <w:rPr>
          <w:rFonts w:hint="eastAsia"/>
        </w:rPr>
      </w:pPr>
      <w:r>
        <w:rPr>
          <w:rFonts w:hint="eastAsia"/>
          <w:lang w:eastAsia="zh-CN"/>
        </w:rPr>
        <w:t>本项目与遂宁市普适性清单对照</w:t>
      </w:r>
      <w:r>
        <w:rPr>
          <w:rFonts w:hint="eastAsia"/>
        </w:rPr>
        <w:t>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763"/>
        <w:gridCol w:w="450"/>
        <w:gridCol w:w="9600"/>
        <w:gridCol w:w="1500"/>
        <w:gridCol w:w="608"/>
      </w:tblGrid>
      <w:tr w14:paraId="5930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7" w:type="pct"/>
            <w:noWrap w:val="0"/>
            <w:vAlign w:val="center"/>
          </w:tcPr>
          <w:p w14:paraId="6B98E7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cs="Times New Roman"/>
                <w:b w:val="0"/>
                <w:kern w:val="2"/>
                <w:sz w:val="21"/>
                <w:szCs w:val="21"/>
                <w:highlight w:val="none"/>
                <w:lang w:val="en-US" w:eastAsia="zh-CN" w:bidi="ar-SA"/>
              </w:rPr>
            </w:pPr>
            <w:r>
              <w:rPr>
                <w:rFonts w:hint="eastAsia" w:ascii="Times New Roman" w:hAnsi="Times New Roman" w:eastAsia="宋体" w:cs="宋体"/>
                <w:b w:val="0"/>
                <w:bCs/>
                <w:color w:val="000000"/>
                <w:kern w:val="0"/>
                <w:sz w:val="21"/>
                <w:szCs w:val="21"/>
                <w:highlight w:val="none"/>
                <w:lang w:val="en-US" w:eastAsia="zh-CN" w:bidi="ar-SA"/>
              </w:rPr>
              <w:t>环境管控单元编码</w:t>
            </w:r>
          </w:p>
        </w:tc>
        <w:tc>
          <w:tcPr>
            <w:tcW w:w="279" w:type="pct"/>
            <w:noWrap w:val="0"/>
            <w:vAlign w:val="center"/>
          </w:tcPr>
          <w:p w14:paraId="04360E8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cs="Times New Roman"/>
                <w:b w:val="0"/>
                <w:kern w:val="2"/>
                <w:sz w:val="21"/>
                <w:szCs w:val="21"/>
                <w:highlight w:val="none"/>
                <w:lang w:val="en-US" w:eastAsia="zh-CN" w:bidi="ar-SA"/>
              </w:rPr>
            </w:pPr>
            <w:r>
              <w:rPr>
                <w:rFonts w:hint="eastAsia" w:ascii="Times New Roman" w:hAnsi="Times New Roman" w:eastAsia="宋体" w:cs="宋体"/>
                <w:b w:val="0"/>
                <w:bCs/>
                <w:color w:val="000000"/>
                <w:kern w:val="0"/>
                <w:sz w:val="21"/>
                <w:szCs w:val="21"/>
                <w:highlight w:val="none"/>
                <w:lang w:val="en-US" w:eastAsia="zh-CN" w:bidi="ar-SA"/>
              </w:rPr>
              <w:t>环境管控单元名称</w:t>
            </w:r>
          </w:p>
        </w:tc>
        <w:tc>
          <w:tcPr>
            <w:tcW w:w="164" w:type="pct"/>
            <w:noWrap w:val="0"/>
            <w:vAlign w:val="center"/>
          </w:tcPr>
          <w:p w14:paraId="7BBDFF1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 w:val="0"/>
                <w:bCs/>
                <w:color w:val="000000"/>
                <w:kern w:val="0"/>
                <w:sz w:val="21"/>
                <w:szCs w:val="21"/>
                <w:highlight w:val="none"/>
                <w:lang w:val="en-US" w:eastAsia="zh-CN" w:bidi="ar-SA"/>
              </w:rPr>
            </w:pPr>
            <w:r>
              <w:rPr>
                <w:rFonts w:hint="eastAsia" w:ascii="Times New Roman" w:hAnsi="Times New Roman" w:eastAsia="宋体" w:cs="宋体"/>
                <w:b w:val="0"/>
                <w:bCs/>
                <w:color w:val="000000"/>
                <w:kern w:val="0"/>
                <w:sz w:val="21"/>
                <w:szCs w:val="21"/>
                <w:highlight w:val="none"/>
                <w:lang w:val="en-US" w:eastAsia="zh-CN" w:bidi="ar-SA"/>
              </w:rPr>
              <w:t>管控类别</w:t>
            </w:r>
          </w:p>
        </w:tc>
        <w:tc>
          <w:tcPr>
            <w:tcW w:w="3515" w:type="pct"/>
            <w:noWrap w:val="0"/>
            <w:vAlign w:val="center"/>
          </w:tcPr>
          <w:p w14:paraId="7C1F59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cs="宋体"/>
                <w:b w:val="0"/>
                <w:color w:val="000000"/>
                <w:kern w:val="0"/>
                <w:sz w:val="21"/>
                <w:szCs w:val="21"/>
                <w:highlight w:val="none"/>
                <w:lang w:val="en-US" w:eastAsia="zh-CN" w:bidi="ar-SA"/>
              </w:rPr>
            </w:pPr>
            <w:r>
              <w:rPr>
                <w:rStyle w:val="17"/>
                <w:rFonts w:hint="eastAsia" w:ascii="Times New Roman" w:hAnsi="Times New Roman" w:eastAsia="宋体" w:cs="宋体"/>
                <w:b w:val="0"/>
                <w:color w:val="000000"/>
                <w:kern w:val="0"/>
                <w:sz w:val="21"/>
                <w:szCs w:val="21"/>
                <w:highlight w:val="none"/>
                <w:lang w:val="en-US" w:eastAsia="zh-CN" w:bidi="ar-SA"/>
              </w:rPr>
              <w:t>遂宁市普适性清单要求</w:t>
            </w:r>
          </w:p>
        </w:tc>
        <w:tc>
          <w:tcPr>
            <w:tcW w:w="549" w:type="pct"/>
            <w:noWrap w:val="0"/>
            <w:vAlign w:val="center"/>
          </w:tcPr>
          <w:p w14:paraId="227AA2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cs="宋体"/>
                <w:b w:val="0"/>
                <w:color w:val="000000"/>
                <w:kern w:val="0"/>
                <w:sz w:val="21"/>
                <w:szCs w:val="21"/>
                <w:highlight w:val="none"/>
                <w:lang w:val="en-US" w:eastAsia="zh-CN" w:bidi="ar-SA"/>
              </w:rPr>
            </w:pPr>
            <w:r>
              <w:rPr>
                <w:rStyle w:val="17"/>
                <w:rFonts w:hint="eastAsia" w:ascii="Times New Roman" w:hAnsi="Times New Roman" w:eastAsia="宋体" w:cs="宋体"/>
                <w:b w:val="0"/>
                <w:color w:val="000000"/>
                <w:kern w:val="0"/>
                <w:sz w:val="21"/>
                <w:szCs w:val="21"/>
                <w:highlight w:val="none"/>
                <w:lang w:val="en-US" w:eastAsia="zh-CN" w:bidi="ar-SA"/>
              </w:rPr>
              <w:t>本项目情况</w:t>
            </w:r>
          </w:p>
        </w:tc>
        <w:tc>
          <w:tcPr>
            <w:tcW w:w="222" w:type="pct"/>
            <w:noWrap w:val="0"/>
            <w:vAlign w:val="center"/>
          </w:tcPr>
          <w:p w14:paraId="33544F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cs="宋体"/>
                <w:b w:val="0"/>
                <w:color w:val="000000"/>
                <w:kern w:val="0"/>
                <w:sz w:val="21"/>
                <w:szCs w:val="21"/>
                <w:highlight w:val="none"/>
                <w:lang w:val="en-US" w:eastAsia="zh-CN" w:bidi="ar-SA"/>
              </w:rPr>
            </w:pPr>
            <w:r>
              <w:rPr>
                <w:rStyle w:val="17"/>
                <w:rFonts w:hint="eastAsia" w:ascii="Times New Roman" w:hAnsi="Times New Roman" w:eastAsia="宋体" w:cs="宋体"/>
                <w:b w:val="0"/>
                <w:color w:val="000000"/>
                <w:kern w:val="0"/>
                <w:sz w:val="21"/>
                <w:szCs w:val="21"/>
                <w:highlight w:val="none"/>
                <w:lang w:val="en-US" w:eastAsia="zh-CN" w:bidi="ar-SA"/>
              </w:rPr>
              <w:t>符合性</w:t>
            </w:r>
          </w:p>
        </w:tc>
      </w:tr>
      <w:tr w14:paraId="52B6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267" w:type="pct"/>
            <w:vMerge w:val="restart"/>
            <w:noWrap w:val="0"/>
            <w:vAlign w:val="center"/>
          </w:tcPr>
          <w:p w14:paraId="6BB43A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kern w:val="2"/>
                <w:sz w:val="21"/>
                <w:szCs w:val="21"/>
                <w:highlight w:val="none"/>
                <w:lang w:val="en-US" w:eastAsia="zh-CN" w:bidi="ar-SA"/>
              </w:rPr>
            </w:pPr>
            <w:r>
              <w:rPr>
                <w:rStyle w:val="17"/>
                <w:rFonts w:hint="eastAsia" w:ascii="宋体" w:hAnsi="宋体" w:eastAsia="宋体" w:cs="Times New Roman"/>
                <w:kern w:val="2"/>
                <w:sz w:val="21"/>
                <w:szCs w:val="21"/>
                <w:highlight w:val="none"/>
                <w:lang w:val="en-US" w:eastAsia="zh-CN" w:bidi="ar-SA"/>
              </w:rPr>
              <w:t>ZH51090320001</w:t>
            </w:r>
          </w:p>
        </w:tc>
        <w:tc>
          <w:tcPr>
            <w:tcW w:w="279" w:type="pct"/>
            <w:vMerge w:val="restart"/>
            <w:noWrap w:val="0"/>
            <w:vAlign w:val="center"/>
          </w:tcPr>
          <w:p w14:paraId="6807B5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kern w:val="2"/>
                <w:sz w:val="21"/>
                <w:szCs w:val="21"/>
                <w:highlight w:val="none"/>
                <w:lang w:val="en-US" w:eastAsia="zh-CN" w:bidi="ar-SA"/>
              </w:rPr>
            </w:pPr>
            <w:r>
              <w:rPr>
                <w:rStyle w:val="17"/>
                <w:rFonts w:hint="eastAsia" w:ascii="宋体" w:hAnsi="宋体" w:eastAsia="宋体" w:cs="Times New Roman"/>
                <w:kern w:val="2"/>
                <w:sz w:val="21"/>
                <w:szCs w:val="21"/>
                <w:highlight w:val="none"/>
                <w:lang w:val="en-US" w:eastAsia="zh-CN" w:bidi="ar-SA"/>
              </w:rPr>
              <w:t>船山区城镇空间</w:t>
            </w:r>
          </w:p>
        </w:tc>
        <w:tc>
          <w:tcPr>
            <w:tcW w:w="164" w:type="pct"/>
            <w:noWrap w:val="0"/>
            <w:vAlign w:val="center"/>
          </w:tcPr>
          <w:p w14:paraId="0A7921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kern w:val="2"/>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空间布局约束</w:t>
            </w:r>
          </w:p>
        </w:tc>
        <w:tc>
          <w:tcPr>
            <w:tcW w:w="3515" w:type="pct"/>
            <w:noWrap w:val="0"/>
            <w:vAlign w:val="top"/>
          </w:tcPr>
          <w:p w14:paraId="4DC16A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宋体"/>
                <w:b/>
                <w:bCs/>
                <w:color w:val="000000"/>
                <w:kern w:val="0"/>
                <w:sz w:val="21"/>
                <w:szCs w:val="21"/>
                <w:highlight w:val="none"/>
                <w:lang w:val="en-US" w:eastAsia="zh-CN" w:bidi="ar-SA"/>
              </w:rPr>
            </w:pPr>
            <w:r>
              <w:rPr>
                <w:rStyle w:val="17"/>
                <w:rFonts w:hint="eastAsia" w:ascii="宋体" w:hAnsi="宋体" w:eastAsia="宋体" w:cs="宋体"/>
                <w:b/>
                <w:bCs/>
                <w:color w:val="000000"/>
                <w:kern w:val="0"/>
                <w:sz w:val="21"/>
                <w:szCs w:val="21"/>
                <w:highlight w:val="none"/>
                <w:lang w:val="en-US" w:eastAsia="zh-CN" w:bidi="ar-SA"/>
              </w:rPr>
              <w:t>禁止开发建设活动的要求</w:t>
            </w:r>
          </w:p>
          <w:p w14:paraId="12D0941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1.原则上禁止新建工业企业。</w:t>
            </w:r>
          </w:p>
          <w:p w14:paraId="7E31AF0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2.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14:paraId="088A312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3.严格执行相关行业企业布局选址要求，禁止在居民区、学校、医疗和养老机构等周边新建有色金属冶炼、焦化、化工、铅蓄电池制造等行业企业。有序搬迁或依法关闭对土壤造成严重污染的现有企业。</w:t>
            </w:r>
          </w:p>
          <w:p w14:paraId="0A26FF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b/>
                <w:bCs/>
                <w:color w:val="000000"/>
                <w:kern w:val="0"/>
                <w:sz w:val="21"/>
                <w:szCs w:val="21"/>
                <w:highlight w:val="none"/>
                <w:lang w:val="en-US" w:eastAsia="zh-CN" w:bidi="ar-SA"/>
              </w:rPr>
              <w:t>限制开发建设活动的要求</w:t>
            </w:r>
          </w:p>
          <w:p w14:paraId="32A729D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1.对不符合国土空间规划的现有工业企业，污染物排放总量及环境风险水平只降不增，引导企业适时搬迁进入对口园区。</w:t>
            </w:r>
          </w:p>
          <w:p w14:paraId="28FB7F4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2.严控新设工业园区，如确需新布局工业园区，应充分论证选址的环境合理性。</w:t>
            </w:r>
          </w:p>
          <w:p w14:paraId="06868C5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3.严控在长江及主要支流岸线1公里范围内新建石油化工、煤化工、涉磷、造纸、印染、制革等项目。</w:t>
            </w:r>
          </w:p>
          <w:p w14:paraId="20B966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b/>
                <w:bCs/>
                <w:color w:val="000000"/>
                <w:kern w:val="0"/>
                <w:sz w:val="21"/>
                <w:szCs w:val="21"/>
                <w:highlight w:val="none"/>
                <w:lang w:val="en-US" w:eastAsia="zh-CN" w:bidi="ar-SA"/>
              </w:rPr>
              <w:t>不符合空间布局要求活动的退出要求</w:t>
            </w:r>
          </w:p>
          <w:p w14:paraId="3312DCF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1.按照相关规划和要求，清理整顿非法采砂、非法码头，全面清除不合规码头。</w:t>
            </w:r>
          </w:p>
          <w:p w14:paraId="0A8EB5B0">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2.加快现有高污染或高风险产品生产化学品企业“退城入园”进度，逐步退出环境敏感区。</w:t>
            </w:r>
          </w:p>
          <w:p w14:paraId="707081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宋体"/>
                <w:b/>
                <w:bCs/>
                <w:color w:val="000000"/>
                <w:kern w:val="0"/>
                <w:sz w:val="21"/>
                <w:szCs w:val="21"/>
                <w:highlight w:val="none"/>
                <w:lang w:val="en-US" w:eastAsia="zh-CN" w:bidi="ar-SA"/>
              </w:rPr>
            </w:pPr>
            <w:r>
              <w:rPr>
                <w:rStyle w:val="17"/>
                <w:rFonts w:hint="eastAsia" w:ascii="宋体" w:hAnsi="宋体" w:eastAsia="宋体" w:cs="宋体"/>
                <w:b/>
                <w:bCs/>
                <w:color w:val="000000"/>
                <w:kern w:val="0"/>
                <w:sz w:val="21"/>
                <w:szCs w:val="21"/>
                <w:highlight w:val="none"/>
                <w:lang w:val="en-US" w:eastAsia="zh-CN" w:bidi="ar-SA"/>
              </w:rPr>
              <w:t>其他空间布局约束要求</w:t>
            </w:r>
          </w:p>
          <w:p w14:paraId="302B63C0">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default"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w:t>
            </w:r>
          </w:p>
        </w:tc>
        <w:tc>
          <w:tcPr>
            <w:tcW w:w="549" w:type="pct"/>
            <w:noWrap w:val="0"/>
            <w:vAlign w:val="center"/>
          </w:tcPr>
          <w:p w14:paraId="62B91C70">
            <w:pPr>
              <w:keepNext w:val="0"/>
              <w:keepLines w:val="0"/>
              <w:pageBreakBefore w:val="0"/>
              <w:widowControl w:val="0"/>
              <w:numPr>
                <w:ilvl w:val="0"/>
                <w:numId w:val="4"/>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color w:val="000000"/>
                <w:kern w:val="0"/>
                <w:szCs w:val="21"/>
                <w:lang w:val="en-US" w:eastAsia="zh-CN"/>
              </w:rPr>
            </w:pPr>
            <w:r>
              <w:rPr>
                <w:rFonts w:hint="eastAsia"/>
                <w:color w:val="000000"/>
                <w:kern w:val="0"/>
                <w:szCs w:val="21"/>
                <w:lang w:val="en-US" w:eastAsia="zh-CN"/>
              </w:rPr>
              <w:t>本项目为综合医院项目，不属于新建工业企业；</w:t>
            </w:r>
          </w:p>
          <w:p w14:paraId="1E8729DB">
            <w:pPr>
              <w:keepNext w:val="0"/>
              <w:keepLines w:val="0"/>
              <w:pageBreakBefore w:val="0"/>
              <w:widowControl w:val="0"/>
              <w:numPr>
                <w:ilvl w:val="0"/>
                <w:numId w:val="4"/>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Style w:val="17"/>
                <w:rFonts w:hint="eastAsia" w:ascii="宋体" w:hAnsi="宋体" w:eastAsia="宋体" w:cs="宋体"/>
                <w:color w:val="000000"/>
                <w:kern w:val="0"/>
                <w:sz w:val="21"/>
                <w:szCs w:val="21"/>
                <w:highlight w:val="none"/>
                <w:lang w:val="en-US" w:eastAsia="zh-CN" w:bidi="ar-SA"/>
              </w:rPr>
            </w:pPr>
            <w:r>
              <w:rPr>
                <w:rFonts w:hint="eastAsia"/>
                <w:color w:val="000000"/>
                <w:kern w:val="0"/>
                <w:szCs w:val="21"/>
                <w:lang w:val="en-US" w:eastAsia="zh-CN"/>
              </w:rPr>
              <w:t>本项目为综合医院项目，不属于化工园区和化工项目；</w:t>
            </w:r>
          </w:p>
          <w:p w14:paraId="482940C4">
            <w:pPr>
              <w:keepNext w:val="0"/>
              <w:keepLines w:val="0"/>
              <w:pageBreakBefore w:val="0"/>
              <w:widowControl w:val="0"/>
              <w:numPr>
                <w:ilvl w:val="0"/>
                <w:numId w:val="4"/>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Style w:val="17"/>
                <w:rFonts w:hint="eastAsia" w:ascii="宋体" w:hAnsi="宋体" w:eastAsia="宋体" w:cs="宋体"/>
                <w:color w:val="000000"/>
                <w:kern w:val="0"/>
                <w:sz w:val="21"/>
                <w:szCs w:val="21"/>
                <w:highlight w:val="none"/>
                <w:lang w:val="en-US" w:eastAsia="zh-CN" w:bidi="ar-SA"/>
              </w:rPr>
            </w:pPr>
            <w:r>
              <w:rPr>
                <w:rFonts w:hint="eastAsia"/>
                <w:color w:val="000000"/>
                <w:kern w:val="0"/>
                <w:szCs w:val="21"/>
                <w:lang w:val="en-US" w:eastAsia="zh-CN"/>
              </w:rPr>
              <w:t>本项目属于综合医院项目，不会对周围环境造成严重污染</w:t>
            </w:r>
          </w:p>
        </w:tc>
        <w:tc>
          <w:tcPr>
            <w:tcW w:w="222" w:type="pct"/>
            <w:noWrap w:val="0"/>
            <w:vAlign w:val="center"/>
          </w:tcPr>
          <w:p w14:paraId="7DB45392">
            <w:pPr>
              <w:pageBreakBefore w:val="0"/>
              <w:wordWrap/>
              <w:autoSpaceDE w:val="0"/>
              <w:autoSpaceDN w:val="0"/>
              <w:bidi w:val="0"/>
              <w:adjustRightInd w:val="0"/>
              <w:snapToGrid w:val="0"/>
              <w:spacing w:line="280" w:lineRule="exact"/>
              <w:jc w:val="center"/>
              <w:rPr>
                <w:rStyle w:val="17"/>
                <w:rFonts w:hint="eastAsia" w:ascii="宋体" w:hAnsi="宋体" w:eastAsia="宋体" w:cs="宋体"/>
                <w:color w:val="000000"/>
                <w:kern w:val="0"/>
                <w:sz w:val="21"/>
                <w:szCs w:val="21"/>
                <w:highlight w:val="none"/>
                <w:lang w:val="en-US" w:eastAsia="zh-CN" w:bidi="ar-SA"/>
              </w:rPr>
            </w:pPr>
            <w:r>
              <w:rPr>
                <w:rFonts w:hint="eastAsia"/>
                <w:color w:val="000000"/>
                <w:kern w:val="0"/>
                <w:szCs w:val="21"/>
              </w:rPr>
              <w:t>符合</w:t>
            </w:r>
          </w:p>
        </w:tc>
      </w:tr>
      <w:tr w14:paraId="3742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7" w:type="pct"/>
            <w:vMerge w:val="continue"/>
            <w:noWrap w:val="0"/>
            <w:vAlign w:val="center"/>
          </w:tcPr>
          <w:p w14:paraId="76B62E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kern w:val="2"/>
                <w:sz w:val="21"/>
                <w:szCs w:val="21"/>
                <w:highlight w:val="none"/>
                <w:lang w:val="en-US" w:eastAsia="zh-CN" w:bidi="ar-SA"/>
              </w:rPr>
            </w:pPr>
          </w:p>
        </w:tc>
        <w:tc>
          <w:tcPr>
            <w:tcW w:w="279" w:type="pct"/>
            <w:vMerge w:val="continue"/>
            <w:noWrap w:val="0"/>
            <w:vAlign w:val="center"/>
          </w:tcPr>
          <w:p w14:paraId="667DF2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kern w:val="2"/>
                <w:sz w:val="21"/>
                <w:szCs w:val="21"/>
                <w:highlight w:val="none"/>
                <w:lang w:val="en-US" w:eastAsia="zh-CN" w:bidi="ar-SA"/>
              </w:rPr>
            </w:pPr>
          </w:p>
        </w:tc>
        <w:tc>
          <w:tcPr>
            <w:tcW w:w="164" w:type="pct"/>
            <w:noWrap w:val="0"/>
            <w:vAlign w:val="center"/>
          </w:tcPr>
          <w:p w14:paraId="1FD184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污染物排放管控</w:t>
            </w:r>
          </w:p>
        </w:tc>
        <w:tc>
          <w:tcPr>
            <w:tcW w:w="3515" w:type="pct"/>
            <w:noWrap w:val="0"/>
            <w:vAlign w:val="top"/>
          </w:tcPr>
          <w:p w14:paraId="0F54E8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宋体"/>
                <w:b/>
                <w:bCs/>
                <w:color w:val="000000"/>
                <w:kern w:val="0"/>
                <w:sz w:val="21"/>
                <w:szCs w:val="21"/>
                <w:highlight w:val="none"/>
                <w:lang w:val="en-US" w:eastAsia="zh-CN" w:bidi="ar-SA"/>
              </w:rPr>
            </w:pPr>
            <w:r>
              <w:rPr>
                <w:rStyle w:val="17"/>
                <w:rFonts w:hint="eastAsia" w:ascii="宋体" w:hAnsi="宋体" w:eastAsia="宋体" w:cs="宋体"/>
                <w:b/>
                <w:bCs/>
                <w:color w:val="000000"/>
                <w:kern w:val="0"/>
                <w:sz w:val="21"/>
                <w:szCs w:val="21"/>
                <w:highlight w:val="none"/>
                <w:lang w:val="en-US" w:eastAsia="zh-CN" w:bidi="ar-SA"/>
              </w:rPr>
              <w:t>允许排放量要求</w:t>
            </w:r>
          </w:p>
          <w:p w14:paraId="688490E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w:t>
            </w:r>
          </w:p>
          <w:p w14:paraId="0FA26D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宋体"/>
                <w:b/>
                <w:bCs/>
                <w:color w:val="000000"/>
                <w:kern w:val="0"/>
                <w:sz w:val="21"/>
                <w:szCs w:val="21"/>
                <w:highlight w:val="none"/>
                <w:lang w:val="en-US" w:eastAsia="zh-CN" w:bidi="ar-SA"/>
              </w:rPr>
            </w:pPr>
            <w:r>
              <w:rPr>
                <w:rStyle w:val="17"/>
                <w:rFonts w:hint="eastAsia" w:ascii="宋体" w:hAnsi="宋体" w:eastAsia="宋体" w:cs="宋体"/>
                <w:b/>
                <w:bCs/>
                <w:color w:val="000000"/>
                <w:kern w:val="0"/>
                <w:sz w:val="21"/>
                <w:szCs w:val="21"/>
                <w:highlight w:val="none"/>
                <w:lang w:val="en-US" w:eastAsia="zh-CN" w:bidi="ar-SA"/>
              </w:rPr>
              <w:t>现有源提标升级改造</w:t>
            </w:r>
          </w:p>
          <w:p w14:paraId="2000C73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1.到2023年，县级及以上城市设施能力基本满足生活污水处理需求。生活污水收集效能明显提升。</w:t>
            </w:r>
          </w:p>
          <w:p w14:paraId="5E292BC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2.到2025年，水环境敏感地区污水处理基本达到一级A排放标准。</w:t>
            </w:r>
          </w:p>
          <w:p w14:paraId="0D3A2A9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3.到2035年，城市生活污水收集管网基本全覆盖，城镇污水处理能力全覆盖。</w:t>
            </w:r>
          </w:p>
          <w:p w14:paraId="43FF0FE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4.机动车船实施国六排放标准，推广使用达到国六排放标准的燃气车辆。</w:t>
            </w:r>
          </w:p>
          <w:p w14:paraId="110C5BD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5.全面落实各类施工工地扬尘防控措施，重点、重大项目工地实现视频监控、可吸入颗粒物（PM10）在线监测全覆盖。</w:t>
            </w:r>
          </w:p>
          <w:p w14:paraId="60CCC34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6.有序开展城市生活源VOCs污染防治；全面推广房屋建筑和市政工程涉VOCs工序环节使用低VOCs含量涂料和胶粘剂；推进加油站按照《四川省加油站大气污染排放标准》要求安装油气处理装置。</w:t>
            </w:r>
          </w:p>
          <w:p w14:paraId="37FD402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7.加大新能源汽车在城市公交、出租汽车、城市配送、邮政快递、机场、铁路货场、重点地区港口等领域应用，地级以上城市清洁能源汽车在公共领域使用率显著提升，设区的市城市公交车基本实现新能源化。</w:t>
            </w:r>
          </w:p>
          <w:p w14:paraId="43EA00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宋体"/>
                <w:b/>
                <w:bCs/>
                <w:color w:val="000000"/>
                <w:kern w:val="0"/>
                <w:sz w:val="21"/>
                <w:szCs w:val="21"/>
                <w:highlight w:val="none"/>
                <w:lang w:val="en-US" w:eastAsia="zh-CN" w:bidi="ar-SA"/>
              </w:rPr>
            </w:pPr>
            <w:r>
              <w:rPr>
                <w:rStyle w:val="17"/>
                <w:rFonts w:hint="eastAsia" w:ascii="宋体" w:hAnsi="宋体" w:eastAsia="宋体" w:cs="宋体"/>
                <w:b/>
                <w:bCs/>
                <w:color w:val="000000"/>
                <w:kern w:val="0"/>
                <w:sz w:val="21"/>
                <w:szCs w:val="21"/>
                <w:highlight w:val="none"/>
                <w:lang w:val="en-US" w:eastAsia="zh-CN" w:bidi="ar-SA"/>
              </w:rPr>
              <w:t>其他污染物排放管控要求</w:t>
            </w:r>
          </w:p>
          <w:p w14:paraId="3D74B5B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1.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w:t>
            </w:r>
          </w:p>
          <w:p w14:paraId="0D66F87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2.污染物排放绩效水平准入要求：（1）到2025年基本消除城市建成区生活污水直排口和收集处理设施空白区。（2）到2030年，遂宁市城市生活污水处理率提高到97%。（3）严格落实建设工地管理要求，做好扬尘污染管控工作。（4）城市建成区道路机械化清扫率达到90%以上。（5）工业固体废物资源化利用、无害化处置率100%；危险废物、医疗废物和放射性废物无害化处置率100%。（6）到2025年底，建立健全源头严防、过程严管、后果严惩的危险废物监管体系。危险废物利用处置能力充分保障，技术和运营水平进一步提升。（7）从事机动车修理、印刷、服装干洗、研发等排放挥发性有机污染物的生产作业，应当按照有关技术规范进行综合治理。推广机动车维修企业使用水性、紫外光固化涂料，禁止露天和敞开式喷漆作业；包装印刷业必须使用符合环保要求的油墨；餐饮服务业油烟必须经处理达到相应排放标准要求。（8）建材行业原料破碎、生产、运输、装卸等各环节严格落实抑尘措施，有效控制粉尘无组织排放。（9）到2023年底，地级以上城市具备厨余垃圾集中处理能力，县城生活垃圾无害化处理率保持95%以上，乡镇及行政村生活垃圾收转运处置体系基本实现全覆盖；生活垃圾处理设施信息化监管水平明显提升。（10）到2025年，城市和县城污泥无害化、资源化利用水平进一步提升，城市污泥无害化处置率达到90%以上。（11）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12）定期对油烟净化设施进行维护保养，并保存维护保养记录，确保油烟稳定达标排放，设施正常使用率不低于90%。</w:t>
            </w:r>
          </w:p>
          <w:p w14:paraId="73E7C92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3.新建噪声敏感建筑物时，建设单位应全面执行绿色建筑标准，合理确定建筑物与交通干线等的防噪声距离，落实隔声减噪措施。</w:t>
            </w:r>
          </w:p>
          <w:p w14:paraId="4196FD3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4.已竣工交付使用的住宅楼、商铺、办公楼等建筑物不得在午、夜间进行产噪装修作业，在其他时间进行装修作业的，应当采取噪声防治措施。</w:t>
            </w:r>
          </w:p>
        </w:tc>
        <w:tc>
          <w:tcPr>
            <w:tcW w:w="549" w:type="pct"/>
            <w:noWrap w:val="0"/>
            <w:vAlign w:val="center"/>
          </w:tcPr>
          <w:p w14:paraId="15574D6C">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both"/>
              <w:textAlignment w:val="auto"/>
              <w:rPr>
                <w:rStyle w:val="17"/>
                <w:rFonts w:hint="eastAsia" w:ascii="宋体" w:hAnsi="宋体" w:eastAsia="宋体" w:cs="宋体"/>
                <w:color w:val="auto"/>
                <w:kern w:val="0"/>
                <w:sz w:val="21"/>
                <w:szCs w:val="21"/>
                <w:highlight w:val="none"/>
                <w:lang w:val="en-US" w:eastAsia="zh-CN" w:bidi="ar-SA"/>
              </w:rPr>
            </w:pPr>
            <w:r>
              <w:rPr>
                <w:rFonts w:hint="eastAsia"/>
                <w:color w:val="auto"/>
                <w:kern w:val="0"/>
                <w:szCs w:val="21"/>
                <w:highlight w:val="none"/>
              </w:rPr>
              <w:t>本项目为综合医院</w:t>
            </w:r>
            <w:r>
              <w:rPr>
                <w:rFonts w:hint="eastAsia"/>
                <w:color w:val="auto"/>
                <w:kern w:val="0"/>
                <w:szCs w:val="21"/>
                <w:highlight w:val="none"/>
                <w:lang w:eastAsia="zh-CN"/>
              </w:rPr>
              <w:t>建设</w:t>
            </w:r>
            <w:r>
              <w:rPr>
                <w:rFonts w:hint="eastAsia"/>
                <w:color w:val="auto"/>
                <w:kern w:val="0"/>
                <w:szCs w:val="21"/>
                <w:highlight w:val="none"/>
              </w:rPr>
              <w:t>项目，</w:t>
            </w:r>
            <w:r>
              <w:rPr>
                <w:rFonts w:hint="eastAsia"/>
                <w:color w:val="auto"/>
                <w:kern w:val="0"/>
                <w:szCs w:val="21"/>
                <w:highlight w:val="none"/>
                <w:lang w:eastAsia="zh-CN"/>
              </w:rPr>
              <w:t>废水主要为住院病人及门诊活</w:t>
            </w:r>
            <w:r>
              <w:rPr>
                <w:rFonts w:hint="eastAsia"/>
                <w:color w:val="auto"/>
                <w:kern w:val="0"/>
                <w:szCs w:val="21"/>
                <w:lang w:eastAsia="zh-CN"/>
              </w:rPr>
              <w:t>动废水，特殊医疗废水和办公生活污水；废气主要为污水处理站产生的恶臭，医疗暂存间恶臭，医院浑浊空气和备用柴油发电机废气；固废主要为医疗废物、住院病人和医护人员产生的生活垃圾，污水处理站产生的污泥等。项目废水、废气经处理后达标排放，固废分类收集处置，对周边环境无明显影响</w:t>
            </w:r>
            <w:r>
              <w:rPr>
                <w:rFonts w:hint="eastAsia"/>
                <w:color w:val="auto"/>
                <w:kern w:val="0"/>
                <w:szCs w:val="21"/>
              </w:rPr>
              <w:t>。</w:t>
            </w:r>
          </w:p>
        </w:tc>
        <w:tc>
          <w:tcPr>
            <w:tcW w:w="222" w:type="pct"/>
            <w:noWrap w:val="0"/>
            <w:vAlign w:val="center"/>
          </w:tcPr>
          <w:p w14:paraId="28AAB4D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Style w:val="17"/>
                <w:rFonts w:hint="eastAsia" w:ascii="宋体" w:hAnsi="宋体" w:eastAsia="宋体" w:cs="宋体"/>
                <w:color w:val="auto"/>
                <w:kern w:val="0"/>
                <w:sz w:val="21"/>
                <w:szCs w:val="21"/>
                <w:highlight w:val="none"/>
                <w:lang w:val="en-US" w:eastAsia="zh-CN" w:bidi="ar-SA"/>
              </w:rPr>
            </w:pPr>
            <w:r>
              <w:rPr>
                <w:rFonts w:hint="eastAsia"/>
                <w:color w:val="auto"/>
                <w:kern w:val="0"/>
                <w:szCs w:val="21"/>
              </w:rPr>
              <w:t>符合</w:t>
            </w:r>
          </w:p>
        </w:tc>
      </w:tr>
      <w:tr w14:paraId="75F6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267" w:type="pct"/>
            <w:vMerge w:val="continue"/>
            <w:noWrap w:val="0"/>
            <w:vAlign w:val="center"/>
          </w:tcPr>
          <w:p w14:paraId="3F0235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kern w:val="2"/>
                <w:sz w:val="21"/>
                <w:szCs w:val="21"/>
                <w:highlight w:val="none"/>
                <w:lang w:val="en-US" w:eastAsia="zh-CN" w:bidi="ar-SA"/>
              </w:rPr>
            </w:pPr>
          </w:p>
        </w:tc>
        <w:tc>
          <w:tcPr>
            <w:tcW w:w="279" w:type="pct"/>
            <w:vMerge w:val="continue"/>
            <w:noWrap w:val="0"/>
            <w:vAlign w:val="center"/>
          </w:tcPr>
          <w:p w14:paraId="79831F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kern w:val="2"/>
                <w:sz w:val="21"/>
                <w:szCs w:val="21"/>
                <w:highlight w:val="none"/>
                <w:lang w:val="en-US" w:eastAsia="zh-CN" w:bidi="ar-SA"/>
              </w:rPr>
            </w:pPr>
          </w:p>
        </w:tc>
        <w:tc>
          <w:tcPr>
            <w:tcW w:w="164" w:type="pct"/>
            <w:noWrap w:val="0"/>
            <w:vAlign w:val="center"/>
          </w:tcPr>
          <w:p w14:paraId="40E39C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环境风险防控</w:t>
            </w:r>
          </w:p>
        </w:tc>
        <w:tc>
          <w:tcPr>
            <w:tcW w:w="3515" w:type="pct"/>
            <w:noWrap w:val="0"/>
            <w:vAlign w:val="top"/>
          </w:tcPr>
          <w:p w14:paraId="715946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宋体"/>
                <w:b/>
                <w:bCs/>
                <w:color w:val="000000"/>
                <w:kern w:val="0"/>
                <w:sz w:val="21"/>
                <w:szCs w:val="21"/>
                <w:highlight w:val="none"/>
                <w:lang w:val="en-US" w:eastAsia="zh-CN" w:bidi="ar-SA"/>
              </w:rPr>
            </w:pPr>
            <w:r>
              <w:rPr>
                <w:rStyle w:val="17"/>
                <w:rFonts w:hint="eastAsia" w:ascii="宋体" w:hAnsi="宋体" w:eastAsia="宋体" w:cs="宋体"/>
                <w:b/>
                <w:bCs/>
                <w:color w:val="000000"/>
                <w:kern w:val="0"/>
                <w:sz w:val="21"/>
                <w:szCs w:val="21"/>
                <w:highlight w:val="none"/>
                <w:lang w:val="en-US" w:eastAsia="zh-CN" w:bidi="ar-SA"/>
              </w:rPr>
              <w:t>联防联控要求</w:t>
            </w:r>
          </w:p>
          <w:p w14:paraId="2158AD0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加强成都平原经济区信息共享和联动合作，协力推进产业和能源结构优化调整，加强大气污染源头防控，加强潼遂合作。</w:t>
            </w:r>
          </w:p>
          <w:p w14:paraId="4A080D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宋体"/>
                <w:b/>
                <w:bCs/>
                <w:color w:val="000000"/>
                <w:kern w:val="0"/>
                <w:sz w:val="21"/>
                <w:szCs w:val="21"/>
                <w:highlight w:val="none"/>
                <w:lang w:val="en-US" w:eastAsia="zh-CN" w:bidi="ar-SA"/>
              </w:rPr>
            </w:pPr>
            <w:r>
              <w:rPr>
                <w:rStyle w:val="17"/>
                <w:rFonts w:hint="eastAsia" w:ascii="宋体" w:hAnsi="宋体" w:eastAsia="宋体" w:cs="宋体"/>
                <w:b/>
                <w:bCs/>
                <w:color w:val="000000"/>
                <w:kern w:val="0"/>
                <w:sz w:val="21"/>
                <w:szCs w:val="21"/>
                <w:highlight w:val="none"/>
                <w:lang w:val="en-US" w:eastAsia="zh-CN" w:bidi="ar-SA"/>
              </w:rPr>
              <w:t>其他环境风险防控要求</w:t>
            </w:r>
          </w:p>
          <w:p w14:paraId="6766E41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1.企业环境风险防控要求：现有涉及五类重金属排放的企业，严控污染物排放，限时整治或搬迁。</w:t>
            </w:r>
          </w:p>
          <w:p w14:paraId="0217F19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2.用地环境风险防控要求：（1）工业企业退出用地，须经评估、修复满足相应用地功能后，方可改变用途。（2）列入建设用地土壤污染风险管控和修复名录的地块，不得作为住宅、公共管理与公共服务用地。</w:t>
            </w:r>
          </w:p>
        </w:tc>
        <w:tc>
          <w:tcPr>
            <w:tcW w:w="549" w:type="pct"/>
            <w:noWrap w:val="0"/>
            <w:vAlign w:val="center"/>
          </w:tcPr>
          <w:p w14:paraId="40B0BD94">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both"/>
              <w:textAlignment w:val="auto"/>
              <w:rPr>
                <w:rFonts w:hint="eastAsia"/>
                <w:lang w:val="en-US" w:eastAsia="zh-CN"/>
              </w:rPr>
            </w:pPr>
            <w:r>
              <w:rPr>
                <w:rFonts w:hint="eastAsia"/>
                <w:color w:val="000000"/>
                <w:kern w:val="0"/>
                <w:szCs w:val="21"/>
                <w:lang w:val="en-US" w:eastAsia="zh-CN"/>
              </w:rPr>
              <w:t>1.</w:t>
            </w:r>
            <w:r>
              <w:rPr>
                <w:rFonts w:hint="eastAsia"/>
                <w:lang w:val="en-US" w:eastAsia="zh-CN"/>
              </w:rPr>
              <w:t>本项目大气污染物均经治理后达标排放。</w:t>
            </w:r>
          </w:p>
          <w:p w14:paraId="14EA9C6A">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Fonts w:hint="eastAsia"/>
                <w:lang w:val="en-US" w:eastAsia="zh-CN"/>
              </w:rPr>
              <w:t>2.本项目污水处理站污泥作为危废处理；不涉及五类重金属排放。</w:t>
            </w:r>
          </w:p>
        </w:tc>
        <w:tc>
          <w:tcPr>
            <w:tcW w:w="222" w:type="pct"/>
            <w:noWrap w:val="0"/>
            <w:vAlign w:val="center"/>
          </w:tcPr>
          <w:p w14:paraId="4A6475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Style w:val="17"/>
                <w:rFonts w:hint="eastAsia" w:ascii="宋体" w:hAnsi="宋体" w:eastAsia="宋体" w:cs="宋体"/>
                <w:color w:val="000000"/>
                <w:kern w:val="0"/>
                <w:sz w:val="21"/>
                <w:szCs w:val="21"/>
                <w:highlight w:val="none"/>
                <w:lang w:val="en-US" w:eastAsia="zh-CN" w:bidi="ar-SA"/>
              </w:rPr>
            </w:pPr>
            <w:r>
              <w:rPr>
                <w:rFonts w:hint="eastAsia"/>
                <w:color w:val="000000"/>
                <w:kern w:val="0"/>
                <w:szCs w:val="21"/>
              </w:rPr>
              <w:t>符合</w:t>
            </w:r>
          </w:p>
        </w:tc>
      </w:tr>
      <w:tr w14:paraId="7AAC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trPr>
        <w:tc>
          <w:tcPr>
            <w:tcW w:w="267" w:type="pct"/>
            <w:vMerge w:val="continue"/>
            <w:noWrap w:val="0"/>
            <w:vAlign w:val="center"/>
          </w:tcPr>
          <w:p w14:paraId="72C02B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kern w:val="2"/>
                <w:sz w:val="21"/>
                <w:szCs w:val="21"/>
                <w:highlight w:val="none"/>
                <w:lang w:val="en-US" w:eastAsia="zh-CN" w:bidi="ar-SA"/>
              </w:rPr>
            </w:pPr>
          </w:p>
        </w:tc>
        <w:tc>
          <w:tcPr>
            <w:tcW w:w="279" w:type="pct"/>
            <w:vMerge w:val="continue"/>
            <w:noWrap w:val="0"/>
            <w:vAlign w:val="center"/>
          </w:tcPr>
          <w:p w14:paraId="43B4221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kern w:val="2"/>
                <w:sz w:val="21"/>
                <w:szCs w:val="21"/>
                <w:highlight w:val="none"/>
                <w:lang w:val="en-US" w:eastAsia="zh-CN" w:bidi="ar-SA"/>
              </w:rPr>
            </w:pPr>
          </w:p>
        </w:tc>
        <w:tc>
          <w:tcPr>
            <w:tcW w:w="164" w:type="pct"/>
            <w:noWrap w:val="0"/>
            <w:vAlign w:val="center"/>
          </w:tcPr>
          <w:p w14:paraId="165CAC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资源开发利用效率要求</w:t>
            </w:r>
          </w:p>
        </w:tc>
        <w:tc>
          <w:tcPr>
            <w:tcW w:w="3515" w:type="pct"/>
            <w:noWrap w:val="0"/>
            <w:vAlign w:val="top"/>
          </w:tcPr>
          <w:p w14:paraId="11A9AF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宋体"/>
                <w:b/>
                <w:bCs/>
                <w:color w:val="000000"/>
                <w:kern w:val="0"/>
                <w:sz w:val="21"/>
                <w:szCs w:val="21"/>
                <w:highlight w:val="none"/>
                <w:lang w:val="en-US" w:eastAsia="zh-CN" w:bidi="ar-SA"/>
              </w:rPr>
            </w:pPr>
            <w:r>
              <w:rPr>
                <w:rStyle w:val="17"/>
                <w:rFonts w:hint="eastAsia" w:ascii="宋体" w:hAnsi="宋体" w:eastAsia="宋体" w:cs="宋体"/>
                <w:b/>
                <w:bCs/>
                <w:color w:val="000000"/>
                <w:kern w:val="0"/>
                <w:sz w:val="21"/>
                <w:szCs w:val="21"/>
                <w:highlight w:val="none"/>
                <w:lang w:val="en-US" w:eastAsia="zh-CN" w:bidi="ar-SA"/>
              </w:rPr>
              <w:t>水资源利用总量要求</w:t>
            </w:r>
          </w:p>
          <w:p w14:paraId="5F7D3C4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到2025年，全国地级及以上缺水城市再生水利用率达到25%。</w:t>
            </w:r>
          </w:p>
          <w:p w14:paraId="1D41C6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宋体"/>
                <w:b/>
                <w:bCs/>
                <w:color w:val="000000"/>
                <w:kern w:val="0"/>
                <w:sz w:val="21"/>
                <w:szCs w:val="21"/>
                <w:highlight w:val="none"/>
                <w:lang w:val="en-US" w:eastAsia="zh-CN" w:bidi="ar-SA"/>
              </w:rPr>
            </w:pPr>
            <w:r>
              <w:rPr>
                <w:rStyle w:val="17"/>
                <w:rFonts w:hint="eastAsia" w:ascii="宋体" w:hAnsi="宋体" w:eastAsia="宋体" w:cs="宋体"/>
                <w:b/>
                <w:bCs/>
                <w:color w:val="000000"/>
                <w:kern w:val="0"/>
                <w:sz w:val="21"/>
                <w:szCs w:val="21"/>
                <w:highlight w:val="none"/>
                <w:lang w:val="en-US" w:eastAsia="zh-CN" w:bidi="ar-SA"/>
              </w:rPr>
              <w:t>地下水开采要求</w:t>
            </w:r>
          </w:p>
          <w:p w14:paraId="6BDDC30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全面建设节水型社会，达到合理高效用水。</w:t>
            </w:r>
          </w:p>
          <w:p w14:paraId="2A85C2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宋体"/>
                <w:b/>
                <w:bCs/>
                <w:color w:val="000000"/>
                <w:kern w:val="0"/>
                <w:sz w:val="21"/>
                <w:szCs w:val="21"/>
                <w:highlight w:val="none"/>
                <w:lang w:val="en-US" w:eastAsia="zh-CN" w:bidi="ar-SA"/>
              </w:rPr>
            </w:pPr>
            <w:r>
              <w:rPr>
                <w:rStyle w:val="17"/>
                <w:rFonts w:hint="eastAsia" w:ascii="宋体" w:hAnsi="宋体" w:eastAsia="宋体" w:cs="宋体"/>
                <w:b/>
                <w:bCs/>
                <w:color w:val="000000"/>
                <w:kern w:val="0"/>
                <w:sz w:val="21"/>
                <w:szCs w:val="21"/>
                <w:highlight w:val="none"/>
                <w:lang w:val="en-US" w:eastAsia="zh-CN" w:bidi="ar-SA"/>
              </w:rPr>
              <w:t>能源利用总量及效率要求</w:t>
            </w:r>
          </w:p>
          <w:p w14:paraId="4DF3155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1.严控使用燃煤等高污染燃料，禁止焚烧垃圾。</w:t>
            </w:r>
          </w:p>
          <w:p w14:paraId="6A54754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2.全面淘汰每小时10蒸吨以下的燃煤锅炉；在供气管网覆盖不到的其他地区，改用电、新能源或洁净煤。</w:t>
            </w:r>
          </w:p>
          <w:p w14:paraId="1D2192F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3.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78F1B0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宋体"/>
                <w:b/>
                <w:bCs/>
                <w:color w:val="000000"/>
                <w:kern w:val="0"/>
                <w:sz w:val="21"/>
                <w:szCs w:val="21"/>
                <w:highlight w:val="none"/>
                <w:lang w:val="en-US" w:eastAsia="zh-CN" w:bidi="ar-SA"/>
              </w:rPr>
            </w:pPr>
            <w:r>
              <w:rPr>
                <w:rStyle w:val="17"/>
                <w:rFonts w:hint="eastAsia" w:ascii="宋体" w:hAnsi="宋体" w:eastAsia="宋体" w:cs="宋体"/>
                <w:b/>
                <w:bCs/>
                <w:color w:val="000000"/>
                <w:kern w:val="0"/>
                <w:sz w:val="21"/>
                <w:szCs w:val="21"/>
                <w:highlight w:val="none"/>
                <w:lang w:val="en-US" w:eastAsia="zh-CN" w:bidi="ar-SA"/>
              </w:rPr>
              <w:t>禁燃区要求</w:t>
            </w:r>
          </w:p>
          <w:p w14:paraId="61F555E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1.禁燃区内禁止燃烧以下高污染燃料：</w:t>
            </w:r>
          </w:p>
          <w:p w14:paraId="442D46B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（1）煤炭及其制品（包括原煤、散煤、煤矸石、煤泥、煤粉、水浆煤、型煤、焦炭、兰炭、油类等常规燃料）。</w:t>
            </w:r>
          </w:p>
          <w:p w14:paraId="3135334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（2）石油焦、油页岩、原油、重油、渣油、煤焦油。</w:t>
            </w:r>
          </w:p>
          <w:p w14:paraId="03CC8EF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（3）非专用锅炉或未配置高效除尘设施的专用锅炉燃用的生物质成型燃料。</w:t>
            </w:r>
          </w:p>
          <w:p w14:paraId="09F8CF8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2.禁燃区内禁止新建、扩建燃用高污染燃料的锅炉、炉窑、炉灶等燃烧设施（集中供热、电厂锅炉除外）。</w:t>
            </w:r>
          </w:p>
          <w:p w14:paraId="298E93A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3.自2020年1月1日起，禁燃区内禁止销售高污染燃料。</w:t>
            </w:r>
          </w:p>
          <w:p w14:paraId="49E995B0">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4.加强对集中供热、电厂锅炉、10蒸吨/时以上的在用燃煤锅炉以及改用清洁能源前的在用锅炉等燃烧设施的监管，确保达标排放。</w:t>
            </w:r>
          </w:p>
          <w:p w14:paraId="7D2C05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宋体"/>
                <w:b/>
                <w:bCs/>
                <w:color w:val="000000"/>
                <w:kern w:val="0"/>
                <w:sz w:val="21"/>
                <w:szCs w:val="21"/>
                <w:highlight w:val="none"/>
                <w:lang w:val="en-US" w:eastAsia="zh-CN" w:bidi="ar-SA"/>
              </w:rPr>
            </w:pPr>
            <w:r>
              <w:rPr>
                <w:rStyle w:val="17"/>
                <w:rFonts w:hint="eastAsia" w:ascii="宋体" w:hAnsi="宋体" w:eastAsia="宋体" w:cs="宋体"/>
                <w:b/>
                <w:bCs/>
                <w:color w:val="000000"/>
                <w:kern w:val="0"/>
                <w:sz w:val="21"/>
                <w:szCs w:val="21"/>
                <w:highlight w:val="none"/>
                <w:lang w:val="en-US" w:eastAsia="zh-CN" w:bidi="ar-SA"/>
              </w:rPr>
              <w:t>其他资源利用效率要求</w:t>
            </w:r>
          </w:p>
          <w:p w14:paraId="29C471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Style w:val="17"/>
                <w:rFonts w:hint="default" w:ascii="宋体" w:hAnsi="宋体" w:eastAsia="宋体" w:cs="宋体"/>
                <w:color w:val="000000"/>
                <w:kern w:val="0"/>
                <w:sz w:val="21"/>
                <w:szCs w:val="21"/>
                <w:highlight w:val="none"/>
                <w:lang w:val="en-US" w:eastAsia="zh-CN" w:bidi="ar-SA"/>
              </w:rPr>
            </w:pPr>
            <w:r>
              <w:rPr>
                <w:rStyle w:val="17"/>
                <w:rFonts w:hint="eastAsia" w:ascii="宋体" w:hAnsi="宋体" w:eastAsia="宋体" w:cs="宋体"/>
                <w:color w:val="000000"/>
                <w:kern w:val="0"/>
                <w:sz w:val="21"/>
                <w:szCs w:val="21"/>
                <w:highlight w:val="none"/>
                <w:lang w:val="en-US" w:eastAsia="zh-CN" w:bidi="ar-SA"/>
              </w:rPr>
              <w:t>/</w:t>
            </w:r>
          </w:p>
        </w:tc>
        <w:tc>
          <w:tcPr>
            <w:tcW w:w="549" w:type="pct"/>
            <w:noWrap w:val="0"/>
            <w:vAlign w:val="center"/>
          </w:tcPr>
          <w:p w14:paraId="30DB2034">
            <w:pPr>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495" w:firstLineChars="0"/>
              <w:jc w:val="both"/>
              <w:textAlignment w:val="auto"/>
              <w:rPr>
                <w:rFonts w:hint="eastAsia"/>
                <w:color w:val="000000"/>
                <w:kern w:val="0"/>
                <w:szCs w:val="21"/>
                <w:lang w:eastAsia="zh-CN"/>
              </w:rPr>
            </w:pPr>
            <w:r>
              <w:rPr>
                <w:rFonts w:hint="eastAsia"/>
                <w:color w:val="000000"/>
                <w:kern w:val="0"/>
                <w:szCs w:val="21"/>
              </w:rPr>
              <w:t>本项目为综合医院项目，不涉及资源开发及利用</w:t>
            </w:r>
            <w:r>
              <w:rPr>
                <w:rFonts w:hint="eastAsia"/>
                <w:color w:val="000000"/>
                <w:kern w:val="0"/>
                <w:szCs w:val="21"/>
                <w:lang w:eastAsia="zh-CN"/>
              </w:rPr>
              <w:t>。</w:t>
            </w:r>
          </w:p>
          <w:p w14:paraId="3F4A08F2">
            <w:pPr>
              <w:pageBreakBefore w:val="0"/>
              <w:numPr>
                <w:ilvl w:val="0"/>
                <w:numId w:val="5"/>
              </w:numPr>
              <w:wordWrap/>
              <w:bidi w:val="0"/>
              <w:adjustRightInd w:val="0"/>
              <w:snapToGrid w:val="0"/>
              <w:ind w:left="0" w:leftChars="0" w:firstLine="495" w:firstLineChars="0"/>
              <w:rPr>
                <w:rFonts w:hint="eastAsia"/>
                <w:lang w:val="en-US" w:eastAsia="zh-CN"/>
              </w:rPr>
            </w:pPr>
            <w:r>
              <w:rPr>
                <w:rFonts w:hint="eastAsia"/>
                <w:color w:val="000000"/>
                <w:kern w:val="0"/>
                <w:szCs w:val="21"/>
              </w:rPr>
              <w:t>本项目为综合医院项目，</w:t>
            </w:r>
            <w:r>
              <w:rPr>
                <w:rFonts w:hint="eastAsia"/>
                <w:color w:val="000000"/>
                <w:kern w:val="0"/>
                <w:szCs w:val="21"/>
                <w:lang w:eastAsia="zh-CN"/>
              </w:rPr>
              <w:t>主要使用电能，</w:t>
            </w:r>
            <w:r>
              <w:rPr>
                <w:rFonts w:hint="eastAsia"/>
                <w:color w:val="000000"/>
                <w:kern w:val="0"/>
                <w:szCs w:val="21"/>
              </w:rPr>
              <w:t>不涉及</w:t>
            </w:r>
            <w:r>
              <w:rPr>
                <w:rFonts w:hint="eastAsia"/>
                <w:color w:val="000000"/>
                <w:kern w:val="0"/>
                <w:szCs w:val="21"/>
                <w:lang w:eastAsia="zh-CN"/>
              </w:rPr>
              <w:t>高污染</w:t>
            </w:r>
            <w:r>
              <w:rPr>
                <w:rFonts w:hint="eastAsia"/>
                <w:color w:val="000000"/>
                <w:kern w:val="0"/>
                <w:szCs w:val="21"/>
              </w:rPr>
              <w:t>燃料</w:t>
            </w:r>
            <w:r>
              <w:rPr>
                <w:rFonts w:hint="eastAsia"/>
                <w:color w:val="000000"/>
                <w:kern w:val="0"/>
                <w:szCs w:val="21"/>
                <w:lang w:eastAsia="zh-CN"/>
              </w:rPr>
              <w:t>。</w:t>
            </w:r>
          </w:p>
        </w:tc>
        <w:tc>
          <w:tcPr>
            <w:tcW w:w="222" w:type="pct"/>
            <w:noWrap w:val="0"/>
            <w:vAlign w:val="center"/>
          </w:tcPr>
          <w:p w14:paraId="322287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Style w:val="17"/>
                <w:rFonts w:hint="eastAsia" w:ascii="宋体" w:hAnsi="宋体" w:eastAsia="宋体" w:cs="宋体"/>
                <w:color w:val="000000"/>
                <w:kern w:val="0"/>
                <w:sz w:val="21"/>
                <w:szCs w:val="21"/>
                <w:highlight w:val="none"/>
                <w:lang w:val="en-US" w:eastAsia="zh-CN" w:bidi="ar-SA"/>
              </w:rPr>
            </w:pPr>
            <w:r>
              <w:rPr>
                <w:rFonts w:hint="eastAsia"/>
                <w:color w:val="000000"/>
                <w:kern w:val="0"/>
                <w:szCs w:val="21"/>
              </w:rPr>
              <w:t>符合</w:t>
            </w:r>
          </w:p>
        </w:tc>
      </w:tr>
    </w:tbl>
    <w:p w14:paraId="5357650C">
      <w:pPr>
        <w:keepNext w:val="0"/>
        <w:keepLines w:val="0"/>
        <w:pageBreakBefore w:val="0"/>
        <w:widowControl/>
        <w:kinsoku/>
        <w:wordWrap/>
        <w:overflowPunct/>
        <w:topLinePunct w:val="0"/>
        <w:autoSpaceDE/>
        <w:autoSpaceDN/>
        <w:bidi w:val="0"/>
        <w:adjustRightInd w:val="0"/>
        <w:snapToGrid w:val="0"/>
        <w:spacing w:before="157" w:beforeLines="50"/>
        <w:ind w:firstLine="480" w:firstLineChars="200"/>
        <w:jc w:val="both"/>
        <w:textAlignment w:val="auto"/>
        <w:rPr>
          <w:rFonts w:hint="eastAsia"/>
          <w:snapToGrid w:val="0"/>
          <w:lang w:eastAsia="zh-CN"/>
        </w:rPr>
      </w:pPr>
      <w:r>
        <w:rPr>
          <w:rFonts w:hint="eastAsia"/>
          <w:snapToGrid w:val="0"/>
          <w:lang w:eastAsia="zh-CN"/>
        </w:rPr>
        <w:t>本项目与环境管控单元管控要求符合性分析如下表所示：</w:t>
      </w:r>
    </w:p>
    <w:p w14:paraId="6829EEF9">
      <w:pPr>
        <w:pStyle w:val="22"/>
        <w:bidi w:val="0"/>
        <w:rPr>
          <w:rFonts w:hint="eastAsia"/>
          <w:lang w:eastAsia="zh-CN"/>
        </w:rPr>
      </w:pPr>
      <w:r>
        <w:rPr>
          <w:rFonts w:hint="eastAsia"/>
          <w:lang w:eastAsia="zh-CN"/>
        </w:rPr>
        <w:t>本项目与生态环境准入清单对照表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7"/>
        <w:gridCol w:w="782"/>
        <w:gridCol w:w="2103"/>
        <w:gridCol w:w="7962"/>
        <w:gridCol w:w="1556"/>
        <w:gridCol w:w="522"/>
      </w:tblGrid>
      <w:tr w14:paraId="24F7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6" w:type="pct"/>
            <w:shd w:val="clear" w:color="auto" w:fill="auto"/>
            <w:noWrap w:val="0"/>
            <w:vAlign w:val="center"/>
          </w:tcPr>
          <w:p w14:paraId="294B04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lang w:val="en-US" w:eastAsia="zh-CN" w:bidi="ar-SA"/>
              </w:rPr>
            </w:pPr>
            <w:r>
              <w:rPr>
                <w:rFonts w:hint="eastAsia" w:ascii="Times New Roman" w:hAnsi="Times New Roman" w:eastAsia="宋体" w:cs="宋体"/>
                <w:b w:val="0"/>
                <w:bCs/>
                <w:color w:val="auto"/>
                <w:kern w:val="0"/>
                <w:sz w:val="21"/>
                <w:szCs w:val="21"/>
                <w:highlight w:val="none"/>
                <w:lang w:val="en-US" w:eastAsia="zh-CN" w:bidi="ar-SA"/>
              </w:rPr>
              <w:t>环境管控单元编码</w:t>
            </w:r>
          </w:p>
        </w:tc>
        <w:tc>
          <w:tcPr>
            <w:tcW w:w="286" w:type="pct"/>
            <w:shd w:val="clear" w:color="auto" w:fill="auto"/>
            <w:noWrap w:val="0"/>
            <w:vAlign w:val="center"/>
          </w:tcPr>
          <w:p w14:paraId="1344FB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lang w:val="en-US" w:eastAsia="zh-CN" w:bidi="ar-SA"/>
              </w:rPr>
            </w:pPr>
            <w:r>
              <w:rPr>
                <w:rFonts w:hint="eastAsia" w:ascii="Times New Roman" w:hAnsi="Times New Roman" w:eastAsia="宋体" w:cs="宋体"/>
                <w:b w:val="0"/>
                <w:bCs/>
                <w:color w:val="auto"/>
                <w:kern w:val="0"/>
                <w:sz w:val="21"/>
                <w:szCs w:val="21"/>
                <w:highlight w:val="none"/>
                <w:lang w:val="en-US" w:eastAsia="zh-CN" w:bidi="ar-SA"/>
              </w:rPr>
              <w:t>环境管控单元名称</w:t>
            </w:r>
          </w:p>
        </w:tc>
        <w:tc>
          <w:tcPr>
            <w:tcW w:w="770" w:type="pct"/>
            <w:shd w:val="clear" w:color="auto" w:fill="auto"/>
            <w:noWrap w:val="0"/>
            <w:vAlign w:val="center"/>
          </w:tcPr>
          <w:p w14:paraId="12F89D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lang w:val="en-US" w:eastAsia="zh-CN" w:bidi="ar-SA"/>
              </w:rPr>
            </w:pPr>
            <w:r>
              <w:rPr>
                <w:rFonts w:hint="eastAsia" w:ascii="Times New Roman" w:hAnsi="Times New Roman" w:eastAsia="宋体" w:cs="宋体"/>
                <w:b w:val="0"/>
                <w:bCs/>
                <w:color w:val="auto"/>
                <w:kern w:val="0"/>
                <w:sz w:val="21"/>
                <w:szCs w:val="21"/>
                <w:highlight w:val="none"/>
                <w:lang w:val="en-US" w:eastAsia="zh-CN" w:bidi="ar-SA"/>
              </w:rPr>
              <w:t>管控类别</w:t>
            </w:r>
          </w:p>
        </w:tc>
        <w:tc>
          <w:tcPr>
            <w:tcW w:w="2916" w:type="pct"/>
            <w:shd w:val="clear" w:color="auto" w:fill="auto"/>
            <w:noWrap w:val="0"/>
            <w:vAlign w:val="center"/>
          </w:tcPr>
          <w:p w14:paraId="4A202C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lang w:val="en-US" w:eastAsia="zh-CN" w:bidi="ar-SA"/>
              </w:rPr>
            </w:pPr>
            <w:r>
              <w:rPr>
                <w:rStyle w:val="17"/>
                <w:rFonts w:hint="eastAsia" w:ascii="Times New Roman" w:hAnsi="Times New Roman" w:eastAsia="宋体" w:cs="宋体"/>
                <w:b w:val="0"/>
                <w:color w:val="auto"/>
                <w:kern w:val="0"/>
                <w:sz w:val="21"/>
                <w:szCs w:val="21"/>
                <w:highlight w:val="none"/>
                <w:lang w:val="en-US" w:eastAsia="zh-CN" w:bidi="ar-SA"/>
              </w:rPr>
              <w:t>单元特性管控要求</w:t>
            </w:r>
          </w:p>
        </w:tc>
        <w:tc>
          <w:tcPr>
            <w:tcW w:w="569" w:type="pct"/>
            <w:shd w:val="clear" w:color="auto" w:fill="auto"/>
            <w:noWrap w:val="0"/>
            <w:vAlign w:val="center"/>
          </w:tcPr>
          <w:p w14:paraId="22A76A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lang w:val="en-US" w:eastAsia="zh-CN" w:bidi="ar-SA"/>
              </w:rPr>
            </w:pPr>
            <w:r>
              <w:rPr>
                <w:rStyle w:val="17"/>
                <w:rFonts w:hint="eastAsia" w:ascii="Times New Roman" w:hAnsi="Times New Roman" w:eastAsia="宋体" w:cs="宋体"/>
                <w:b w:val="0"/>
                <w:color w:val="auto"/>
                <w:kern w:val="0"/>
                <w:sz w:val="21"/>
                <w:szCs w:val="21"/>
                <w:highlight w:val="none"/>
                <w:lang w:val="en-US" w:eastAsia="zh-CN" w:bidi="ar-SA"/>
              </w:rPr>
              <w:t>本项目情况</w:t>
            </w:r>
          </w:p>
        </w:tc>
        <w:tc>
          <w:tcPr>
            <w:tcW w:w="191" w:type="pct"/>
            <w:shd w:val="clear" w:color="auto" w:fill="auto"/>
            <w:noWrap w:val="0"/>
            <w:vAlign w:val="center"/>
          </w:tcPr>
          <w:p w14:paraId="1E4A3D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lang w:val="en-US" w:eastAsia="zh-CN" w:bidi="ar-SA"/>
              </w:rPr>
            </w:pPr>
            <w:r>
              <w:rPr>
                <w:rStyle w:val="17"/>
                <w:rFonts w:hint="eastAsia" w:ascii="Times New Roman" w:hAnsi="Times New Roman" w:eastAsia="宋体" w:cs="宋体"/>
                <w:b w:val="0"/>
                <w:color w:val="auto"/>
                <w:kern w:val="0"/>
                <w:sz w:val="21"/>
                <w:szCs w:val="21"/>
                <w:highlight w:val="none"/>
                <w:lang w:val="en-US" w:eastAsia="zh-CN" w:bidi="ar-SA"/>
              </w:rPr>
              <w:t>符合性</w:t>
            </w:r>
          </w:p>
        </w:tc>
      </w:tr>
      <w:tr w14:paraId="726E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restart"/>
            <w:shd w:val="clear" w:color="auto" w:fill="auto"/>
            <w:noWrap w:val="0"/>
            <w:vAlign w:val="center"/>
          </w:tcPr>
          <w:p w14:paraId="22564E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YS5109032220001</w:t>
            </w:r>
          </w:p>
        </w:tc>
        <w:tc>
          <w:tcPr>
            <w:tcW w:w="286" w:type="pct"/>
            <w:vMerge w:val="restart"/>
            <w:shd w:val="clear" w:color="auto" w:fill="auto"/>
            <w:noWrap w:val="0"/>
            <w:vAlign w:val="center"/>
          </w:tcPr>
          <w:p w14:paraId="63D9E3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涪江-船山区-米家桥-控制单元</w:t>
            </w:r>
          </w:p>
        </w:tc>
        <w:tc>
          <w:tcPr>
            <w:tcW w:w="770" w:type="pct"/>
            <w:shd w:val="clear" w:color="auto" w:fill="auto"/>
            <w:noWrap w:val="0"/>
            <w:vAlign w:val="center"/>
          </w:tcPr>
          <w:p w14:paraId="668946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空间布局约束</w:t>
            </w:r>
          </w:p>
        </w:tc>
        <w:tc>
          <w:tcPr>
            <w:tcW w:w="2916" w:type="pct"/>
            <w:shd w:val="clear" w:color="auto" w:fill="auto"/>
            <w:noWrap w:val="0"/>
            <w:vAlign w:val="center"/>
          </w:tcPr>
          <w:p w14:paraId="24766CF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禁止开发建设活动的要求</w:t>
            </w:r>
          </w:p>
          <w:p w14:paraId="7579F396">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6AD2EB85">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限制开发建设活动的要求</w:t>
            </w:r>
          </w:p>
          <w:p w14:paraId="5E55FA45">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01939954">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允许开发建设活动的要求</w:t>
            </w:r>
          </w:p>
          <w:p w14:paraId="4241699B">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426AB9AB">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不符合空间布局要求活动的退出要求</w:t>
            </w:r>
          </w:p>
          <w:p w14:paraId="6F4CE3B2">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3D7DC57B">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其他空间布局约束要求</w:t>
            </w:r>
          </w:p>
          <w:p w14:paraId="52DAC864">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569" w:type="pct"/>
            <w:shd w:val="clear" w:color="auto" w:fill="auto"/>
            <w:noWrap w:val="0"/>
            <w:vAlign w:val="center"/>
          </w:tcPr>
          <w:p w14:paraId="45EFBCC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191" w:type="pct"/>
            <w:shd w:val="clear" w:color="auto" w:fill="auto"/>
            <w:noWrap w:val="0"/>
            <w:vAlign w:val="center"/>
          </w:tcPr>
          <w:p w14:paraId="0096923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r>
      <w:tr w14:paraId="1798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0E16F7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YS5109032220001</w:t>
            </w:r>
          </w:p>
        </w:tc>
        <w:tc>
          <w:tcPr>
            <w:tcW w:w="286" w:type="pct"/>
            <w:vMerge w:val="continue"/>
            <w:shd w:val="clear" w:color="auto" w:fill="auto"/>
            <w:noWrap w:val="0"/>
            <w:vAlign w:val="center"/>
          </w:tcPr>
          <w:p w14:paraId="66A210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涪江-船山区-米家桥-控制单元</w:t>
            </w:r>
          </w:p>
        </w:tc>
        <w:tc>
          <w:tcPr>
            <w:tcW w:w="770" w:type="pct"/>
            <w:shd w:val="clear" w:color="auto" w:fill="auto"/>
            <w:noWrap w:val="0"/>
            <w:vAlign w:val="center"/>
          </w:tcPr>
          <w:p w14:paraId="6EE1FBF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污染物排放管控</w:t>
            </w:r>
          </w:p>
        </w:tc>
        <w:tc>
          <w:tcPr>
            <w:tcW w:w="2916" w:type="pct"/>
            <w:shd w:val="clear" w:color="auto" w:fill="auto"/>
            <w:noWrap w:val="0"/>
            <w:vAlign w:val="center"/>
          </w:tcPr>
          <w:p w14:paraId="7073ADC0">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城镇污水污染控制措施要求</w:t>
            </w:r>
          </w:p>
          <w:p w14:paraId="0CF8CEF5">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1、提升污水收集率，完善城镇生活污水收集系统，推进城镇污水管网全覆盖；对进水情况出现明显异常的污水处理厂，开展片区管网系统化整治，现有污水处理厂进水生化需氧量</w:t>
            </w:r>
            <w:r>
              <w:rPr>
                <w:rStyle w:val="17"/>
                <w:rFonts w:hint="eastAsia" w:ascii="宋体" w:hAnsi="宋体" w:cs="Times New Roman"/>
                <w:color w:val="auto"/>
                <w:kern w:val="2"/>
                <w:sz w:val="21"/>
                <w:szCs w:val="21"/>
                <w:highlight w:val="none"/>
                <w:shd w:val="clear" w:color="auto" w:fill="auto"/>
                <w:lang w:val="en-US" w:eastAsia="zh-CN" w:bidi="ar-SA"/>
              </w:rPr>
              <w:t>（</w:t>
            </w:r>
            <w:r>
              <w:rPr>
                <w:rStyle w:val="17"/>
                <w:rFonts w:hint="eastAsia" w:ascii="宋体" w:hAnsi="宋体" w:eastAsia="宋体" w:cs="Times New Roman"/>
                <w:color w:val="auto"/>
                <w:kern w:val="2"/>
                <w:sz w:val="21"/>
                <w:szCs w:val="21"/>
                <w:highlight w:val="none"/>
                <w:shd w:val="clear" w:color="auto" w:fill="auto"/>
                <w:lang w:val="en-US" w:eastAsia="zh-CN" w:bidi="ar-SA"/>
              </w:rPr>
              <w:t>BOD</w:t>
            </w:r>
            <w:r>
              <w:rPr>
                <w:rStyle w:val="17"/>
                <w:rFonts w:hint="eastAsia" w:ascii="宋体" w:hAnsi="宋体" w:cs="Times New Roman"/>
                <w:color w:val="auto"/>
                <w:kern w:val="2"/>
                <w:sz w:val="21"/>
                <w:szCs w:val="21"/>
                <w:highlight w:val="none"/>
                <w:shd w:val="clear" w:color="auto" w:fill="auto"/>
                <w:lang w:val="en-US" w:eastAsia="zh-CN" w:bidi="ar-SA"/>
              </w:rPr>
              <w:t>）</w:t>
            </w:r>
            <w:r>
              <w:rPr>
                <w:rStyle w:val="17"/>
                <w:rFonts w:hint="eastAsia" w:ascii="宋体" w:hAnsi="宋体" w:eastAsia="宋体" w:cs="Times New Roman"/>
                <w:color w:val="auto"/>
                <w:kern w:val="2"/>
                <w:sz w:val="21"/>
                <w:szCs w:val="21"/>
                <w:highlight w:val="none"/>
                <w:shd w:val="clear" w:color="auto" w:fill="auto"/>
                <w:lang w:val="en-US" w:eastAsia="zh-CN" w:bidi="ar-SA"/>
              </w:rPr>
              <w:t>浓度低于100毫克/升的城市，要制定系统化整治方案；开展旱天生活污水直排口溯源治理。2、提升城镇生活污水处理能力，加快补齐处理能力缺口。3、强化城镇污水处理设施运行管理，按要求达标排放。4、提升污水处理设施除磷水平，鼓励在污水处理厂排污口下游因地制宜建设人工湿地，推进达标尾水深度“去磷”。5、强化汛期生活污水溢流处理，推进城市建成区初期雨水收集处理及资源化利用设施建设。6、加强生活污水再生利用设施建设，在重点排污口下游、河流入湖口、支流入干流处，因地制宜实施区域再生水循环利用工程。7、健全城镇生活垃圾收集、转运、处理系统。</w:t>
            </w:r>
          </w:p>
          <w:p w14:paraId="3A73ECE2">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工业废水污染控制措施要求</w:t>
            </w:r>
          </w:p>
          <w:p w14:paraId="7F7836D0">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1、对不符合国土空间规划的现有工业企业，污染物排放总量及环境风险水平只降不增，引导企业适时搬迁进入对口园区。2、对工业废水进入市政污水收集设施情况进行排查，组织开展评估，经评估认定污染物不能被城镇污水处理厂有效处理或可能影响污水处理厂出水稳定达标的，应限期退出。</w:t>
            </w:r>
          </w:p>
          <w:p w14:paraId="4404BF16">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农业面源水污染控制措施要求</w:t>
            </w:r>
          </w:p>
          <w:p w14:paraId="584B1965">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default" w:ascii="宋体" w:hAnsi="宋体" w:eastAsia="宋体" w:cs="Times New Roman"/>
                <w:b w:val="0"/>
                <w:bCs w:val="0"/>
                <w:color w:val="auto"/>
                <w:kern w:val="2"/>
                <w:sz w:val="21"/>
                <w:szCs w:val="21"/>
                <w:highlight w:val="none"/>
                <w:shd w:val="clear" w:color="auto" w:fill="auto"/>
                <w:lang w:val="en-US" w:eastAsia="zh-CN" w:bidi="ar-SA"/>
              </w:rPr>
            </w:pP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w:t>
            </w:r>
          </w:p>
          <w:p w14:paraId="5318EA0E">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船舶港口水污染控制措施要求</w:t>
            </w:r>
          </w:p>
          <w:p w14:paraId="46974F46">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default" w:ascii="宋体" w:hAnsi="宋体" w:eastAsia="宋体" w:cs="Times New Roman"/>
                <w:b w:val="0"/>
                <w:bCs w:val="0"/>
                <w:color w:val="auto"/>
                <w:kern w:val="2"/>
                <w:sz w:val="21"/>
                <w:szCs w:val="21"/>
                <w:highlight w:val="none"/>
                <w:shd w:val="clear" w:color="auto" w:fill="auto"/>
                <w:lang w:val="en-US" w:eastAsia="zh-CN" w:bidi="ar-SA"/>
              </w:rPr>
            </w:pP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w:t>
            </w:r>
          </w:p>
          <w:p w14:paraId="14386CFA">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饮用水水源和其它特殊水体保护要求</w:t>
            </w:r>
          </w:p>
          <w:p w14:paraId="2C13549D">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default"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w:t>
            </w:r>
          </w:p>
        </w:tc>
        <w:tc>
          <w:tcPr>
            <w:tcW w:w="569" w:type="pct"/>
            <w:shd w:val="clear" w:color="auto" w:fill="auto"/>
            <w:noWrap w:val="0"/>
            <w:vAlign w:val="center"/>
          </w:tcPr>
          <w:p w14:paraId="06E1C1D3">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Fonts w:hint="eastAsia" w:eastAsia="宋体"/>
                <w:color w:val="000000"/>
                <w:kern w:val="0"/>
                <w:sz w:val="21"/>
                <w:szCs w:val="21"/>
              </w:rPr>
              <w:t>本项目</w:t>
            </w:r>
            <w:r>
              <w:rPr>
                <w:rFonts w:hint="eastAsia" w:ascii="Times New Roman" w:hAnsi="Times New Roman" w:eastAsia="宋体" w:cs="Times New Roman"/>
                <w:color w:val="000000"/>
                <w:kern w:val="0"/>
                <w:sz w:val="21"/>
                <w:szCs w:val="21"/>
                <w:lang w:val="en-US" w:eastAsia="zh-CN"/>
              </w:rPr>
              <w:t>污水进入</w:t>
            </w:r>
            <w:r>
              <w:rPr>
                <w:rFonts w:hint="eastAsia" w:ascii="Times New Roman" w:hAnsi="Times New Roman" w:eastAsia="宋体" w:cs="Times New Roman"/>
                <w:color w:val="000000"/>
                <w:kern w:val="0"/>
                <w:sz w:val="21"/>
                <w:szCs w:val="21"/>
              </w:rPr>
              <w:t>院区内</w:t>
            </w:r>
            <w:r>
              <w:rPr>
                <w:rFonts w:hint="eastAsia" w:ascii="Times New Roman" w:hAnsi="Times New Roman" w:eastAsia="宋体" w:cs="Times New Roman"/>
                <w:color w:val="000000"/>
                <w:kern w:val="0"/>
                <w:sz w:val="21"/>
                <w:szCs w:val="21"/>
                <w:lang w:val="en-US" w:eastAsia="zh-CN"/>
              </w:rPr>
              <w:t>预处理池收集处理后，进入一体化污水处理设备（</w:t>
            </w:r>
            <w:r>
              <w:rPr>
                <w:rFonts w:hint="eastAsia" w:ascii="Times New Roman" w:hAnsi="Times New Roman" w:eastAsia="宋体" w:cs="Times New Roman"/>
                <w:color w:val="000000"/>
                <w:kern w:val="0"/>
                <w:sz w:val="21"/>
                <w:szCs w:val="21"/>
              </w:rPr>
              <w:t>采用</w:t>
            </w:r>
            <w:r>
              <w:rPr>
                <w:rFonts w:hint="eastAsia" w:ascii="Times New Roman" w:hAnsi="Times New Roman" w:eastAsia="宋体" w:cs="Times New Roman"/>
                <w:color w:val="000000"/>
                <w:kern w:val="0"/>
                <w:sz w:val="21"/>
                <w:szCs w:val="21"/>
                <w:lang w:val="en-US" w:eastAsia="zh-CN"/>
              </w:rPr>
              <w:t>格栅调节+接触氧化+沉淀+消毒</w:t>
            </w:r>
            <w:r>
              <w:rPr>
                <w:rFonts w:hint="eastAsia" w:ascii="Times New Roman" w:hAnsi="Times New Roman" w:eastAsia="宋体" w:cs="Times New Roman"/>
                <w:color w:val="000000"/>
                <w:kern w:val="0"/>
                <w:sz w:val="21"/>
                <w:szCs w:val="21"/>
              </w:rPr>
              <w:t>工艺</w:t>
            </w:r>
            <w:r>
              <w:rPr>
                <w:rFonts w:hint="eastAsia" w:ascii="Times New Roman" w:hAnsi="Times New Roman" w:eastAsia="宋体" w:cs="Times New Roman"/>
                <w:color w:val="000000"/>
                <w:kern w:val="0"/>
                <w:sz w:val="21"/>
                <w:szCs w:val="21"/>
                <w:lang w:eastAsia="zh-CN"/>
              </w:rPr>
              <w:t>）</w:t>
            </w:r>
            <w:r>
              <w:rPr>
                <w:rFonts w:hint="eastAsia" w:ascii="Times New Roman" w:hAnsi="Times New Roman" w:eastAsia="宋体" w:cs="Times New Roman"/>
                <w:color w:val="000000"/>
                <w:kern w:val="0"/>
                <w:sz w:val="21"/>
                <w:szCs w:val="21"/>
              </w:rPr>
              <w:t>处理达标</w:t>
            </w:r>
            <w:r>
              <w:rPr>
                <w:rFonts w:hint="eastAsia" w:ascii="Times New Roman" w:hAnsi="Times New Roman" w:eastAsia="宋体" w:cs="Times New Roman"/>
                <w:color w:val="000000"/>
                <w:kern w:val="0"/>
                <w:sz w:val="21"/>
                <w:szCs w:val="21"/>
                <w:lang w:val="en-US" w:eastAsia="zh-CN"/>
              </w:rPr>
              <w:t>后</w:t>
            </w:r>
            <w:r>
              <w:rPr>
                <w:rFonts w:hint="eastAsia" w:ascii="Times New Roman" w:hAnsi="Times New Roman" w:eastAsia="宋体" w:cs="Times New Roman"/>
                <w:color w:val="000000"/>
                <w:kern w:val="0"/>
                <w:sz w:val="21"/>
                <w:szCs w:val="21"/>
                <w:lang w:eastAsia="zh-CN"/>
              </w:rPr>
              <w:t>，</w:t>
            </w:r>
            <w:r>
              <w:rPr>
                <w:rFonts w:hint="eastAsia" w:ascii="Times New Roman" w:hAnsi="Times New Roman" w:eastAsia="宋体" w:cs="Times New Roman"/>
                <w:color w:val="000000"/>
                <w:kern w:val="0"/>
                <w:sz w:val="21"/>
                <w:szCs w:val="21"/>
                <w:lang w:val="en-US" w:eastAsia="zh-CN"/>
              </w:rPr>
              <w:t>通过</w:t>
            </w:r>
            <w:r>
              <w:rPr>
                <w:rFonts w:hint="eastAsia" w:ascii="Times New Roman" w:hAnsi="Times New Roman" w:eastAsia="宋体" w:cs="Times New Roman"/>
                <w:color w:val="000000"/>
                <w:kern w:val="0"/>
                <w:sz w:val="21"/>
                <w:szCs w:val="21"/>
              </w:rPr>
              <w:t>市政污水管网进入</w:t>
            </w:r>
            <w:r>
              <w:rPr>
                <w:rFonts w:hint="eastAsia" w:eastAsia="宋体" w:cs="Times New Roman"/>
                <w:color w:val="000000"/>
                <w:kern w:val="0"/>
                <w:sz w:val="21"/>
                <w:szCs w:val="21"/>
                <w:lang w:eastAsia="zh-CN"/>
              </w:rPr>
              <w:t>遂宁市城南第一污水处理厂</w:t>
            </w:r>
            <w:r>
              <w:rPr>
                <w:rFonts w:hint="eastAsia" w:ascii="Times New Roman" w:hAnsi="Times New Roman" w:eastAsia="宋体" w:cs="Times New Roman"/>
                <w:color w:val="000000"/>
                <w:kern w:val="0"/>
                <w:sz w:val="21"/>
                <w:szCs w:val="21"/>
              </w:rPr>
              <w:t>处理，最终排入涪江</w:t>
            </w:r>
          </w:p>
        </w:tc>
        <w:tc>
          <w:tcPr>
            <w:tcW w:w="191" w:type="pct"/>
            <w:shd w:val="clear" w:color="auto" w:fill="auto"/>
            <w:noWrap w:val="0"/>
            <w:vAlign w:val="center"/>
          </w:tcPr>
          <w:p w14:paraId="4EF1E2FB">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符合</w:t>
            </w:r>
          </w:p>
        </w:tc>
      </w:tr>
      <w:tr w14:paraId="7E17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366020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YS5109032220001</w:t>
            </w:r>
          </w:p>
        </w:tc>
        <w:tc>
          <w:tcPr>
            <w:tcW w:w="286" w:type="pct"/>
            <w:vMerge w:val="continue"/>
            <w:shd w:val="clear" w:color="auto" w:fill="auto"/>
            <w:noWrap w:val="0"/>
            <w:vAlign w:val="center"/>
          </w:tcPr>
          <w:p w14:paraId="01CF9B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涪江-船山区-米家桥-控制单元</w:t>
            </w:r>
          </w:p>
        </w:tc>
        <w:tc>
          <w:tcPr>
            <w:tcW w:w="770" w:type="pct"/>
            <w:shd w:val="clear" w:color="auto" w:fill="auto"/>
            <w:noWrap w:val="0"/>
            <w:vAlign w:val="center"/>
          </w:tcPr>
          <w:p w14:paraId="71C90929">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环境风险防控</w:t>
            </w:r>
          </w:p>
        </w:tc>
        <w:tc>
          <w:tcPr>
            <w:tcW w:w="2916" w:type="pct"/>
            <w:shd w:val="clear" w:color="auto" w:fill="auto"/>
            <w:noWrap w:val="0"/>
            <w:vAlign w:val="center"/>
          </w:tcPr>
          <w:p w14:paraId="3B229296">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防范污水处理厂、加油站、其他物料堆存场所</w:t>
            </w:r>
            <w:r>
              <w:rPr>
                <w:rStyle w:val="17"/>
                <w:rFonts w:hint="eastAsia" w:ascii="宋体" w:hAnsi="宋体" w:cs="Times New Roman"/>
                <w:color w:val="auto"/>
                <w:kern w:val="2"/>
                <w:sz w:val="21"/>
                <w:szCs w:val="21"/>
                <w:highlight w:val="none"/>
                <w:shd w:val="clear" w:color="auto" w:fill="auto"/>
                <w:lang w:val="en-US" w:eastAsia="zh-CN" w:bidi="ar-SA"/>
              </w:rPr>
              <w:t>泄漏</w:t>
            </w:r>
            <w:r>
              <w:rPr>
                <w:rStyle w:val="17"/>
                <w:rFonts w:hint="eastAsia" w:ascii="宋体" w:hAnsi="宋体" w:eastAsia="宋体" w:cs="Times New Roman"/>
                <w:color w:val="auto"/>
                <w:kern w:val="2"/>
                <w:sz w:val="21"/>
                <w:szCs w:val="21"/>
                <w:highlight w:val="none"/>
                <w:shd w:val="clear" w:color="auto" w:fill="auto"/>
                <w:lang w:val="en-US" w:eastAsia="zh-CN" w:bidi="ar-SA"/>
              </w:rPr>
              <w:t>风险，建立健全防泄漏设施，完善应急体系</w:t>
            </w:r>
          </w:p>
        </w:tc>
        <w:tc>
          <w:tcPr>
            <w:tcW w:w="569" w:type="pct"/>
            <w:shd w:val="clear" w:color="auto" w:fill="auto"/>
            <w:noWrap w:val="0"/>
            <w:vAlign w:val="center"/>
          </w:tcPr>
          <w:p w14:paraId="54F8C6EF">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center"/>
              <w:textAlignment w:val="auto"/>
              <w:rPr>
                <w:rStyle w:val="17"/>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000000"/>
                <w:kern w:val="0"/>
                <w:sz w:val="21"/>
                <w:szCs w:val="21"/>
                <w:lang w:bidi="ar-SA"/>
              </w:rPr>
              <w:t>本项目</w:t>
            </w:r>
            <w:r>
              <w:rPr>
                <w:rFonts w:hint="eastAsia" w:ascii="Times New Roman" w:hAnsi="Times New Roman" w:eastAsia="宋体" w:cs="Times New Roman"/>
                <w:color w:val="000000"/>
                <w:kern w:val="0"/>
                <w:sz w:val="21"/>
                <w:szCs w:val="21"/>
                <w:lang w:eastAsia="zh-CN" w:bidi="ar-SA"/>
              </w:rPr>
              <w:t>为综合医院。项目</w:t>
            </w:r>
            <w:r>
              <w:rPr>
                <w:rFonts w:hint="eastAsia" w:ascii="Times New Roman" w:hAnsi="Times New Roman" w:eastAsia="宋体" w:cs="Times New Roman"/>
                <w:color w:val="000000"/>
                <w:kern w:val="0"/>
                <w:sz w:val="21"/>
                <w:szCs w:val="21"/>
                <w:lang w:bidi="ar-SA"/>
              </w:rPr>
              <w:t>自建污水处理站设施健全</w:t>
            </w:r>
            <w:r>
              <w:rPr>
                <w:rFonts w:hint="eastAsia" w:ascii="Times New Roman" w:hAnsi="Times New Roman" w:eastAsia="宋体" w:cs="Times New Roman"/>
                <w:color w:val="000000"/>
                <w:kern w:val="0"/>
                <w:sz w:val="21"/>
                <w:szCs w:val="21"/>
                <w:lang w:eastAsia="zh-CN" w:bidi="ar-SA"/>
              </w:rPr>
              <w:t>，</w:t>
            </w:r>
            <w:r>
              <w:rPr>
                <w:rFonts w:hint="eastAsia" w:ascii="Times New Roman" w:hAnsi="Times New Roman" w:eastAsia="宋体" w:cs="Times New Roman"/>
                <w:color w:val="000000"/>
                <w:kern w:val="0"/>
                <w:sz w:val="21"/>
                <w:szCs w:val="21"/>
                <w:lang w:val="en-US" w:eastAsia="zh-CN" w:bidi="ar-SA"/>
              </w:rPr>
              <w:t>医疗废物暂存间等已完善防渗措施。</w:t>
            </w:r>
          </w:p>
        </w:tc>
        <w:tc>
          <w:tcPr>
            <w:tcW w:w="191" w:type="pct"/>
            <w:shd w:val="clear" w:color="auto" w:fill="auto"/>
            <w:noWrap w:val="0"/>
            <w:vAlign w:val="center"/>
          </w:tcPr>
          <w:p w14:paraId="02550A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Style w:val="17"/>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olor w:val="000000"/>
                <w:kern w:val="0"/>
                <w:sz w:val="21"/>
                <w:szCs w:val="21"/>
              </w:rPr>
              <w:t>符合</w:t>
            </w:r>
          </w:p>
        </w:tc>
      </w:tr>
      <w:tr w14:paraId="6664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200A93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YS5109032220001</w:t>
            </w:r>
          </w:p>
        </w:tc>
        <w:tc>
          <w:tcPr>
            <w:tcW w:w="286" w:type="pct"/>
            <w:vMerge w:val="continue"/>
            <w:shd w:val="clear" w:color="auto" w:fill="auto"/>
            <w:noWrap w:val="0"/>
            <w:vAlign w:val="center"/>
          </w:tcPr>
          <w:p w14:paraId="6370AE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涪江-船山区-米家桥-控制单元</w:t>
            </w:r>
          </w:p>
        </w:tc>
        <w:tc>
          <w:tcPr>
            <w:tcW w:w="770" w:type="pct"/>
            <w:shd w:val="clear" w:color="auto" w:fill="auto"/>
            <w:noWrap w:val="0"/>
            <w:vAlign w:val="center"/>
          </w:tcPr>
          <w:p w14:paraId="5A85180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资源开发效率要求</w:t>
            </w:r>
          </w:p>
        </w:tc>
        <w:tc>
          <w:tcPr>
            <w:tcW w:w="2916" w:type="pct"/>
            <w:shd w:val="clear" w:color="auto" w:fill="auto"/>
            <w:noWrap w:val="0"/>
            <w:vAlign w:val="center"/>
          </w:tcPr>
          <w:p w14:paraId="1D808B01">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569" w:type="pct"/>
            <w:shd w:val="clear" w:color="auto" w:fill="auto"/>
            <w:noWrap w:val="0"/>
            <w:vAlign w:val="center"/>
          </w:tcPr>
          <w:p w14:paraId="20A37D31">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191" w:type="pct"/>
            <w:shd w:val="clear" w:color="auto" w:fill="auto"/>
            <w:noWrap w:val="0"/>
            <w:vAlign w:val="center"/>
          </w:tcPr>
          <w:p w14:paraId="5F59CC88">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r>
      <w:tr w14:paraId="3388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restart"/>
            <w:shd w:val="clear" w:color="auto" w:fill="auto"/>
            <w:noWrap w:val="0"/>
            <w:vAlign w:val="center"/>
          </w:tcPr>
          <w:p w14:paraId="0CF30E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YS5109032340001</w:t>
            </w:r>
          </w:p>
        </w:tc>
        <w:tc>
          <w:tcPr>
            <w:tcW w:w="286" w:type="pct"/>
            <w:vMerge w:val="restart"/>
            <w:shd w:val="clear" w:color="auto" w:fill="auto"/>
            <w:noWrap w:val="0"/>
            <w:vAlign w:val="center"/>
          </w:tcPr>
          <w:p w14:paraId="505BF1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船山区城镇集中建设区</w:t>
            </w:r>
          </w:p>
        </w:tc>
        <w:tc>
          <w:tcPr>
            <w:tcW w:w="770" w:type="pct"/>
            <w:shd w:val="clear" w:color="auto" w:fill="auto"/>
            <w:noWrap w:val="0"/>
            <w:vAlign w:val="center"/>
          </w:tcPr>
          <w:p w14:paraId="0ABA6985">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空间布局约束</w:t>
            </w:r>
          </w:p>
        </w:tc>
        <w:tc>
          <w:tcPr>
            <w:tcW w:w="2916" w:type="pct"/>
            <w:shd w:val="clear" w:color="auto" w:fill="auto"/>
            <w:noWrap w:val="0"/>
            <w:vAlign w:val="center"/>
          </w:tcPr>
          <w:p w14:paraId="451195F9">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禁止开发建设活动的要求</w:t>
            </w:r>
          </w:p>
          <w:p w14:paraId="5E7C68D8">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2B052B89">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限制开发建设活动的要求</w:t>
            </w:r>
          </w:p>
          <w:p w14:paraId="047445AB">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46902C4E">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允许开发建设活动的要求</w:t>
            </w:r>
          </w:p>
          <w:p w14:paraId="71FD92D9">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791AD73E">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不符合空间布局要求活动的退出要求</w:t>
            </w:r>
          </w:p>
          <w:p w14:paraId="2BF5801D">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1EF0A9A6">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其他空间布局约束要求</w:t>
            </w:r>
          </w:p>
          <w:p w14:paraId="6F8601DA">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569" w:type="pct"/>
            <w:shd w:val="clear" w:color="auto" w:fill="auto"/>
            <w:noWrap w:val="0"/>
            <w:vAlign w:val="center"/>
          </w:tcPr>
          <w:p w14:paraId="43315F31">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191" w:type="pct"/>
            <w:shd w:val="clear" w:color="auto" w:fill="auto"/>
            <w:noWrap w:val="0"/>
            <w:vAlign w:val="center"/>
          </w:tcPr>
          <w:p w14:paraId="67B600C1">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r>
      <w:tr w14:paraId="058A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35A671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YS5109032340001</w:t>
            </w:r>
          </w:p>
        </w:tc>
        <w:tc>
          <w:tcPr>
            <w:tcW w:w="286" w:type="pct"/>
            <w:vMerge w:val="continue"/>
            <w:shd w:val="clear" w:color="auto" w:fill="auto"/>
            <w:noWrap w:val="0"/>
            <w:vAlign w:val="center"/>
          </w:tcPr>
          <w:p w14:paraId="1FFD6E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船山区城镇集中建设区</w:t>
            </w:r>
          </w:p>
        </w:tc>
        <w:tc>
          <w:tcPr>
            <w:tcW w:w="770" w:type="pct"/>
            <w:shd w:val="clear" w:color="auto" w:fill="auto"/>
            <w:noWrap w:val="0"/>
            <w:vAlign w:val="center"/>
          </w:tcPr>
          <w:p w14:paraId="2013B9E5">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污染物排放管控</w:t>
            </w:r>
          </w:p>
        </w:tc>
        <w:tc>
          <w:tcPr>
            <w:tcW w:w="2916" w:type="pct"/>
            <w:shd w:val="clear" w:color="auto" w:fill="auto"/>
            <w:noWrap w:val="0"/>
            <w:vAlign w:val="center"/>
          </w:tcPr>
          <w:p w14:paraId="7989B640">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大气环境质量执行标准</w:t>
            </w:r>
          </w:p>
          <w:p w14:paraId="371E9C4E">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《环境空气质量标准》（GB3095-2012）：二级</w:t>
            </w:r>
          </w:p>
          <w:p w14:paraId="4C5D2798">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区域大气污染物削减/替代要求</w:t>
            </w:r>
          </w:p>
          <w:p w14:paraId="1EA70C49">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031EA464">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燃煤和其他能源大气污染控制要求</w:t>
            </w:r>
          </w:p>
          <w:p w14:paraId="7B92AEF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3F52606B">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工业废气污染控制要求</w:t>
            </w:r>
          </w:p>
          <w:p w14:paraId="1BD7C100">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49D4AFF7">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机动车船大气污染控制要求</w:t>
            </w:r>
          </w:p>
          <w:p w14:paraId="0FD3E870">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加大新能源汽车在城市公交、出租汽车、城市配送、邮政快递、机场、铁路货场、重点地区港口等领域应用，地级以上城市清洁能源汽车在公共领域使用率显著提升，设区的市城市公交车基本实现新能源化。</w:t>
            </w:r>
          </w:p>
          <w:p w14:paraId="6F5F9016">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扬尘污染控制要求</w:t>
            </w:r>
          </w:p>
          <w:p w14:paraId="411719FD">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全面落实各类施工工地扬尘防控措施，重点、重大项目工地实现视频监控、可吸入颗粒物（PM10）在线监测全覆盖。</w:t>
            </w:r>
          </w:p>
          <w:p w14:paraId="7B65BEA7">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农业生产经营活动大气污染控制要求</w:t>
            </w:r>
          </w:p>
          <w:p w14:paraId="79F6DBA1">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2A6181B9">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重点行业企业专项治理要求</w:t>
            </w:r>
          </w:p>
          <w:p w14:paraId="17804894">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49513957">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其他大气污染物排放管控要求</w:t>
            </w:r>
          </w:p>
          <w:p w14:paraId="533AE1C3">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有序开展城市生活源VOCs污染防治，全面推广房屋建筑和市政工程涉VOCs工序环节使用低VOCs含量涂料和胶粘剂；推进加油站按照《四川省加油站大气污染排放标准》要求安装油气处理装置</w:t>
            </w:r>
          </w:p>
        </w:tc>
        <w:tc>
          <w:tcPr>
            <w:tcW w:w="569" w:type="pct"/>
            <w:shd w:val="clear" w:color="auto" w:fill="auto"/>
            <w:noWrap w:val="0"/>
            <w:vAlign w:val="center"/>
          </w:tcPr>
          <w:p w14:paraId="3E190CCB">
            <w:pPr>
              <w:keepNext w:val="0"/>
              <w:keepLines w:val="0"/>
              <w:pageBreakBefore w:val="0"/>
              <w:kinsoku/>
              <w:wordWrap/>
              <w:overflowPunct/>
              <w:topLinePunct w:val="0"/>
              <w:autoSpaceDE w:val="0"/>
              <w:autoSpaceDN w:val="0"/>
              <w:bidi w:val="0"/>
              <w:adjustRightInd w:val="0"/>
              <w:snapToGrid w:val="0"/>
              <w:spacing w:line="240" w:lineRule="auto"/>
              <w:ind w:firstLine="480" w:firstLineChars="20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Fonts w:hint="eastAsia"/>
                <w:color w:val="000000"/>
                <w:kern w:val="0"/>
                <w:szCs w:val="21"/>
              </w:rPr>
              <w:t>本项目为综合医院项目，</w:t>
            </w:r>
            <w:r>
              <w:rPr>
                <w:rFonts w:hint="eastAsia"/>
                <w:color w:val="000000"/>
                <w:kern w:val="0"/>
                <w:szCs w:val="21"/>
                <w:lang w:val="en-US" w:eastAsia="zh-CN"/>
              </w:rPr>
              <w:t>污水处理站产生少量的恶臭，并定期对污水处理站区域喷洒除臭剂；医疗暂存间恶臭设专人负责清理和喷洒消毒药水，做到定期清理；医院浑浊空气采取对室内定期进行紫外消毒灭菌（每日至少一次）以降低空气中含菌量，同时加强室内通风，靠窗办公室及病房采用自然通风，其他区域拟采用机械通风，利用空调系统送风，排风口均置于本项目所在大楼屋顶平台；备用柴油发电机废气采用发电机自带的消烟除尘装置处理后，由专用排烟道引至楼外排放</w:t>
            </w:r>
          </w:p>
        </w:tc>
        <w:tc>
          <w:tcPr>
            <w:tcW w:w="191" w:type="pct"/>
            <w:shd w:val="clear" w:color="auto" w:fill="auto"/>
            <w:noWrap w:val="0"/>
            <w:vAlign w:val="center"/>
          </w:tcPr>
          <w:p w14:paraId="35C122EA">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Fonts w:hint="eastAsia"/>
                <w:color w:val="000000"/>
                <w:kern w:val="0"/>
                <w:szCs w:val="21"/>
              </w:rPr>
              <w:t>符合</w:t>
            </w:r>
          </w:p>
        </w:tc>
      </w:tr>
      <w:tr w14:paraId="2E3D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5F5F5F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YS5109032340001</w:t>
            </w:r>
          </w:p>
        </w:tc>
        <w:tc>
          <w:tcPr>
            <w:tcW w:w="286" w:type="pct"/>
            <w:vMerge w:val="continue"/>
            <w:shd w:val="clear" w:color="auto" w:fill="auto"/>
            <w:noWrap w:val="0"/>
            <w:vAlign w:val="center"/>
          </w:tcPr>
          <w:p w14:paraId="0401D7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船山区城镇集中建设区</w:t>
            </w:r>
          </w:p>
        </w:tc>
        <w:tc>
          <w:tcPr>
            <w:tcW w:w="770" w:type="pct"/>
            <w:shd w:val="clear" w:color="auto" w:fill="auto"/>
            <w:noWrap w:val="0"/>
            <w:vAlign w:val="center"/>
          </w:tcPr>
          <w:p w14:paraId="2C38EE04">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环境风险防控</w:t>
            </w:r>
          </w:p>
        </w:tc>
        <w:tc>
          <w:tcPr>
            <w:tcW w:w="2916" w:type="pct"/>
            <w:vMerge w:val="restart"/>
            <w:shd w:val="clear" w:color="auto" w:fill="auto"/>
            <w:noWrap w:val="0"/>
            <w:vAlign w:val="center"/>
          </w:tcPr>
          <w:p w14:paraId="3B2D920E">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569" w:type="pct"/>
            <w:vMerge w:val="restart"/>
            <w:shd w:val="clear" w:color="auto" w:fill="auto"/>
            <w:noWrap w:val="0"/>
            <w:vAlign w:val="center"/>
          </w:tcPr>
          <w:p w14:paraId="42FA45FD">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left"/>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191" w:type="pct"/>
            <w:vMerge w:val="restart"/>
            <w:shd w:val="clear" w:color="auto" w:fill="auto"/>
            <w:noWrap w:val="0"/>
            <w:vAlign w:val="center"/>
          </w:tcPr>
          <w:p w14:paraId="7DE9CA24">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r>
      <w:tr w14:paraId="65CC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0B959F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YS5109032340001</w:t>
            </w:r>
          </w:p>
        </w:tc>
        <w:tc>
          <w:tcPr>
            <w:tcW w:w="286" w:type="pct"/>
            <w:vMerge w:val="continue"/>
            <w:shd w:val="clear" w:color="auto" w:fill="auto"/>
            <w:noWrap w:val="0"/>
            <w:vAlign w:val="center"/>
          </w:tcPr>
          <w:p w14:paraId="0F16E2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船山区城镇集中建设区</w:t>
            </w:r>
          </w:p>
        </w:tc>
        <w:tc>
          <w:tcPr>
            <w:tcW w:w="770" w:type="pct"/>
            <w:shd w:val="clear" w:color="auto" w:fill="auto"/>
            <w:noWrap w:val="0"/>
            <w:vAlign w:val="center"/>
          </w:tcPr>
          <w:p w14:paraId="5346628D">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资源开发效率要求</w:t>
            </w:r>
          </w:p>
        </w:tc>
        <w:tc>
          <w:tcPr>
            <w:tcW w:w="2916" w:type="pct"/>
            <w:vMerge w:val="continue"/>
            <w:shd w:val="clear" w:color="auto" w:fill="auto"/>
            <w:noWrap w:val="0"/>
            <w:vAlign w:val="center"/>
          </w:tcPr>
          <w:p w14:paraId="116C2125">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569" w:type="pct"/>
            <w:vMerge w:val="continue"/>
            <w:shd w:val="clear" w:color="auto" w:fill="auto"/>
            <w:noWrap w:val="0"/>
            <w:vAlign w:val="center"/>
          </w:tcPr>
          <w:p w14:paraId="2F7C70C3">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left"/>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p>
        </w:tc>
        <w:tc>
          <w:tcPr>
            <w:tcW w:w="191" w:type="pct"/>
            <w:vMerge w:val="continue"/>
            <w:shd w:val="clear" w:color="auto" w:fill="auto"/>
            <w:noWrap w:val="0"/>
            <w:vAlign w:val="center"/>
          </w:tcPr>
          <w:p w14:paraId="3FE89D58">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p>
        </w:tc>
      </w:tr>
      <w:tr w14:paraId="31B3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restart"/>
            <w:shd w:val="clear" w:color="auto" w:fill="auto"/>
            <w:noWrap w:val="0"/>
            <w:vAlign w:val="center"/>
          </w:tcPr>
          <w:p w14:paraId="09B54F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YS5109032530001</w:t>
            </w:r>
          </w:p>
        </w:tc>
        <w:tc>
          <w:tcPr>
            <w:tcW w:w="286" w:type="pct"/>
            <w:vMerge w:val="restart"/>
            <w:shd w:val="clear" w:color="auto" w:fill="auto"/>
            <w:noWrap w:val="0"/>
            <w:vAlign w:val="center"/>
          </w:tcPr>
          <w:p w14:paraId="7DF64B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船山区城镇开发边界</w:t>
            </w:r>
          </w:p>
        </w:tc>
        <w:tc>
          <w:tcPr>
            <w:tcW w:w="770" w:type="pct"/>
            <w:shd w:val="clear" w:color="auto" w:fill="auto"/>
            <w:noWrap w:val="0"/>
            <w:vAlign w:val="center"/>
          </w:tcPr>
          <w:p w14:paraId="71DED47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空间布局约束</w:t>
            </w:r>
          </w:p>
        </w:tc>
        <w:tc>
          <w:tcPr>
            <w:tcW w:w="2916" w:type="pct"/>
            <w:shd w:val="clear" w:color="auto" w:fill="auto"/>
            <w:noWrap w:val="0"/>
            <w:vAlign w:val="center"/>
          </w:tcPr>
          <w:p w14:paraId="3059890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569" w:type="pct"/>
            <w:shd w:val="clear" w:color="auto" w:fill="auto"/>
            <w:noWrap w:val="0"/>
            <w:vAlign w:val="center"/>
          </w:tcPr>
          <w:p w14:paraId="32323709">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left"/>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本项目为综合医院项目，不涉及城镇开发利用</w:t>
            </w:r>
          </w:p>
        </w:tc>
        <w:tc>
          <w:tcPr>
            <w:tcW w:w="191" w:type="pct"/>
            <w:shd w:val="clear" w:color="auto" w:fill="auto"/>
            <w:noWrap w:val="0"/>
            <w:vAlign w:val="center"/>
          </w:tcPr>
          <w:p w14:paraId="2C81106D">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符合</w:t>
            </w:r>
          </w:p>
        </w:tc>
      </w:tr>
      <w:tr w14:paraId="5230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04FC2F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YS5109032530001</w:t>
            </w:r>
          </w:p>
        </w:tc>
        <w:tc>
          <w:tcPr>
            <w:tcW w:w="286" w:type="pct"/>
            <w:vMerge w:val="continue"/>
            <w:shd w:val="clear" w:color="auto" w:fill="auto"/>
            <w:noWrap w:val="0"/>
            <w:vAlign w:val="center"/>
          </w:tcPr>
          <w:p w14:paraId="7BA55E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船山区城镇开发边界</w:t>
            </w:r>
          </w:p>
        </w:tc>
        <w:tc>
          <w:tcPr>
            <w:tcW w:w="770" w:type="pct"/>
            <w:shd w:val="clear" w:color="auto" w:fill="auto"/>
            <w:noWrap w:val="0"/>
            <w:vAlign w:val="center"/>
          </w:tcPr>
          <w:p w14:paraId="309D4020">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污染物排放管控</w:t>
            </w:r>
          </w:p>
        </w:tc>
        <w:tc>
          <w:tcPr>
            <w:tcW w:w="2916" w:type="pct"/>
            <w:vMerge w:val="restart"/>
            <w:shd w:val="clear" w:color="auto" w:fill="auto"/>
            <w:noWrap w:val="0"/>
            <w:vAlign w:val="center"/>
          </w:tcPr>
          <w:p w14:paraId="49F0D8A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569" w:type="pct"/>
            <w:vMerge w:val="restart"/>
            <w:shd w:val="clear" w:color="auto" w:fill="auto"/>
            <w:noWrap w:val="0"/>
            <w:vAlign w:val="center"/>
          </w:tcPr>
          <w:p w14:paraId="7BA15344">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left"/>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191" w:type="pct"/>
            <w:vMerge w:val="restart"/>
            <w:shd w:val="clear" w:color="auto" w:fill="auto"/>
            <w:noWrap w:val="0"/>
            <w:vAlign w:val="center"/>
          </w:tcPr>
          <w:p w14:paraId="53680686">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r>
      <w:tr w14:paraId="21C5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54396B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YS5109032530001</w:t>
            </w:r>
          </w:p>
        </w:tc>
        <w:tc>
          <w:tcPr>
            <w:tcW w:w="286" w:type="pct"/>
            <w:vMerge w:val="continue"/>
            <w:shd w:val="clear" w:color="auto" w:fill="auto"/>
            <w:noWrap w:val="0"/>
            <w:vAlign w:val="center"/>
          </w:tcPr>
          <w:p w14:paraId="6EEB6D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船山区城镇开发边界</w:t>
            </w:r>
          </w:p>
        </w:tc>
        <w:tc>
          <w:tcPr>
            <w:tcW w:w="770" w:type="pct"/>
            <w:shd w:val="clear" w:color="auto" w:fill="auto"/>
            <w:noWrap w:val="0"/>
            <w:vAlign w:val="center"/>
          </w:tcPr>
          <w:p w14:paraId="01E2BE56">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环境风险防控</w:t>
            </w:r>
          </w:p>
        </w:tc>
        <w:tc>
          <w:tcPr>
            <w:tcW w:w="2916" w:type="pct"/>
            <w:vMerge w:val="continue"/>
            <w:shd w:val="clear" w:color="auto" w:fill="auto"/>
            <w:noWrap w:val="0"/>
            <w:vAlign w:val="center"/>
          </w:tcPr>
          <w:p w14:paraId="0599C531">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569" w:type="pct"/>
            <w:vMerge w:val="continue"/>
            <w:shd w:val="clear" w:color="auto" w:fill="auto"/>
            <w:noWrap w:val="0"/>
            <w:vAlign w:val="center"/>
          </w:tcPr>
          <w:p w14:paraId="7624F5AC">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left"/>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p>
        </w:tc>
        <w:tc>
          <w:tcPr>
            <w:tcW w:w="191" w:type="pct"/>
            <w:vMerge w:val="continue"/>
            <w:shd w:val="clear" w:color="auto" w:fill="auto"/>
            <w:noWrap w:val="0"/>
            <w:vAlign w:val="center"/>
          </w:tcPr>
          <w:p w14:paraId="3AB17FAB">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p>
        </w:tc>
      </w:tr>
      <w:tr w14:paraId="64F4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40AE7F7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YS5109032530001</w:t>
            </w:r>
          </w:p>
        </w:tc>
        <w:tc>
          <w:tcPr>
            <w:tcW w:w="286" w:type="pct"/>
            <w:vMerge w:val="continue"/>
            <w:shd w:val="clear" w:color="auto" w:fill="auto"/>
            <w:noWrap w:val="0"/>
            <w:vAlign w:val="center"/>
          </w:tcPr>
          <w:p w14:paraId="2905D6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船山区城镇开发边界</w:t>
            </w:r>
          </w:p>
        </w:tc>
        <w:tc>
          <w:tcPr>
            <w:tcW w:w="770" w:type="pct"/>
            <w:shd w:val="clear" w:color="auto" w:fill="auto"/>
            <w:noWrap w:val="0"/>
            <w:vAlign w:val="center"/>
          </w:tcPr>
          <w:p w14:paraId="0EFEFD75">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资源开发效率要求</w:t>
            </w:r>
          </w:p>
        </w:tc>
        <w:tc>
          <w:tcPr>
            <w:tcW w:w="2916" w:type="pct"/>
            <w:shd w:val="clear" w:color="auto" w:fill="auto"/>
            <w:noWrap w:val="0"/>
            <w:vAlign w:val="center"/>
          </w:tcPr>
          <w:p w14:paraId="2A957664">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土地资源开发效率要求</w:t>
            </w:r>
          </w:p>
          <w:p w14:paraId="3E807908">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土地资源开发利用量不得超过土地资源利用上线控制性指标。</w:t>
            </w:r>
          </w:p>
          <w:p w14:paraId="2B9AF339">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能源资源开发效率要求</w:t>
            </w:r>
          </w:p>
          <w:p w14:paraId="00624AF8">
            <w:pPr>
              <w:keepNext w:val="0"/>
              <w:keepLines w:val="0"/>
              <w:pageBreakBefore w:val="0"/>
              <w:widowControl/>
              <w:shd w:val="clear" w:color="auto"/>
              <w:kinsoku/>
              <w:wordWrap/>
              <w:overflowPunct/>
              <w:topLinePunct w:val="0"/>
              <w:autoSpaceDE/>
              <w:autoSpaceDN/>
              <w:bidi w:val="0"/>
              <w:adjustRightInd w:val="0"/>
              <w:snapToGrid w:val="0"/>
              <w:spacing w:line="240" w:lineRule="auto"/>
              <w:jc w:val="both"/>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72CFDD10">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其他资源开发效率要求</w:t>
            </w:r>
          </w:p>
          <w:p w14:paraId="0A67BC28">
            <w:pPr>
              <w:keepNext w:val="0"/>
              <w:keepLines w:val="0"/>
              <w:pageBreakBefore w:val="0"/>
              <w:widowControl/>
              <w:shd w:val="clear" w:color="auto"/>
              <w:kinsoku/>
              <w:wordWrap/>
              <w:overflowPunct/>
              <w:topLinePunct w:val="0"/>
              <w:autoSpaceDE/>
              <w:autoSpaceDN/>
              <w:bidi w:val="0"/>
              <w:adjustRightInd w:val="0"/>
              <w:snapToGrid w:val="0"/>
              <w:spacing w:line="240" w:lineRule="auto"/>
              <w:jc w:val="both"/>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569" w:type="pct"/>
            <w:shd w:val="clear" w:color="auto" w:fill="auto"/>
            <w:noWrap w:val="0"/>
            <w:vAlign w:val="center"/>
          </w:tcPr>
          <w:p w14:paraId="615029E9">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Times New Roman" w:hAnsi="Times New Roman" w:eastAsia="宋体" w:cs="Times New Roman"/>
                <w:color w:val="auto"/>
                <w:kern w:val="2"/>
                <w:sz w:val="21"/>
                <w:szCs w:val="21"/>
                <w:highlight w:val="none"/>
                <w:shd w:val="clear" w:color="auto" w:fill="auto"/>
                <w:lang w:val="en-US" w:eastAsia="zh-CN" w:bidi="ar-SA"/>
              </w:rPr>
            </w:pPr>
            <w:r>
              <w:rPr>
                <w:rStyle w:val="17"/>
                <w:rFonts w:hint="eastAsia" w:ascii="Times New Roman" w:hAnsi="Times New Roman" w:eastAsia="宋体" w:cs="Times New Roman"/>
                <w:color w:val="auto"/>
                <w:kern w:val="2"/>
                <w:sz w:val="21"/>
                <w:szCs w:val="21"/>
                <w:highlight w:val="none"/>
                <w:shd w:val="clear" w:color="auto" w:fill="auto"/>
                <w:lang w:val="en-US" w:eastAsia="zh-CN" w:bidi="ar-SA"/>
              </w:rPr>
              <w:t>本项目为综合医院项目，不涉及土地资源开发利用</w:t>
            </w:r>
          </w:p>
        </w:tc>
        <w:tc>
          <w:tcPr>
            <w:tcW w:w="191" w:type="pct"/>
            <w:shd w:val="clear" w:color="auto" w:fill="auto"/>
            <w:noWrap w:val="0"/>
            <w:vAlign w:val="center"/>
          </w:tcPr>
          <w:p w14:paraId="50079EBA">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符合</w:t>
            </w:r>
          </w:p>
        </w:tc>
      </w:tr>
      <w:tr w14:paraId="32C7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restart"/>
            <w:shd w:val="clear" w:color="auto" w:fill="auto"/>
            <w:noWrap w:val="0"/>
            <w:vAlign w:val="center"/>
          </w:tcPr>
          <w:p w14:paraId="153C5C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YS5109032540004</w:t>
            </w:r>
          </w:p>
        </w:tc>
        <w:tc>
          <w:tcPr>
            <w:tcW w:w="286" w:type="pct"/>
            <w:vMerge w:val="restart"/>
            <w:shd w:val="clear" w:color="auto" w:fill="auto"/>
            <w:noWrap w:val="0"/>
            <w:vAlign w:val="center"/>
          </w:tcPr>
          <w:p w14:paraId="718758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中环线范围</w:t>
            </w:r>
          </w:p>
        </w:tc>
        <w:tc>
          <w:tcPr>
            <w:tcW w:w="770" w:type="pct"/>
            <w:shd w:val="clear" w:color="auto" w:fill="auto"/>
            <w:noWrap w:val="0"/>
            <w:vAlign w:val="center"/>
          </w:tcPr>
          <w:p w14:paraId="534C7E5D">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空间布局约束</w:t>
            </w:r>
          </w:p>
        </w:tc>
        <w:tc>
          <w:tcPr>
            <w:tcW w:w="2916" w:type="pct"/>
            <w:shd w:val="clear" w:color="auto" w:fill="auto"/>
            <w:noWrap w:val="0"/>
            <w:vAlign w:val="center"/>
          </w:tcPr>
          <w:p w14:paraId="2B12192D">
            <w:pPr>
              <w:keepNext w:val="0"/>
              <w:keepLines w:val="0"/>
              <w:pageBreakBefore w:val="0"/>
              <w:widowControl/>
              <w:shd w:val="clear" w:color="auto"/>
              <w:kinsoku/>
              <w:wordWrap/>
              <w:overflowPunct/>
              <w:topLinePunct w:val="0"/>
              <w:autoSpaceDE/>
              <w:autoSpaceDN/>
              <w:bidi w:val="0"/>
              <w:adjustRightInd w:val="0"/>
              <w:snapToGrid w:val="0"/>
              <w:spacing w:line="240" w:lineRule="auto"/>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坚决遏制“两高一低”项目盲目发展</w:t>
            </w:r>
          </w:p>
        </w:tc>
        <w:tc>
          <w:tcPr>
            <w:tcW w:w="569" w:type="pct"/>
            <w:shd w:val="clear" w:color="auto" w:fill="auto"/>
            <w:noWrap w:val="0"/>
            <w:vAlign w:val="center"/>
          </w:tcPr>
          <w:p w14:paraId="1A4F09DB">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Times New Roman" w:hAnsi="Times New Roman" w:eastAsia="宋体" w:cs="Times New Roman"/>
                <w:color w:val="auto"/>
                <w:kern w:val="2"/>
                <w:sz w:val="21"/>
                <w:szCs w:val="21"/>
                <w:highlight w:val="none"/>
                <w:shd w:val="clear" w:color="auto" w:fill="auto"/>
                <w:lang w:val="en-US" w:eastAsia="zh-CN" w:bidi="ar-SA"/>
              </w:rPr>
            </w:pPr>
            <w:r>
              <w:rPr>
                <w:rStyle w:val="17"/>
                <w:rFonts w:hint="eastAsia" w:ascii="Times New Roman" w:hAnsi="Times New Roman" w:eastAsia="宋体" w:cs="Times New Roman"/>
                <w:color w:val="auto"/>
                <w:kern w:val="2"/>
                <w:sz w:val="21"/>
                <w:szCs w:val="21"/>
                <w:highlight w:val="none"/>
                <w:shd w:val="clear" w:color="auto" w:fill="auto"/>
                <w:lang w:val="en-US" w:eastAsia="zh-CN" w:bidi="ar-SA"/>
              </w:rPr>
              <w:t>本项目不涉及</w:t>
            </w:r>
          </w:p>
        </w:tc>
        <w:tc>
          <w:tcPr>
            <w:tcW w:w="191" w:type="pct"/>
            <w:shd w:val="clear" w:color="auto" w:fill="auto"/>
            <w:noWrap w:val="0"/>
            <w:vAlign w:val="center"/>
          </w:tcPr>
          <w:p w14:paraId="72C0E84B">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符合</w:t>
            </w:r>
          </w:p>
        </w:tc>
      </w:tr>
      <w:tr w14:paraId="46EF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643B83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YS5109032540004</w:t>
            </w:r>
          </w:p>
        </w:tc>
        <w:tc>
          <w:tcPr>
            <w:tcW w:w="286" w:type="pct"/>
            <w:vMerge w:val="continue"/>
            <w:shd w:val="clear" w:color="auto" w:fill="auto"/>
            <w:noWrap w:val="0"/>
            <w:vAlign w:val="center"/>
          </w:tcPr>
          <w:p w14:paraId="1B5D7C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中环线范围</w:t>
            </w:r>
          </w:p>
        </w:tc>
        <w:tc>
          <w:tcPr>
            <w:tcW w:w="770" w:type="pct"/>
            <w:shd w:val="clear" w:color="auto" w:fill="auto"/>
            <w:noWrap w:val="0"/>
            <w:vAlign w:val="center"/>
          </w:tcPr>
          <w:p w14:paraId="142EEF9D">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污染物排放管控</w:t>
            </w:r>
          </w:p>
        </w:tc>
        <w:tc>
          <w:tcPr>
            <w:tcW w:w="2916" w:type="pct"/>
            <w:vMerge w:val="restart"/>
            <w:shd w:val="clear" w:color="auto" w:fill="auto"/>
            <w:noWrap w:val="0"/>
            <w:vAlign w:val="center"/>
          </w:tcPr>
          <w:p w14:paraId="43E08F4A">
            <w:pPr>
              <w:keepNext w:val="0"/>
              <w:keepLines w:val="0"/>
              <w:pageBreakBefore w:val="0"/>
              <w:widowControl/>
              <w:shd w:val="clear" w:color="auto"/>
              <w:kinsoku/>
              <w:wordWrap/>
              <w:overflowPunct/>
              <w:topLinePunct w:val="0"/>
              <w:autoSpaceDE/>
              <w:autoSpaceDN/>
              <w:bidi w:val="0"/>
              <w:adjustRightInd w:val="0"/>
              <w:snapToGrid w:val="0"/>
              <w:spacing w:line="240" w:lineRule="auto"/>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569" w:type="pct"/>
            <w:vMerge w:val="restart"/>
            <w:shd w:val="clear" w:color="auto" w:fill="auto"/>
            <w:noWrap w:val="0"/>
            <w:vAlign w:val="center"/>
          </w:tcPr>
          <w:p w14:paraId="12E04A3A">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left"/>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191" w:type="pct"/>
            <w:vMerge w:val="restart"/>
            <w:shd w:val="clear" w:color="auto" w:fill="auto"/>
            <w:noWrap w:val="0"/>
            <w:vAlign w:val="center"/>
          </w:tcPr>
          <w:p w14:paraId="35F40350">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r>
      <w:tr w14:paraId="2DDF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41CD24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YS5109032540004</w:t>
            </w:r>
          </w:p>
        </w:tc>
        <w:tc>
          <w:tcPr>
            <w:tcW w:w="286" w:type="pct"/>
            <w:vMerge w:val="continue"/>
            <w:shd w:val="clear" w:color="auto" w:fill="auto"/>
            <w:noWrap w:val="0"/>
            <w:vAlign w:val="center"/>
          </w:tcPr>
          <w:p w14:paraId="31B36F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中环线范围</w:t>
            </w:r>
          </w:p>
        </w:tc>
        <w:tc>
          <w:tcPr>
            <w:tcW w:w="770" w:type="pct"/>
            <w:shd w:val="clear" w:color="auto" w:fill="auto"/>
            <w:noWrap w:val="0"/>
            <w:vAlign w:val="center"/>
          </w:tcPr>
          <w:p w14:paraId="3B9D71C7">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环境风险防控</w:t>
            </w:r>
          </w:p>
        </w:tc>
        <w:tc>
          <w:tcPr>
            <w:tcW w:w="2916" w:type="pct"/>
            <w:vMerge w:val="continue"/>
            <w:shd w:val="clear" w:color="auto" w:fill="auto"/>
            <w:noWrap w:val="0"/>
            <w:vAlign w:val="center"/>
          </w:tcPr>
          <w:p w14:paraId="4697EE62">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569" w:type="pct"/>
            <w:vMerge w:val="continue"/>
            <w:shd w:val="clear" w:color="auto" w:fill="auto"/>
            <w:noWrap w:val="0"/>
            <w:vAlign w:val="center"/>
          </w:tcPr>
          <w:p w14:paraId="3FEBA852">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left"/>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p>
        </w:tc>
        <w:tc>
          <w:tcPr>
            <w:tcW w:w="191" w:type="pct"/>
            <w:vMerge w:val="continue"/>
            <w:shd w:val="clear" w:color="auto" w:fill="auto"/>
            <w:noWrap w:val="0"/>
            <w:vAlign w:val="center"/>
          </w:tcPr>
          <w:p w14:paraId="466B53A3">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p>
        </w:tc>
      </w:tr>
      <w:tr w14:paraId="77AF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120AA8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YS5109032540004</w:t>
            </w:r>
          </w:p>
        </w:tc>
        <w:tc>
          <w:tcPr>
            <w:tcW w:w="286" w:type="pct"/>
            <w:vMerge w:val="continue"/>
            <w:shd w:val="clear" w:color="auto" w:fill="auto"/>
            <w:noWrap w:val="0"/>
            <w:vAlign w:val="center"/>
          </w:tcPr>
          <w:p w14:paraId="5E29C0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中环线范围</w:t>
            </w:r>
          </w:p>
        </w:tc>
        <w:tc>
          <w:tcPr>
            <w:tcW w:w="770" w:type="pct"/>
            <w:shd w:val="clear" w:color="auto" w:fill="auto"/>
            <w:noWrap w:val="0"/>
            <w:vAlign w:val="center"/>
          </w:tcPr>
          <w:p w14:paraId="25CC400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资源开发效率要求</w:t>
            </w:r>
          </w:p>
        </w:tc>
        <w:tc>
          <w:tcPr>
            <w:tcW w:w="2916" w:type="pct"/>
            <w:shd w:val="clear" w:color="auto" w:fill="auto"/>
            <w:noWrap w:val="0"/>
            <w:vAlign w:val="center"/>
          </w:tcPr>
          <w:p w14:paraId="0A6D795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土地资源开发效率要求</w:t>
            </w:r>
          </w:p>
          <w:p w14:paraId="08CB9635">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3A29D778">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能源资源开发效率要求</w:t>
            </w:r>
          </w:p>
          <w:p w14:paraId="12605CE7">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能源消耗、污染物排放不得超过能源利用上线控制性指标。</w:t>
            </w:r>
          </w:p>
          <w:p w14:paraId="2DAF22DD">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其他资源开发效率要求</w:t>
            </w:r>
          </w:p>
          <w:p w14:paraId="74C72556">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default"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w:t>
            </w:r>
          </w:p>
        </w:tc>
        <w:tc>
          <w:tcPr>
            <w:tcW w:w="569" w:type="pct"/>
            <w:shd w:val="clear" w:color="auto" w:fill="auto"/>
            <w:noWrap w:val="0"/>
            <w:vAlign w:val="center"/>
          </w:tcPr>
          <w:p w14:paraId="06A9A6C6">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left"/>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本项目为综合医院项目，不涉及资源开发及资源利用</w:t>
            </w:r>
          </w:p>
        </w:tc>
        <w:tc>
          <w:tcPr>
            <w:tcW w:w="191" w:type="pct"/>
            <w:shd w:val="clear" w:color="auto" w:fill="auto"/>
            <w:noWrap w:val="0"/>
            <w:vAlign w:val="center"/>
          </w:tcPr>
          <w:p w14:paraId="70427A0B">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符合</w:t>
            </w:r>
          </w:p>
        </w:tc>
      </w:tr>
      <w:tr w14:paraId="3AD6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restart"/>
            <w:shd w:val="clear" w:color="auto" w:fill="auto"/>
            <w:noWrap w:val="0"/>
            <w:vAlign w:val="center"/>
          </w:tcPr>
          <w:p w14:paraId="5E9A32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YS5109032550001</w:t>
            </w:r>
          </w:p>
        </w:tc>
        <w:tc>
          <w:tcPr>
            <w:tcW w:w="286" w:type="pct"/>
            <w:vMerge w:val="restart"/>
            <w:shd w:val="clear" w:color="auto" w:fill="auto"/>
            <w:noWrap w:val="0"/>
            <w:vAlign w:val="center"/>
          </w:tcPr>
          <w:p w14:paraId="31E9CA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船山区自然资源重点管控区</w:t>
            </w:r>
          </w:p>
        </w:tc>
        <w:tc>
          <w:tcPr>
            <w:tcW w:w="770" w:type="pct"/>
            <w:shd w:val="clear" w:color="auto" w:fill="auto"/>
            <w:noWrap w:val="0"/>
            <w:vAlign w:val="center"/>
          </w:tcPr>
          <w:p w14:paraId="547744F1">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空间布局约束</w:t>
            </w:r>
          </w:p>
        </w:tc>
        <w:tc>
          <w:tcPr>
            <w:tcW w:w="2916" w:type="pct"/>
            <w:vMerge w:val="restart"/>
            <w:shd w:val="clear" w:color="auto" w:fill="auto"/>
            <w:noWrap w:val="0"/>
            <w:vAlign w:val="center"/>
          </w:tcPr>
          <w:p w14:paraId="3D3E0953">
            <w:pPr>
              <w:keepNext w:val="0"/>
              <w:keepLines w:val="0"/>
              <w:pageBreakBefore w:val="0"/>
              <w:widowControl/>
              <w:shd w:val="clear" w:color="auto"/>
              <w:kinsoku/>
              <w:wordWrap/>
              <w:overflowPunct/>
              <w:topLinePunct w:val="0"/>
              <w:autoSpaceDE/>
              <w:autoSpaceDN/>
              <w:bidi w:val="0"/>
              <w:adjustRightInd w:val="0"/>
              <w:snapToGrid w:val="0"/>
              <w:spacing w:line="240" w:lineRule="auto"/>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569" w:type="pct"/>
            <w:vMerge w:val="restart"/>
            <w:shd w:val="clear" w:color="auto" w:fill="auto"/>
            <w:noWrap w:val="0"/>
            <w:vAlign w:val="center"/>
          </w:tcPr>
          <w:p w14:paraId="3DF16465">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left"/>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191" w:type="pct"/>
            <w:vMerge w:val="restart"/>
            <w:shd w:val="clear" w:color="auto" w:fill="auto"/>
            <w:noWrap w:val="0"/>
            <w:vAlign w:val="center"/>
          </w:tcPr>
          <w:p w14:paraId="2AD6CC2A">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r>
      <w:tr w14:paraId="6E48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1B30CB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YS5109032550001</w:t>
            </w:r>
          </w:p>
        </w:tc>
        <w:tc>
          <w:tcPr>
            <w:tcW w:w="286" w:type="pct"/>
            <w:vMerge w:val="continue"/>
            <w:shd w:val="clear" w:color="auto" w:fill="auto"/>
            <w:noWrap w:val="0"/>
            <w:vAlign w:val="center"/>
          </w:tcPr>
          <w:p w14:paraId="1D0CEB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船山区自然资源重点管控区</w:t>
            </w:r>
          </w:p>
        </w:tc>
        <w:tc>
          <w:tcPr>
            <w:tcW w:w="770" w:type="pct"/>
            <w:shd w:val="clear" w:color="auto" w:fill="auto"/>
            <w:noWrap w:val="0"/>
            <w:vAlign w:val="center"/>
          </w:tcPr>
          <w:p w14:paraId="1984DC48">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污染物排放管控</w:t>
            </w:r>
          </w:p>
        </w:tc>
        <w:tc>
          <w:tcPr>
            <w:tcW w:w="2916" w:type="pct"/>
            <w:vMerge w:val="continue"/>
            <w:shd w:val="clear" w:color="auto" w:fill="auto"/>
            <w:noWrap w:val="0"/>
            <w:vAlign w:val="center"/>
          </w:tcPr>
          <w:p w14:paraId="666EC42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569" w:type="pct"/>
            <w:vMerge w:val="continue"/>
            <w:shd w:val="clear" w:color="auto" w:fill="auto"/>
            <w:noWrap w:val="0"/>
            <w:vAlign w:val="center"/>
          </w:tcPr>
          <w:p w14:paraId="61F92DB2">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left"/>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p>
        </w:tc>
        <w:tc>
          <w:tcPr>
            <w:tcW w:w="191" w:type="pct"/>
            <w:vMerge w:val="continue"/>
            <w:shd w:val="clear" w:color="auto" w:fill="auto"/>
            <w:noWrap w:val="0"/>
            <w:vAlign w:val="center"/>
          </w:tcPr>
          <w:p w14:paraId="4D9D5F56">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p>
        </w:tc>
      </w:tr>
      <w:tr w14:paraId="5BB0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7EC985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YS5109032550001</w:t>
            </w:r>
          </w:p>
        </w:tc>
        <w:tc>
          <w:tcPr>
            <w:tcW w:w="286" w:type="pct"/>
            <w:vMerge w:val="continue"/>
            <w:shd w:val="clear" w:color="auto" w:fill="auto"/>
            <w:noWrap w:val="0"/>
            <w:vAlign w:val="center"/>
          </w:tcPr>
          <w:p w14:paraId="58FD6D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船山区自然资源重点管控区</w:t>
            </w:r>
          </w:p>
        </w:tc>
        <w:tc>
          <w:tcPr>
            <w:tcW w:w="770" w:type="pct"/>
            <w:shd w:val="clear" w:color="auto" w:fill="auto"/>
            <w:noWrap w:val="0"/>
            <w:vAlign w:val="center"/>
          </w:tcPr>
          <w:p w14:paraId="48FB1D3B">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环境风险防控</w:t>
            </w:r>
          </w:p>
        </w:tc>
        <w:tc>
          <w:tcPr>
            <w:tcW w:w="2916" w:type="pct"/>
            <w:vMerge w:val="continue"/>
            <w:shd w:val="clear" w:color="auto" w:fill="auto"/>
            <w:noWrap w:val="0"/>
            <w:vAlign w:val="center"/>
          </w:tcPr>
          <w:p w14:paraId="0E0EB0A8">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569" w:type="pct"/>
            <w:vMerge w:val="continue"/>
            <w:shd w:val="clear" w:color="auto" w:fill="auto"/>
            <w:noWrap w:val="0"/>
            <w:vAlign w:val="center"/>
          </w:tcPr>
          <w:p w14:paraId="636EFC47">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left"/>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p>
        </w:tc>
        <w:tc>
          <w:tcPr>
            <w:tcW w:w="191" w:type="pct"/>
            <w:vMerge w:val="continue"/>
            <w:shd w:val="clear" w:color="auto" w:fill="auto"/>
            <w:noWrap w:val="0"/>
            <w:vAlign w:val="center"/>
          </w:tcPr>
          <w:p w14:paraId="0B8EBF0C">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p>
        </w:tc>
      </w:tr>
      <w:tr w14:paraId="655E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2476CD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YS5109032550001</w:t>
            </w:r>
          </w:p>
        </w:tc>
        <w:tc>
          <w:tcPr>
            <w:tcW w:w="286" w:type="pct"/>
            <w:vMerge w:val="continue"/>
            <w:shd w:val="clear" w:color="auto" w:fill="auto"/>
            <w:noWrap w:val="0"/>
            <w:vAlign w:val="center"/>
          </w:tcPr>
          <w:p w14:paraId="609C24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船山区自然资源重点管控区</w:t>
            </w:r>
          </w:p>
        </w:tc>
        <w:tc>
          <w:tcPr>
            <w:tcW w:w="770" w:type="pct"/>
            <w:shd w:val="clear" w:color="auto" w:fill="auto"/>
            <w:noWrap w:val="0"/>
            <w:vAlign w:val="center"/>
          </w:tcPr>
          <w:p w14:paraId="4E844E94">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资源开发效率要求</w:t>
            </w:r>
          </w:p>
        </w:tc>
        <w:tc>
          <w:tcPr>
            <w:tcW w:w="2916" w:type="pct"/>
            <w:shd w:val="clear" w:color="auto" w:fill="auto"/>
            <w:noWrap w:val="0"/>
            <w:vAlign w:val="center"/>
          </w:tcPr>
          <w:p w14:paraId="6C500CDA">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土地资源开发效率要求</w:t>
            </w:r>
          </w:p>
          <w:p w14:paraId="1CD5A408">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default" w:ascii="宋体" w:hAnsi="宋体" w:eastAsia="宋体" w:cs="Times New Roman"/>
                <w:b w:val="0"/>
                <w:bCs w:val="0"/>
                <w:color w:val="auto"/>
                <w:kern w:val="2"/>
                <w:sz w:val="21"/>
                <w:szCs w:val="21"/>
                <w:highlight w:val="none"/>
                <w:shd w:val="clear" w:color="auto" w:fill="auto"/>
                <w:lang w:val="en-US" w:eastAsia="zh-CN" w:bidi="ar-SA"/>
              </w:rPr>
            </w:pP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w:t>
            </w:r>
          </w:p>
          <w:p w14:paraId="241D8AE6">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能源资源开发效率要求</w:t>
            </w:r>
          </w:p>
          <w:p w14:paraId="112E8F92">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default" w:ascii="宋体" w:hAnsi="宋体" w:eastAsia="宋体" w:cs="Times New Roman"/>
                <w:b w:val="0"/>
                <w:bCs w:val="0"/>
                <w:color w:val="auto"/>
                <w:kern w:val="2"/>
                <w:sz w:val="21"/>
                <w:szCs w:val="21"/>
                <w:highlight w:val="none"/>
                <w:shd w:val="clear" w:color="auto" w:fill="auto"/>
                <w:lang w:val="en-US" w:eastAsia="zh-CN" w:bidi="ar-SA"/>
              </w:rPr>
            </w:pP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w:t>
            </w:r>
          </w:p>
          <w:p w14:paraId="161D2C18">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其他资源开发效率要求</w:t>
            </w:r>
          </w:p>
          <w:p w14:paraId="1DD4E427">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default"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w:t>
            </w:r>
          </w:p>
        </w:tc>
        <w:tc>
          <w:tcPr>
            <w:tcW w:w="569" w:type="pct"/>
            <w:shd w:val="clear" w:color="auto" w:fill="auto"/>
            <w:noWrap w:val="0"/>
            <w:vAlign w:val="center"/>
          </w:tcPr>
          <w:p w14:paraId="602356D0">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left"/>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191" w:type="pct"/>
            <w:shd w:val="clear" w:color="auto" w:fill="auto"/>
            <w:noWrap w:val="0"/>
            <w:vAlign w:val="center"/>
          </w:tcPr>
          <w:p w14:paraId="12EE7949">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default"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r>
      <w:tr w14:paraId="1A8E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6" w:type="pct"/>
            <w:vMerge w:val="restart"/>
            <w:shd w:val="clear" w:color="auto" w:fill="auto"/>
            <w:noWrap w:val="0"/>
            <w:vAlign w:val="center"/>
          </w:tcPr>
          <w:p w14:paraId="077DD1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ZH51090320001</w:t>
            </w:r>
          </w:p>
        </w:tc>
        <w:tc>
          <w:tcPr>
            <w:tcW w:w="286" w:type="pct"/>
            <w:vMerge w:val="restart"/>
            <w:shd w:val="clear" w:color="auto" w:fill="auto"/>
            <w:noWrap w:val="0"/>
            <w:vAlign w:val="center"/>
          </w:tcPr>
          <w:p w14:paraId="2DF4413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船山区城镇空间</w:t>
            </w:r>
          </w:p>
        </w:tc>
        <w:tc>
          <w:tcPr>
            <w:tcW w:w="770" w:type="pct"/>
            <w:shd w:val="clear" w:color="auto" w:fill="auto"/>
            <w:noWrap w:val="0"/>
            <w:vAlign w:val="center"/>
          </w:tcPr>
          <w:p w14:paraId="64EFFDAA">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空间布局约束</w:t>
            </w:r>
          </w:p>
        </w:tc>
        <w:tc>
          <w:tcPr>
            <w:tcW w:w="2916" w:type="pct"/>
            <w:shd w:val="clear" w:color="auto" w:fill="auto"/>
            <w:noWrap w:val="0"/>
            <w:vAlign w:val="center"/>
          </w:tcPr>
          <w:p w14:paraId="6BA0FF94">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禁止开发建设活动的要求</w:t>
            </w:r>
          </w:p>
          <w:p w14:paraId="068C50C7">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参照遂宁市总体准入要求-城镇重点管控单元</w:t>
            </w:r>
          </w:p>
          <w:p w14:paraId="41CC73CA">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限制开发建设活动的要求</w:t>
            </w:r>
          </w:p>
          <w:p w14:paraId="0E31AD87">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b w:val="0"/>
                <w:bCs w:val="0"/>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1.城市发</w:t>
            </w: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展遵循“一核、两带、三片”的布局战略</w:t>
            </w:r>
          </w:p>
          <w:p w14:paraId="7F9684F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2.其他参照</w:t>
            </w:r>
            <w:r>
              <w:rPr>
                <w:rStyle w:val="17"/>
                <w:rFonts w:hint="eastAsia" w:ascii="宋体" w:hAnsi="宋体" w:eastAsia="宋体" w:cs="Times New Roman"/>
                <w:color w:val="auto"/>
                <w:kern w:val="2"/>
                <w:sz w:val="21"/>
                <w:szCs w:val="21"/>
                <w:highlight w:val="none"/>
                <w:shd w:val="clear" w:color="auto" w:fill="auto"/>
                <w:lang w:val="en-US" w:eastAsia="zh-CN" w:bidi="ar-SA"/>
              </w:rPr>
              <w:t>遂宁市总体准入要求-城镇重点管控单元</w:t>
            </w:r>
          </w:p>
          <w:p w14:paraId="21056A96">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允许开发建设活动的要求</w:t>
            </w:r>
          </w:p>
          <w:p w14:paraId="345A493D">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b w:val="0"/>
                <w:bCs w:val="0"/>
                <w:color w:val="auto"/>
                <w:kern w:val="2"/>
                <w:sz w:val="21"/>
                <w:szCs w:val="21"/>
                <w:highlight w:val="none"/>
                <w:shd w:val="clear" w:color="auto" w:fill="auto"/>
                <w:lang w:val="en-US" w:eastAsia="zh-CN" w:bidi="ar-SA"/>
              </w:rPr>
            </w:pP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w:t>
            </w:r>
          </w:p>
          <w:p w14:paraId="565DEEC3">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不符合空间布局要求活动的退出要求</w:t>
            </w:r>
          </w:p>
          <w:p w14:paraId="3AF8C9EA">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参照</w:t>
            </w:r>
            <w:r>
              <w:rPr>
                <w:rStyle w:val="17"/>
                <w:rFonts w:hint="eastAsia" w:ascii="宋体" w:hAnsi="宋体" w:eastAsia="宋体" w:cs="Times New Roman"/>
                <w:color w:val="auto"/>
                <w:kern w:val="2"/>
                <w:sz w:val="21"/>
                <w:szCs w:val="21"/>
                <w:highlight w:val="none"/>
                <w:shd w:val="clear" w:color="auto" w:fill="auto"/>
                <w:lang w:val="en-US" w:eastAsia="zh-CN" w:bidi="ar-SA"/>
              </w:rPr>
              <w:t>遂宁市总体准入要求-城镇重点管控单元</w:t>
            </w:r>
          </w:p>
          <w:p w14:paraId="5B52B9D6">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其他空间布局约束要求</w:t>
            </w:r>
          </w:p>
          <w:p w14:paraId="312DB597">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w:t>
            </w:r>
          </w:p>
        </w:tc>
        <w:tc>
          <w:tcPr>
            <w:tcW w:w="569" w:type="pct"/>
            <w:shd w:val="clear" w:color="auto" w:fill="auto"/>
            <w:noWrap w:val="0"/>
            <w:vAlign w:val="center"/>
          </w:tcPr>
          <w:p w14:paraId="645F40B5">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left"/>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1.满足遂宁市总体准入要求-要素重点管控单元</w:t>
            </w:r>
          </w:p>
          <w:p w14:paraId="226952E3">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left"/>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2.本项目符合</w:t>
            </w: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“一核、两带、三片”的布局战略要求</w:t>
            </w:r>
          </w:p>
        </w:tc>
        <w:tc>
          <w:tcPr>
            <w:tcW w:w="191" w:type="pct"/>
            <w:shd w:val="clear" w:color="auto" w:fill="auto"/>
            <w:noWrap w:val="0"/>
            <w:vAlign w:val="center"/>
          </w:tcPr>
          <w:p w14:paraId="5FB7D037">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符合</w:t>
            </w:r>
          </w:p>
        </w:tc>
      </w:tr>
      <w:tr w14:paraId="5D7E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6" w:type="pct"/>
            <w:vMerge w:val="continue"/>
            <w:shd w:val="clear" w:color="auto" w:fill="auto"/>
            <w:noWrap w:val="0"/>
            <w:vAlign w:val="center"/>
          </w:tcPr>
          <w:p w14:paraId="2B9747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ZH51090320001</w:t>
            </w:r>
          </w:p>
        </w:tc>
        <w:tc>
          <w:tcPr>
            <w:tcW w:w="286" w:type="pct"/>
            <w:vMerge w:val="continue"/>
            <w:shd w:val="clear" w:color="auto" w:fill="auto"/>
            <w:noWrap w:val="0"/>
            <w:vAlign w:val="center"/>
          </w:tcPr>
          <w:p w14:paraId="1B2A57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船山区城镇空间</w:t>
            </w:r>
          </w:p>
        </w:tc>
        <w:tc>
          <w:tcPr>
            <w:tcW w:w="770" w:type="pct"/>
            <w:shd w:val="clear" w:color="auto" w:fill="auto"/>
            <w:noWrap w:val="0"/>
            <w:vAlign w:val="center"/>
          </w:tcPr>
          <w:p w14:paraId="046F652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污染物排放管控</w:t>
            </w:r>
          </w:p>
        </w:tc>
        <w:tc>
          <w:tcPr>
            <w:tcW w:w="2916" w:type="pct"/>
            <w:shd w:val="clear" w:color="auto" w:fill="auto"/>
            <w:noWrap w:val="0"/>
            <w:vAlign w:val="center"/>
          </w:tcPr>
          <w:p w14:paraId="0F63A3E1">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现有源提标升级改造</w:t>
            </w:r>
          </w:p>
          <w:p w14:paraId="10357268">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b w:val="0"/>
                <w:bCs w:val="0"/>
                <w:color w:val="auto"/>
                <w:kern w:val="2"/>
                <w:sz w:val="21"/>
                <w:szCs w:val="21"/>
                <w:highlight w:val="none"/>
                <w:shd w:val="clear" w:color="auto" w:fill="auto"/>
                <w:lang w:val="en-US" w:eastAsia="zh-CN" w:bidi="ar-SA"/>
              </w:rPr>
            </w:pP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参照遂宁市总体准入要求-城镇重点管控单元</w:t>
            </w:r>
          </w:p>
          <w:p w14:paraId="4767FBF2">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新增源等量或倍量替代</w:t>
            </w:r>
          </w:p>
          <w:p w14:paraId="051E153E">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参</w:t>
            </w: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照遂宁市总体准入要求-城镇重点管控单元</w:t>
            </w:r>
          </w:p>
          <w:p w14:paraId="3ABE99D0">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新增源排放标准限值</w:t>
            </w:r>
          </w:p>
          <w:p w14:paraId="725CFFDD">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b w:val="0"/>
                <w:bCs w:val="0"/>
                <w:color w:val="auto"/>
                <w:kern w:val="2"/>
                <w:sz w:val="21"/>
                <w:szCs w:val="21"/>
                <w:highlight w:val="none"/>
                <w:shd w:val="clear" w:color="auto" w:fill="auto"/>
                <w:lang w:val="en-US" w:eastAsia="zh-CN" w:bidi="ar-SA"/>
              </w:rPr>
            </w:pP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w:t>
            </w:r>
          </w:p>
          <w:p w14:paraId="777543C4">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污染物排放绩效水平准入要求</w:t>
            </w:r>
          </w:p>
          <w:p w14:paraId="73001B3A">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b w:val="0"/>
                <w:bCs w:val="0"/>
                <w:color w:val="auto"/>
                <w:kern w:val="2"/>
                <w:sz w:val="21"/>
                <w:szCs w:val="21"/>
                <w:highlight w:val="none"/>
                <w:shd w:val="clear" w:color="auto" w:fill="auto"/>
                <w:lang w:val="en-US" w:eastAsia="zh-CN" w:bidi="ar-SA"/>
              </w:rPr>
            </w:pP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参照遂宁市总体准入要求-城镇重点管控单元</w:t>
            </w:r>
          </w:p>
          <w:p w14:paraId="60C5D515">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其他污染物排放管控要求</w:t>
            </w:r>
          </w:p>
          <w:p w14:paraId="5F73ACD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b w:val="0"/>
                <w:bCs w:val="0"/>
                <w:color w:val="auto"/>
                <w:kern w:val="2"/>
                <w:sz w:val="21"/>
                <w:szCs w:val="21"/>
                <w:highlight w:val="none"/>
                <w:shd w:val="clear" w:color="auto" w:fill="auto"/>
                <w:lang w:val="en-US" w:eastAsia="zh-CN" w:bidi="ar-SA"/>
              </w:rPr>
              <w:t>/</w:t>
            </w:r>
          </w:p>
        </w:tc>
        <w:tc>
          <w:tcPr>
            <w:tcW w:w="569" w:type="pct"/>
            <w:shd w:val="clear" w:color="auto" w:fill="auto"/>
            <w:noWrap w:val="0"/>
            <w:vAlign w:val="center"/>
          </w:tcPr>
          <w:p w14:paraId="723C2399">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left"/>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满足遂宁市总体准入要求-要素重点管控单元</w:t>
            </w:r>
          </w:p>
        </w:tc>
        <w:tc>
          <w:tcPr>
            <w:tcW w:w="191" w:type="pct"/>
            <w:shd w:val="clear" w:color="auto" w:fill="auto"/>
            <w:noWrap w:val="0"/>
            <w:vAlign w:val="center"/>
          </w:tcPr>
          <w:p w14:paraId="1E5D514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符合</w:t>
            </w:r>
          </w:p>
        </w:tc>
      </w:tr>
      <w:tr w14:paraId="6909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6" w:type="pct"/>
            <w:vMerge w:val="continue"/>
            <w:shd w:val="clear" w:color="auto" w:fill="auto"/>
            <w:noWrap w:val="0"/>
            <w:vAlign w:val="center"/>
          </w:tcPr>
          <w:p w14:paraId="0FCF1F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ZH51090320001</w:t>
            </w:r>
          </w:p>
        </w:tc>
        <w:tc>
          <w:tcPr>
            <w:tcW w:w="286" w:type="pct"/>
            <w:vMerge w:val="continue"/>
            <w:shd w:val="clear" w:color="auto" w:fill="auto"/>
            <w:noWrap w:val="0"/>
            <w:vAlign w:val="center"/>
          </w:tcPr>
          <w:p w14:paraId="551E12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船山区城镇空间</w:t>
            </w:r>
          </w:p>
        </w:tc>
        <w:tc>
          <w:tcPr>
            <w:tcW w:w="770" w:type="pct"/>
            <w:shd w:val="clear" w:color="auto" w:fill="auto"/>
            <w:noWrap w:val="0"/>
            <w:vAlign w:val="center"/>
          </w:tcPr>
          <w:p w14:paraId="683B034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环境风险防控</w:t>
            </w:r>
          </w:p>
        </w:tc>
        <w:tc>
          <w:tcPr>
            <w:tcW w:w="2916" w:type="pct"/>
            <w:shd w:val="clear" w:color="auto" w:fill="auto"/>
            <w:noWrap w:val="0"/>
            <w:vAlign w:val="center"/>
          </w:tcPr>
          <w:p w14:paraId="2078A96D">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严格管控类农用地管控要求</w:t>
            </w:r>
          </w:p>
          <w:p w14:paraId="02A86173">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1.有一定危险性仓库用地远离市区，按有关规范选址和建设，留够防护距离。</w:t>
            </w:r>
          </w:p>
          <w:p w14:paraId="07AB493E">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2.其他参照遂宁市总体准入要求-城镇重点管控单元。</w:t>
            </w:r>
          </w:p>
          <w:p w14:paraId="41306A29">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安全利用类农用地管控要求</w:t>
            </w:r>
          </w:p>
          <w:p w14:paraId="408A251F">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1.有一定危险性仓库用地远离市区，按有关规范选址和建设，留够防护距离。</w:t>
            </w:r>
          </w:p>
          <w:p w14:paraId="7582F6C9">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2.其他参照遂宁市总体准入要求-城镇重点管控单元。</w:t>
            </w:r>
          </w:p>
          <w:p w14:paraId="1D92E8AC">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污染地块管控要求</w:t>
            </w:r>
          </w:p>
          <w:p w14:paraId="7F10B1E0">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1.有一定危险性仓库用地远离市区，按有关规范选址和建设，留够防护距离。</w:t>
            </w:r>
          </w:p>
          <w:p w14:paraId="2D979FDC">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2.其他参照遂宁市总体准入要求-城镇重点管控单元。</w:t>
            </w:r>
          </w:p>
          <w:p w14:paraId="09E9B3F3">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园区环境风险防控要求</w:t>
            </w:r>
          </w:p>
          <w:p w14:paraId="464365A8">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p w14:paraId="09F8F01B">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企业环境风险防控要求</w:t>
            </w:r>
          </w:p>
          <w:p w14:paraId="13978ED4">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参照遂宁市总体准入要求-城镇重点管控单元</w:t>
            </w:r>
          </w:p>
          <w:p w14:paraId="5AD9A1B9">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其他环境风险防控要求</w:t>
            </w:r>
          </w:p>
          <w:p w14:paraId="702C4C33">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w:t>
            </w:r>
          </w:p>
        </w:tc>
        <w:tc>
          <w:tcPr>
            <w:tcW w:w="569" w:type="pct"/>
            <w:shd w:val="clear" w:color="auto" w:fill="auto"/>
            <w:noWrap w:val="0"/>
            <w:vAlign w:val="center"/>
          </w:tcPr>
          <w:p w14:paraId="3BBDB852">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left"/>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1.不涉及危险性仓库</w:t>
            </w:r>
          </w:p>
          <w:p w14:paraId="4D71A0FC">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left"/>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2.满足遂宁市总体准入要求-要素重点管控单元</w:t>
            </w:r>
          </w:p>
        </w:tc>
        <w:tc>
          <w:tcPr>
            <w:tcW w:w="191" w:type="pct"/>
            <w:shd w:val="clear" w:color="auto" w:fill="auto"/>
            <w:noWrap w:val="0"/>
            <w:vAlign w:val="center"/>
          </w:tcPr>
          <w:p w14:paraId="41DAB201">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符合</w:t>
            </w:r>
          </w:p>
        </w:tc>
      </w:tr>
      <w:tr w14:paraId="2B64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shd w:val="clear" w:color="auto" w:fill="auto"/>
            <w:noWrap w:val="0"/>
            <w:vAlign w:val="center"/>
          </w:tcPr>
          <w:p w14:paraId="4DAFC8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ZH51090320001</w:t>
            </w:r>
          </w:p>
        </w:tc>
        <w:tc>
          <w:tcPr>
            <w:tcW w:w="286" w:type="pct"/>
            <w:vMerge w:val="continue"/>
            <w:shd w:val="clear" w:color="auto" w:fill="auto"/>
            <w:noWrap w:val="0"/>
            <w:vAlign w:val="center"/>
          </w:tcPr>
          <w:p w14:paraId="0E9F03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宋体" w:hAnsi="宋体" w:eastAsia="宋体" w:cs="Times New Roman"/>
                <w:color w:val="auto"/>
                <w:kern w:val="2"/>
                <w:sz w:val="21"/>
                <w:szCs w:val="21"/>
                <w:highlight w:val="none"/>
                <w:lang w:val="en-US" w:eastAsia="zh-CN" w:bidi="ar-SA"/>
              </w:rPr>
            </w:pPr>
            <w:r>
              <w:rPr>
                <w:rStyle w:val="17"/>
                <w:rFonts w:hint="eastAsia" w:ascii="宋体" w:hAnsi="宋体" w:eastAsia="宋体" w:cs="Times New Roman"/>
                <w:color w:val="auto"/>
                <w:kern w:val="2"/>
                <w:sz w:val="21"/>
                <w:szCs w:val="21"/>
                <w:highlight w:val="none"/>
                <w:lang w:val="en-US" w:eastAsia="zh-CN" w:bidi="ar-SA"/>
              </w:rPr>
              <w:t>船山区城镇空间</w:t>
            </w:r>
          </w:p>
        </w:tc>
        <w:tc>
          <w:tcPr>
            <w:tcW w:w="770" w:type="pct"/>
            <w:shd w:val="clear" w:color="auto" w:fill="auto"/>
            <w:noWrap w:val="0"/>
            <w:vAlign w:val="center"/>
          </w:tcPr>
          <w:p w14:paraId="28908990">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资源开发效率要求</w:t>
            </w:r>
          </w:p>
        </w:tc>
        <w:tc>
          <w:tcPr>
            <w:tcW w:w="2916" w:type="pct"/>
            <w:shd w:val="clear" w:color="auto" w:fill="auto"/>
            <w:noWrap w:val="0"/>
            <w:vAlign w:val="center"/>
          </w:tcPr>
          <w:p w14:paraId="18FA04C1">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水资源利用效率要求</w:t>
            </w:r>
          </w:p>
          <w:p w14:paraId="5BCF4555">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参照遂宁市总体准入要求-城镇重点管控单元</w:t>
            </w:r>
          </w:p>
          <w:p w14:paraId="0713912E">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地下水开采要求</w:t>
            </w:r>
          </w:p>
          <w:p w14:paraId="56CEFE08">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（1）船山区2030年地下水开采控制量保持在0.04亿m</w:t>
            </w:r>
            <w:r>
              <w:rPr>
                <w:rStyle w:val="17"/>
                <w:rFonts w:hint="eastAsia" w:ascii="宋体" w:hAnsi="宋体" w:eastAsia="宋体" w:cs="Times New Roman"/>
                <w:color w:val="auto"/>
                <w:kern w:val="2"/>
                <w:sz w:val="21"/>
                <w:szCs w:val="21"/>
                <w:highlight w:val="none"/>
                <w:shd w:val="clear" w:color="auto" w:fill="auto"/>
                <w:vertAlign w:val="superscript"/>
                <w:lang w:val="en-US" w:eastAsia="zh-CN" w:bidi="ar-SA"/>
              </w:rPr>
              <w:t>3</w:t>
            </w:r>
            <w:r>
              <w:rPr>
                <w:rStyle w:val="17"/>
                <w:rFonts w:hint="eastAsia" w:ascii="宋体" w:hAnsi="宋体" w:eastAsia="宋体" w:cs="Times New Roman"/>
                <w:color w:val="auto"/>
                <w:kern w:val="2"/>
                <w:sz w:val="21"/>
                <w:szCs w:val="21"/>
                <w:highlight w:val="none"/>
                <w:shd w:val="clear" w:color="auto" w:fill="auto"/>
                <w:lang w:val="en-US" w:eastAsia="zh-CN" w:bidi="ar-SA"/>
              </w:rPr>
              <w:t>以内。（2）全面建设节水型社会，达到合理高效用水。</w:t>
            </w:r>
          </w:p>
          <w:p w14:paraId="7AB9C891">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能源利用效率要求</w:t>
            </w:r>
          </w:p>
          <w:p w14:paraId="7A3B5811">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参照遂宁市总体准入要求-城镇重点管控单元</w:t>
            </w:r>
          </w:p>
          <w:p w14:paraId="2AFCDF7C">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both"/>
              <w:textAlignment w:val="auto"/>
              <w:rPr>
                <w:rStyle w:val="17"/>
                <w:rFonts w:hint="eastAsia" w:ascii="宋体" w:hAnsi="宋体" w:eastAsia="宋体" w:cs="Times New Roman"/>
                <w:b/>
                <w:bCs/>
                <w:color w:val="auto"/>
                <w:kern w:val="2"/>
                <w:sz w:val="21"/>
                <w:szCs w:val="21"/>
                <w:highlight w:val="none"/>
                <w:shd w:val="clear" w:color="auto" w:fill="auto"/>
                <w:lang w:val="en-US" w:eastAsia="zh-CN" w:bidi="ar-SA"/>
              </w:rPr>
            </w:pPr>
            <w:r>
              <w:rPr>
                <w:rStyle w:val="17"/>
                <w:rFonts w:hint="eastAsia" w:ascii="宋体" w:hAnsi="宋体" w:eastAsia="宋体" w:cs="Times New Roman"/>
                <w:b/>
                <w:bCs/>
                <w:color w:val="auto"/>
                <w:kern w:val="2"/>
                <w:sz w:val="21"/>
                <w:szCs w:val="21"/>
                <w:highlight w:val="none"/>
                <w:shd w:val="clear" w:color="auto" w:fill="auto"/>
                <w:lang w:val="en-US" w:eastAsia="zh-CN" w:bidi="ar-SA"/>
              </w:rPr>
              <w:t>其他资源利用效率要求</w:t>
            </w:r>
          </w:p>
          <w:p w14:paraId="3934F26C">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420" w:firstLineChars="200"/>
              <w:jc w:val="both"/>
              <w:textAlignment w:val="auto"/>
              <w:rPr>
                <w:rStyle w:val="17"/>
                <w:rFonts w:hint="eastAsia" w:ascii="宋体" w:hAnsi="宋体" w:eastAsia="宋体" w:cs="Times New Roman"/>
                <w:color w:val="auto"/>
                <w:kern w:val="2"/>
                <w:sz w:val="21"/>
                <w:szCs w:val="21"/>
                <w:highlight w:val="none"/>
                <w:shd w:val="clear" w:color="auto" w:fill="auto"/>
                <w:lang w:val="en-US" w:eastAsia="zh-CN" w:bidi="ar-SA"/>
              </w:rPr>
            </w:pPr>
            <w:r>
              <w:rPr>
                <w:rStyle w:val="17"/>
                <w:rFonts w:hint="eastAsia" w:ascii="宋体" w:hAnsi="宋体" w:eastAsia="宋体" w:cs="Times New Roman"/>
                <w:color w:val="auto"/>
                <w:kern w:val="2"/>
                <w:sz w:val="21"/>
                <w:szCs w:val="21"/>
                <w:highlight w:val="none"/>
                <w:shd w:val="clear" w:color="auto" w:fill="auto"/>
                <w:lang w:val="en-US" w:eastAsia="zh-CN" w:bidi="ar-SA"/>
              </w:rPr>
              <w:t>禁燃区管控要求：参照遂宁市总体准入要求-城镇重点管控单元</w:t>
            </w:r>
          </w:p>
        </w:tc>
        <w:tc>
          <w:tcPr>
            <w:tcW w:w="569" w:type="pct"/>
            <w:shd w:val="clear" w:color="auto" w:fill="auto"/>
            <w:noWrap w:val="0"/>
            <w:vAlign w:val="center"/>
          </w:tcPr>
          <w:p w14:paraId="63CE8FE9">
            <w:pPr>
              <w:keepNext w:val="0"/>
              <w:keepLines w:val="0"/>
              <w:pageBreakBefore w:val="0"/>
              <w:widowControl/>
              <w:numPr>
                <w:ilvl w:val="0"/>
                <w:numId w:val="6"/>
              </w:numPr>
              <w:shd w:val="clear" w:color="auto"/>
              <w:kinsoku/>
              <w:wordWrap/>
              <w:overflowPunct/>
              <w:topLinePunct w:val="0"/>
              <w:autoSpaceDE/>
              <w:autoSpaceDN/>
              <w:bidi w:val="0"/>
              <w:adjustRightInd w:val="0"/>
              <w:snapToGrid w:val="0"/>
              <w:spacing w:line="240" w:lineRule="auto"/>
              <w:ind w:left="0" w:leftChars="0" w:firstLine="420" w:firstLineChars="0"/>
              <w:jc w:val="left"/>
              <w:textAlignment w:val="auto"/>
              <w:rPr>
                <w:rFonts w:ascii="Times New Roman" w:hAnsi="Times New Roman" w:eastAsia="宋体"/>
                <w:sz w:val="21"/>
              </w:rPr>
            </w:pPr>
            <w:r>
              <w:rPr>
                <w:rStyle w:val="17"/>
                <w:rFonts w:hint="eastAsia" w:ascii="Times New Roman" w:hAnsi="Times New Roman" w:eastAsia="宋体" w:cs="Times New Roman"/>
                <w:color w:val="auto"/>
                <w:kern w:val="2"/>
                <w:sz w:val="21"/>
                <w:szCs w:val="21"/>
                <w:highlight w:val="none"/>
                <w:shd w:val="clear" w:color="auto" w:fill="auto"/>
                <w:lang w:val="en-US" w:eastAsia="zh-CN" w:bidi="ar-SA"/>
              </w:rPr>
              <w:t>满足遂宁市总体准入要求-要素重点管控单元</w:t>
            </w:r>
          </w:p>
          <w:p w14:paraId="7A9BCFD1">
            <w:pPr>
              <w:keepNext w:val="0"/>
              <w:keepLines w:val="0"/>
              <w:pageBreakBefore w:val="0"/>
              <w:widowControl/>
              <w:numPr>
                <w:ilvl w:val="0"/>
                <w:numId w:val="6"/>
              </w:numPr>
              <w:shd w:val="clear" w:color="auto"/>
              <w:kinsoku/>
              <w:wordWrap/>
              <w:overflowPunct/>
              <w:topLinePunct w:val="0"/>
              <w:autoSpaceDE/>
              <w:autoSpaceDN/>
              <w:bidi w:val="0"/>
              <w:adjustRightInd w:val="0"/>
              <w:snapToGrid w:val="0"/>
              <w:spacing w:line="240" w:lineRule="auto"/>
              <w:ind w:left="0" w:leftChars="0" w:firstLine="420" w:firstLineChars="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不涉及地下水开采</w:t>
            </w:r>
          </w:p>
        </w:tc>
        <w:tc>
          <w:tcPr>
            <w:tcW w:w="191" w:type="pct"/>
            <w:shd w:val="clear" w:color="auto" w:fill="auto"/>
            <w:noWrap w:val="0"/>
            <w:vAlign w:val="center"/>
          </w:tcPr>
          <w:p w14:paraId="27B12233">
            <w:pPr>
              <w:keepNext w:val="0"/>
              <w:keepLines w:val="0"/>
              <w:pageBreakBefore w:val="0"/>
              <w:widowControl/>
              <w:shd w:val="clear" w:color="auto"/>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cs="Times New Roman"/>
                <w:color w:val="auto"/>
                <w:kern w:val="2"/>
                <w:sz w:val="21"/>
                <w:szCs w:val="21"/>
                <w:highlight w:val="none"/>
                <w:shd w:val="clear" w:color="auto" w:fill="auto"/>
                <w:lang w:val="en-US" w:eastAsia="zh-CN" w:bidi="ar-SA"/>
              </w:rPr>
            </w:pPr>
            <w:r>
              <w:rPr>
                <w:rStyle w:val="17"/>
                <w:rFonts w:hint="eastAsia" w:ascii="Times New Roman" w:hAnsi="Times New Roman" w:eastAsia="宋体" w:cs="Times New Roman"/>
                <w:color w:val="auto"/>
                <w:kern w:val="2"/>
                <w:sz w:val="21"/>
                <w:szCs w:val="21"/>
                <w:highlight w:val="none"/>
                <w:shd w:val="clear" w:color="auto" w:fill="auto"/>
                <w:lang w:val="en-US" w:eastAsia="zh-CN" w:bidi="ar-SA"/>
              </w:rPr>
              <w:t>符合</w:t>
            </w:r>
          </w:p>
        </w:tc>
      </w:tr>
    </w:tbl>
    <w:p w14:paraId="1A855874">
      <w:pPr>
        <w:pageBreakBefore w:val="0"/>
        <w:wordWrap/>
        <w:bidi w:val="0"/>
        <w:adjustRightInd w:val="0"/>
        <w:snapToGrid w:val="0"/>
        <w:ind w:firstLine="480" w:firstLineChars="200"/>
        <w:rPr>
          <w:rFonts w:hint="eastAsia"/>
          <w:snapToGrid w:val="0"/>
        </w:rPr>
      </w:pPr>
      <w:r>
        <w:rPr>
          <w:rFonts w:hint="eastAsia"/>
          <w:snapToGrid w:val="0"/>
        </w:rPr>
        <w:t>由上表可知，本项目符合“三线一单”要求。</w:t>
      </w:r>
    </w:p>
    <w:p w14:paraId="4E8555B3">
      <w:pPr>
        <w:pageBreakBefore w:val="0"/>
        <w:wordWrap/>
        <w:bidi w:val="0"/>
        <w:adjustRightInd w:val="0"/>
        <w:snapToGrid w:val="0"/>
        <w:jc w:val="center"/>
        <w:outlineLvl w:val="9"/>
        <w:rPr>
          <w:rFonts w:hint="eastAsia" w:ascii="黑体" w:hAnsi="黑体" w:eastAsia="黑体"/>
          <w:snapToGrid w:val="0"/>
          <w:sz w:val="30"/>
          <w:szCs w:val="30"/>
        </w:rPr>
        <w:sectPr>
          <w:pgSz w:w="16838" w:h="11906" w:orient="landscape"/>
          <w:pgMar w:top="1531" w:right="1701" w:bottom="1531" w:left="1701" w:header="1134" w:footer="1247" w:gutter="0"/>
          <w:pgBorders>
            <w:top w:val="none" w:sz="0" w:space="0"/>
            <w:left w:val="none" w:sz="0" w:space="0"/>
            <w:bottom w:val="none" w:sz="0" w:space="0"/>
            <w:right w:val="none" w:sz="0" w:space="0"/>
          </w:pgBorders>
          <w:pgNumType w:fmt="decimal"/>
          <w:cols w:space="720" w:num="1"/>
          <w:docGrid w:linePitch="312" w:charSpace="0"/>
        </w:sectPr>
      </w:pPr>
    </w:p>
    <w:p w14:paraId="53E15D69">
      <w:pPr>
        <w:pStyle w:val="2"/>
        <w:bidi w:val="0"/>
      </w:pPr>
      <w:bookmarkStart w:id="4" w:name="_Toc29924"/>
      <w:bookmarkStart w:id="5" w:name="_Toc15136"/>
      <w:r>
        <w:rPr>
          <w:rFonts w:hint="eastAsia"/>
        </w:rPr>
        <w:t>建设项目工程分析</w:t>
      </w:r>
      <w:bookmarkEnd w:id="4"/>
      <w:bookmarkEnd w:id="5"/>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51"/>
        <w:gridCol w:w="8466"/>
      </w:tblGrid>
      <w:tr w14:paraId="2B10E9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dxa"/>
            <w:noWrap w:val="0"/>
            <w:vAlign w:val="center"/>
          </w:tcPr>
          <w:p w14:paraId="12523FF8">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cs="宋体"/>
                <w:sz w:val="21"/>
                <w:szCs w:val="21"/>
              </w:rPr>
            </w:pPr>
            <w:r>
              <w:rPr>
                <w:rStyle w:val="17"/>
                <w:rFonts w:hint="eastAsia"/>
                <w:b/>
                <w:bCs/>
                <w:sz w:val="24"/>
              </w:rPr>
              <w:t>建设内容</w:t>
            </w:r>
          </w:p>
        </w:tc>
        <w:tc>
          <w:tcPr>
            <w:tcW w:w="8617" w:type="dxa"/>
            <w:gridSpan w:val="2"/>
            <w:noWrap w:val="0"/>
            <w:vAlign w:val="top"/>
          </w:tcPr>
          <w:p w14:paraId="6A537F79">
            <w:pPr>
              <w:pStyle w:val="3"/>
              <w:bidi w:val="0"/>
            </w:pPr>
            <w:bookmarkStart w:id="6" w:name="_Toc13712389"/>
            <w:r>
              <w:t>建设项目由来及建设必要性</w:t>
            </w:r>
            <w:bookmarkEnd w:id="6"/>
          </w:p>
          <w:p w14:paraId="540F9087">
            <w:pPr>
              <w:bidi w:val="0"/>
              <w:rPr>
                <w:rFonts w:hint="eastAsia"/>
              </w:rPr>
            </w:pPr>
            <w:r>
              <w:rPr>
                <w:rFonts w:hint="eastAsia"/>
                <w:lang w:val="en-US" w:eastAsia="zh-CN"/>
              </w:rPr>
              <w:t>遂宁益民医院于2014年建成</w:t>
            </w:r>
            <w:r>
              <w:rPr>
                <w:rFonts w:hint="eastAsia"/>
              </w:rPr>
              <w:t>，</w:t>
            </w:r>
            <w:r>
              <w:rPr>
                <w:rFonts w:hint="eastAsia"/>
                <w:lang w:val="en-US" w:eastAsia="zh-CN"/>
              </w:rPr>
              <w:t>位</w:t>
            </w:r>
            <w:r>
              <w:rPr>
                <w:rFonts w:hint="eastAsia"/>
              </w:rPr>
              <w:t>于遂宁市开善东路327号</w:t>
            </w:r>
            <w:r>
              <w:rPr>
                <w:rFonts w:hint="eastAsia"/>
                <w:lang w:eastAsia="zh-CN"/>
              </w:rPr>
              <w:t>，</w:t>
            </w:r>
            <w:r>
              <w:rPr>
                <w:rFonts w:hint="eastAsia"/>
                <w:lang w:val="en-US" w:eastAsia="zh-CN"/>
              </w:rPr>
              <w:t>项目共建设5层综合楼</w:t>
            </w:r>
            <w:r>
              <w:rPr>
                <w:rFonts w:hint="eastAsia"/>
              </w:rPr>
              <w:t>，占地面积621.22</w:t>
            </w:r>
            <w:r>
              <w:rPr>
                <w:rFonts w:hint="eastAsia"/>
                <w:lang w:val="en-US" w:eastAsia="zh-CN"/>
              </w:rPr>
              <w:t>m</w:t>
            </w:r>
            <w:r>
              <w:rPr>
                <w:rFonts w:hint="eastAsia"/>
                <w:vertAlign w:val="superscript"/>
                <w:lang w:val="en-US" w:eastAsia="zh-CN"/>
              </w:rPr>
              <w:t>2</w:t>
            </w:r>
            <w:r>
              <w:rPr>
                <w:rFonts w:hint="eastAsia"/>
              </w:rPr>
              <w:t>，建筑面积约1615.32</w:t>
            </w:r>
            <w:r>
              <w:rPr>
                <w:rFonts w:hint="eastAsia"/>
                <w:lang w:val="en-US" w:eastAsia="zh-CN"/>
              </w:rPr>
              <w:t>m</w:t>
            </w:r>
            <w:r>
              <w:rPr>
                <w:rFonts w:hint="eastAsia"/>
                <w:vertAlign w:val="superscript"/>
                <w:lang w:val="en-US" w:eastAsia="zh-CN"/>
              </w:rPr>
              <w:t>2</w:t>
            </w:r>
            <w:r>
              <w:rPr>
                <w:rFonts w:hint="eastAsia"/>
              </w:rPr>
              <w:t>，院内设置内科、外科、</w:t>
            </w:r>
            <w:r>
              <w:rPr>
                <w:rFonts w:hint="eastAsia"/>
                <w:lang w:eastAsia="zh-CN"/>
              </w:rPr>
              <w:t>妇产科、</w:t>
            </w:r>
            <w:r>
              <w:rPr>
                <w:rFonts w:hint="eastAsia"/>
              </w:rPr>
              <w:t>中医科</w:t>
            </w:r>
            <w:r>
              <w:rPr>
                <w:rFonts w:hint="eastAsia"/>
                <w:lang w:eastAsia="zh-CN"/>
              </w:rPr>
              <w:t>、医学检验科</w:t>
            </w:r>
            <w:r>
              <w:rPr>
                <w:rFonts w:hint="eastAsia"/>
              </w:rPr>
              <w:t>及医学影像科，</w:t>
            </w:r>
            <w:r>
              <w:rPr>
                <w:rFonts w:hint="eastAsia"/>
                <w:lang w:val="en-US" w:eastAsia="zh-CN"/>
              </w:rPr>
              <w:t>规划设置床位20张，</w:t>
            </w:r>
            <w:r>
              <w:rPr>
                <w:rFonts w:hint="eastAsia"/>
              </w:rPr>
              <w:t>年诊疗人数约3650人。</w:t>
            </w:r>
          </w:p>
          <w:p w14:paraId="230DF253">
            <w:pPr>
              <w:bidi w:val="0"/>
              <w:rPr>
                <w:rFonts w:hint="eastAsia"/>
              </w:rPr>
            </w:pPr>
            <w:r>
              <w:rPr>
                <w:rFonts w:hint="eastAsia"/>
              </w:rPr>
              <w:t>2020年5月28日，</w:t>
            </w:r>
            <w:r>
              <w:rPr>
                <w:rFonts w:hint="eastAsia"/>
                <w:lang w:val="en-US" w:eastAsia="zh-CN"/>
              </w:rPr>
              <w:t>建设单位未经专业咨询，自行办理了</w:t>
            </w:r>
            <w:r>
              <w:rPr>
                <w:rFonts w:hint="eastAsia"/>
              </w:rPr>
              <w:t>环境影响评价登记表（52510900310585227Y001X）。</w:t>
            </w:r>
          </w:p>
          <w:p w14:paraId="77BA6405">
            <w:pPr>
              <w:bidi w:val="0"/>
              <w:rPr>
                <w:rFonts w:hint="default"/>
                <w:lang w:val="en-US" w:eastAsia="zh-CN"/>
              </w:rPr>
            </w:pPr>
            <w:r>
              <w:rPr>
                <w:rFonts w:hint="eastAsia"/>
                <w:lang w:val="en-US" w:eastAsia="zh-CN"/>
              </w:rPr>
              <w:t>2024年9月，遂宁市船山生态环境局发现建设单位存在未批先建的情况，2024年9月3日，遂宁船山生态环境局出具了《关于遂宁市益民医院涉嫌环境违法行为的函》：“根据《建设项目环境影响评价分类管理名录》中第四十九项规定：卫生（医院841）“其他（住院床位20张以下的除外）”应办理环境影响报告表，故所办理的环境影响评价登记表为无效登记，仍属于未批先建，但办理登记表后至今，不存在违法行为，也未发生造成环境影响的事件，根据《中华人民共和国行政处罚法》第三十六条“违法行为在二年内未被发现的，不再给予行政处罚......前款规定的期限，从违法行为发生之日起计算......”之规定、第三十三条第一款“违法行为轻微并及时改正，没有造成危害后果的，不予行政处罚。初次违法且危害后果轻微并及时改正的，可以不予行政处罚”之规定，因此不进行处罚，但需进行环境影响补充评价。</w:t>
            </w:r>
          </w:p>
          <w:p w14:paraId="20E143BA">
            <w:pPr>
              <w:bidi w:val="0"/>
              <w:rPr>
                <w:kern w:val="0"/>
                <w:szCs w:val="21"/>
              </w:rPr>
            </w:pPr>
            <w:r>
              <w:rPr>
                <w:rFonts w:hint="eastAsia"/>
                <w:lang w:val="en-US" w:eastAsia="zh-CN"/>
              </w:rPr>
              <w:t>为此，遂宁益民医院委托</w:t>
            </w:r>
            <w:bookmarkStart w:id="7" w:name="OLE_LINK4"/>
            <w:bookmarkStart w:id="8" w:name="OLE_LINK5"/>
            <w:r>
              <w:rPr>
                <w:rFonts w:hint="eastAsia"/>
                <w:lang w:val="en-US" w:eastAsia="zh-CN"/>
              </w:rPr>
              <w:t>我公司</w:t>
            </w:r>
            <w:bookmarkEnd w:id="7"/>
            <w:bookmarkEnd w:id="8"/>
            <w:r>
              <w:rPr>
                <w:rFonts w:hint="eastAsia"/>
                <w:lang w:val="en-US" w:eastAsia="zh-CN"/>
              </w:rPr>
              <w:t>（</w:t>
            </w:r>
            <w:r>
              <w:rPr>
                <w:rFonts w:hint="eastAsia"/>
                <w:lang w:eastAsia="zh-CN"/>
              </w:rPr>
              <w:t>成都山川百源安全环保技术服务有限公司</w:t>
            </w:r>
            <w:r>
              <w:rPr>
                <w:rFonts w:hint="eastAsia"/>
                <w:lang w:val="en-US" w:eastAsia="zh-CN"/>
              </w:rPr>
              <w:t>）对“</w:t>
            </w:r>
            <w:r>
              <w:rPr>
                <w:rFonts w:hint="eastAsia"/>
              </w:rPr>
              <w:t>遂宁市益民医院综合楼（门诊、住院）</w:t>
            </w:r>
            <w:r>
              <w:rPr>
                <w:rFonts w:hint="eastAsia"/>
                <w:lang w:val="en-US" w:eastAsia="zh-CN"/>
              </w:rPr>
              <w:t>”进行环境影响评价。我公司接受委托后，组织有关技术人员进行现场踏勘、资料收集，按照国家建设项目环境影响报告表的编制说明及相关环评技术规范的要求，编制完成本项目环境影响报告表上报审查。</w:t>
            </w:r>
          </w:p>
          <w:p w14:paraId="0E0D1FA4">
            <w:pPr>
              <w:bidi w:val="0"/>
              <w:rPr>
                <w:b/>
                <w:bCs/>
              </w:rPr>
            </w:pPr>
            <w:r>
              <w:rPr>
                <w:b/>
                <w:bCs/>
              </w:rPr>
              <w:t>本次环评不涉及放射科等辐射相关内容，放射等辐射设备须另行申报，办理环评及相关手续。</w:t>
            </w:r>
          </w:p>
          <w:p w14:paraId="52489967">
            <w:pPr>
              <w:pStyle w:val="3"/>
              <w:bidi w:val="0"/>
            </w:pPr>
            <w:bookmarkStart w:id="9" w:name="_Toc13712404"/>
            <w:r>
              <w:t>建设项目概况</w:t>
            </w:r>
            <w:bookmarkEnd w:id="9"/>
          </w:p>
          <w:p w14:paraId="2C6DD58D">
            <w:pPr>
              <w:pStyle w:val="4"/>
              <w:bidi w:val="0"/>
            </w:pPr>
            <w:r>
              <w:t>项目基本情况</w:t>
            </w:r>
          </w:p>
          <w:p w14:paraId="2B68FFDB">
            <w:pPr>
              <w:bidi w:val="0"/>
            </w:pPr>
            <w:r>
              <w:rPr>
                <w:b/>
                <w:bCs/>
              </w:rPr>
              <w:t>项目名称：</w:t>
            </w:r>
            <w:r>
              <w:rPr>
                <w:rFonts w:hint="eastAsia"/>
              </w:rPr>
              <w:t>遂宁</w:t>
            </w:r>
            <w:r>
              <w:rPr>
                <w:rFonts w:hint="eastAsia"/>
                <w:lang w:val="en-US" w:eastAsia="zh-CN"/>
              </w:rPr>
              <w:t>市</w:t>
            </w:r>
            <w:r>
              <w:rPr>
                <w:rFonts w:hint="eastAsia"/>
              </w:rPr>
              <w:t>益民医院</w:t>
            </w:r>
            <w:r>
              <w:rPr>
                <w:rFonts w:hint="eastAsia"/>
                <w:lang w:val="en-US" w:eastAsia="zh-CN"/>
              </w:rPr>
              <w:t>综合楼</w:t>
            </w:r>
            <w:r>
              <w:rPr>
                <w:rFonts w:hint="eastAsia"/>
                <w:lang w:eastAsia="zh-CN"/>
              </w:rPr>
              <w:t>（门诊、住院）</w:t>
            </w:r>
            <w:r>
              <w:t>；</w:t>
            </w:r>
          </w:p>
          <w:p w14:paraId="55A6FF5D">
            <w:pPr>
              <w:bidi w:val="0"/>
            </w:pPr>
            <w:r>
              <w:rPr>
                <w:b/>
                <w:bCs/>
              </w:rPr>
              <w:t>建设地点：</w:t>
            </w:r>
            <w:r>
              <w:rPr>
                <w:rFonts w:hint="eastAsia"/>
              </w:rPr>
              <w:t>遂宁市船山区开善东路3</w:t>
            </w:r>
            <w:r>
              <w:rPr>
                <w:rFonts w:hint="eastAsia"/>
                <w:lang w:val="en-US" w:eastAsia="zh-CN"/>
              </w:rPr>
              <w:t>27</w:t>
            </w:r>
            <w:r>
              <w:rPr>
                <w:rFonts w:hint="eastAsia"/>
              </w:rPr>
              <w:t>号</w:t>
            </w:r>
            <w:r>
              <w:t>（</w:t>
            </w:r>
            <w:r>
              <w:rPr>
                <w:rFonts w:hint="eastAsia"/>
                <w:lang w:val="en-US" w:eastAsia="zh-CN"/>
              </w:rPr>
              <w:t>E</w:t>
            </w:r>
            <w:r>
              <w:t>10</w:t>
            </w:r>
            <w:r>
              <w:rPr>
                <w:rFonts w:hint="eastAsia"/>
              </w:rPr>
              <w:t>5</w:t>
            </w:r>
            <w:r>
              <w:t>°</w:t>
            </w:r>
            <w:r>
              <w:rPr>
                <w:rFonts w:hint="eastAsia"/>
              </w:rPr>
              <w:t>35</w:t>
            </w:r>
            <w:r>
              <w:t>′</w:t>
            </w:r>
            <w:r>
              <w:rPr>
                <w:rFonts w:hint="eastAsia"/>
              </w:rPr>
              <w:t>28.2</w:t>
            </w:r>
            <w:r>
              <w:t>″，</w:t>
            </w:r>
            <w:r>
              <w:rPr>
                <w:rFonts w:hint="eastAsia"/>
                <w:lang w:val="en-US" w:eastAsia="zh-CN"/>
              </w:rPr>
              <w:t>N</w:t>
            </w:r>
            <w:r>
              <w:rPr>
                <w:rFonts w:hint="eastAsia"/>
              </w:rPr>
              <w:t>30</w:t>
            </w:r>
            <w:r>
              <w:t>°</w:t>
            </w:r>
            <w:r>
              <w:rPr>
                <w:rFonts w:hint="eastAsia"/>
              </w:rPr>
              <w:t>29</w:t>
            </w:r>
            <w:r>
              <w:t>′</w:t>
            </w:r>
            <w:r>
              <w:rPr>
                <w:rFonts w:hint="eastAsia"/>
              </w:rPr>
              <w:t>47</w:t>
            </w:r>
            <w:r>
              <w:t>.2″）；</w:t>
            </w:r>
          </w:p>
          <w:p w14:paraId="2E6DABB1">
            <w:pPr>
              <w:bidi w:val="0"/>
            </w:pPr>
            <w:r>
              <w:rPr>
                <w:b/>
                <w:bCs/>
              </w:rPr>
              <w:t>建设性质：</w:t>
            </w:r>
            <w:r>
              <w:rPr>
                <w:rFonts w:hint="eastAsia"/>
              </w:rPr>
              <w:t>新建（未批先建，补办环评）</w:t>
            </w:r>
            <w:r>
              <w:t>；</w:t>
            </w:r>
          </w:p>
          <w:p w14:paraId="18610C09">
            <w:pPr>
              <w:bidi w:val="0"/>
            </w:pPr>
            <w:r>
              <w:rPr>
                <w:b/>
                <w:bCs/>
              </w:rPr>
              <w:t>建设单位：</w:t>
            </w:r>
            <w:r>
              <w:rPr>
                <w:rFonts w:hint="eastAsia"/>
              </w:rPr>
              <w:t>遂宁益民医院</w:t>
            </w:r>
            <w:r>
              <w:t>；</w:t>
            </w:r>
          </w:p>
          <w:p w14:paraId="4F3B55DC">
            <w:pPr>
              <w:bidi w:val="0"/>
            </w:pPr>
            <w:r>
              <w:rPr>
                <w:b/>
                <w:bCs/>
              </w:rPr>
              <w:t>总投资：</w:t>
            </w:r>
            <w:bookmarkStart w:id="10" w:name="OLE_LINK11"/>
            <w:bookmarkStart w:id="11" w:name="OLE_LINK12"/>
            <w:r>
              <w:rPr>
                <w:rFonts w:hint="eastAsia"/>
                <w:lang w:val="en-US" w:eastAsia="zh-CN"/>
              </w:rPr>
              <w:t>600</w:t>
            </w:r>
            <w:r>
              <w:t>万元，环保投资约</w:t>
            </w:r>
            <w:r>
              <w:rPr>
                <w:rFonts w:hint="eastAsia"/>
                <w:lang w:val="en-US" w:eastAsia="zh-CN"/>
              </w:rPr>
              <w:t>8</w:t>
            </w:r>
            <w:r>
              <w:rPr>
                <w:rFonts w:hint="eastAsia"/>
              </w:rPr>
              <w:t>万元</w:t>
            </w:r>
            <w:r>
              <w:t>，占总投资的</w:t>
            </w:r>
            <w:bookmarkEnd w:id="10"/>
            <w:bookmarkEnd w:id="11"/>
            <w:r>
              <w:rPr>
                <w:rFonts w:hint="eastAsia"/>
                <w:lang w:val="en-US" w:eastAsia="zh-CN"/>
              </w:rPr>
              <w:t>1</w:t>
            </w:r>
            <w:r>
              <w:rPr>
                <w:rFonts w:hint="eastAsia"/>
              </w:rPr>
              <w:t>.33%</w:t>
            </w:r>
            <w:r>
              <w:t>；</w:t>
            </w:r>
          </w:p>
          <w:p w14:paraId="7E4B1158">
            <w:pPr>
              <w:bidi w:val="0"/>
            </w:pPr>
            <w:r>
              <w:rPr>
                <w:b/>
                <w:bCs/>
              </w:rPr>
              <w:t>规模：</w:t>
            </w:r>
            <w:r>
              <w:rPr>
                <w:rFonts w:hint="eastAsia"/>
              </w:rPr>
              <w:t>综合</w:t>
            </w:r>
            <w:r>
              <w:t>医院</w:t>
            </w:r>
            <w:r>
              <w:rPr>
                <w:rFonts w:hint="eastAsia"/>
              </w:rPr>
              <w:t>，已建20</w:t>
            </w:r>
            <w:r>
              <w:t>张床位</w:t>
            </w:r>
            <w:r>
              <w:rPr>
                <w:rFonts w:hint="eastAsia"/>
              </w:rPr>
              <w:t>，日接诊病人约10人，年</w:t>
            </w:r>
            <w:r>
              <w:rPr>
                <w:rFonts w:hint="eastAsia"/>
                <w:lang w:val="en-US" w:eastAsia="zh-CN"/>
              </w:rPr>
              <w:t>约</w:t>
            </w:r>
            <w:r>
              <w:rPr>
                <w:rFonts w:hint="eastAsia"/>
              </w:rPr>
              <w:t>3650人</w:t>
            </w:r>
            <w:r>
              <w:t>；</w:t>
            </w:r>
          </w:p>
          <w:p w14:paraId="17808538">
            <w:pPr>
              <w:bidi w:val="0"/>
            </w:pPr>
            <w:r>
              <w:rPr>
                <w:b/>
                <w:bCs/>
              </w:rPr>
              <w:t>工作时间：</w:t>
            </w:r>
            <w:r>
              <w:t>每天24小时，年运行365天</w:t>
            </w:r>
          </w:p>
          <w:p w14:paraId="17D47937">
            <w:pPr>
              <w:pStyle w:val="4"/>
              <w:bidi w:val="0"/>
            </w:pPr>
            <w:r>
              <w:t>项目</w:t>
            </w:r>
            <w:r>
              <w:rPr>
                <w:rFonts w:hint="eastAsia"/>
              </w:rPr>
              <w:t>内容</w:t>
            </w:r>
            <w:r>
              <w:t>及规模</w:t>
            </w:r>
          </w:p>
          <w:p w14:paraId="23ED7AEC">
            <w:pPr>
              <w:bidi w:val="0"/>
            </w:pPr>
            <w:r>
              <w:rPr>
                <w:rFonts w:hint="eastAsia"/>
              </w:rPr>
              <w:t>遂宁益民医院</w:t>
            </w:r>
            <w:r>
              <w:rPr>
                <w:rFonts w:hint="eastAsia"/>
                <w:lang w:val="en-US" w:eastAsia="zh-CN"/>
              </w:rPr>
              <w:t>综合楼</w:t>
            </w:r>
            <w:r>
              <w:rPr>
                <w:rFonts w:hint="eastAsia"/>
              </w:rPr>
              <w:t>项目</w:t>
            </w:r>
            <w:r>
              <w:t>位于</w:t>
            </w:r>
            <w:r>
              <w:rPr>
                <w:rFonts w:hint="eastAsia"/>
              </w:rPr>
              <w:t>遂宁市船山区开善东路32</w:t>
            </w:r>
            <w:r>
              <w:rPr>
                <w:rFonts w:hint="eastAsia"/>
                <w:lang w:val="en-US" w:eastAsia="zh-CN"/>
              </w:rPr>
              <w:t>7</w:t>
            </w:r>
            <w:r>
              <w:rPr>
                <w:rFonts w:hint="eastAsia"/>
              </w:rPr>
              <w:t>号，共计投资</w:t>
            </w:r>
            <w:r>
              <w:rPr>
                <w:rFonts w:hint="eastAsia"/>
                <w:lang w:val="en-US" w:eastAsia="zh-CN"/>
              </w:rPr>
              <w:t>600</w:t>
            </w:r>
            <w:r>
              <w:t>万元</w:t>
            </w:r>
            <w:r>
              <w:rPr>
                <w:rFonts w:hint="eastAsia"/>
              </w:rPr>
              <w:t>，医院主营业务为</w:t>
            </w:r>
            <w:r>
              <w:rPr>
                <w:rFonts w:hint="eastAsia"/>
                <w:lang w:val="en-US" w:eastAsia="zh-CN"/>
              </w:rPr>
              <w:t>诊疗服务</w:t>
            </w:r>
            <w:r>
              <w:rPr>
                <w:rFonts w:hint="eastAsia"/>
              </w:rPr>
              <w:t>。</w:t>
            </w:r>
            <w:r>
              <w:rPr>
                <w:rFonts w:hint="eastAsia"/>
                <w:lang w:val="en-US" w:eastAsia="zh-CN"/>
              </w:rPr>
              <w:t>医院共有5层楼，已建床位20张，病床位设置于三、四五层，医院设有内科、外科、中医科及医学影像科。医院公用工程包括排水、供电系统和空调系统，辅助工程包含库房和备用柴油发电机房等</w:t>
            </w:r>
            <w:r>
              <w:t>。</w:t>
            </w:r>
          </w:p>
          <w:p w14:paraId="27706768">
            <w:pPr>
              <w:pStyle w:val="4"/>
              <w:bidi w:val="0"/>
            </w:pPr>
            <w:r>
              <w:t>项目组成及主要环境问题</w:t>
            </w:r>
          </w:p>
          <w:p w14:paraId="17A6BA78">
            <w:pPr>
              <w:bidi w:val="0"/>
              <w:rPr>
                <w:rFonts w:hint="eastAsia"/>
              </w:rPr>
            </w:pPr>
            <w:r>
              <w:t>建设单位现有编制床位</w:t>
            </w:r>
            <w:r>
              <w:rPr>
                <w:rFonts w:hint="eastAsia"/>
              </w:rPr>
              <w:t>20</w:t>
            </w:r>
            <w:r>
              <w:t>张</w:t>
            </w:r>
            <w:r>
              <w:rPr>
                <w:rFonts w:hint="eastAsia"/>
              </w:rPr>
              <w:t>，</w:t>
            </w:r>
            <w:r>
              <w:t>实际床位</w:t>
            </w:r>
            <w:r>
              <w:rPr>
                <w:rFonts w:hint="eastAsia"/>
              </w:rPr>
              <w:t>2</w:t>
            </w:r>
            <w:r>
              <w:t>0张</w:t>
            </w:r>
            <w:r>
              <w:rPr>
                <w:rFonts w:hint="eastAsia"/>
              </w:rPr>
              <w:t>，</w:t>
            </w:r>
            <w:r>
              <w:t>本项目组成及主要环境问题见下表。</w:t>
            </w:r>
          </w:p>
          <w:p w14:paraId="382604B5">
            <w:pPr>
              <w:pStyle w:val="22"/>
              <w:bidi w:val="0"/>
            </w:pPr>
            <w:r>
              <w:rPr>
                <w:rFonts w:hint="eastAsia"/>
              </w:rPr>
              <w:t>本</w:t>
            </w:r>
            <w:r>
              <w:t>项目组成及主要环境问题表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735"/>
              <w:gridCol w:w="1214"/>
              <w:gridCol w:w="4017"/>
              <w:gridCol w:w="1226"/>
              <w:gridCol w:w="504"/>
            </w:tblGrid>
            <w:tr w14:paraId="7788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blHeader/>
                <w:jc w:val="center"/>
              </w:trPr>
              <w:tc>
                <w:tcPr>
                  <w:tcW w:w="414" w:type="pct"/>
                  <w:vMerge w:val="restart"/>
                  <w:noWrap w:val="0"/>
                  <w:vAlign w:val="center"/>
                </w:tcPr>
                <w:p w14:paraId="0F50F34D">
                  <w:pPr>
                    <w:pStyle w:val="23"/>
                    <w:bidi w:val="0"/>
                  </w:pPr>
                  <w:r>
                    <w:t>项目名称</w:t>
                  </w:r>
                </w:p>
              </w:tc>
              <w:tc>
                <w:tcPr>
                  <w:tcW w:w="3554" w:type="pct"/>
                  <w:gridSpan w:val="3"/>
                  <w:vMerge w:val="restart"/>
                  <w:noWrap w:val="0"/>
                  <w:vAlign w:val="center"/>
                </w:tcPr>
                <w:p w14:paraId="62A81F32">
                  <w:pPr>
                    <w:pStyle w:val="23"/>
                    <w:bidi w:val="0"/>
                  </w:pPr>
                  <w:r>
                    <w:t>建设内容及规模</w:t>
                  </w:r>
                </w:p>
              </w:tc>
              <w:tc>
                <w:tcPr>
                  <w:tcW w:w="730" w:type="pct"/>
                  <w:noWrap w:val="0"/>
                  <w:vAlign w:val="center"/>
                </w:tcPr>
                <w:p w14:paraId="01420389">
                  <w:pPr>
                    <w:pStyle w:val="23"/>
                    <w:bidi w:val="0"/>
                  </w:pPr>
                  <w:r>
                    <w:t>主要环</w:t>
                  </w:r>
                </w:p>
                <w:p w14:paraId="337CB646">
                  <w:pPr>
                    <w:pStyle w:val="23"/>
                    <w:bidi w:val="0"/>
                  </w:pPr>
                  <w:r>
                    <w:t>境问题</w:t>
                  </w:r>
                </w:p>
              </w:tc>
              <w:tc>
                <w:tcPr>
                  <w:tcW w:w="300" w:type="pct"/>
                  <w:vMerge w:val="restart"/>
                  <w:noWrap w:val="0"/>
                  <w:vAlign w:val="center"/>
                </w:tcPr>
                <w:p w14:paraId="21798D53">
                  <w:pPr>
                    <w:pStyle w:val="23"/>
                    <w:bidi w:val="0"/>
                  </w:pPr>
                  <w:r>
                    <w:t>备注</w:t>
                  </w:r>
                </w:p>
              </w:tc>
            </w:tr>
            <w:tr w14:paraId="1BA2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414" w:type="pct"/>
                  <w:vMerge w:val="continue"/>
                  <w:noWrap w:val="0"/>
                  <w:vAlign w:val="center"/>
                </w:tcPr>
                <w:p w14:paraId="6DCA590C">
                  <w:pPr>
                    <w:pStyle w:val="23"/>
                    <w:bidi w:val="0"/>
                  </w:pPr>
                </w:p>
              </w:tc>
              <w:tc>
                <w:tcPr>
                  <w:tcW w:w="3554" w:type="pct"/>
                  <w:gridSpan w:val="3"/>
                  <w:vMerge w:val="continue"/>
                  <w:noWrap w:val="0"/>
                  <w:vAlign w:val="center"/>
                </w:tcPr>
                <w:p w14:paraId="522DBC6A">
                  <w:pPr>
                    <w:pStyle w:val="23"/>
                    <w:bidi w:val="0"/>
                  </w:pPr>
                </w:p>
              </w:tc>
              <w:tc>
                <w:tcPr>
                  <w:tcW w:w="730" w:type="pct"/>
                  <w:noWrap w:val="0"/>
                  <w:vAlign w:val="center"/>
                </w:tcPr>
                <w:p w14:paraId="6C25709E">
                  <w:pPr>
                    <w:pStyle w:val="23"/>
                    <w:bidi w:val="0"/>
                  </w:pPr>
                  <w:r>
                    <w:t>营运期</w:t>
                  </w:r>
                </w:p>
              </w:tc>
              <w:tc>
                <w:tcPr>
                  <w:tcW w:w="300" w:type="pct"/>
                  <w:vMerge w:val="continue"/>
                  <w:noWrap w:val="0"/>
                  <w:vAlign w:val="center"/>
                </w:tcPr>
                <w:p w14:paraId="14910D46">
                  <w:pPr>
                    <w:pStyle w:val="23"/>
                    <w:bidi w:val="0"/>
                  </w:pPr>
                </w:p>
              </w:tc>
            </w:tr>
            <w:tr w14:paraId="05D8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jc w:val="center"/>
              </w:trPr>
              <w:tc>
                <w:tcPr>
                  <w:tcW w:w="414" w:type="pct"/>
                  <w:vMerge w:val="restart"/>
                  <w:noWrap w:val="0"/>
                  <w:vAlign w:val="center"/>
                </w:tcPr>
                <w:p w14:paraId="4CD6D7A3">
                  <w:pPr>
                    <w:pStyle w:val="23"/>
                    <w:bidi w:val="0"/>
                  </w:pPr>
                  <w:r>
                    <w:t>主体工程</w:t>
                  </w:r>
                </w:p>
              </w:tc>
              <w:tc>
                <w:tcPr>
                  <w:tcW w:w="437" w:type="pct"/>
                  <w:noWrap w:val="0"/>
                  <w:vAlign w:val="center"/>
                </w:tcPr>
                <w:p w14:paraId="7C68F884">
                  <w:pPr>
                    <w:pStyle w:val="23"/>
                    <w:bidi w:val="0"/>
                  </w:pPr>
                  <w:r>
                    <w:t>1F</w:t>
                  </w:r>
                </w:p>
              </w:tc>
              <w:tc>
                <w:tcPr>
                  <w:tcW w:w="3117" w:type="pct"/>
                  <w:gridSpan w:val="2"/>
                  <w:noWrap w:val="0"/>
                  <w:vAlign w:val="center"/>
                </w:tcPr>
                <w:p w14:paraId="2D8A9FCC">
                  <w:pPr>
                    <w:pStyle w:val="23"/>
                    <w:bidi w:val="0"/>
                  </w:pPr>
                  <w:r>
                    <w:t>建筑面积</w:t>
                  </w:r>
                  <w:r>
                    <w:rPr>
                      <w:rFonts w:hint="eastAsia"/>
                    </w:rPr>
                    <w:t>约323</w:t>
                  </w:r>
                  <w:r>
                    <w:t>m</w:t>
                  </w:r>
                  <w:r>
                    <w:rPr>
                      <w:vertAlign w:val="superscript"/>
                    </w:rPr>
                    <w:t>2</w:t>
                  </w:r>
                  <w:r>
                    <w:t>，主要设置</w:t>
                  </w:r>
                  <w:r>
                    <w:rPr>
                      <w:rFonts w:hint="eastAsia"/>
                      <w:lang w:eastAsia="zh-CN"/>
                    </w:rPr>
                    <w:t>西药房、</w:t>
                  </w:r>
                  <w:r>
                    <w:rPr>
                      <w:rFonts w:hint="eastAsia"/>
                    </w:rPr>
                    <w:t>外科诊室、中医针灸科、</w:t>
                  </w:r>
                  <w:r>
                    <w:rPr>
                      <w:rFonts w:hint="eastAsia"/>
                      <w:lang w:eastAsia="zh-CN"/>
                    </w:rPr>
                    <w:t>磁共振室、</w:t>
                  </w:r>
                  <w:r>
                    <w:rPr>
                      <w:rFonts w:hint="eastAsia"/>
                    </w:rPr>
                    <w:t>急救室、治疗室、</w:t>
                  </w:r>
                  <w:r>
                    <w:rPr>
                      <w:rFonts w:hint="eastAsia"/>
                      <w:lang w:val="en-US" w:eastAsia="zh-CN"/>
                    </w:rPr>
                    <w:t>医疗废物暂存间</w:t>
                  </w:r>
                  <w:r>
                    <w:rPr>
                      <w:rFonts w:hint="eastAsia"/>
                    </w:rPr>
                    <w:t>及污水处理设施。</w:t>
                  </w:r>
                </w:p>
              </w:tc>
              <w:tc>
                <w:tcPr>
                  <w:tcW w:w="730" w:type="pct"/>
                  <w:vMerge w:val="restart"/>
                  <w:noWrap w:val="0"/>
                  <w:vAlign w:val="center"/>
                </w:tcPr>
                <w:p w14:paraId="54E2B068">
                  <w:pPr>
                    <w:pStyle w:val="23"/>
                    <w:bidi w:val="0"/>
                  </w:pPr>
                  <w:r>
                    <w:t>医疗垃圾</w:t>
                  </w:r>
                </w:p>
                <w:p w14:paraId="41B6CB4E">
                  <w:pPr>
                    <w:pStyle w:val="23"/>
                    <w:bidi w:val="0"/>
                  </w:pPr>
                  <w:r>
                    <w:t>医疗废水</w:t>
                  </w:r>
                </w:p>
                <w:p w14:paraId="0A77B028">
                  <w:pPr>
                    <w:pStyle w:val="23"/>
                    <w:bidi w:val="0"/>
                  </w:pPr>
                  <w:r>
                    <w:t>生活污水</w:t>
                  </w:r>
                </w:p>
                <w:p w14:paraId="029447BA">
                  <w:pPr>
                    <w:pStyle w:val="23"/>
                    <w:bidi w:val="0"/>
                  </w:pPr>
                  <w:r>
                    <w:t>生活垃圾</w:t>
                  </w:r>
                </w:p>
                <w:p w14:paraId="167522C9">
                  <w:pPr>
                    <w:pStyle w:val="23"/>
                    <w:bidi w:val="0"/>
                  </w:pPr>
                  <w:r>
                    <w:t>设备噪声</w:t>
                  </w:r>
                </w:p>
              </w:tc>
              <w:tc>
                <w:tcPr>
                  <w:tcW w:w="300" w:type="pct"/>
                  <w:vMerge w:val="restart"/>
                  <w:noWrap w:val="0"/>
                  <w:vAlign w:val="center"/>
                </w:tcPr>
                <w:p w14:paraId="297EBC2F">
                  <w:pPr>
                    <w:pStyle w:val="23"/>
                    <w:bidi w:val="0"/>
                    <w:rPr>
                      <w:rFonts w:hint="eastAsia"/>
                    </w:rPr>
                  </w:pPr>
                  <w:r>
                    <w:rPr>
                      <w:rFonts w:hint="eastAsia"/>
                    </w:rPr>
                    <w:t>已建成</w:t>
                  </w:r>
                </w:p>
              </w:tc>
            </w:tr>
            <w:tr w14:paraId="4825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jc w:val="center"/>
              </w:trPr>
              <w:tc>
                <w:tcPr>
                  <w:tcW w:w="414" w:type="pct"/>
                  <w:vMerge w:val="continue"/>
                  <w:noWrap w:val="0"/>
                  <w:vAlign w:val="center"/>
                </w:tcPr>
                <w:p w14:paraId="41E209FC">
                  <w:pPr>
                    <w:pStyle w:val="23"/>
                    <w:bidi w:val="0"/>
                  </w:pPr>
                </w:p>
              </w:tc>
              <w:tc>
                <w:tcPr>
                  <w:tcW w:w="437" w:type="pct"/>
                  <w:noWrap w:val="0"/>
                  <w:vAlign w:val="center"/>
                </w:tcPr>
                <w:p w14:paraId="6FED93A3">
                  <w:pPr>
                    <w:pStyle w:val="23"/>
                    <w:bidi w:val="0"/>
                  </w:pPr>
                  <w:r>
                    <w:t>2F</w:t>
                  </w:r>
                </w:p>
              </w:tc>
              <w:tc>
                <w:tcPr>
                  <w:tcW w:w="3117" w:type="pct"/>
                  <w:gridSpan w:val="2"/>
                  <w:noWrap w:val="0"/>
                  <w:vAlign w:val="center"/>
                </w:tcPr>
                <w:p w14:paraId="1695984D">
                  <w:pPr>
                    <w:pStyle w:val="23"/>
                    <w:bidi w:val="0"/>
                  </w:pPr>
                  <w:r>
                    <w:t>建筑面积</w:t>
                  </w:r>
                  <w:r>
                    <w:rPr>
                      <w:rFonts w:hint="eastAsia"/>
                    </w:rPr>
                    <w:t>约323</w:t>
                  </w:r>
                  <w:r>
                    <w:t>m</w:t>
                  </w:r>
                  <w:r>
                    <w:rPr>
                      <w:vertAlign w:val="superscript"/>
                    </w:rPr>
                    <w:t>2</w:t>
                  </w:r>
                  <w:r>
                    <w:t>，主要设置</w:t>
                  </w:r>
                  <w:r>
                    <w:rPr>
                      <w:rFonts w:hint="eastAsia"/>
                      <w:lang w:eastAsia="zh-CN"/>
                    </w:rPr>
                    <w:t>医生办公室、机房、医保科、住院代表办公室、</w:t>
                  </w:r>
                  <w:r>
                    <w:rPr>
                      <w:rFonts w:hint="eastAsia"/>
                      <w:lang w:val="en-US" w:eastAsia="zh-CN"/>
                    </w:rPr>
                    <w:t>B超室、理疗科、档案室、卫生间、库房、碎石治疗室、检验室和针灸治疗室</w:t>
                  </w:r>
                </w:p>
              </w:tc>
              <w:tc>
                <w:tcPr>
                  <w:tcW w:w="730" w:type="pct"/>
                  <w:vMerge w:val="continue"/>
                  <w:noWrap w:val="0"/>
                  <w:vAlign w:val="center"/>
                </w:tcPr>
                <w:p w14:paraId="7FA1D401">
                  <w:pPr>
                    <w:pStyle w:val="23"/>
                    <w:bidi w:val="0"/>
                  </w:pPr>
                </w:p>
              </w:tc>
              <w:tc>
                <w:tcPr>
                  <w:tcW w:w="300" w:type="pct"/>
                  <w:vMerge w:val="continue"/>
                  <w:noWrap w:val="0"/>
                  <w:vAlign w:val="center"/>
                </w:tcPr>
                <w:p w14:paraId="035630FE">
                  <w:pPr>
                    <w:pStyle w:val="23"/>
                    <w:bidi w:val="0"/>
                  </w:pPr>
                </w:p>
              </w:tc>
            </w:tr>
            <w:tr w14:paraId="49DF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jc w:val="center"/>
              </w:trPr>
              <w:tc>
                <w:tcPr>
                  <w:tcW w:w="414" w:type="pct"/>
                  <w:vMerge w:val="continue"/>
                  <w:noWrap w:val="0"/>
                  <w:vAlign w:val="center"/>
                </w:tcPr>
                <w:p w14:paraId="48FB2B32">
                  <w:pPr>
                    <w:pStyle w:val="23"/>
                    <w:bidi w:val="0"/>
                  </w:pPr>
                </w:p>
              </w:tc>
              <w:tc>
                <w:tcPr>
                  <w:tcW w:w="437" w:type="pct"/>
                  <w:noWrap w:val="0"/>
                  <w:vAlign w:val="center"/>
                </w:tcPr>
                <w:p w14:paraId="24441107">
                  <w:pPr>
                    <w:pStyle w:val="23"/>
                    <w:bidi w:val="0"/>
                  </w:pPr>
                  <w:r>
                    <w:t>3F</w:t>
                  </w:r>
                </w:p>
              </w:tc>
              <w:tc>
                <w:tcPr>
                  <w:tcW w:w="3117" w:type="pct"/>
                  <w:gridSpan w:val="2"/>
                  <w:noWrap w:val="0"/>
                  <w:vAlign w:val="center"/>
                </w:tcPr>
                <w:p w14:paraId="7CF52A27">
                  <w:pPr>
                    <w:pStyle w:val="23"/>
                    <w:bidi w:val="0"/>
                  </w:pPr>
                  <w:r>
                    <w:t>建筑面积</w:t>
                  </w:r>
                  <w:r>
                    <w:rPr>
                      <w:rFonts w:hint="eastAsia"/>
                    </w:rPr>
                    <w:t>约323</w:t>
                  </w:r>
                  <w:r>
                    <w:t>m</w:t>
                  </w:r>
                  <w:r>
                    <w:rPr>
                      <w:vertAlign w:val="superscript"/>
                    </w:rPr>
                    <w:t>2</w:t>
                  </w:r>
                  <w:r>
                    <w:t>，主要设置</w:t>
                  </w:r>
                  <w:r>
                    <w:rPr>
                      <w:rFonts w:hint="eastAsia"/>
                      <w:lang w:eastAsia="zh-CN"/>
                    </w:rPr>
                    <w:t>配剂室、病室、护士值班室和手术室</w:t>
                  </w:r>
                </w:p>
              </w:tc>
              <w:tc>
                <w:tcPr>
                  <w:tcW w:w="730" w:type="pct"/>
                  <w:vMerge w:val="continue"/>
                  <w:noWrap w:val="0"/>
                  <w:vAlign w:val="center"/>
                </w:tcPr>
                <w:p w14:paraId="76523A59">
                  <w:pPr>
                    <w:pStyle w:val="23"/>
                    <w:bidi w:val="0"/>
                  </w:pPr>
                </w:p>
              </w:tc>
              <w:tc>
                <w:tcPr>
                  <w:tcW w:w="300" w:type="pct"/>
                  <w:vMerge w:val="continue"/>
                  <w:noWrap w:val="0"/>
                  <w:vAlign w:val="center"/>
                </w:tcPr>
                <w:p w14:paraId="57AC5892">
                  <w:pPr>
                    <w:pStyle w:val="23"/>
                    <w:bidi w:val="0"/>
                  </w:pPr>
                </w:p>
              </w:tc>
            </w:tr>
            <w:tr w14:paraId="7175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jc w:val="center"/>
              </w:trPr>
              <w:tc>
                <w:tcPr>
                  <w:tcW w:w="414" w:type="pct"/>
                  <w:vMerge w:val="continue"/>
                  <w:noWrap w:val="0"/>
                  <w:vAlign w:val="center"/>
                </w:tcPr>
                <w:p w14:paraId="4D1E0DA2">
                  <w:pPr>
                    <w:pStyle w:val="23"/>
                    <w:bidi w:val="0"/>
                  </w:pPr>
                </w:p>
              </w:tc>
              <w:tc>
                <w:tcPr>
                  <w:tcW w:w="437" w:type="pct"/>
                  <w:noWrap w:val="0"/>
                  <w:vAlign w:val="center"/>
                </w:tcPr>
                <w:p w14:paraId="1B3F5538">
                  <w:pPr>
                    <w:pStyle w:val="23"/>
                    <w:bidi w:val="0"/>
                  </w:pPr>
                  <w:r>
                    <w:t>4F</w:t>
                  </w:r>
                </w:p>
              </w:tc>
              <w:tc>
                <w:tcPr>
                  <w:tcW w:w="3117" w:type="pct"/>
                  <w:gridSpan w:val="2"/>
                  <w:noWrap w:val="0"/>
                  <w:vAlign w:val="center"/>
                </w:tcPr>
                <w:p w14:paraId="464B9C8C">
                  <w:pPr>
                    <w:pStyle w:val="23"/>
                    <w:bidi w:val="0"/>
                  </w:pPr>
                  <w:r>
                    <w:t>建筑面积</w:t>
                  </w:r>
                  <w:r>
                    <w:rPr>
                      <w:rFonts w:hint="eastAsia"/>
                    </w:rPr>
                    <w:t>约323</w:t>
                  </w:r>
                  <w:r>
                    <w:t>m</w:t>
                  </w:r>
                  <w:r>
                    <w:rPr>
                      <w:vertAlign w:val="superscript"/>
                    </w:rPr>
                    <w:t>2</w:t>
                  </w:r>
                  <w:r>
                    <w:t>，主要设置</w:t>
                  </w:r>
                  <w:r>
                    <w:rPr>
                      <w:rFonts w:hint="eastAsia"/>
                      <w:lang w:eastAsia="zh-CN"/>
                    </w:rPr>
                    <w:t>无菌治疗室、库房、病室和普通治疗室</w:t>
                  </w:r>
                  <w:r>
                    <w:t>。</w:t>
                  </w:r>
                </w:p>
              </w:tc>
              <w:tc>
                <w:tcPr>
                  <w:tcW w:w="730" w:type="pct"/>
                  <w:vMerge w:val="continue"/>
                  <w:noWrap w:val="0"/>
                  <w:vAlign w:val="center"/>
                </w:tcPr>
                <w:p w14:paraId="14E03130">
                  <w:pPr>
                    <w:pStyle w:val="23"/>
                    <w:bidi w:val="0"/>
                  </w:pPr>
                </w:p>
              </w:tc>
              <w:tc>
                <w:tcPr>
                  <w:tcW w:w="300" w:type="pct"/>
                  <w:vMerge w:val="continue"/>
                  <w:noWrap w:val="0"/>
                  <w:vAlign w:val="center"/>
                </w:tcPr>
                <w:p w14:paraId="40F56DEC">
                  <w:pPr>
                    <w:pStyle w:val="23"/>
                    <w:bidi w:val="0"/>
                  </w:pPr>
                </w:p>
              </w:tc>
            </w:tr>
            <w:tr w14:paraId="539C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jc w:val="center"/>
              </w:trPr>
              <w:tc>
                <w:tcPr>
                  <w:tcW w:w="414" w:type="pct"/>
                  <w:vMerge w:val="continue"/>
                  <w:noWrap w:val="0"/>
                  <w:vAlign w:val="center"/>
                </w:tcPr>
                <w:p w14:paraId="4B09F0A0">
                  <w:pPr>
                    <w:pStyle w:val="23"/>
                    <w:bidi w:val="0"/>
                  </w:pPr>
                </w:p>
              </w:tc>
              <w:tc>
                <w:tcPr>
                  <w:tcW w:w="437" w:type="pct"/>
                  <w:noWrap w:val="0"/>
                  <w:vAlign w:val="center"/>
                </w:tcPr>
                <w:p w14:paraId="4497D638">
                  <w:pPr>
                    <w:pStyle w:val="23"/>
                    <w:bidi w:val="0"/>
                  </w:pPr>
                  <w:r>
                    <w:t>5F</w:t>
                  </w:r>
                </w:p>
              </w:tc>
              <w:tc>
                <w:tcPr>
                  <w:tcW w:w="3117" w:type="pct"/>
                  <w:gridSpan w:val="2"/>
                  <w:noWrap w:val="0"/>
                  <w:vAlign w:val="center"/>
                </w:tcPr>
                <w:p w14:paraId="4D524472">
                  <w:pPr>
                    <w:pStyle w:val="23"/>
                    <w:bidi w:val="0"/>
                  </w:pPr>
                  <w:r>
                    <w:t>建筑面积</w:t>
                  </w:r>
                  <w:r>
                    <w:rPr>
                      <w:rFonts w:hint="eastAsia"/>
                    </w:rPr>
                    <w:t>约323</w:t>
                  </w:r>
                  <w:r>
                    <w:t>m</w:t>
                  </w:r>
                  <w:r>
                    <w:rPr>
                      <w:vertAlign w:val="superscript"/>
                    </w:rPr>
                    <w:t>2</w:t>
                  </w:r>
                  <w:r>
                    <w:t>，</w:t>
                  </w:r>
                  <w:r>
                    <w:rPr>
                      <w:rFonts w:hint="eastAsia"/>
                      <w:lang w:eastAsia="zh-CN"/>
                    </w:rPr>
                    <w:t>为空房</w:t>
                  </w:r>
                  <w:r>
                    <w:t>。</w:t>
                  </w:r>
                </w:p>
              </w:tc>
              <w:tc>
                <w:tcPr>
                  <w:tcW w:w="730" w:type="pct"/>
                  <w:vMerge w:val="continue"/>
                  <w:noWrap w:val="0"/>
                  <w:vAlign w:val="center"/>
                </w:tcPr>
                <w:p w14:paraId="05D2B09E">
                  <w:pPr>
                    <w:pStyle w:val="23"/>
                    <w:bidi w:val="0"/>
                  </w:pPr>
                </w:p>
              </w:tc>
              <w:tc>
                <w:tcPr>
                  <w:tcW w:w="300" w:type="pct"/>
                  <w:vMerge w:val="continue"/>
                  <w:noWrap w:val="0"/>
                  <w:vAlign w:val="center"/>
                </w:tcPr>
                <w:p w14:paraId="3B7D9F02">
                  <w:pPr>
                    <w:pStyle w:val="23"/>
                    <w:bidi w:val="0"/>
                  </w:pPr>
                </w:p>
              </w:tc>
            </w:tr>
            <w:tr w14:paraId="5DE2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414" w:type="pct"/>
                  <w:noWrap w:val="0"/>
                  <w:vAlign w:val="center"/>
                </w:tcPr>
                <w:p w14:paraId="4E1DD937">
                  <w:pPr>
                    <w:pStyle w:val="23"/>
                    <w:bidi w:val="0"/>
                  </w:pPr>
                  <w:r>
                    <w:t>辅助工程</w:t>
                  </w:r>
                </w:p>
              </w:tc>
              <w:tc>
                <w:tcPr>
                  <w:tcW w:w="437" w:type="pct"/>
                  <w:noWrap w:val="0"/>
                  <w:vAlign w:val="center"/>
                </w:tcPr>
                <w:p w14:paraId="31CEBBD3">
                  <w:pPr>
                    <w:pStyle w:val="23"/>
                    <w:bidi w:val="0"/>
                  </w:pPr>
                  <w:r>
                    <w:t>备用柴油发电机房</w:t>
                  </w:r>
                </w:p>
              </w:tc>
              <w:tc>
                <w:tcPr>
                  <w:tcW w:w="3117" w:type="pct"/>
                  <w:gridSpan w:val="2"/>
                  <w:noWrap w:val="0"/>
                  <w:vAlign w:val="center"/>
                </w:tcPr>
                <w:p w14:paraId="73F3A011">
                  <w:pPr>
                    <w:pStyle w:val="23"/>
                    <w:bidi w:val="0"/>
                  </w:pPr>
                  <w:r>
                    <w:t>位于</w:t>
                  </w:r>
                  <w:r>
                    <w:rPr>
                      <w:rFonts w:hint="eastAsia"/>
                      <w:lang w:val="en-US" w:eastAsia="zh-CN"/>
                    </w:rPr>
                    <w:t>二</w:t>
                  </w:r>
                  <w:r>
                    <w:t>层，</w:t>
                  </w:r>
                  <w:r>
                    <w:rPr>
                      <w:rFonts w:hint="eastAsia"/>
                    </w:rPr>
                    <w:t>柴油发电机房内，</w:t>
                  </w:r>
                  <w:r>
                    <w:t>建筑</w:t>
                  </w:r>
                  <w:r>
                    <w:rPr>
                      <w:rFonts w:hint="eastAsia"/>
                    </w:rPr>
                    <w:t>面积</w:t>
                  </w:r>
                  <w:r>
                    <w:t>约</w:t>
                  </w:r>
                  <w:r>
                    <w:rPr>
                      <w:rFonts w:hint="eastAsia"/>
                      <w:lang w:val="en-US" w:eastAsia="zh-CN"/>
                    </w:rPr>
                    <w:t>23</w:t>
                  </w:r>
                  <w:r>
                    <w:t>m</w:t>
                  </w:r>
                  <w:r>
                    <w:rPr>
                      <w:vertAlign w:val="superscript"/>
                    </w:rPr>
                    <w:t>2</w:t>
                  </w:r>
                  <w:r>
                    <w:t>，设置备用发电机组1套。</w:t>
                  </w:r>
                </w:p>
              </w:tc>
              <w:tc>
                <w:tcPr>
                  <w:tcW w:w="730" w:type="pct"/>
                  <w:noWrap w:val="0"/>
                  <w:vAlign w:val="center"/>
                </w:tcPr>
                <w:p w14:paraId="0A635A7E">
                  <w:pPr>
                    <w:pStyle w:val="23"/>
                    <w:bidi w:val="0"/>
                  </w:pPr>
                  <w:r>
                    <w:t>废气、噪声</w:t>
                  </w:r>
                </w:p>
              </w:tc>
              <w:tc>
                <w:tcPr>
                  <w:tcW w:w="300" w:type="pct"/>
                  <w:noWrap w:val="0"/>
                  <w:vAlign w:val="center"/>
                </w:tcPr>
                <w:p w14:paraId="73B4AE92">
                  <w:pPr>
                    <w:pStyle w:val="23"/>
                    <w:bidi w:val="0"/>
                  </w:pPr>
                  <w:r>
                    <w:rPr>
                      <w:rFonts w:hint="eastAsia"/>
                    </w:rPr>
                    <w:t>已建成</w:t>
                  </w:r>
                </w:p>
              </w:tc>
            </w:tr>
            <w:tr w14:paraId="260F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2" w:hRule="atLeast"/>
                <w:jc w:val="center"/>
              </w:trPr>
              <w:tc>
                <w:tcPr>
                  <w:tcW w:w="414" w:type="pct"/>
                  <w:vMerge w:val="restart"/>
                  <w:noWrap w:val="0"/>
                  <w:vAlign w:val="center"/>
                </w:tcPr>
                <w:p w14:paraId="2AD5E835">
                  <w:pPr>
                    <w:pStyle w:val="23"/>
                    <w:bidi w:val="0"/>
                  </w:pPr>
                  <w:r>
                    <w:t>公用工程</w:t>
                  </w:r>
                </w:p>
              </w:tc>
              <w:tc>
                <w:tcPr>
                  <w:tcW w:w="437" w:type="pct"/>
                  <w:noWrap w:val="0"/>
                  <w:vAlign w:val="center"/>
                </w:tcPr>
                <w:p w14:paraId="41FB6DC6">
                  <w:pPr>
                    <w:pStyle w:val="23"/>
                    <w:bidi w:val="0"/>
                  </w:pPr>
                  <w:r>
                    <w:t>给排水</w:t>
                  </w:r>
                </w:p>
              </w:tc>
              <w:tc>
                <w:tcPr>
                  <w:tcW w:w="3117" w:type="pct"/>
                  <w:gridSpan w:val="2"/>
                  <w:noWrap w:val="0"/>
                  <w:vAlign w:val="center"/>
                </w:tcPr>
                <w:p w14:paraId="7890CF7B">
                  <w:pPr>
                    <w:pStyle w:val="23"/>
                    <w:bidi w:val="0"/>
                  </w:pPr>
                  <w:r>
                    <w:t>供水：由市政供水管网提供；</w:t>
                  </w:r>
                </w:p>
                <w:p w14:paraId="2E7785B8">
                  <w:pPr>
                    <w:pStyle w:val="23"/>
                    <w:bidi w:val="0"/>
                  </w:pPr>
                  <w:r>
                    <w:t>排水：雨污分流，雨水经项目区内雨水收集系统收集后接入东侧道路雨水沟渠；</w:t>
                  </w:r>
                  <w:r>
                    <w:rPr>
                      <w:rFonts w:hint="default"/>
                    </w:rPr>
                    <w:t>污水通过市政污水管网进入</w:t>
                  </w:r>
                  <w:r>
                    <w:rPr>
                      <w:rFonts w:hint="eastAsia"/>
                      <w:lang w:eastAsia="zh-CN"/>
                    </w:rPr>
                    <w:t>遂宁市城南第一污水处理厂</w:t>
                  </w:r>
                  <w:r>
                    <w:rPr>
                      <w:rFonts w:hint="default"/>
                    </w:rPr>
                    <w:t>处理，最终排入涪江</w:t>
                  </w:r>
                  <w:r>
                    <w:t>。</w:t>
                  </w:r>
                </w:p>
              </w:tc>
              <w:tc>
                <w:tcPr>
                  <w:tcW w:w="730" w:type="pct"/>
                  <w:noWrap w:val="0"/>
                  <w:vAlign w:val="center"/>
                </w:tcPr>
                <w:p w14:paraId="19A0817F">
                  <w:pPr>
                    <w:pStyle w:val="23"/>
                    <w:bidi w:val="0"/>
                  </w:pPr>
                  <w:r>
                    <w:t>污水</w:t>
                  </w:r>
                </w:p>
              </w:tc>
              <w:tc>
                <w:tcPr>
                  <w:tcW w:w="300" w:type="pct"/>
                  <w:noWrap w:val="0"/>
                  <w:vAlign w:val="center"/>
                </w:tcPr>
                <w:p w14:paraId="623D055B">
                  <w:pPr>
                    <w:pStyle w:val="23"/>
                    <w:bidi w:val="0"/>
                  </w:pPr>
                  <w:r>
                    <w:rPr>
                      <w:rFonts w:hint="eastAsia"/>
                    </w:rPr>
                    <w:t>已建成</w:t>
                  </w:r>
                </w:p>
              </w:tc>
            </w:tr>
            <w:tr w14:paraId="7573C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414" w:type="pct"/>
                  <w:vMerge w:val="continue"/>
                  <w:noWrap w:val="0"/>
                  <w:vAlign w:val="center"/>
                </w:tcPr>
                <w:p w14:paraId="2A02A76B">
                  <w:pPr>
                    <w:pStyle w:val="23"/>
                    <w:bidi w:val="0"/>
                  </w:pPr>
                </w:p>
              </w:tc>
              <w:tc>
                <w:tcPr>
                  <w:tcW w:w="437" w:type="pct"/>
                  <w:noWrap w:val="0"/>
                  <w:vAlign w:val="center"/>
                </w:tcPr>
                <w:p w14:paraId="7F005F8E">
                  <w:pPr>
                    <w:pStyle w:val="23"/>
                    <w:bidi w:val="0"/>
                  </w:pPr>
                  <w:r>
                    <w:t>供电</w:t>
                  </w:r>
                </w:p>
              </w:tc>
              <w:tc>
                <w:tcPr>
                  <w:tcW w:w="3117" w:type="pct"/>
                  <w:gridSpan w:val="2"/>
                  <w:noWrap w:val="0"/>
                  <w:vAlign w:val="center"/>
                </w:tcPr>
                <w:p w14:paraId="3AC920D8">
                  <w:pPr>
                    <w:pStyle w:val="23"/>
                    <w:bidi w:val="0"/>
                  </w:pPr>
                  <w:r>
                    <w:t>由市政供电，50kW的柴油发电机1台作为备用电源</w:t>
                  </w:r>
                </w:p>
              </w:tc>
              <w:tc>
                <w:tcPr>
                  <w:tcW w:w="730" w:type="pct"/>
                  <w:noWrap w:val="0"/>
                  <w:vAlign w:val="center"/>
                </w:tcPr>
                <w:p w14:paraId="1ED55DFA">
                  <w:pPr>
                    <w:pStyle w:val="23"/>
                    <w:bidi w:val="0"/>
                  </w:pPr>
                  <w:r>
                    <w:t>/</w:t>
                  </w:r>
                </w:p>
              </w:tc>
              <w:tc>
                <w:tcPr>
                  <w:tcW w:w="300" w:type="pct"/>
                  <w:noWrap w:val="0"/>
                  <w:vAlign w:val="center"/>
                </w:tcPr>
                <w:p w14:paraId="43CC0604">
                  <w:pPr>
                    <w:pStyle w:val="23"/>
                    <w:bidi w:val="0"/>
                  </w:pPr>
                  <w:r>
                    <w:rPr>
                      <w:rFonts w:hint="eastAsia"/>
                    </w:rPr>
                    <w:t>已建成</w:t>
                  </w:r>
                </w:p>
              </w:tc>
            </w:tr>
            <w:tr w14:paraId="5782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414" w:type="pct"/>
                  <w:vMerge w:val="continue"/>
                  <w:noWrap w:val="0"/>
                  <w:vAlign w:val="center"/>
                </w:tcPr>
                <w:p w14:paraId="19133A7B">
                  <w:pPr>
                    <w:pStyle w:val="23"/>
                    <w:bidi w:val="0"/>
                  </w:pPr>
                </w:p>
              </w:tc>
              <w:tc>
                <w:tcPr>
                  <w:tcW w:w="437" w:type="pct"/>
                  <w:noWrap w:val="0"/>
                  <w:vAlign w:val="center"/>
                </w:tcPr>
                <w:p w14:paraId="3D0DBD29">
                  <w:pPr>
                    <w:pStyle w:val="23"/>
                    <w:bidi w:val="0"/>
                  </w:pPr>
                  <w:r>
                    <w:t>空调系统</w:t>
                  </w:r>
                </w:p>
              </w:tc>
              <w:tc>
                <w:tcPr>
                  <w:tcW w:w="3117" w:type="pct"/>
                  <w:gridSpan w:val="2"/>
                  <w:noWrap w:val="0"/>
                  <w:vAlign w:val="center"/>
                </w:tcPr>
                <w:p w14:paraId="75A75DC6">
                  <w:pPr>
                    <w:pStyle w:val="23"/>
                    <w:bidi w:val="0"/>
                  </w:pPr>
                  <w:r>
                    <w:t>本项目空调系统全部采用分体多联空调系统。</w:t>
                  </w:r>
                </w:p>
              </w:tc>
              <w:tc>
                <w:tcPr>
                  <w:tcW w:w="730" w:type="pct"/>
                  <w:noWrap w:val="0"/>
                  <w:vAlign w:val="center"/>
                </w:tcPr>
                <w:p w14:paraId="6CB3E955">
                  <w:pPr>
                    <w:pStyle w:val="23"/>
                    <w:bidi w:val="0"/>
                  </w:pPr>
                  <w:r>
                    <w:t>噪声</w:t>
                  </w:r>
                </w:p>
              </w:tc>
              <w:tc>
                <w:tcPr>
                  <w:tcW w:w="300" w:type="pct"/>
                  <w:noWrap w:val="0"/>
                  <w:vAlign w:val="center"/>
                </w:tcPr>
                <w:p w14:paraId="4961A3FB">
                  <w:pPr>
                    <w:pStyle w:val="23"/>
                    <w:bidi w:val="0"/>
                  </w:pPr>
                  <w:r>
                    <w:rPr>
                      <w:rFonts w:hint="eastAsia"/>
                    </w:rPr>
                    <w:t>已建成</w:t>
                  </w:r>
                </w:p>
              </w:tc>
            </w:tr>
            <w:tr w14:paraId="1D42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414" w:type="pct"/>
                  <w:vMerge w:val="restart"/>
                  <w:noWrap w:val="0"/>
                  <w:vAlign w:val="center"/>
                </w:tcPr>
                <w:p w14:paraId="5A43AC22">
                  <w:pPr>
                    <w:pStyle w:val="23"/>
                    <w:bidi w:val="0"/>
                  </w:pPr>
                  <w:r>
                    <w:t>环保工程</w:t>
                  </w:r>
                </w:p>
              </w:tc>
              <w:tc>
                <w:tcPr>
                  <w:tcW w:w="437" w:type="pct"/>
                  <w:vMerge w:val="restart"/>
                  <w:noWrap w:val="0"/>
                  <w:vAlign w:val="center"/>
                </w:tcPr>
                <w:p w14:paraId="3F29F7CC">
                  <w:pPr>
                    <w:pStyle w:val="23"/>
                    <w:bidi w:val="0"/>
                    <w:rPr>
                      <w:rFonts w:hint="eastAsia"/>
                      <w:lang w:eastAsia="zh-CN"/>
                    </w:rPr>
                  </w:pPr>
                  <w:r>
                    <w:rPr>
                      <w:rFonts w:hint="eastAsia"/>
                      <w:lang w:eastAsia="zh-CN"/>
                    </w:rPr>
                    <w:t>废气治理</w:t>
                  </w:r>
                </w:p>
              </w:tc>
              <w:tc>
                <w:tcPr>
                  <w:tcW w:w="723" w:type="pct"/>
                  <w:noWrap w:val="0"/>
                  <w:vAlign w:val="center"/>
                </w:tcPr>
                <w:p w14:paraId="4D49BE27">
                  <w:pPr>
                    <w:pStyle w:val="23"/>
                    <w:bidi w:val="0"/>
                  </w:pPr>
                  <w:r>
                    <w:rPr>
                      <w:rFonts w:hint="eastAsia"/>
                    </w:rPr>
                    <w:t>污水处理站臭气</w:t>
                  </w:r>
                </w:p>
              </w:tc>
              <w:tc>
                <w:tcPr>
                  <w:tcW w:w="2393" w:type="pct"/>
                  <w:noWrap w:val="0"/>
                  <w:vAlign w:val="center"/>
                </w:tcPr>
                <w:p w14:paraId="387EEBCD">
                  <w:pPr>
                    <w:pStyle w:val="23"/>
                    <w:bidi w:val="0"/>
                    <w:rPr>
                      <w:rFonts w:hint="eastAsia"/>
                      <w:lang w:eastAsia="zh-CN"/>
                    </w:rPr>
                  </w:pPr>
                  <w:r>
                    <w:rPr>
                      <w:rFonts w:hint="eastAsia"/>
                    </w:rPr>
                    <w:t>池体密闭（加封盖板</w:t>
                  </w:r>
                  <w:r>
                    <w:rPr>
                      <w:rFonts w:hint="eastAsia"/>
                      <w:lang w:eastAsia="zh-CN"/>
                    </w:rPr>
                    <w:t>），并</w:t>
                  </w:r>
                  <w:r>
                    <w:rPr>
                      <w:rFonts w:hint="eastAsia"/>
                    </w:rPr>
                    <w:t>定期对污水处理站区域喷洒除臭剂</w:t>
                  </w:r>
                </w:p>
              </w:tc>
              <w:tc>
                <w:tcPr>
                  <w:tcW w:w="730" w:type="pct"/>
                  <w:vMerge w:val="restart"/>
                  <w:noWrap w:val="0"/>
                  <w:vAlign w:val="center"/>
                </w:tcPr>
                <w:p w14:paraId="51B241E3">
                  <w:pPr>
                    <w:pStyle w:val="23"/>
                    <w:bidi w:val="0"/>
                    <w:rPr>
                      <w:rFonts w:hint="eastAsia"/>
                      <w:lang w:eastAsia="zh-CN"/>
                    </w:rPr>
                  </w:pPr>
                  <w:r>
                    <w:rPr>
                      <w:rFonts w:hint="eastAsia"/>
                      <w:lang w:eastAsia="zh-CN"/>
                    </w:rPr>
                    <w:t>废气</w:t>
                  </w:r>
                </w:p>
              </w:tc>
              <w:tc>
                <w:tcPr>
                  <w:tcW w:w="300" w:type="pct"/>
                  <w:vMerge w:val="restart"/>
                  <w:noWrap w:val="0"/>
                  <w:vAlign w:val="center"/>
                </w:tcPr>
                <w:p w14:paraId="4756F041">
                  <w:pPr>
                    <w:pStyle w:val="23"/>
                    <w:bidi w:val="0"/>
                    <w:rPr>
                      <w:rFonts w:hint="eastAsia"/>
                      <w:lang w:eastAsia="zh-CN"/>
                    </w:rPr>
                  </w:pPr>
                  <w:r>
                    <w:rPr>
                      <w:rFonts w:hint="eastAsia"/>
                      <w:lang w:eastAsia="zh-CN"/>
                    </w:rPr>
                    <w:t>已建成</w:t>
                  </w:r>
                </w:p>
              </w:tc>
            </w:tr>
            <w:tr w14:paraId="711A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414" w:type="pct"/>
                  <w:vMerge w:val="continue"/>
                  <w:noWrap w:val="0"/>
                  <w:vAlign w:val="center"/>
                </w:tcPr>
                <w:p w14:paraId="6890B75D">
                  <w:pPr>
                    <w:pStyle w:val="23"/>
                    <w:bidi w:val="0"/>
                  </w:pPr>
                </w:p>
              </w:tc>
              <w:tc>
                <w:tcPr>
                  <w:tcW w:w="437" w:type="pct"/>
                  <w:vMerge w:val="continue"/>
                  <w:noWrap w:val="0"/>
                  <w:vAlign w:val="center"/>
                </w:tcPr>
                <w:p w14:paraId="3E53A88D">
                  <w:pPr>
                    <w:pStyle w:val="23"/>
                    <w:bidi w:val="0"/>
                  </w:pPr>
                </w:p>
              </w:tc>
              <w:tc>
                <w:tcPr>
                  <w:tcW w:w="723" w:type="pct"/>
                  <w:noWrap w:val="0"/>
                  <w:vAlign w:val="center"/>
                </w:tcPr>
                <w:p w14:paraId="47D53C33">
                  <w:pPr>
                    <w:pStyle w:val="23"/>
                    <w:bidi w:val="0"/>
                  </w:pPr>
                  <w:r>
                    <w:rPr>
                      <w:rFonts w:hint="eastAsia"/>
                    </w:rPr>
                    <w:t>医疗暂存间臭气</w:t>
                  </w:r>
                </w:p>
              </w:tc>
              <w:tc>
                <w:tcPr>
                  <w:tcW w:w="2393" w:type="pct"/>
                  <w:noWrap w:val="0"/>
                  <w:vAlign w:val="center"/>
                </w:tcPr>
                <w:p w14:paraId="53C0E717">
                  <w:pPr>
                    <w:pStyle w:val="23"/>
                    <w:bidi w:val="0"/>
                    <w:rPr>
                      <w:rFonts w:hint="eastAsia"/>
                    </w:rPr>
                  </w:pPr>
                  <w:r>
                    <w:rPr>
                      <w:rFonts w:hint="eastAsia"/>
                    </w:rPr>
                    <w:t>医院设专人负责清理和喷洒消毒药水，</w:t>
                  </w:r>
                  <w:r>
                    <w:rPr>
                      <w:rFonts w:hint="eastAsia"/>
                      <w:lang w:eastAsia="zh-CN"/>
                    </w:rPr>
                    <w:t>医疗废物</w:t>
                  </w:r>
                  <w:r>
                    <w:rPr>
                      <w:rFonts w:hint="eastAsia"/>
                    </w:rPr>
                    <w:t>做到定期清理</w:t>
                  </w:r>
                </w:p>
              </w:tc>
              <w:tc>
                <w:tcPr>
                  <w:tcW w:w="730" w:type="pct"/>
                  <w:vMerge w:val="continue"/>
                  <w:noWrap w:val="0"/>
                  <w:vAlign w:val="center"/>
                </w:tcPr>
                <w:p w14:paraId="10D1736D">
                  <w:pPr>
                    <w:pStyle w:val="23"/>
                    <w:bidi w:val="0"/>
                  </w:pPr>
                </w:p>
              </w:tc>
              <w:tc>
                <w:tcPr>
                  <w:tcW w:w="300" w:type="pct"/>
                  <w:vMerge w:val="continue"/>
                  <w:noWrap w:val="0"/>
                  <w:vAlign w:val="center"/>
                </w:tcPr>
                <w:p w14:paraId="0269A318">
                  <w:pPr>
                    <w:pStyle w:val="23"/>
                    <w:bidi w:val="0"/>
                  </w:pPr>
                </w:p>
              </w:tc>
            </w:tr>
            <w:tr w14:paraId="69AC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414" w:type="pct"/>
                  <w:vMerge w:val="continue"/>
                  <w:noWrap w:val="0"/>
                  <w:vAlign w:val="center"/>
                </w:tcPr>
                <w:p w14:paraId="3E138C56">
                  <w:pPr>
                    <w:pStyle w:val="23"/>
                    <w:bidi w:val="0"/>
                  </w:pPr>
                </w:p>
              </w:tc>
              <w:tc>
                <w:tcPr>
                  <w:tcW w:w="437" w:type="pct"/>
                  <w:vMerge w:val="continue"/>
                  <w:noWrap w:val="0"/>
                  <w:vAlign w:val="center"/>
                </w:tcPr>
                <w:p w14:paraId="5AEB7FE5">
                  <w:pPr>
                    <w:pStyle w:val="23"/>
                    <w:bidi w:val="0"/>
                  </w:pPr>
                </w:p>
              </w:tc>
              <w:tc>
                <w:tcPr>
                  <w:tcW w:w="723" w:type="pct"/>
                  <w:noWrap w:val="0"/>
                  <w:vAlign w:val="center"/>
                </w:tcPr>
                <w:p w14:paraId="2F3C6089">
                  <w:pPr>
                    <w:pStyle w:val="23"/>
                    <w:bidi w:val="0"/>
                  </w:pPr>
                  <w:r>
                    <w:rPr>
                      <w:rFonts w:hint="eastAsia"/>
                    </w:rPr>
                    <w:t>医院浑浊空气</w:t>
                  </w:r>
                </w:p>
              </w:tc>
              <w:tc>
                <w:tcPr>
                  <w:tcW w:w="2393" w:type="pct"/>
                  <w:noWrap w:val="0"/>
                  <w:vAlign w:val="center"/>
                </w:tcPr>
                <w:p w14:paraId="40BAD971">
                  <w:pPr>
                    <w:pStyle w:val="23"/>
                    <w:bidi w:val="0"/>
                  </w:pPr>
                  <w:r>
                    <w:rPr>
                      <w:rFonts w:hint="eastAsia"/>
                    </w:rPr>
                    <w:t>对室内定期进行紫外消毒灭菌（每日至少一次）以降低空气中含菌量；同时加强室内通风，靠窗办公室及病房采用自然通风，其他区域拟采用机械通风，利用空调系统送风，排风口均置于本项目所在大楼屋顶平台</w:t>
                  </w:r>
                </w:p>
              </w:tc>
              <w:tc>
                <w:tcPr>
                  <w:tcW w:w="730" w:type="pct"/>
                  <w:vMerge w:val="continue"/>
                  <w:noWrap w:val="0"/>
                  <w:vAlign w:val="center"/>
                </w:tcPr>
                <w:p w14:paraId="727AE666">
                  <w:pPr>
                    <w:pStyle w:val="23"/>
                    <w:bidi w:val="0"/>
                  </w:pPr>
                </w:p>
              </w:tc>
              <w:tc>
                <w:tcPr>
                  <w:tcW w:w="300" w:type="pct"/>
                  <w:vMerge w:val="continue"/>
                  <w:noWrap w:val="0"/>
                  <w:vAlign w:val="center"/>
                </w:tcPr>
                <w:p w14:paraId="538C7E12">
                  <w:pPr>
                    <w:pStyle w:val="23"/>
                    <w:bidi w:val="0"/>
                  </w:pPr>
                </w:p>
              </w:tc>
            </w:tr>
            <w:tr w14:paraId="101E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414" w:type="pct"/>
                  <w:vMerge w:val="continue"/>
                  <w:noWrap w:val="0"/>
                  <w:vAlign w:val="center"/>
                </w:tcPr>
                <w:p w14:paraId="0F71547D">
                  <w:pPr>
                    <w:pStyle w:val="23"/>
                    <w:bidi w:val="0"/>
                  </w:pPr>
                </w:p>
              </w:tc>
              <w:tc>
                <w:tcPr>
                  <w:tcW w:w="437" w:type="pct"/>
                  <w:vMerge w:val="continue"/>
                  <w:noWrap w:val="0"/>
                  <w:vAlign w:val="center"/>
                </w:tcPr>
                <w:p w14:paraId="1E81F0F5">
                  <w:pPr>
                    <w:pStyle w:val="23"/>
                    <w:bidi w:val="0"/>
                  </w:pPr>
                </w:p>
              </w:tc>
              <w:tc>
                <w:tcPr>
                  <w:tcW w:w="723" w:type="pct"/>
                  <w:noWrap w:val="0"/>
                  <w:vAlign w:val="center"/>
                </w:tcPr>
                <w:p w14:paraId="75B080C8">
                  <w:pPr>
                    <w:pStyle w:val="23"/>
                    <w:bidi w:val="0"/>
                  </w:pPr>
                  <w:r>
                    <w:rPr>
                      <w:rFonts w:hint="eastAsia"/>
                    </w:rPr>
                    <w:t>备用柴油发电机废气</w:t>
                  </w:r>
                </w:p>
              </w:tc>
              <w:tc>
                <w:tcPr>
                  <w:tcW w:w="2393" w:type="pct"/>
                  <w:noWrap w:val="0"/>
                  <w:vAlign w:val="center"/>
                </w:tcPr>
                <w:p w14:paraId="31F4DC14">
                  <w:pPr>
                    <w:pStyle w:val="23"/>
                    <w:bidi w:val="0"/>
                  </w:pPr>
                  <w:r>
                    <w:rPr>
                      <w:rFonts w:hint="eastAsia"/>
                    </w:rPr>
                    <w:t>经过发电机自带的消烟除尘装置处理后，由专用排烟道引至楼外排放</w:t>
                  </w:r>
                </w:p>
              </w:tc>
              <w:tc>
                <w:tcPr>
                  <w:tcW w:w="730" w:type="pct"/>
                  <w:vMerge w:val="continue"/>
                  <w:noWrap w:val="0"/>
                  <w:vAlign w:val="center"/>
                </w:tcPr>
                <w:p w14:paraId="741A2316">
                  <w:pPr>
                    <w:pStyle w:val="23"/>
                    <w:bidi w:val="0"/>
                  </w:pPr>
                </w:p>
              </w:tc>
              <w:tc>
                <w:tcPr>
                  <w:tcW w:w="300" w:type="pct"/>
                  <w:vMerge w:val="continue"/>
                  <w:noWrap w:val="0"/>
                  <w:vAlign w:val="center"/>
                </w:tcPr>
                <w:p w14:paraId="10BABC91">
                  <w:pPr>
                    <w:pStyle w:val="23"/>
                    <w:bidi w:val="0"/>
                  </w:pPr>
                </w:p>
              </w:tc>
            </w:tr>
            <w:tr w14:paraId="68FC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414" w:type="pct"/>
                  <w:vMerge w:val="continue"/>
                  <w:noWrap w:val="0"/>
                  <w:vAlign w:val="center"/>
                </w:tcPr>
                <w:p w14:paraId="1B307976">
                  <w:pPr>
                    <w:pStyle w:val="23"/>
                    <w:bidi w:val="0"/>
                  </w:pPr>
                </w:p>
              </w:tc>
              <w:tc>
                <w:tcPr>
                  <w:tcW w:w="437" w:type="pct"/>
                  <w:noWrap w:val="0"/>
                  <w:vAlign w:val="center"/>
                </w:tcPr>
                <w:p w14:paraId="61AF3D72">
                  <w:pPr>
                    <w:pStyle w:val="23"/>
                    <w:bidi w:val="0"/>
                  </w:pPr>
                  <w:r>
                    <w:t>废水治理</w:t>
                  </w:r>
                </w:p>
              </w:tc>
              <w:tc>
                <w:tcPr>
                  <w:tcW w:w="3117" w:type="pct"/>
                  <w:gridSpan w:val="2"/>
                  <w:noWrap w:val="0"/>
                  <w:vAlign w:val="center"/>
                </w:tcPr>
                <w:p w14:paraId="408A9494">
                  <w:pPr>
                    <w:pStyle w:val="23"/>
                    <w:bidi w:val="0"/>
                  </w:pPr>
                  <w:r>
                    <w:t>生活污水</w:t>
                  </w:r>
                  <w:r>
                    <w:rPr>
                      <w:rFonts w:hint="eastAsia"/>
                      <w:lang w:eastAsia="zh-CN"/>
                    </w:rPr>
                    <w:t>和</w:t>
                  </w:r>
                  <w:r>
                    <w:t>医疗废水</w:t>
                  </w:r>
                  <w:r>
                    <w:rPr>
                      <w:rFonts w:hint="eastAsia"/>
                    </w:rPr>
                    <w:t>进入院区预处理池集</w:t>
                  </w:r>
                  <w:r>
                    <w:rPr>
                      <w:rFonts w:hint="eastAsia"/>
                      <w:lang w:eastAsia="zh-CN"/>
                    </w:rPr>
                    <w:t>中预处理</w:t>
                  </w:r>
                  <w:r>
                    <w:rPr>
                      <w:rFonts w:hint="eastAsia"/>
                    </w:rPr>
                    <w:t>后，</w:t>
                  </w:r>
                  <w:r>
                    <w:rPr>
                      <w:rFonts w:hint="eastAsia"/>
                      <w:lang w:eastAsia="zh-CN"/>
                    </w:rPr>
                    <w:t>再</w:t>
                  </w:r>
                  <w:r>
                    <w:rPr>
                      <w:rFonts w:hint="eastAsia"/>
                      <w:lang w:val="en-US" w:eastAsia="zh-CN"/>
                    </w:rPr>
                    <w:t>进入</w:t>
                  </w:r>
                  <w:r>
                    <w:rPr>
                      <w:rFonts w:hint="eastAsia"/>
                    </w:rPr>
                    <w:t>一体化污水处理设备（采用格栅调节+接触氧化+沉淀+消毒工艺）处理达《医疗机构水污染物排放标准》（GB18466-2005）中预处理标准后，排入遂宁市污水处理厂进一步处理达标后，最终排入涪江。</w:t>
                  </w:r>
                </w:p>
              </w:tc>
              <w:tc>
                <w:tcPr>
                  <w:tcW w:w="730" w:type="pct"/>
                  <w:noWrap w:val="0"/>
                  <w:vAlign w:val="center"/>
                </w:tcPr>
                <w:p w14:paraId="221C2DC7">
                  <w:pPr>
                    <w:pStyle w:val="23"/>
                    <w:bidi w:val="0"/>
                  </w:pPr>
                  <w:r>
                    <w:t>/</w:t>
                  </w:r>
                </w:p>
              </w:tc>
              <w:tc>
                <w:tcPr>
                  <w:tcW w:w="300" w:type="pct"/>
                  <w:vMerge w:val="restart"/>
                  <w:noWrap w:val="0"/>
                  <w:vAlign w:val="center"/>
                </w:tcPr>
                <w:p w14:paraId="34A3EE60">
                  <w:pPr>
                    <w:pStyle w:val="23"/>
                    <w:bidi w:val="0"/>
                    <w:rPr>
                      <w:rFonts w:hint="eastAsia"/>
                    </w:rPr>
                  </w:pPr>
                  <w:r>
                    <w:rPr>
                      <w:rFonts w:hint="eastAsia"/>
                    </w:rPr>
                    <w:t>已建成</w:t>
                  </w:r>
                </w:p>
              </w:tc>
            </w:tr>
            <w:tr w14:paraId="3B89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4" w:hRule="atLeast"/>
                <w:jc w:val="center"/>
              </w:trPr>
              <w:tc>
                <w:tcPr>
                  <w:tcW w:w="414" w:type="pct"/>
                  <w:vMerge w:val="continue"/>
                  <w:noWrap w:val="0"/>
                  <w:vAlign w:val="center"/>
                </w:tcPr>
                <w:p w14:paraId="62A1DC9A">
                  <w:pPr>
                    <w:pStyle w:val="23"/>
                    <w:bidi w:val="0"/>
                  </w:pPr>
                </w:p>
              </w:tc>
              <w:tc>
                <w:tcPr>
                  <w:tcW w:w="437" w:type="pct"/>
                  <w:noWrap w:val="0"/>
                  <w:vAlign w:val="center"/>
                </w:tcPr>
                <w:p w14:paraId="2216AAD2">
                  <w:pPr>
                    <w:pStyle w:val="23"/>
                    <w:bidi w:val="0"/>
                  </w:pPr>
                  <w:r>
                    <w:t>固废</w:t>
                  </w:r>
                </w:p>
              </w:tc>
              <w:tc>
                <w:tcPr>
                  <w:tcW w:w="3117" w:type="pct"/>
                  <w:gridSpan w:val="2"/>
                  <w:noWrap w:val="0"/>
                  <w:vAlign w:val="center"/>
                </w:tcPr>
                <w:p w14:paraId="7F8DD09F">
                  <w:pPr>
                    <w:pStyle w:val="23"/>
                    <w:bidi w:val="0"/>
                  </w:pPr>
                  <w:r>
                    <w:t>生活垃圾：各楼层分别设置容积为720L的垃圾桶</w:t>
                  </w:r>
                  <w:r>
                    <w:rPr>
                      <w:rFonts w:hint="eastAsia"/>
                      <w:lang w:eastAsia="zh-CN"/>
                    </w:rPr>
                    <w:t>，</w:t>
                  </w:r>
                  <w:r>
                    <w:rPr>
                      <w:rFonts w:hint="eastAsia"/>
                      <w:lang w:val="en-US" w:eastAsia="zh-CN"/>
                    </w:rPr>
                    <w:t>有清洁人员处理打包至门外，由垃圾回收站处理。</w:t>
                  </w:r>
                </w:p>
                <w:p w14:paraId="18DD1D1F">
                  <w:pPr>
                    <w:pStyle w:val="23"/>
                    <w:bidi w:val="0"/>
                    <w:rPr>
                      <w:rFonts w:hint="eastAsia"/>
                    </w:rPr>
                  </w:pPr>
                  <w:r>
                    <w:t>医疗废物：医疗废物暂存间1个，建筑面积为35.91m</w:t>
                  </w:r>
                  <w:r>
                    <w:rPr>
                      <w:vertAlign w:val="superscript"/>
                    </w:rPr>
                    <w:t>2</w:t>
                  </w:r>
                  <w:bookmarkStart w:id="12" w:name="OLE_LINK3"/>
                  <w:bookmarkStart w:id="13" w:name="OLE_LINK10"/>
                  <w:r>
                    <w:t>；医疗废物最终委托有相应资质单位处置</w:t>
                  </w:r>
                  <w:r>
                    <w:rPr>
                      <w:rFonts w:hint="eastAsia"/>
                      <w:lang w:eastAsia="zh-CN"/>
                    </w:rPr>
                    <w:t>；项目产生的污泥由建设单位委托资质单位进行清掏、消毒及转运处置，不在院区内暂存</w:t>
                  </w:r>
                  <w:r>
                    <w:t>。</w:t>
                  </w:r>
                  <w:bookmarkEnd w:id="12"/>
                  <w:bookmarkEnd w:id="13"/>
                </w:p>
              </w:tc>
              <w:tc>
                <w:tcPr>
                  <w:tcW w:w="730" w:type="pct"/>
                  <w:noWrap w:val="0"/>
                  <w:vAlign w:val="center"/>
                </w:tcPr>
                <w:p w14:paraId="7F4E9DCE">
                  <w:pPr>
                    <w:pStyle w:val="23"/>
                    <w:bidi w:val="0"/>
                  </w:pPr>
                  <w:r>
                    <w:t>/</w:t>
                  </w:r>
                </w:p>
              </w:tc>
              <w:tc>
                <w:tcPr>
                  <w:tcW w:w="300" w:type="pct"/>
                  <w:vMerge w:val="continue"/>
                  <w:noWrap w:val="0"/>
                  <w:vAlign w:val="center"/>
                </w:tcPr>
                <w:p w14:paraId="4CDC1BE3">
                  <w:pPr>
                    <w:pStyle w:val="23"/>
                    <w:bidi w:val="0"/>
                  </w:pPr>
                </w:p>
              </w:tc>
            </w:tr>
            <w:tr w14:paraId="57B6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414" w:type="pct"/>
                  <w:vMerge w:val="continue"/>
                  <w:noWrap w:val="0"/>
                  <w:vAlign w:val="center"/>
                </w:tcPr>
                <w:p w14:paraId="1C7D3378">
                  <w:pPr>
                    <w:pStyle w:val="23"/>
                    <w:bidi w:val="0"/>
                  </w:pPr>
                </w:p>
              </w:tc>
              <w:tc>
                <w:tcPr>
                  <w:tcW w:w="437" w:type="pct"/>
                  <w:noWrap w:val="0"/>
                  <w:vAlign w:val="center"/>
                </w:tcPr>
                <w:p w14:paraId="083D31F4">
                  <w:pPr>
                    <w:pStyle w:val="23"/>
                    <w:bidi w:val="0"/>
                  </w:pPr>
                  <w:r>
                    <w:t>噪声治理</w:t>
                  </w:r>
                </w:p>
              </w:tc>
              <w:tc>
                <w:tcPr>
                  <w:tcW w:w="3117" w:type="pct"/>
                  <w:gridSpan w:val="2"/>
                  <w:noWrap w:val="0"/>
                  <w:vAlign w:val="center"/>
                </w:tcPr>
                <w:p w14:paraId="7B24A7AF">
                  <w:pPr>
                    <w:pStyle w:val="23"/>
                    <w:bidi w:val="0"/>
                  </w:pPr>
                  <w:r>
                    <w:t>柴油发电机设置于</w:t>
                  </w:r>
                  <w:r>
                    <w:rPr>
                      <w:rFonts w:hint="eastAsia"/>
                      <w:lang w:eastAsia="zh-CN"/>
                    </w:rPr>
                    <w:t>一层</w:t>
                  </w:r>
                  <w:r>
                    <w:rPr>
                      <w:rFonts w:hint="eastAsia"/>
                    </w:rPr>
                    <w:t>柴油发电机房内</w:t>
                  </w:r>
                  <w:r>
                    <w:rPr>
                      <w:rFonts w:hint="eastAsia"/>
                      <w:lang w:eastAsia="zh-CN"/>
                    </w:rPr>
                    <w:t>。</w:t>
                  </w:r>
                </w:p>
              </w:tc>
              <w:tc>
                <w:tcPr>
                  <w:tcW w:w="730" w:type="pct"/>
                  <w:noWrap w:val="0"/>
                  <w:vAlign w:val="center"/>
                </w:tcPr>
                <w:p w14:paraId="41D7E68A">
                  <w:pPr>
                    <w:pStyle w:val="23"/>
                    <w:bidi w:val="0"/>
                  </w:pPr>
                  <w:r>
                    <w:t>/</w:t>
                  </w:r>
                </w:p>
              </w:tc>
              <w:tc>
                <w:tcPr>
                  <w:tcW w:w="300" w:type="pct"/>
                  <w:vMerge w:val="continue"/>
                  <w:noWrap w:val="0"/>
                  <w:vAlign w:val="center"/>
                </w:tcPr>
                <w:p w14:paraId="7FCABF55">
                  <w:pPr>
                    <w:pStyle w:val="23"/>
                    <w:bidi w:val="0"/>
                    <w:rPr>
                      <w:rFonts w:hint="eastAsia"/>
                    </w:rPr>
                  </w:pPr>
                </w:p>
              </w:tc>
            </w:tr>
            <w:tr w14:paraId="1161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414" w:type="pct"/>
                  <w:vMerge w:val="continue"/>
                  <w:noWrap w:val="0"/>
                  <w:vAlign w:val="center"/>
                </w:tcPr>
                <w:p w14:paraId="51301F03">
                  <w:pPr>
                    <w:pStyle w:val="23"/>
                    <w:bidi w:val="0"/>
                  </w:pPr>
                </w:p>
              </w:tc>
              <w:tc>
                <w:tcPr>
                  <w:tcW w:w="437" w:type="pct"/>
                  <w:noWrap w:val="0"/>
                  <w:vAlign w:val="center"/>
                </w:tcPr>
                <w:p w14:paraId="060D28DA">
                  <w:pPr>
                    <w:pStyle w:val="23"/>
                    <w:bidi w:val="0"/>
                    <w:rPr>
                      <w:rFonts w:ascii="Times New Roman" w:hAnsi="Times New Roman" w:eastAsia="宋体" w:cs="Times New Roman"/>
                    </w:rPr>
                  </w:pPr>
                  <w:r>
                    <w:rPr>
                      <w:rFonts w:hint="eastAsia" w:ascii="Times New Roman" w:hAnsi="Times New Roman" w:eastAsia="宋体" w:cs="Times New Roman"/>
                    </w:rPr>
                    <w:t>地下水</w:t>
                  </w:r>
                  <w:r>
                    <w:rPr>
                      <w:rFonts w:ascii="Times New Roman" w:hAnsi="Times New Roman" w:eastAsia="宋体" w:cs="Times New Roman"/>
                    </w:rPr>
                    <w:t>防渗</w:t>
                  </w:r>
                </w:p>
              </w:tc>
              <w:tc>
                <w:tcPr>
                  <w:tcW w:w="3117" w:type="pct"/>
                  <w:gridSpan w:val="2"/>
                  <w:noWrap w:val="0"/>
                  <w:vAlign w:val="center"/>
                </w:tcPr>
                <w:p w14:paraId="2E3A1896">
                  <w:pPr>
                    <w:pStyle w:val="23"/>
                    <w:bidi w:val="0"/>
                    <w:rPr>
                      <w:rFonts w:ascii="Times New Roman" w:hAnsi="Times New Roman" w:eastAsia="宋体" w:cs="Times New Roman"/>
                    </w:rPr>
                  </w:pPr>
                  <w:r>
                    <w:rPr>
                      <w:rFonts w:hint="eastAsia" w:ascii="Times New Roman" w:hAnsi="Times New Roman" w:eastAsia="宋体" w:cs="Times New Roman"/>
                    </w:rPr>
                    <w:t>医疗废物暂存间、</w:t>
                  </w:r>
                  <w:r>
                    <w:rPr>
                      <w:rFonts w:hint="eastAsia" w:ascii="Times New Roman" w:hAnsi="Times New Roman" w:eastAsia="宋体" w:cs="Times New Roman"/>
                      <w:lang w:eastAsia="zh-CN"/>
                    </w:rPr>
                    <w:t>一体化污水处理站和</w:t>
                  </w:r>
                  <w:r>
                    <w:rPr>
                      <w:rFonts w:hint="eastAsia" w:ascii="Times New Roman" w:hAnsi="Times New Roman" w:eastAsia="宋体" w:cs="Times New Roman"/>
                    </w:rPr>
                    <w:t>备用柴油发电机房</w:t>
                  </w:r>
                  <w:r>
                    <w:rPr>
                      <w:rFonts w:hint="eastAsia" w:ascii="Times New Roman" w:hAnsi="Times New Roman" w:eastAsia="宋体" w:cs="Times New Roman"/>
                      <w:lang w:val="en-US" w:eastAsia="zh-CN"/>
                    </w:rPr>
                    <w:t>及</w:t>
                  </w:r>
                  <w:r>
                    <w:rPr>
                      <w:rFonts w:hint="eastAsia" w:ascii="Times New Roman" w:hAnsi="Times New Roman" w:eastAsia="宋体" w:cs="Times New Roman"/>
                    </w:rPr>
                    <w:t>满足等效黏土防渗层</w:t>
                  </w:r>
                  <w:r>
                    <w:rPr>
                      <w:rFonts w:ascii="Times New Roman" w:hAnsi="Times New Roman" w:eastAsia="宋体" w:cs="Times New Roman"/>
                    </w:rPr>
                    <w:t>Mb≥6.0m</w:t>
                  </w:r>
                  <w:r>
                    <w:rPr>
                      <w:rFonts w:hint="eastAsia" w:ascii="Times New Roman" w:hAnsi="Times New Roman" w:eastAsia="宋体" w:cs="Times New Roman"/>
                    </w:rPr>
                    <w:t>，</w:t>
                  </w:r>
                  <w:r>
                    <w:rPr>
                      <w:rFonts w:ascii="Times New Roman" w:hAnsi="Times New Roman" w:eastAsia="宋体" w:cs="Times New Roman"/>
                    </w:rPr>
                    <w:t>K≤1×10</w:t>
                  </w:r>
                  <w:r>
                    <w:rPr>
                      <w:rFonts w:ascii="Times New Roman" w:hAnsi="Times New Roman" w:eastAsia="宋体" w:cs="Times New Roman"/>
                      <w:vertAlign w:val="superscript"/>
                    </w:rPr>
                    <w:t>-</w:t>
                  </w:r>
                  <w:r>
                    <w:rPr>
                      <w:rFonts w:hint="eastAsia" w:cs="Times New Roman"/>
                      <w:vertAlign w:val="superscript"/>
                      <w:lang w:val="en-US" w:eastAsia="zh-CN"/>
                    </w:rPr>
                    <w:t>10</w:t>
                  </w:r>
                  <w:r>
                    <w:rPr>
                      <w:rFonts w:ascii="Times New Roman" w:hAnsi="Times New Roman" w:eastAsia="宋体" w:cs="Times New Roman"/>
                    </w:rPr>
                    <w:t>cm/s</w:t>
                  </w:r>
                  <w:r>
                    <w:rPr>
                      <w:rFonts w:hint="eastAsia" w:ascii="Times New Roman" w:hAnsi="Times New Roman" w:eastAsia="宋体" w:cs="Times New Roman"/>
                    </w:rPr>
                    <w:t>的要求进行防渗设计；手术室防渗层采取</w:t>
                  </w:r>
                  <w:r>
                    <w:rPr>
                      <w:rFonts w:ascii="Times New Roman" w:hAnsi="Times New Roman" w:eastAsia="宋体" w:cs="Times New Roman"/>
                    </w:rPr>
                    <w:t>10~15cm</w:t>
                  </w:r>
                  <w:r>
                    <w:rPr>
                      <w:rFonts w:hint="eastAsia" w:ascii="Times New Roman" w:hAnsi="Times New Roman" w:eastAsia="宋体" w:cs="Times New Roman"/>
                    </w:rPr>
                    <w:t>的水泥进行硬化，渗透系数</w:t>
                  </w:r>
                  <w:r>
                    <w:rPr>
                      <w:rFonts w:ascii="Times New Roman" w:hAnsi="Times New Roman" w:eastAsia="宋体" w:cs="Times New Roman"/>
                    </w:rPr>
                    <w:t>≤10</w:t>
                  </w:r>
                  <w:r>
                    <w:rPr>
                      <w:rFonts w:ascii="Times New Roman" w:hAnsi="Times New Roman" w:eastAsia="宋体" w:cs="Times New Roman"/>
                      <w:vertAlign w:val="superscript"/>
                    </w:rPr>
                    <w:t>-7</w:t>
                  </w:r>
                  <w:r>
                    <w:rPr>
                      <w:rFonts w:ascii="Times New Roman" w:hAnsi="Times New Roman" w:eastAsia="宋体" w:cs="Times New Roman"/>
                    </w:rPr>
                    <w:t>cm/s</w:t>
                  </w:r>
                  <w:r>
                    <w:rPr>
                      <w:rFonts w:hint="eastAsia" w:ascii="Times New Roman" w:hAnsi="Times New Roman" w:eastAsia="宋体" w:cs="Times New Roman"/>
                    </w:rPr>
                    <w:t>；办公区等其他区域采取地面硬化</w:t>
                  </w:r>
                </w:p>
              </w:tc>
              <w:tc>
                <w:tcPr>
                  <w:tcW w:w="730" w:type="pct"/>
                  <w:noWrap w:val="0"/>
                  <w:vAlign w:val="center"/>
                </w:tcPr>
                <w:p w14:paraId="48D94118">
                  <w:pPr>
                    <w:pStyle w:val="23"/>
                    <w:bidi w:val="0"/>
                  </w:pPr>
                  <w:r>
                    <w:t>/</w:t>
                  </w:r>
                </w:p>
              </w:tc>
              <w:tc>
                <w:tcPr>
                  <w:tcW w:w="300" w:type="pct"/>
                  <w:vMerge w:val="restart"/>
                  <w:noWrap w:val="0"/>
                  <w:vAlign w:val="center"/>
                </w:tcPr>
                <w:p w14:paraId="3BABB86F">
                  <w:pPr>
                    <w:pStyle w:val="23"/>
                    <w:bidi w:val="0"/>
                    <w:rPr>
                      <w:rFonts w:hint="eastAsia" w:eastAsia="宋体"/>
                      <w:lang w:eastAsia="zh-CN"/>
                    </w:rPr>
                  </w:pPr>
                  <w:r>
                    <w:rPr>
                      <w:rFonts w:hint="eastAsia"/>
                      <w:lang w:eastAsia="zh-CN"/>
                    </w:rPr>
                    <w:t>新建</w:t>
                  </w:r>
                </w:p>
              </w:tc>
            </w:tr>
            <w:tr w14:paraId="2FCB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414" w:type="pct"/>
                  <w:vMerge w:val="continue"/>
                  <w:noWrap w:val="0"/>
                  <w:vAlign w:val="center"/>
                </w:tcPr>
                <w:p w14:paraId="099C2950">
                  <w:pPr>
                    <w:pStyle w:val="23"/>
                    <w:bidi w:val="0"/>
                  </w:pPr>
                </w:p>
              </w:tc>
              <w:tc>
                <w:tcPr>
                  <w:tcW w:w="437" w:type="pct"/>
                  <w:noWrap w:val="0"/>
                  <w:vAlign w:val="center"/>
                </w:tcPr>
                <w:p w14:paraId="533696AB">
                  <w:pPr>
                    <w:pStyle w:val="23"/>
                    <w:bidi w:val="0"/>
                    <w:rPr>
                      <w:rFonts w:hint="eastAsia"/>
                    </w:rPr>
                  </w:pPr>
                  <w:r>
                    <w:t>风险</w:t>
                  </w:r>
                  <w:r>
                    <w:rPr>
                      <w:rFonts w:hint="eastAsia"/>
                    </w:rPr>
                    <w:t>防范措施</w:t>
                  </w:r>
                </w:p>
              </w:tc>
              <w:tc>
                <w:tcPr>
                  <w:tcW w:w="3117" w:type="pct"/>
                  <w:gridSpan w:val="2"/>
                  <w:noWrap w:val="0"/>
                  <w:vAlign w:val="center"/>
                </w:tcPr>
                <w:p w14:paraId="5D1F85E7">
                  <w:pPr>
                    <w:pStyle w:val="23"/>
                    <w:bidi w:val="0"/>
                    <w:rPr>
                      <w:rFonts w:hint="eastAsia"/>
                      <w:lang w:eastAsia="zh-CN"/>
                    </w:rPr>
                  </w:pPr>
                  <w:r>
                    <w:rPr>
                      <w:rFonts w:hint="eastAsia"/>
                    </w:rPr>
                    <w:t>应急池（1座，容积</w:t>
                  </w:r>
                  <w:r>
                    <w:rPr>
                      <w:rFonts w:hint="eastAsia"/>
                      <w:lang w:val="en-US" w:eastAsia="zh-CN"/>
                    </w:rPr>
                    <w:t>2.</w:t>
                  </w:r>
                  <w:r>
                    <w:rPr>
                      <w:rFonts w:hint="eastAsia"/>
                    </w:rPr>
                    <w:t>5m</w:t>
                  </w:r>
                  <w:r>
                    <w:rPr>
                      <w:rFonts w:hint="eastAsia"/>
                      <w:vertAlign w:val="superscript"/>
                    </w:rPr>
                    <w:t>3</w:t>
                  </w:r>
                  <w:r>
                    <w:rPr>
                      <w:rFonts w:hint="eastAsia"/>
                    </w:rPr>
                    <w:t>）；制定环境风险应急预案，配备消防器材等</w:t>
                  </w:r>
                </w:p>
              </w:tc>
              <w:tc>
                <w:tcPr>
                  <w:tcW w:w="730" w:type="pct"/>
                  <w:noWrap w:val="0"/>
                  <w:vAlign w:val="center"/>
                </w:tcPr>
                <w:p w14:paraId="7BA4D0BC">
                  <w:pPr>
                    <w:pStyle w:val="23"/>
                    <w:bidi w:val="0"/>
                  </w:pPr>
                  <w:r>
                    <w:t>/</w:t>
                  </w:r>
                </w:p>
              </w:tc>
              <w:tc>
                <w:tcPr>
                  <w:tcW w:w="300" w:type="pct"/>
                  <w:vMerge w:val="continue"/>
                  <w:noWrap w:val="0"/>
                  <w:vAlign w:val="center"/>
                </w:tcPr>
                <w:p w14:paraId="7210E215">
                  <w:pPr>
                    <w:pStyle w:val="23"/>
                    <w:bidi w:val="0"/>
                    <w:rPr>
                      <w:rFonts w:hint="eastAsia"/>
                    </w:rPr>
                  </w:pPr>
                </w:p>
              </w:tc>
            </w:tr>
          </w:tbl>
          <w:p w14:paraId="514F9670">
            <w:pPr>
              <w:pStyle w:val="4"/>
              <w:bidi w:val="0"/>
            </w:pPr>
            <w:r>
              <w:t>公辅设施</w:t>
            </w:r>
          </w:p>
          <w:p w14:paraId="28081C0E">
            <w:pPr>
              <w:bidi w:val="0"/>
            </w:pPr>
            <w:r>
              <w:rPr>
                <w:rFonts w:hint="eastAsia"/>
                <w:lang w:eastAsia="zh-CN"/>
              </w:rPr>
              <w:t>（</w:t>
            </w:r>
            <w:r>
              <w:rPr>
                <w:rFonts w:hint="eastAsia"/>
                <w:lang w:val="en-US" w:eastAsia="zh-CN"/>
              </w:rPr>
              <w:t>1</w:t>
            </w:r>
            <w:r>
              <w:rPr>
                <w:rFonts w:hint="eastAsia"/>
                <w:lang w:eastAsia="zh-CN"/>
              </w:rPr>
              <w:t>）</w:t>
            </w:r>
            <w:r>
              <w:t>给排水</w:t>
            </w:r>
          </w:p>
          <w:p w14:paraId="3DC14FCD">
            <w:pPr>
              <w:bidi w:val="0"/>
            </w:pPr>
            <w:r>
              <w:t>1）给水</w:t>
            </w:r>
          </w:p>
          <w:p w14:paraId="67FDF52C">
            <w:pPr>
              <w:bidi w:val="0"/>
            </w:pPr>
            <w:r>
              <w:t>项目</w:t>
            </w:r>
            <w:r>
              <w:rPr>
                <w:rFonts w:hint="eastAsia"/>
                <w:lang w:val="en-US" w:eastAsia="zh-CN"/>
              </w:rPr>
              <w:t>给水来自市政管网</w:t>
            </w:r>
            <w:r>
              <w:t>，供水管网能够满足日常用水以及消防用水要求。本项目用水分为住院病人用水、</w:t>
            </w:r>
            <w:r>
              <w:rPr>
                <w:rFonts w:hint="eastAsia"/>
                <w:lang w:val="en-US" w:eastAsia="zh-CN"/>
              </w:rPr>
              <w:t>门诊用水及生活</w:t>
            </w:r>
            <w:r>
              <w:rPr>
                <w:rFonts w:hint="eastAsia"/>
              </w:rPr>
              <w:t>用水</w:t>
            </w:r>
            <w:r>
              <w:t>。</w:t>
            </w:r>
          </w:p>
          <w:p w14:paraId="043B31AA">
            <w:pPr>
              <w:bidi w:val="0"/>
              <w:rPr>
                <w:rFonts w:hint="default"/>
                <w:lang w:val="en-US" w:eastAsia="zh-CN"/>
              </w:rPr>
            </w:pPr>
            <w:r>
              <w:fldChar w:fldCharType="begin"/>
            </w:r>
            <w:r>
              <w:instrText xml:space="preserve"> = 1 \* GB3 \* MERGEFORMAT </w:instrText>
            </w:r>
            <w:r>
              <w:fldChar w:fldCharType="separate"/>
            </w:r>
            <w:r>
              <w:t>①</w:t>
            </w:r>
            <w:r>
              <w:fldChar w:fldCharType="end"/>
            </w:r>
            <w:r>
              <w:rPr>
                <w:rFonts w:hint="eastAsia"/>
                <w:lang w:val="en-US" w:eastAsia="zh-CN"/>
              </w:rPr>
              <w:t>住院病人用水</w:t>
            </w:r>
          </w:p>
          <w:p w14:paraId="54C4EBA1">
            <w:pPr>
              <w:bidi w:val="0"/>
              <w:rPr>
                <w:rFonts w:hint="eastAsia"/>
              </w:rPr>
            </w:pPr>
            <w:r>
              <w:rPr>
                <w:rFonts w:hint="eastAsia"/>
                <w:lang w:val="en-US" w:eastAsia="zh-CN"/>
              </w:rPr>
              <w:t>住院病人废水</w:t>
            </w:r>
            <w:r>
              <w:t>主要来自病人、陪同家属、盥洗及清洗餐具水果等</w:t>
            </w:r>
            <w:r>
              <w:rPr>
                <w:rFonts w:hint="eastAsia"/>
              </w:rPr>
              <w:t>。</w:t>
            </w:r>
          </w:p>
          <w:p w14:paraId="2B599EED">
            <w:pPr>
              <w:bidi w:val="0"/>
            </w:pPr>
            <w:r>
              <w:rPr>
                <w:rFonts w:hint="eastAsia"/>
              </w:rPr>
              <w:t>项目现有实际床位20张</w:t>
            </w:r>
            <w:r>
              <w:t>。根据《综合医院建筑设计规范》（GB51039-2014）中病床用水定额为200~250L/（床·d），本项目为</w:t>
            </w:r>
            <w:r>
              <w:rPr>
                <w:rFonts w:hint="eastAsia"/>
              </w:rPr>
              <w:t>综合医院</w:t>
            </w:r>
            <w:r>
              <w:t>，住院病人用水量按</w:t>
            </w:r>
            <w:r>
              <w:rPr>
                <w:rFonts w:hint="eastAsia"/>
              </w:rPr>
              <w:t>250</w:t>
            </w:r>
            <w:r>
              <w:t>L/（床·d）计算，</w:t>
            </w:r>
            <w:r>
              <w:rPr>
                <w:rFonts w:hint="eastAsia"/>
                <w:lang w:val="en-US" w:eastAsia="zh-CN"/>
              </w:rPr>
              <w:t>则住院病人</w:t>
            </w:r>
            <w:r>
              <w:t>用水量为</w:t>
            </w:r>
            <w:r>
              <w:rPr>
                <w:rFonts w:hint="eastAsia"/>
              </w:rPr>
              <w:t>5</w:t>
            </w:r>
            <w:r>
              <w:rPr>
                <w:rFonts w:hint="eastAsia"/>
                <w:lang w:val="en-US" w:eastAsia="zh-CN"/>
              </w:rPr>
              <w:t>t</w:t>
            </w:r>
            <w:r>
              <w:t>/d</w:t>
            </w:r>
            <w:r>
              <w:rPr>
                <w:rFonts w:hint="eastAsia"/>
                <w:lang w:eastAsia="zh-CN"/>
              </w:rPr>
              <w:t>，</w:t>
            </w:r>
            <w:r>
              <w:rPr>
                <w:rFonts w:hint="eastAsia"/>
                <w:lang w:val="en-US" w:eastAsia="zh-CN"/>
              </w:rPr>
              <w:t>1825t/a</w:t>
            </w:r>
            <w:r>
              <w:t>。</w:t>
            </w:r>
          </w:p>
          <w:p w14:paraId="1ADDC251">
            <w:pPr>
              <w:bidi w:val="0"/>
            </w:pPr>
            <w:r>
              <w:fldChar w:fldCharType="begin"/>
            </w:r>
            <w:r>
              <w:instrText xml:space="preserve"> = 2 \* GB3 \* MERGEFORMAT </w:instrText>
            </w:r>
            <w:r>
              <w:fldChar w:fldCharType="separate"/>
            </w:r>
            <w:r>
              <w:t>②</w:t>
            </w:r>
            <w:r>
              <w:fldChar w:fldCharType="end"/>
            </w:r>
            <w:r>
              <w:t>门诊用水</w:t>
            </w:r>
          </w:p>
          <w:p w14:paraId="38CD3AEF">
            <w:pPr>
              <w:bidi w:val="0"/>
              <w:rPr>
                <w:rFonts w:hint="eastAsia"/>
              </w:rPr>
            </w:pPr>
            <w:r>
              <w:t>门诊用水量根据《综合医院建筑设计规范》（GB51039-2014）门诊部病人最高日用水量为10~15L/人·次，取15L/人·次进行计算</w:t>
            </w:r>
            <w:r>
              <w:rPr>
                <w:rFonts w:hint="eastAsia"/>
              </w:rPr>
              <w:t>。院区门诊年接待人数约为3650人，</w:t>
            </w:r>
            <w:r>
              <w:rPr>
                <w:rFonts w:hint="eastAsia"/>
                <w:lang w:val="en-US" w:eastAsia="zh-CN"/>
              </w:rPr>
              <w:t>则</w:t>
            </w:r>
            <w:r>
              <w:t>门诊病人用水量为</w:t>
            </w:r>
            <w:r>
              <w:rPr>
                <w:rFonts w:hint="eastAsia"/>
              </w:rPr>
              <w:t>约0.15</w:t>
            </w:r>
            <w:r>
              <w:rPr>
                <w:rFonts w:hint="eastAsia"/>
                <w:lang w:val="en-US" w:eastAsia="zh-CN"/>
              </w:rPr>
              <w:t>t</w:t>
            </w:r>
            <w:r>
              <w:t>/</w:t>
            </w:r>
            <w:r>
              <w:rPr>
                <w:rFonts w:hint="eastAsia"/>
              </w:rPr>
              <w:t>d</w:t>
            </w:r>
            <w:r>
              <w:rPr>
                <w:rFonts w:hint="eastAsia"/>
                <w:lang w:eastAsia="zh-CN"/>
              </w:rPr>
              <w:t>，</w:t>
            </w:r>
            <w:r>
              <w:rPr>
                <w:rFonts w:hint="eastAsia"/>
                <w:lang w:val="en-US" w:eastAsia="zh-CN"/>
              </w:rPr>
              <w:t>54.75t</w:t>
            </w:r>
            <w:r>
              <w:t>/</w:t>
            </w:r>
            <w:r>
              <w:rPr>
                <w:rFonts w:hint="eastAsia"/>
              </w:rPr>
              <w:t>a。</w:t>
            </w:r>
          </w:p>
          <w:p w14:paraId="6AA143F9">
            <w:pPr>
              <w:bidi w:val="0"/>
            </w:pPr>
            <w:r>
              <w:rPr>
                <w:rFonts w:hint="eastAsia"/>
                <w:lang w:val="en-US" w:eastAsia="zh-CN"/>
              </w:rPr>
              <w:t>③办公</w:t>
            </w:r>
            <w:r>
              <w:t>生活用水</w:t>
            </w:r>
          </w:p>
          <w:p w14:paraId="58F77D2C">
            <w:pPr>
              <w:bidi w:val="0"/>
            </w:pPr>
            <w:r>
              <w:rPr>
                <w:rFonts w:hint="eastAsia"/>
              </w:rPr>
              <w:t>项目现有劳动定员31人，根据业主提供的资料，医院现有行政管理人员4人，医护人员</w:t>
            </w:r>
            <w:r>
              <w:rPr>
                <w:rFonts w:hint="eastAsia"/>
                <w:lang w:eastAsia="zh-CN"/>
              </w:rPr>
              <w:t>及后勤人员</w:t>
            </w:r>
            <w:r>
              <w:rPr>
                <w:rFonts w:hint="eastAsia"/>
              </w:rPr>
              <w:t>27人，行政管理人员采取一班工作制，年工作250天，医护人员、后勤人员</w:t>
            </w:r>
            <w:r>
              <w:t>实行三班工作制，</w:t>
            </w:r>
            <w:r>
              <w:rPr>
                <w:rFonts w:hint="eastAsia"/>
              </w:rPr>
              <w:t>年工作365天，每班最大劳动定员7人，</w:t>
            </w:r>
            <w:r>
              <w:t>生活用水标准按照150L/人·d计，</w:t>
            </w:r>
            <w:r>
              <w:rPr>
                <w:rFonts w:hint="eastAsia"/>
              </w:rPr>
              <w:t>则行政管理人员</w:t>
            </w:r>
            <w:r>
              <w:rPr>
                <w:rFonts w:hint="eastAsia"/>
                <w:lang w:val="en-US" w:eastAsia="zh-CN"/>
              </w:rPr>
              <w:t>平均每天</w:t>
            </w:r>
            <w:r>
              <w:t>生活</w:t>
            </w:r>
            <w:r>
              <w:rPr>
                <w:rFonts w:hint="eastAsia"/>
              </w:rPr>
              <w:t>用水量为</w:t>
            </w:r>
            <w:r>
              <w:rPr>
                <w:rFonts w:hint="eastAsia"/>
                <w:lang w:val="en-US" w:eastAsia="zh-CN"/>
              </w:rPr>
              <w:t>0.411t</w:t>
            </w:r>
            <w:r>
              <w:t>/d</w:t>
            </w:r>
            <w:r>
              <w:rPr>
                <w:rFonts w:hint="eastAsia"/>
                <w:lang w:eastAsia="zh-CN"/>
              </w:rPr>
              <w:t>，</w:t>
            </w:r>
            <w:r>
              <w:rPr>
                <w:rFonts w:hint="eastAsia"/>
                <w:lang w:val="en-US" w:eastAsia="zh-CN"/>
              </w:rPr>
              <w:t>150t/a</w:t>
            </w:r>
            <w:r>
              <w:rPr>
                <w:rFonts w:hint="eastAsia"/>
              </w:rPr>
              <w:t>，医护人员</w:t>
            </w:r>
            <w:r>
              <w:rPr>
                <w:rFonts w:hint="eastAsia"/>
                <w:lang w:eastAsia="zh-CN"/>
              </w:rPr>
              <w:t>及后勤人员</w:t>
            </w:r>
            <w:r>
              <w:t>生活</w:t>
            </w:r>
            <w:r>
              <w:rPr>
                <w:rFonts w:hint="eastAsia"/>
              </w:rPr>
              <w:t>用水量</w:t>
            </w:r>
            <w:r>
              <w:rPr>
                <w:rFonts w:hint="eastAsia"/>
                <w:lang w:val="en-US" w:eastAsia="zh-CN"/>
              </w:rPr>
              <w:t>为3.15t</w:t>
            </w:r>
            <w:r>
              <w:t>/d</w:t>
            </w:r>
            <w:r>
              <w:rPr>
                <w:rFonts w:hint="eastAsia"/>
                <w:lang w:eastAsia="zh-CN"/>
              </w:rPr>
              <w:t>，</w:t>
            </w:r>
            <w:r>
              <w:rPr>
                <w:rFonts w:hint="eastAsia"/>
                <w:lang w:val="en-US" w:eastAsia="zh-CN"/>
              </w:rPr>
              <w:t>1149.75t/a</w:t>
            </w:r>
            <w:r>
              <w:rPr>
                <w:rFonts w:hint="eastAsia"/>
              </w:rPr>
              <w:t>。</w:t>
            </w:r>
          </w:p>
          <w:p w14:paraId="265EC708">
            <w:pPr>
              <w:bidi w:val="0"/>
            </w:pPr>
            <w:r>
              <w:t>2）排水</w:t>
            </w:r>
          </w:p>
          <w:p w14:paraId="1539C4BE">
            <w:pPr>
              <w:bidi w:val="0"/>
            </w:pPr>
            <w:r>
              <w:t>本项目排水实行雨污分流制，雨水</w:t>
            </w:r>
            <w:r>
              <w:rPr>
                <w:rFonts w:hint="eastAsia"/>
                <w:lang w:val="en-US" w:eastAsia="zh-CN"/>
              </w:rPr>
              <w:t>经项目东侧道路雨水沟渠收集后进入雨水管网</w:t>
            </w:r>
            <w:r>
              <w:t>。</w:t>
            </w:r>
          </w:p>
          <w:p w14:paraId="628DA0EF">
            <w:pPr>
              <w:bidi w:val="0"/>
              <w:rPr>
                <w:rFonts w:hint="default"/>
                <w:lang w:val="en-US" w:eastAsia="zh-CN"/>
              </w:rPr>
            </w:pPr>
            <w:r>
              <w:t>①</w:t>
            </w:r>
            <w:r>
              <w:rPr>
                <w:rFonts w:hint="eastAsia"/>
                <w:lang w:val="en-US" w:eastAsia="zh-CN"/>
              </w:rPr>
              <w:t>住院及门诊病人废水</w:t>
            </w:r>
          </w:p>
          <w:p w14:paraId="3C9037D6">
            <w:pPr>
              <w:bidi w:val="0"/>
            </w:pPr>
            <w:r>
              <w:t>住院病人和门诊</w:t>
            </w:r>
            <w:r>
              <w:rPr>
                <w:rFonts w:hint="eastAsia"/>
                <w:lang w:eastAsia="zh-CN"/>
              </w:rPr>
              <w:t>用水共计</w:t>
            </w:r>
            <w:r>
              <w:rPr>
                <w:rFonts w:hint="eastAsia"/>
                <w:lang w:val="en-US" w:eastAsia="zh-CN"/>
              </w:rPr>
              <w:t>5.15t/d</w:t>
            </w:r>
            <w:r>
              <w:t>，其产污系数取0.</w:t>
            </w:r>
            <w:r>
              <w:rPr>
                <w:rFonts w:hint="eastAsia"/>
              </w:rPr>
              <w:t>85</w:t>
            </w:r>
            <w:r>
              <w:t>，则一般医疗废水的产生量为</w:t>
            </w:r>
            <w:r>
              <w:rPr>
                <w:rFonts w:hint="eastAsia"/>
                <w:lang w:val="en-US" w:eastAsia="zh-CN"/>
              </w:rPr>
              <w:t>4.378t</w:t>
            </w:r>
            <w:r>
              <w:t>/d。该废水中除含致病病菌和病毒外，水质与生活污水相似，污染物以COD、SS、NH3-N、BOD5、粪大肠菌群为主。废水</w:t>
            </w:r>
            <w:r>
              <w:rPr>
                <w:rFonts w:hint="eastAsia"/>
              </w:rPr>
              <w:t>进入院区内预处理池收集处理后，</w:t>
            </w:r>
            <w:r>
              <w:rPr>
                <w:rFonts w:hint="eastAsia"/>
                <w:lang w:val="en-US" w:eastAsia="zh-CN"/>
              </w:rPr>
              <w:t>进入</w:t>
            </w:r>
            <w:r>
              <w:rPr>
                <w:rFonts w:hint="eastAsia"/>
              </w:rPr>
              <w:t>一体化污水处理设备（采用格栅调节+接触氧化+沉淀+消毒工艺）处理</w:t>
            </w:r>
            <w:r>
              <w:t>达《医疗机构水污染物排放标准》（GB18466-2005）中表2预处理标准，</w:t>
            </w:r>
            <w:r>
              <w:rPr>
                <w:rFonts w:hint="eastAsia"/>
                <w:lang w:val="en-US" w:eastAsia="zh-CN"/>
              </w:rPr>
              <w:t>再进入</w:t>
            </w:r>
            <w:r>
              <w:t>污水管网进入</w:t>
            </w:r>
            <w:r>
              <w:rPr>
                <w:rFonts w:hint="eastAsia"/>
                <w:lang w:eastAsia="zh-CN"/>
              </w:rPr>
              <w:t>遂宁市城南第一污水处理厂</w:t>
            </w:r>
            <w:r>
              <w:t>处理，</w:t>
            </w:r>
            <w:r>
              <w:rPr>
                <w:rFonts w:hint="eastAsia"/>
                <w:lang w:val="en-US" w:eastAsia="zh-CN"/>
              </w:rPr>
              <w:t>最终</w:t>
            </w:r>
            <w:r>
              <w:t>排入</w:t>
            </w:r>
            <w:r>
              <w:rPr>
                <w:rFonts w:hint="eastAsia"/>
              </w:rPr>
              <w:t>涪江</w:t>
            </w:r>
            <w:r>
              <w:t>。</w:t>
            </w:r>
          </w:p>
          <w:p w14:paraId="70D5B5D6">
            <w:pPr>
              <w:bidi w:val="0"/>
            </w:pPr>
            <w:r>
              <w:t>②特殊医疗废水</w:t>
            </w:r>
          </w:p>
          <w:p w14:paraId="2F249F92">
            <w:pPr>
              <w:bidi w:val="0"/>
            </w:pPr>
            <w:r>
              <w:t>本项目不设传染病房及传染病门诊科室、检验科，若发现传热病毒携带者，立即进行隔离，由专用救护车送至市属</w:t>
            </w:r>
            <w:r>
              <w:rPr>
                <w:rFonts w:hint="eastAsia"/>
              </w:rPr>
              <w:t>综合</w:t>
            </w:r>
            <w:r>
              <w:t>医院诊治。因此本项目不产生含传染病菌废水、不产生含汞等重金属废水、不产生废显影液，无特殊医疗废水。</w:t>
            </w:r>
          </w:p>
          <w:p w14:paraId="06275D6C">
            <w:pPr>
              <w:bidi w:val="0"/>
            </w:pPr>
            <w:r>
              <w:t>③生活废水</w:t>
            </w:r>
          </w:p>
          <w:p w14:paraId="62981FE1">
            <w:pPr>
              <w:bidi w:val="0"/>
            </w:pPr>
            <w:r>
              <w:rPr>
                <w:rFonts w:hint="eastAsia"/>
              </w:rPr>
              <w:t>本</w:t>
            </w:r>
            <w:r>
              <w:t>项目</w:t>
            </w:r>
            <w:r>
              <w:rPr>
                <w:rFonts w:hint="eastAsia"/>
              </w:rPr>
              <w:t>行政人员</w:t>
            </w:r>
            <w:r>
              <w:rPr>
                <w:rFonts w:hint="eastAsia"/>
                <w:lang w:eastAsia="zh-CN"/>
              </w:rPr>
              <w:t>、</w:t>
            </w:r>
            <w:r>
              <w:t>医护人员</w:t>
            </w:r>
            <w:r>
              <w:rPr>
                <w:rFonts w:hint="eastAsia"/>
                <w:lang w:eastAsia="zh-CN"/>
              </w:rPr>
              <w:t>和</w:t>
            </w:r>
            <w:r>
              <w:t>后勤人员办公生活用水量为</w:t>
            </w:r>
            <w:r>
              <w:rPr>
                <w:rFonts w:hint="eastAsia"/>
                <w:lang w:val="en-US" w:eastAsia="zh-CN"/>
              </w:rPr>
              <w:t>3.561t</w:t>
            </w:r>
            <w:r>
              <w:t>/d</w:t>
            </w:r>
            <w:r>
              <w:rPr>
                <w:rFonts w:hint="eastAsia"/>
              </w:rPr>
              <w:t>，</w:t>
            </w:r>
            <w:r>
              <w:rPr>
                <w:rFonts w:hint="eastAsia"/>
                <w:lang w:eastAsia="zh-CN"/>
              </w:rPr>
              <w:t>办公生活污水</w:t>
            </w:r>
            <w:r>
              <w:t>产污系数取0.</w:t>
            </w:r>
            <w:r>
              <w:rPr>
                <w:rFonts w:hint="eastAsia"/>
              </w:rPr>
              <w:t>85</w:t>
            </w:r>
            <w:r>
              <w:t>，则</w:t>
            </w:r>
            <w:r>
              <w:rPr>
                <w:rFonts w:hint="eastAsia"/>
              </w:rPr>
              <w:t>行政人员</w:t>
            </w:r>
            <w:r>
              <w:rPr>
                <w:rFonts w:hint="eastAsia"/>
                <w:lang w:eastAsia="zh-CN"/>
              </w:rPr>
              <w:t>、</w:t>
            </w:r>
            <w:r>
              <w:t>医护人员</w:t>
            </w:r>
            <w:r>
              <w:rPr>
                <w:rFonts w:hint="eastAsia"/>
              </w:rPr>
              <w:t>及</w:t>
            </w:r>
            <w:r>
              <w:t>后勤人员</w:t>
            </w:r>
            <w:r>
              <w:rPr>
                <w:rFonts w:hint="eastAsia"/>
                <w:lang w:eastAsia="zh-CN"/>
              </w:rPr>
              <w:t>办公生活污水</w:t>
            </w:r>
            <w:r>
              <w:t>的产生量为</w:t>
            </w:r>
            <w:r>
              <w:rPr>
                <w:rFonts w:hint="eastAsia"/>
                <w:lang w:val="en-US" w:eastAsia="zh-CN"/>
              </w:rPr>
              <w:t>3.027t</w:t>
            </w:r>
            <w:r>
              <w:t>/d</w:t>
            </w:r>
            <w:r>
              <w:rPr>
                <w:rFonts w:hint="eastAsia"/>
                <w:lang w:eastAsia="zh-CN"/>
              </w:rPr>
              <w:t>。</w:t>
            </w:r>
            <w:r>
              <w:t>污染因子主要为COD、SS、NH</w:t>
            </w:r>
            <w:r>
              <w:rPr>
                <w:vertAlign w:val="subscript"/>
              </w:rPr>
              <w:t>3</w:t>
            </w:r>
            <w:r>
              <w:t>-N、BOD</w:t>
            </w:r>
            <w:r>
              <w:rPr>
                <w:vertAlign w:val="subscript"/>
              </w:rPr>
              <w:t>5</w:t>
            </w:r>
            <w:r>
              <w:t>、粪大肠菌群。产生的</w:t>
            </w:r>
            <w:r>
              <w:rPr>
                <w:rFonts w:hint="eastAsia"/>
                <w:lang w:eastAsia="zh-CN"/>
              </w:rPr>
              <w:t>办公生活污水</w:t>
            </w:r>
            <w:r>
              <w:rPr>
                <w:rFonts w:hint="eastAsia"/>
                <w:lang w:val="en-US" w:eastAsia="zh-CN"/>
              </w:rPr>
              <w:t>经</w:t>
            </w:r>
            <w:r>
              <w:rPr>
                <w:rFonts w:hint="eastAsia"/>
              </w:rPr>
              <w:t>院区进入院区内预处理池收集处理后，</w:t>
            </w:r>
            <w:r>
              <w:rPr>
                <w:rFonts w:hint="eastAsia"/>
                <w:lang w:val="en-US" w:eastAsia="zh-CN"/>
              </w:rPr>
              <w:t>进入</w:t>
            </w:r>
            <w:r>
              <w:rPr>
                <w:rFonts w:hint="eastAsia"/>
              </w:rPr>
              <w:t>一体化污水处理设备</w:t>
            </w:r>
            <w:r>
              <w:t>（</w:t>
            </w:r>
            <w:r>
              <w:rPr>
                <w:rFonts w:hint="eastAsia"/>
              </w:rPr>
              <w:t>格栅调节+接触氧化+沉淀</w:t>
            </w:r>
            <w:r>
              <w:t>+消毒工艺）处理达《医疗机构水污染物排放标准》（GB18466-2005）中表2预处理标准</w:t>
            </w:r>
            <w:r>
              <w:rPr>
                <w:rFonts w:hint="eastAsia"/>
                <w:lang w:val="en-US" w:eastAsia="zh-CN"/>
              </w:rPr>
              <w:t>后</w:t>
            </w:r>
            <w:r>
              <w:t>，通过污水管网进入</w:t>
            </w:r>
            <w:r>
              <w:rPr>
                <w:rFonts w:hint="eastAsia"/>
                <w:lang w:eastAsia="zh-CN"/>
              </w:rPr>
              <w:t>遂宁市城南第一污水处理厂</w:t>
            </w:r>
            <w:r>
              <w:t>处理，</w:t>
            </w:r>
            <w:r>
              <w:rPr>
                <w:rFonts w:hint="eastAsia"/>
                <w:lang w:val="en-US" w:eastAsia="zh-CN"/>
              </w:rPr>
              <w:t>最终</w:t>
            </w:r>
            <w:r>
              <w:t>排入</w:t>
            </w:r>
            <w:r>
              <w:rPr>
                <w:rFonts w:hint="eastAsia"/>
              </w:rPr>
              <w:t>涪江</w:t>
            </w:r>
            <w:r>
              <w:t>。</w:t>
            </w:r>
          </w:p>
          <w:p w14:paraId="4DDB8685">
            <w:pPr>
              <w:bidi w:val="0"/>
            </w:pPr>
            <w:r>
              <w:t>排水情况如下表</w:t>
            </w:r>
            <w:r>
              <w:rPr>
                <w:rFonts w:hint="eastAsia"/>
                <w:lang w:eastAsia="zh-CN"/>
              </w:rPr>
              <w:t>所</w:t>
            </w:r>
            <w:r>
              <w:t>示：</w:t>
            </w:r>
          </w:p>
          <w:p w14:paraId="66051178">
            <w:pPr>
              <w:pStyle w:val="22"/>
              <w:bidi w:val="0"/>
            </w:pPr>
            <w:r>
              <w:rPr>
                <w:rFonts w:hint="eastAsia"/>
              </w:rPr>
              <w:t>本</w:t>
            </w:r>
            <w:r>
              <w:t>项目用</w:t>
            </w:r>
            <w:r>
              <w:rPr>
                <w:rFonts w:hint="eastAsia"/>
              </w:rPr>
              <w:t>排</w:t>
            </w:r>
            <w:r>
              <w:t>水量一览表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337"/>
              <w:gridCol w:w="1063"/>
              <w:gridCol w:w="950"/>
              <w:gridCol w:w="1862"/>
              <w:gridCol w:w="885"/>
              <w:gridCol w:w="1474"/>
            </w:tblGrid>
            <w:tr w14:paraId="4379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286" w:type="pct"/>
                  <w:gridSpan w:val="2"/>
                  <w:noWrap w:val="0"/>
                  <w:vAlign w:val="center"/>
                </w:tcPr>
                <w:p w14:paraId="79900273">
                  <w:pPr>
                    <w:pStyle w:val="23"/>
                    <w:bidi w:val="0"/>
                  </w:pPr>
                  <w:r>
                    <w:t>项目</w:t>
                  </w:r>
                </w:p>
              </w:tc>
              <w:tc>
                <w:tcPr>
                  <w:tcW w:w="633" w:type="pct"/>
                  <w:noWrap w:val="0"/>
                  <w:vAlign w:val="center"/>
                </w:tcPr>
                <w:p w14:paraId="31F75CE7">
                  <w:pPr>
                    <w:pStyle w:val="23"/>
                    <w:bidi w:val="0"/>
                  </w:pPr>
                  <w:r>
                    <w:t>用水标准</w:t>
                  </w:r>
                </w:p>
              </w:tc>
              <w:tc>
                <w:tcPr>
                  <w:tcW w:w="566" w:type="pct"/>
                  <w:noWrap w:val="0"/>
                  <w:vAlign w:val="center"/>
                </w:tcPr>
                <w:p w14:paraId="34A57936">
                  <w:pPr>
                    <w:pStyle w:val="23"/>
                    <w:bidi w:val="0"/>
                  </w:pPr>
                  <w:r>
                    <w:t>用水单位数</w:t>
                  </w:r>
                </w:p>
              </w:tc>
              <w:tc>
                <w:tcPr>
                  <w:tcW w:w="1109" w:type="pct"/>
                  <w:noWrap w:val="0"/>
                  <w:vAlign w:val="center"/>
                </w:tcPr>
                <w:p w14:paraId="0B18AAF4">
                  <w:pPr>
                    <w:pStyle w:val="23"/>
                    <w:bidi w:val="0"/>
                  </w:pPr>
                  <w:r>
                    <w:t>最大日用水量（</w:t>
                  </w:r>
                  <w:r>
                    <w:rPr>
                      <w:rFonts w:hint="eastAsia"/>
                      <w:lang w:val="en-US" w:eastAsia="zh-CN"/>
                    </w:rPr>
                    <w:t>t</w:t>
                  </w:r>
                  <w:r>
                    <w:t>/d）</w:t>
                  </w:r>
                </w:p>
              </w:tc>
              <w:tc>
                <w:tcPr>
                  <w:tcW w:w="527" w:type="pct"/>
                  <w:noWrap w:val="0"/>
                  <w:vAlign w:val="center"/>
                </w:tcPr>
                <w:p w14:paraId="17F6CAE4">
                  <w:pPr>
                    <w:pStyle w:val="23"/>
                    <w:bidi w:val="0"/>
                  </w:pPr>
                  <w:r>
                    <w:t>排水系数</w:t>
                  </w:r>
                </w:p>
              </w:tc>
              <w:tc>
                <w:tcPr>
                  <w:tcW w:w="878" w:type="pct"/>
                  <w:noWrap w:val="0"/>
                  <w:vAlign w:val="center"/>
                </w:tcPr>
                <w:p w14:paraId="475464E7">
                  <w:pPr>
                    <w:pStyle w:val="23"/>
                    <w:bidi w:val="0"/>
                  </w:pPr>
                  <w:r>
                    <w:t>排水量（</w:t>
                  </w:r>
                  <w:r>
                    <w:rPr>
                      <w:rFonts w:hint="eastAsia"/>
                      <w:lang w:val="en-US" w:eastAsia="zh-CN"/>
                    </w:rPr>
                    <w:t>t</w:t>
                  </w:r>
                  <w:r>
                    <w:t>/d）</w:t>
                  </w:r>
                </w:p>
              </w:tc>
            </w:tr>
            <w:tr w14:paraId="732B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89" w:type="pct"/>
                  <w:vMerge w:val="restart"/>
                  <w:noWrap w:val="0"/>
                  <w:vAlign w:val="center"/>
                </w:tcPr>
                <w:p w14:paraId="5167A2DA">
                  <w:pPr>
                    <w:pStyle w:val="23"/>
                    <w:bidi w:val="0"/>
                  </w:pPr>
                  <w:r>
                    <w:t>医疗用水</w:t>
                  </w:r>
                </w:p>
              </w:tc>
              <w:tc>
                <w:tcPr>
                  <w:tcW w:w="796" w:type="pct"/>
                  <w:noWrap w:val="0"/>
                  <w:vAlign w:val="center"/>
                </w:tcPr>
                <w:p w14:paraId="758AD5CE">
                  <w:pPr>
                    <w:pStyle w:val="23"/>
                    <w:bidi w:val="0"/>
                  </w:pPr>
                  <w:r>
                    <w:t>住院病人</w:t>
                  </w:r>
                </w:p>
              </w:tc>
              <w:tc>
                <w:tcPr>
                  <w:tcW w:w="633" w:type="pct"/>
                  <w:noWrap w:val="0"/>
                  <w:vAlign w:val="center"/>
                </w:tcPr>
                <w:p w14:paraId="2824027F">
                  <w:pPr>
                    <w:pStyle w:val="23"/>
                    <w:bidi w:val="0"/>
                  </w:pPr>
                  <w:r>
                    <w:rPr>
                      <w:rFonts w:hint="eastAsia"/>
                    </w:rPr>
                    <w:t>250</w:t>
                  </w:r>
                  <w:r>
                    <w:t>L/床·d</w:t>
                  </w:r>
                </w:p>
              </w:tc>
              <w:tc>
                <w:tcPr>
                  <w:tcW w:w="566" w:type="pct"/>
                  <w:noWrap w:val="0"/>
                  <w:vAlign w:val="center"/>
                </w:tcPr>
                <w:p w14:paraId="3D989F14">
                  <w:pPr>
                    <w:pStyle w:val="23"/>
                    <w:bidi w:val="0"/>
                  </w:pPr>
                  <w:r>
                    <w:rPr>
                      <w:rFonts w:hint="eastAsia"/>
                    </w:rPr>
                    <w:t>20</w:t>
                  </w:r>
                  <w:r>
                    <w:t>床</w:t>
                  </w:r>
                </w:p>
              </w:tc>
              <w:tc>
                <w:tcPr>
                  <w:tcW w:w="1109" w:type="pct"/>
                  <w:vMerge w:val="restart"/>
                  <w:noWrap w:val="0"/>
                  <w:vAlign w:val="center"/>
                </w:tcPr>
                <w:p w14:paraId="747F019B">
                  <w:pPr>
                    <w:pStyle w:val="23"/>
                    <w:bidi w:val="0"/>
                  </w:pPr>
                  <w:r>
                    <w:rPr>
                      <w:rFonts w:hint="eastAsia"/>
                      <w:lang w:val="en-US" w:eastAsia="zh-CN"/>
                    </w:rPr>
                    <w:t>5</w:t>
                  </w:r>
                  <w:r>
                    <w:rPr>
                      <w:rFonts w:hint="default"/>
                      <w:lang w:val="en-US" w:eastAsia="zh-CN"/>
                    </w:rPr>
                    <w:t>.15</w:t>
                  </w:r>
                </w:p>
              </w:tc>
              <w:tc>
                <w:tcPr>
                  <w:tcW w:w="527" w:type="pct"/>
                  <w:vMerge w:val="restart"/>
                  <w:noWrap w:val="0"/>
                  <w:vAlign w:val="center"/>
                </w:tcPr>
                <w:p w14:paraId="6F78B538">
                  <w:pPr>
                    <w:pStyle w:val="23"/>
                    <w:bidi w:val="0"/>
                  </w:pPr>
                  <w:r>
                    <w:rPr>
                      <w:rFonts w:hint="default"/>
                      <w:lang w:val="en-US" w:eastAsia="zh-CN"/>
                    </w:rPr>
                    <w:t>0.85</w:t>
                  </w:r>
                </w:p>
              </w:tc>
              <w:tc>
                <w:tcPr>
                  <w:tcW w:w="878" w:type="pct"/>
                  <w:vMerge w:val="restart"/>
                  <w:noWrap w:val="0"/>
                  <w:vAlign w:val="center"/>
                </w:tcPr>
                <w:p w14:paraId="54867151">
                  <w:pPr>
                    <w:pStyle w:val="23"/>
                    <w:bidi w:val="0"/>
                    <w:rPr>
                      <w:rFonts w:hint="default"/>
                      <w:lang w:val="en-US" w:eastAsia="zh-CN"/>
                    </w:rPr>
                  </w:pPr>
                  <w:r>
                    <w:rPr>
                      <w:rFonts w:hint="eastAsia"/>
                      <w:lang w:val="en-US" w:eastAsia="zh-CN"/>
                    </w:rPr>
                    <w:t>4.378</w:t>
                  </w:r>
                </w:p>
              </w:tc>
            </w:tr>
            <w:tr w14:paraId="1B04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89" w:type="pct"/>
                  <w:vMerge w:val="continue"/>
                  <w:noWrap w:val="0"/>
                  <w:vAlign w:val="center"/>
                </w:tcPr>
                <w:p w14:paraId="49086085">
                  <w:pPr>
                    <w:pStyle w:val="23"/>
                    <w:bidi w:val="0"/>
                  </w:pPr>
                </w:p>
              </w:tc>
              <w:tc>
                <w:tcPr>
                  <w:tcW w:w="796" w:type="pct"/>
                  <w:noWrap w:val="0"/>
                  <w:vAlign w:val="center"/>
                </w:tcPr>
                <w:p w14:paraId="0B2D3BF3">
                  <w:pPr>
                    <w:pStyle w:val="23"/>
                    <w:bidi w:val="0"/>
                  </w:pPr>
                  <w:r>
                    <w:t>门诊病人</w:t>
                  </w:r>
                </w:p>
              </w:tc>
              <w:tc>
                <w:tcPr>
                  <w:tcW w:w="633" w:type="pct"/>
                  <w:noWrap w:val="0"/>
                  <w:vAlign w:val="center"/>
                </w:tcPr>
                <w:p w14:paraId="69D342F9">
                  <w:pPr>
                    <w:pStyle w:val="23"/>
                    <w:bidi w:val="0"/>
                  </w:pPr>
                  <w:r>
                    <w:t>15L/人·d</w:t>
                  </w:r>
                </w:p>
              </w:tc>
              <w:tc>
                <w:tcPr>
                  <w:tcW w:w="566" w:type="pct"/>
                  <w:noWrap w:val="0"/>
                  <w:vAlign w:val="center"/>
                </w:tcPr>
                <w:p w14:paraId="6AC333AC">
                  <w:pPr>
                    <w:pStyle w:val="23"/>
                    <w:bidi w:val="0"/>
                  </w:pPr>
                  <w:r>
                    <w:rPr>
                      <w:rFonts w:hint="eastAsia"/>
                    </w:rPr>
                    <w:t>10</w:t>
                  </w:r>
                  <w:r>
                    <w:t>人</w:t>
                  </w:r>
                </w:p>
              </w:tc>
              <w:tc>
                <w:tcPr>
                  <w:tcW w:w="1109" w:type="pct"/>
                  <w:vMerge w:val="continue"/>
                  <w:noWrap w:val="0"/>
                  <w:vAlign w:val="center"/>
                </w:tcPr>
                <w:p w14:paraId="6BEB3BD6">
                  <w:pPr>
                    <w:pStyle w:val="23"/>
                    <w:bidi w:val="0"/>
                  </w:pPr>
                </w:p>
              </w:tc>
              <w:tc>
                <w:tcPr>
                  <w:tcW w:w="527" w:type="pct"/>
                  <w:vMerge w:val="continue"/>
                  <w:noWrap w:val="0"/>
                  <w:vAlign w:val="center"/>
                </w:tcPr>
                <w:p w14:paraId="50869A46">
                  <w:pPr>
                    <w:pStyle w:val="23"/>
                    <w:bidi w:val="0"/>
                  </w:pPr>
                </w:p>
              </w:tc>
              <w:tc>
                <w:tcPr>
                  <w:tcW w:w="878" w:type="pct"/>
                  <w:vMerge w:val="continue"/>
                  <w:noWrap w:val="0"/>
                  <w:vAlign w:val="center"/>
                </w:tcPr>
                <w:p w14:paraId="66C8151A">
                  <w:pPr>
                    <w:pStyle w:val="23"/>
                    <w:bidi w:val="0"/>
                    <w:rPr>
                      <w:rFonts w:hint="default"/>
                      <w:lang w:val="en-US" w:eastAsia="zh-CN"/>
                    </w:rPr>
                  </w:pPr>
                </w:p>
              </w:tc>
            </w:tr>
            <w:tr w14:paraId="5262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89" w:type="pct"/>
                  <w:vMerge w:val="restart"/>
                  <w:noWrap w:val="0"/>
                  <w:vAlign w:val="center"/>
                </w:tcPr>
                <w:p w14:paraId="5DACFE46">
                  <w:pPr>
                    <w:pStyle w:val="23"/>
                    <w:bidi w:val="0"/>
                  </w:pPr>
                  <w:r>
                    <w:t>生活用水</w:t>
                  </w:r>
                </w:p>
              </w:tc>
              <w:tc>
                <w:tcPr>
                  <w:tcW w:w="796" w:type="pct"/>
                  <w:noWrap w:val="0"/>
                  <w:vAlign w:val="center"/>
                </w:tcPr>
                <w:p w14:paraId="13D4DA67">
                  <w:pPr>
                    <w:pStyle w:val="23"/>
                    <w:bidi w:val="0"/>
                    <w:rPr>
                      <w:rFonts w:hint="eastAsia"/>
                      <w:lang w:eastAsia="zh-CN"/>
                    </w:rPr>
                  </w:pPr>
                  <w:r>
                    <w:t>医务人员</w:t>
                  </w:r>
                  <w:r>
                    <w:rPr>
                      <w:rFonts w:hint="eastAsia"/>
                      <w:lang w:eastAsia="zh-CN"/>
                    </w:rPr>
                    <w:t>后勤人员</w:t>
                  </w:r>
                </w:p>
              </w:tc>
              <w:tc>
                <w:tcPr>
                  <w:tcW w:w="633" w:type="pct"/>
                  <w:noWrap w:val="0"/>
                  <w:vAlign w:val="center"/>
                </w:tcPr>
                <w:p w14:paraId="212C5008">
                  <w:pPr>
                    <w:pStyle w:val="23"/>
                    <w:bidi w:val="0"/>
                  </w:pPr>
                  <w:r>
                    <w:t>150L/人·d</w:t>
                  </w:r>
                </w:p>
              </w:tc>
              <w:tc>
                <w:tcPr>
                  <w:tcW w:w="566" w:type="pct"/>
                  <w:noWrap w:val="0"/>
                  <w:vAlign w:val="center"/>
                </w:tcPr>
                <w:p w14:paraId="082B55C5">
                  <w:pPr>
                    <w:pStyle w:val="23"/>
                    <w:bidi w:val="0"/>
                  </w:pPr>
                  <w:r>
                    <w:rPr>
                      <w:rFonts w:hint="eastAsia" w:ascii="Times New Roman" w:hAnsi="Times New Roman" w:eastAsia="宋体" w:cs="Times New Roman"/>
                      <w:lang w:val="en-US" w:eastAsia="zh-CN"/>
                    </w:rPr>
                    <w:t>21</w:t>
                  </w:r>
                  <w:r>
                    <w:rPr>
                      <w:rFonts w:hint="eastAsia" w:ascii="Times New Roman" w:hAnsi="Times New Roman" w:eastAsia="宋体" w:cs="Times New Roman"/>
                    </w:rPr>
                    <w:t>人</w:t>
                  </w:r>
                </w:p>
              </w:tc>
              <w:tc>
                <w:tcPr>
                  <w:tcW w:w="1109" w:type="pct"/>
                  <w:vMerge w:val="restart"/>
                  <w:noWrap w:val="0"/>
                  <w:vAlign w:val="center"/>
                </w:tcPr>
                <w:p w14:paraId="3F6387AE">
                  <w:pPr>
                    <w:pStyle w:val="23"/>
                    <w:bidi w:val="0"/>
                    <w:rPr>
                      <w:rFonts w:hint="default"/>
                      <w:lang w:val="en-US" w:eastAsia="zh-CN"/>
                    </w:rPr>
                  </w:pPr>
                  <w:r>
                    <w:rPr>
                      <w:rFonts w:hint="eastAsia"/>
                      <w:lang w:val="en-US" w:eastAsia="zh-CN"/>
                    </w:rPr>
                    <w:t>3.561</w:t>
                  </w:r>
                </w:p>
              </w:tc>
              <w:tc>
                <w:tcPr>
                  <w:tcW w:w="527" w:type="pct"/>
                  <w:vMerge w:val="restart"/>
                  <w:noWrap w:val="0"/>
                  <w:vAlign w:val="center"/>
                </w:tcPr>
                <w:p w14:paraId="712DED15">
                  <w:pPr>
                    <w:pStyle w:val="23"/>
                    <w:bidi w:val="0"/>
                  </w:pPr>
                  <w:r>
                    <w:rPr>
                      <w:rFonts w:hint="default"/>
                      <w:lang w:val="en-US" w:eastAsia="zh-CN"/>
                    </w:rPr>
                    <w:t>0.85</w:t>
                  </w:r>
                </w:p>
              </w:tc>
              <w:tc>
                <w:tcPr>
                  <w:tcW w:w="878" w:type="pct"/>
                  <w:vMerge w:val="restart"/>
                  <w:noWrap w:val="0"/>
                  <w:vAlign w:val="center"/>
                </w:tcPr>
                <w:p w14:paraId="644C0667">
                  <w:pPr>
                    <w:pStyle w:val="23"/>
                    <w:bidi w:val="0"/>
                    <w:rPr>
                      <w:rFonts w:hint="default"/>
                      <w:lang w:val="en-US" w:eastAsia="zh-CN"/>
                    </w:rPr>
                  </w:pPr>
                  <w:r>
                    <w:rPr>
                      <w:rFonts w:hint="eastAsia"/>
                      <w:lang w:val="en-US" w:eastAsia="zh-CN"/>
                    </w:rPr>
                    <w:t>3.027</w:t>
                  </w:r>
                </w:p>
              </w:tc>
            </w:tr>
            <w:tr w14:paraId="45E3D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89" w:type="pct"/>
                  <w:vMerge w:val="continue"/>
                  <w:noWrap w:val="0"/>
                  <w:vAlign w:val="center"/>
                </w:tcPr>
                <w:p w14:paraId="030B26B6">
                  <w:pPr>
                    <w:pStyle w:val="23"/>
                    <w:bidi w:val="0"/>
                  </w:pPr>
                </w:p>
              </w:tc>
              <w:tc>
                <w:tcPr>
                  <w:tcW w:w="796" w:type="pct"/>
                  <w:noWrap w:val="0"/>
                  <w:vAlign w:val="center"/>
                </w:tcPr>
                <w:p w14:paraId="70294060">
                  <w:pPr>
                    <w:pStyle w:val="23"/>
                    <w:bidi w:val="0"/>
                    <w:rPr>
                      <w:rFonts w:hint="eastAsia"/>
                      <w:lang w:eastAsia="zh-CN"/>
                    </w:rPr>
                  </w:pPr>
                  <w:r>
                    <w:rPr>
                      <w:rFonts w:hint="eastAsia"/>
                      <w:lang w:eastAsia="zh-CN"/>
                    </w:rPr>
                    <w:t>行政人员</w:t>
                  </w:r>
                </w:p>
              </w:tc>
              <w:tc>
                <w:tcPr>
                  <w:tcW w:w="633" w:type="pct"/>
                  <w:noWrap w:val="0"/>
                  <w:vAlign w:val="center"/>
                </w:tcPr>
                <w:p w14:paraId="565363B1">
                  <w:pPr>
                    <w:pStyle w:val="23"/>
                    <w:bidi w:val="0"/>
                  </w:pPr>
                  <w:r>
                    <w:t>150L/人·d</w:t>
                  </w:r>
                </w:p>
              </w:tc>
              <w:tc>
                <w:tcPr>
                  <w:tcW w:w="566" w:type="pct"/>
                  <w:noWrap w:val="0"/>
                  <w:vAlign w:val="center"/>
                </w:tcPr>
                <w:p w14:paraId="2DE238D5">
                  <w:pPr>
                    <w:pStyle w:val="23"/>
                    <w:bidi w:val="0"/>
                  </w:pPr>
                  <w:r>
                    <w:rPr>
                      <w:rFonts w:hint="eastAsia"/>
                    </w:rPr>
                    <w:t>4</w:t>
                  </w:r>
                  <w:r>
                    <w:t>人</w:t>
                  </w:r>
                </w:p>
              </w:tc>
              <w:tc>
                <w:tcPr>
                  <w:tcW w:w="1109" w:type="pct"/>
                  <w:vMerge w:val="continue"/>
                  <w:noWrap w:val="0"/>
                  <w:vAlign w:val="center"/>
                </w:tcPr>
                <w:p w14:paraId="568D7D7F">
                  <w:pPr>
                    <w:pStyle w:val="23"/>
                    <w:bidi w:val="0"/>
                    <w:rPr>
                      <w:rFonts w:hint="default"/>
                      <w:lang w:val="en-US" w:eastAsia="zh-CN"/>
                    </w:rPr>
                  </w:pPr>
                </w:p>
              </w:tc>
              <w:tc>
                <w:tcPr>
                  <w:tcW w:w="527" w:type="pct"/>
                  <w:vMerge w:val="continue"/>
                  <w:noWrap w:val="0"/>
                  <w:vAlign w:val="center"/>
                </w:tcPr>
                <w:p w14:paraId="2E4FAF34">
                  <w:pPr>
                    <w:pStyle w:val="23"/>
                    <w:bidi w:val="0"/>
                  </w:pPr>
                </w:p>
              </w:tc>
              <w:tc>
                <w:tcPr>
                  <w:tcW w:w="878" w:type="pct"/>
                  <w:vMerge w:val="continue"/>
                  <w:noWrap w:val="0"/>
                  <w:vAlign w:val="center"/>
                </w:tcPr>
                <w:p w14:paraId="112A41EA">
                  <w:pPr>
                    <w:pStyle w:val="23"/>
                    <w:bidi w:val="0"/>
                    <w:rPr>
                      <w:rFonts w:hint="default"/>
                      <w:lang w:val="en-US" w:eastAsia="zh-CN"/>
                    </w:rPr>
                  </w:pPr>
                </w:p>
              </w:tc>
            </w:tr>
            <w:tr w14:paraId="5193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485" w:type="pct"/>
                  <w:gridSpan w:val="4"/>
                  <w:noWrap w:val="0"/>
                  <w:vAlign w:val="center"/>
                </w:tcPr>
                <w:p w14:paraId="5625B454">
                  <w:pPr>
                    <w:pStyle w:val="23"/>
                    <w:bidi w:val="0"/>
                  </w:pPr>
                  <w:r>
                    <w:t>合计</w:t>
                  </w:r>
                </w:p>
              </w:tc>
              <w:tc>
                <w:tcPr>
                  <w:tcW w:w="1109" w:type="pct"/>
                  <w:noWrap w:val="0"/>
                  <w:vAlign w:val="center"/>
                </w:tcPr>
                <w:p w14:paraId="4D1D17DF">
                  <w:pPr>
                    <w:pStyle w:val="23"/>
                    <w:bidi w:val="0"/>
                    <w:rPr>
                      <w:rFonts w:hint="default"/>
                      <w:lang w:val="en-US" w:eastAsia="zh-CN"/>
                    </w:rPr>
                  </w:pPr>
                  <w:r>
                    <w:rPr>
                      <w:rFonts w:hint="default"/>
                      <w:lang w:val="en-US" w:eastAsia="zh-CN"/>
                    </w:rPr>
                    <w:t>8.711</w:t>
                  </w:r>
                </w:p>
              </w:tc>
              <w:tc>
                <w:tcPr>
                  <w:tcW w:w="527" w:type="pct"/>
                  <w:noWrap w:val="0"/>
                  <w:vAlign w:val="center"/>
                </w:tcPr>
                <w:p w14:paraId="17D7E098">
                  <w:pPr>
                    <w:pStyle w:val="23"/>
                    <w:bidi w:val="0"/>
                  </w:pPr>
                  <w:r>
                    <w:rPr>
                      <w:rFonts w:hint="default"/>
                      <w:lang w:val="en-US" w:eastAsia="zh-CN"/>
                    </w:rPr>
                    <w:t>/</w:t>
                  </w:r>
                </w:p>
              </w:tc>
              <w:tc>
                <w:tcPr>
                  <w:tcW w:w="878" w:type="pct"/>
                  <w:noWrap w:val="0"/>
                  <w:vAlign w:val="center"/>
                </w:tcPr>
                <w:p w14:paraId="0DCE9302">
                  <w:pPr>
                    <w:pStyle w:val="23"/>
                    <w:bidi w:val="0"/>
                    <w:rPr>
                      <w:rFonts w:hint="default"/>
                      <w:lang w:val="en-US" w:eastAsia="zh-CN"/>
                    </w:rPr>
                  </w:pPr>
                  <w:r>
                    <w:rPr>
                      <w:rFonts w:hint="default"/>
                      <w:lang w:val="en-US" w:eastAsia="zh-CN"/>
                    </w:rPr>
                    <w:t>7.40</w:t>
                  </w:r>
                  <w:r>
                    <w:rPr>
                      <w:rFonts w:hint="eastAsia"/>
                      <w:lang w:val="en-US" w:eastAsia="zh-CN"/>
                    </w:rPr>
                    <w:t>5</w:t>
                  </w:r>
                </w:p>
              </w:tc>
            </w:tr>
          </w:tbl>
          <w:p w14:paraId="0AC643E2">
            <w:pPr>
              <w:pStyle w:val="25"/>
              <w:bidi w:val="0"/>
            </w:pPr>
            <w:r>
              <w:t>本项目水平衡如下图示：</w:t>
            </w:r>
          </w:p>
          <w:p w14:paraId="6824F4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333365" cy="1991360"/>
                  <wp:effectExtent l="0" t="0" r="0" b="0"/>
                  <wp:docPr id="14" name="ECB019B1-382A-4266-B25C-5B523AA43C14-1" descr="C:/Users/Administrator/AppData/Local/Temp/wps.miUrq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1" descr="C:/Users/Administrator/AppData/Local/Temp/wps.miUrqhwps"/>
                          <pic:cNvPicPr>
                            <a:picLocks noChangeAspect="1"/>
                          </pic:cNvPicPr>
                        </pic:nvPicPr>
                        <pic:blipFill>
                          <a:blip r:embed="rId12"/>
                          <a:stretch>
                            <a:fillRect/>
                          </a:stretch>
                        </pic:blipFill>
                        <pic:spPr>
                          <a:xfrm>
                            <a:off x="0" y="0"/>
                            <a:ext cx="5333365" cy="1991360"/>
                          </a:xfrm>
                          <a:prstGeom prst="rect">
                            <a:avLst/>
                          </a:prstGeom>
                        </pic:spPr>
                      </pic:pic>
                    </a:graphicData>
                  </a:graphic>
                </wp:inline>
              </w:drawing>
            </w:r>
          </w:p>
          <w:p w14:paraId="7D700F11">
            <w:pPr>
              <w:pStyle w:val="27"/>
              <w:bidi w:val="0"/>
            </w:pPr>
            <w:r>
              <w:t>项目水平衡图</w:t>
            </w:r>
            <w:r>
              <w:rPr>
                <w:rFonts w:hint="eastAsia"/>
              </w:rPr>
              <w:t xml:space="preserve">   </w:t>
            </w:r>
            <w:r>
              <w:t>单位</w:t>
            </w:r>
            <w:r>
              <w:rPr>
                <w:rFonts w:hint="eastAsia"/>
                <w:lang w:val="en-US" w:eastAsia="zh-CN"/>
              </w:rPr>
              <w:t>t</w:t>
            </w:r>
            <w:r>
              <w:t>/d</w:t>
            </w:r>
          </w:p>
          <w:p w14:paraId="330C5402">
            <w:pPr>
              <w:pStyle w:val="25"/>
              <w:bidi w:val="0"/>
            </w:pPr>
            <w:r>
              <w:t>（2）供电</w:t>
            </w:r>
          </w:p>
          <w:p w14:paraId="037253A0">
            <w:pPr>
              <w:bidi w:val="0"/>
              <w:rPr>
                <w:lang w:val="zh-CN"/>
              </w:rPr>
            </w:pPr>
            <w:r>
              <w:t>项目正常电源由市政电网提供，通过自建配电房从市政供电接入，接线使用，能够满足使用要求，并设置1台备用柴油发电机，位于一层柴油发电机房。</w:t>
            </w:r>
          </w:p>
          <w:p w14:paraId="1B9C5738">
            <w:pPr>
              <w:bidi w:val="0"/>
            </w:pPr>
            <w:r>
              <w:t>（3）空调系统</w:t>
            </w:r>
          </w:p>
          <w:p w14:paraId="019E2E42">
            <w:pPr>
              <w:bidi w:val="0"/>
            </w:pPr>
            <w:r>
              <w:t>本项目空调系统全部采用分体多联空调系统，不设置中央空调系统。</w:t>
            </w:r>
          </w:p>
          <w:p w14:paraId="79E72795">
            <w:pPr>
              <w:bidi w:val="0"/>
            </w:pPr>
            <w:r>
              <w:t>（4）氧气供应</w:t>
            </w:r>
          </w:p>
          <w:p w14:paraId="6CC08B62">
            <w:pPr>
              <w:bidi w:val="0"/>
            </w:pPr>
            <w:r>
              <w:t>本项目不自制氧气，所需氧气均为</w:t>
            </w:r>
            <w:r>
              <w:rPr>
                <w:rFonts w:hint="default"/>
                <w:lang w:val="en-US" w:eastAsia="zh-CN"/>
              </w:rPr>
              <w:t>病床单独配置外购氧气瓶</w:t>
            </w:r>
            <w:r>
              <w:t>。</w:t>
            </w:r>
          </w:p>
          <w:p w14:paraId="0FCB5FBA">
            <w:pPr>
              <w:bidi w:val="0"/>
            </w:pPr>
            <w:r>
              <w:t>（5）消防系统</w:t>
            </w:r>
          </w:p>
          <w:p w14:paraId="7D8596BC">
            <w:pPr>
              <w:bidi w:val="0"/>
            </w:pPr>
            <w:r>
              <w:t>室外消防用水与生活用水共用城市自来水，构成环状，并设置室外消火栓，室内消火栓和自动喷水系统的管网分别设置。屋顶设置消防水箱，其出水管分别接至消火栓和自动喷水系统管网环网。室外设消防水泵接合器。室外设消防水池。同时，在楼道、走廊处设置室内消火栓。</w:t>
            </w:r>
          </w:p>
          <w:p w14:paraId="7A81EE7C">
            <w:pPr>
              <w:bidi w:val="0"/>
            </w:pPr>
            <w:r>
              <w:t>（6）消毒方式</w:t>
            </w:r>
          </w:p>
          <w:p w14:paraId="6BC47EE3">
            <w:pPr>
              <w:bidi w:val="0"/>
            </w:pPr>
            <w:r>
              <w:rPr>
                <w:rFonts w:hint="eastAsia"/>
              </w:rPr>
              <w:t>本</w:t>
            </w:r>
            <w:r>
              <w:t>项目门诊及医院病房采用的消毒方式为：紫外线消毒、熏蒸消毒、气溶胶喷雾。</w:t>
            </w:r>
          </w:p>
          <w:p w14:paraId="107A64DE">
            <w:pPr>
              <w:pStyle w:val="22"/>
              <w:bidi w:val="0"/>
            </w:pPr>
            <w:r>
              <w:t>项目医院消毒方式方法</w:t>
            </w:r>
          </w:p>
          <w:tbl>
            <w:tblPr>
              <w:tblStyle w:val="15"/>
              <w:tblW w:w="8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552"/>
              <w:gridCol w:w="3409"/>
              <w:gridCol w:w="3183"/>
            </w:tblGrid>
            <w:tr w14:paraId="7E0F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669" w:type="pct"/>
                  <w:noWrap w:val="0"/>
                  <w:vAlign w:val="center"/>
                </w:tcPr>
                <w:p w14:paraId="02ED0FCE">
                  <w:pPr>
                    <w:pStyle w:val="23"/>
                    <w:bidi w:val="0"/>
                  </w:pPr>
                  <w:r>
                    <w:t>消毒方式</w:t>
                  </w:r>
                </w:p>
              </w:tc>
              <w:tc>
                <w:tcPr>
                  <w:tcW w:w="2400" w:type="pct"/>
                  <w:gridSpan w:val="2"/>
                  <w:noWrap w:val="0"/>
                  <w:vAlign w:val="center"/>
                </w:tcPr>
                <w:p w14:paraId="35FC734D">
                  <w:pPr>
                    <w:pStyle w:val="23"/>
                    <w:bidi w:val="0"/>
                  </w:pPr>
                  <w:r>
                    <w:t>种类</w:t>
                  </w:r>
                </w:p>
              </w:tc>
              <w:tc>
                <w:tcPr>
                  <w:tcW w:w="1929" w:type="pct"/>
                  <w:noWrap w:val="0"/>
                  <w:vAlign w:val="center"/>
                </w:tcPr>
                <w:p w14:paraId="6E61D047">
                  <w:pPr>
                    <w:pStyle w:val="23"/>
                    <w:bidi w:val="0"/>
                  </w:pPr>
                  <w:r>
                    <w:t>操作方法</w:t>
                  </w:r>
                </w:p>
              </w:tc>
            </w:tr>
            <w:tr w14:paraId="5500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6" w:hRule="atLeast"/>
                <w:jc w:val="center"/>
              </w:trPr>
              <w:tc>
                <w:tcPr>
                  <w:tcW w:w="669" w:type="pct"/>
                  <w:vMerge w:val="restart"/>
                  <w:noWrap w:val="0"/>
                  <w:vAlign w:val="center"/>
                </w:tcPr>
                <w:p w14:paraId="186CF360">
                  <w:pPr>
                    <w:pStyle w:val="23"/>
                    <w:bidi w:val="0"/>
                  </w:pPr>
                  <w:r>
                    <w:t>紫外线照射</w:t>
                  </w:r>
                </w:p>
              </w:tc>
              <w:tc>
                <w:tcPr>
                  <w:tcW w:w="334" w:type="pct"/>
                  <w:noWrap w:val="0"/>
                  <w:vAlign w:val="center"/>
                </w:tcPr>
                <w:p w14:paraId="03B62560">
                  <w:pPr>
                    <w:pStyle w:val="23"/>
                    <w:bidi w:val="0"/>
                  </w:pPr>
                  <w:r>
                    <w:t>消毒灯</w:t>
                  </w:r>
                </w:p>
              </w:tc>
              <w:tc>
                <w:tcPr>
                  <w:tcW w:w="2066" w:type="pct"/>
                  <w:noWrap w:val="0"/>
                  <w:vAlign w:val="center"/>
                </w:tcPr>
                <w:p w14:paraId="42D744BB">
                  <w:pPr>
                    <w:pStyle w:val="23"/>
                    <w:bidi w:val="0"/>
                    <w:jc w:val="both"/>
                  </w:pPr>
                  <w:r>
                    <w:t>①普通直管热阴极低压汞紫外线消</w:t>
                  </w:r>
                  <w:r>
                    <w:rPr>
                      <w:rFonts w:hint="eastAsia"/>
                      <w:lang w:eastAsia="zh-CN"/>
                    </w:rPr>
                    <w:t>毒</w:t>
                  </w:r>
                  <w:r>
                    <w:t>灯；</w:t>
                  </w:r>
                </w:p>
                <w:p w14:paraId="4E43D2BE">
                  <w:pPr>
                    <w:pStyle w:val="23"/>
                    <w:bidi w:val="0"/>
                    <w:jc w:val="both"/>
                  </w:pPr>
                  <w:r>
                    <w:t>②高强度紫外线消毒灯</w:t>
                  </w:r>
                </w:p>
                <w:p w14:paraId="11B1D8DD">
                  <w:pPr>
                    <w:pStyle w:val="23"/>
                    <w:bidi w:val="0"/>
                    <w:jc w:val="both"/>
                  </w:pPr>
                  <w:r>
                    <w:t>③低臭氧紫外线消毒灯</w:t>
                  </w:r>
                </w:p>
                <w:p w14:paraId="746EF817">
                  <w:pPr>
                    <w:pStyle w:val="23"/>
                    <w:bidi w:val="0"/>
                    <w:jc w:val="both"/>
                  </w:pPr>
                  <w:r>
                    <w:t>④高臭氧紫外线消毒灯</w:t>
                  </w:r>
                </w:p>
              </w:tc>
              <w:tc>
                <w:tcPr>
                  <w:tcW w:w="1929" w:type="pct"/>
                  <w:vMerge w:val="restart"/>
                  <w:noWrap w:val="0"/>
                  <w:vAlign w:val="center"/>
                </w:tcPr>
                <w:p w14:paraId="22BC77AC">
                  <w:pPr>
                    <w:pStyle w:val="23"/>
                    <w:bidi w:val="0"/>
                  </w:pPr>
                  <w:r>
                    <w:t>温度20~40℃，湿度50%照射时间≥30min</w:t>
                  </w:r>
                </w:p>
              </w:tc>
            </w:tr>
            <w:tr w14:paraId="28D7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6" w:hRule="atLeast"/>
                <w:jc w:val="center"/>
              </w:trPr>
              <w:tc>
                <w:tcPr>
                  <w:tcW w:w="669" w:type="pct"/>
                  <w:vMerge w:val="continue"/>
                  <w:noWrap w:val="0"/>
                  <w:vAlign w:val="center"/>
                </w:tcPr>
                <w:p w14:paraId="2C9F436F">
                  <w:pPr>
                    <w:pStyle w:val="23"/>
                    <w:bidi w:val="0"/>
                  </w:pPr>
                </w:p>
              </w:tc>
              <w:tc>
                <w:tcPr>
                  <w:tcW w:w="334" w:type="pct"/>
                  <w:noWrap w:val="0"/>
                  <w:vAlign w:val="center"/>
                </w:tcPr>
                <w:p w14:paraId="70AAD206">
                  <w:pPr>
                    <w:pStyle w:val="23"/>
                    <w:bidi w:val="0"/>
                  </w:pPr>
                  <w:r>
                    <w:t>消毒器</w:t>
                  </w:r>
                </w:p>
              </w:tc>
              <w:tc>
                <w:tcPr>
                  <w:tcW w:w="2066" w:type="pct"/>
                  <w:noWrap w:val="0"/>
                  <w:vAlign w:val="center"/>
                </w:tcPr>
                <w:p w14:paraId="7CBF1DBB">
                  <w:pPr>
                    <w:pStyle w:val="23"/>
                    <w:bidi w:val="0"/>
                    <w:jc w:val="both"/>
                  </w:pPr>
                  <w:r>
                    <w:t>①低臭氧紫外线消毒器</w:t>
                  </w:r>
                </w:p>
                <w:p w14:paraId="1DA62DAD">
                  <w:pPr>
                    <w:pStyle w:val="23"/>
                    <w:bidi w:val="0"/>
                    <w:jc w:val="both"/>
                  </w:pPr>
                  <w:r>
                    <w:t>②低臭氧高强度紫外线消毒器“循环风紫外线空气消毒器”</w:t>
                  </w:r>
                </w:p>
                <w:p w14:paraId="267AB1FF">
                  <w:pPr>
                    <w:pStyle w:val="23"/>
                    <w:bidi w:val="0"/>
                    <w:jc w:val="both"/>
                  </w:pPr>
                  <w:r>
                    <w:t>③高臭氧高强度紫外线消毒箱</w:t>
                  </w:r>
                </w:p>
              </w:tc>
              <w:tc>
                <w:tcPr>
                  <w:tcW w:w="1929" w:type="pct"/>
                  <w:vMerge w:val="continue"/>
                  <w:noWrap w:val="0"/>
                  <w:vAlign w:val="center"/>
                </w:tcPr>
                <w:p w14:paraId="5A4944B9">
                  <w:pPr>
                    <w:pStyle w:val="23"/>
                    <w:bidi w:val="0"/>
                  </w:pPr>
                </w:p>
              </w:tc>
            </w:tr>
            <w:tr w14:paraId="41EC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9" w:type="pct"/>
                  <w:vMerge w:val="restart"/>
                  <w:noWrap w:val="0"/>
                  <w:vAlign w:val="center"/>
                </w:tcPr>
                <w:p w14:paraId="57F9376E">
                  <w:pPr>
                    <w:pStyle w:val="23"/>
                    <w:bidi w:val="0"/>
                  </w:pPr>
                  <w:r>
                    <w:t>气溶胶喷雾</w:t>
                  </w:r>
                </w:p>
              </w:tc>
              <w:tc>
                <w:tcPr>
                  <w:tcW w:w="2400" w:type="pct"/>
                  <w:gridSpan w:val="2"/>
                  <w:noWrap w:val="0"/>
                  <w:vAlign w:val="center"/>
                </w:tcPr>
                <w:p w14:paraId="2DB40F24">
                  <w:pPr>
                    <w:pStyle w:val="23"/>
                    <w:bidi w:val="0"/>
                  </w:pPr>
                  <w:r>
                    <w:t>①2%过氧乙酸</w:t>
                  </w:r>
                </w:p>
              </w:tc>
              <w:tc>
                <w:tcPr>
                  <w:tcW w:w="1929" w:type="pct"/>
                  <w:noWrap w:val="0"/>
                  <w:vAlign w:val="center"/>
                </w:tcPr>
                <w:p w14:paraId="28101992">
                  <w:pPr>
                    <w:pStyle w:val="23"/>
                    <w:bidi w:val="0"/>
                  </w:pPr>
                  <w:r>
                    <w:t>8ml/m</w:t>
                  </w:r>
                  <w:r>
                    <w:rPr>
                      <w:vertAlign w:val="superscript"/>
                    </w:rPr>
                    <w:t>3</w:t>
                  </w:r>
                  <w:r>
                    <w:t>，作用30min</w:t>
                  </w:r>
                </w:p>
              </w:tc>
            </w:tr>
            <w:tr w14:paraId="2931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669" w:type="pct"/>
                  <w:vMerge w:val="continue"/>
                  <w:noWrap w:val="0"/>
                  <w:vAlign w:val="center"/>
                </w:tcPr>
                <w:p w14:paraId="627ED186">
                  <w:pPr>
                    <w:pStyle w:val="23"/>
                    <w:bidi w:val="0"/>
                  </w:pPr>
                </w:p>
              </w:tc>
              <w:tc>
                <w:tcPr>
                  <w:tcW w:w="2400" w:type="pct"/>
                  <w:gridSpan w:val="2"/>
                  <w:noWrap w:val="0"/>
                  <w:vAlign w:val="center"/>
                </w:tcPr>
                <w:p w14:paraId="3536BB06">
                  <w:pPr>
                    <w:pStyle w:val="23"/>
                    <w:bidi w:val="0"/>
                  </w:pPr>
                  <w:r>
                    <w:t>②酸性氧化还原电位水</w:t>
                  </w:r>
                </w:p>
              </w:tc>
              <w:tc>
                <w:tcPr>
                  <w:tcW w:w="1929" w:type="pct"/>
                  <w:noWrap w:val="0"/>
                  <w:vAlign w:val="center"/>
                </w:tcPr>
                <w:p w14:paraId="61309B1C">
                  <w:pPr>
                    <w:pStyle w:val="23"/>
                    <w:bidi w:val="0"/>
                  </w:pPr>
                  <w:r>
                    <w:t>氧化还原电位＋1100mV，pH2.3~2.7，30ml/m</w:t>
                  </w:r>
                  <w:r>
                    <w:rPr>
                      <w:vertAlign w:val="superscript"/>
                    </w:rPr>
                    <w:t>3</w:t>
                  </w:r>
                  <w:r>
                    <w:t>，作用30min</w:t>
                  </w:r>
                </w:p>
              </w:tc>
            </w:tr>
            <w:tr w14:paraId="02DF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669" w:type="pct"/>
                  <w:vMerge w:val="continue"/>
                  <w:noWrap w:val="0"/>
                  <w:vAlign w:val="center"/>
                </w:tcPr>
                <w:p w14:paraId="41B59EB6">
                  <w:pPr>
                    <w:pStyle w:val="23"/>
                    <w:bidi w:val="0"/>
                  </w:pPr>
                </w:p>
              </w:tc>
              <w:tc>
                <w:tcPr>
                  <w:tcW w:w="2400" w:type="pct"/>
                  <w:gridSpan w:val="2"/>
                  <w:noWrap w:val="0"/>
                  <w:vAlign w:val="center"/>
                </w:tcPr>
                <w:p w14:paraId="071A1661">
                  <w:pPr>
                    <w:pStyle w:val="23"/>
                    <w:bidi w:val="0"/>
                  </w:pPr>
                  <w:r>
                    <w:t>③过氧化氢复方空气消毒剂</w:t>
                  </w:r>
                </w:p>
              </w:tc>
              <w:tc>
                <w:tcPr>
                  <w:tcW w:w="1929" w:type="pct"/>
                  <w:noWrap w:val="0"/>
                  <w:vAlign w:val="center"/>
                </w:tcPr>
                <w:p w14:paraId="4AEB19C5">
                  <w:pPr>
                    <w:pStyle w:val="23"/>
                    <w:bidi w:val="0"/>
                  </w:pPr>
                  <w:r>
                    <w:t>室温下，湿度60~80%，含过氧化氢50mg/m</w:t>
                  </w:r>
                  <w:r>
                    <w:rPr>
                      <w:vertAlign w:val="superscript"/>
                    </w:rPr>
                    <w:t>3</w:t>
                  </w:r>
                  <w:r>
                    <w:t>，作用30min</w:t>
                  </w:r>
                </w:p>
              </w:tc>
            </w:tr>
            <w:tr w14:paraId="4001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9" w:type="pct"/>
                  <w:vMerge w:val="continue"/>
                  <w:noWrap w:val="0"/>
                  <w:vAlign w:val="center"/>
                </w:tcPr>
                <w:p w14:paraId="180CFE37">
                  <w:pPr>
                    <w:pStyle w:val="23"/>
                    <w:bidi w:val="0"/>
                  </w:pPr>
                </w:p>
              </w:tc>
              <w:tc>
                <w:tcPr>
                  <w:tcW w:w="2400" w:type="pct"/>
                  <w:gridSpan w:val="2"/>
                  <w:noWrap w:val="0"/>
                  <w:vAlign w:val="center"/>
                </w:tcPr>
                <w:p w14:paraId="24317A0C">
                  <w:pPr>
                    <w:pStyle w:val="23"/>
                    <w:bidi w:val="0"/>
                  </w:pPr>
                  <w:r>
                    <w:t>④季胺盐类消毒液</w:t>
                  </w:r>
                </w:p>
              </w:tc>
              <w:tc>
                <w:tcPr>
                  <w:tcW w:w="1929" w:type="pct"/>
                  <w:noWrap w:val="0"/>
                  <w:vAlign w:val="center"/>
                </w:tcPr>
                <w:p w14:paraId="5494177D">
                  <w:pPr>
                    <w:pStyle w:val="23"/>
                    <w:bidi w:val="0"/>
                  </w:pPr>
                  <w:r>
                    <w:t>1.2ml/m</w:t>
                  </w:r>
                  <w:r>
                    <w:rPr>
                      <w:vertAlign w:val="superscript"/>
                    </w:rPr>
                    <w:t>3</w:t>
                  </w:r>
                  <w:r>
                    <w:t>，作用30min</w:t>
                  </w:r>
                </w:p>
              </w:tc>
            </w:tr>
            <w:tr w14:paraId="3D10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669" w:type="pct"/>
                  <w:noWrap w:val="0"/>
                  <w:vAlign w:val="center"/>
                </w:tcPr>
                <w:p w14:paraId="4C51E2D2">
                  <w:pPr>
                    <w:pStyle w:val="23"/>
                    <w:bidi w:val="0"/>
                  </w:pPr>
                  <w:r>
                    <w:t>擦拭消毒</w:t>
                  </w:r>
                </w:p>
              </w:tc>
              <w:tc>
                <w:tcPr>
                  <w:tcW w:w="2400" w:type="pct"/>
                  <w:gridSpan w:val="2"/>
                  <w:noWrap w:val="0"/>
                  <w:vAlign w:val="center"/>
                </w:tcPr>
                <w:p w14:paraId="75CE03C8">
                  <w:pPr>
                    <w:pStyle w:val="23"/>
                    <w:bidi w:val="0"/>
                  </w:pPr>
                  <w:r>
                    <w:t>75%乙醇溶液</w:t>
                  </w:r>
                </w:p>
              </w:tc>
              <w:tc>
                <w:tcPr>
                  <w:tcW w:w="1929" w:type="pct"/>
                  <w:noWrap w:val="0"/>
                  <w:vAlign w:val="center"/>
                </w:tcPr>
                <w:p w14:paraId="0D73CB25">
                  <w:pPr>
                    <w:pStyle w:val="23"/>
                    <w:bidi w:val="0"/>
                  </w:pPr>
                  <w:r>
                    <w:t>75%乙醇溶液</w:t>
                  </w:r>
                </w:p>
              </w:tc>
            </w:tr>
          </w:tbl>
          <w:p w14:paraId="6697C53C">
            <w:pPr>
              <w:pStyle w:val="4"/>
              <w:bidi w:val="0"/>
            </w:pPr>
            <w:r>
              <w:t>项目主要原辅材料、能耗水耗</w:t>
            </w:r>
          </w:p>
          <w:p w14:paraId="0B588A1E">
            <w:pPr>
              <w:bidi w:val="0"/>
            </w:pPr>
            <w:r>
              <w:t>本项目主要原辅材料为药品及一次性</w:t>
            </w:r>
            <w:r>
              <w:rPr>
                <w:rFonts w:hint="eastAsia"/>
                <w:lang w:val="en-US" w:eastAsia="zh-CN"/>
              </w:rPr>
              <w:t>医疗用品</w:t>
            </w:r>
            <w:r>
              <w:t>，</w:t>
            </w:r>
            <w:r>
              <w:rPr>
                <w:rFonts w:hint="eastAsia"/>
              </w:rPr>
              <w:t>本</w:t>
            </w:r>
            <w:r>
              <w:t>项目所涉及的主要原辅材料及能耗、水耗情况见</w:t>
            </w:r>
            <w:r>
              <w:rPr>
                <w:rFonts w:hint="eastAsia"/>
              </w:rPr>
              <w:t>下表</w:t>
            </w:r>
            <w:r>
              <w:t>。</w:t>
            </w:r>
          </w:p>
          <w:p w14:paraId="70651B27">
            <w:pPr>
              <w:pStyle w:val="22"/>
              <w:bidi w:val="0"/>
            </w:pPr>
            <w:r>
              <w:rPr>
                <w:rFonts w:hint="eastAsia"/>
              </w:rPr>
              <w:t>本项目建成后原辅料及能源消耗表</w:t>
            </w:r>
          </w:p>
          <w:tbl>
            <w:tblPr>
              <w:tblStyle w:val="1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3269"/>
              <w:gridCol w:w="1877"/>
              <w:gridCol w:w="1853"/>
            </w:tblGrid>
            <w:tr w14:paraId="79E252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3" w:type="pct"/>
                  <w:noWrap w:val="0"/>
                  <w:vAlign w:val="center"/>
                </w:tcPr>
                <w:p w14:paraId="773772D1">
                  <w:pPr>
                    <w:pStyle w:val="23"/>
                    <w:bidi w:val="0"/>
                  </w:pPr>
                  <w:r>
                    <w:t>种类</w:t>
                  </w:r>
                </w:p>
              </w:tc>
              <w:tc>
                <w:tcPr>
                  <w:tcW w:w="1946" w:type="pct"/>
                  <w:noWrap w:val="0"/>
                  <w:vAlign w:val="center"/>
                </w:tcPr>
                <w:p w14:paraId="0BEF12BB">
                  <w:pPr>
                    <w:pStyle w:val="23"/>
                    <w:bidi w:val="0"/>
                  </w:pPr>
                  <w:r>
                    <w:t>名称</w:t>
                  </w:r>
                </w:p>
              </w:tc>
              <w:tc>
                <w:tcPr>
                  <w:tcW w:w="1117" w:type="pct"/>
                  <w:noWrap w:val="0"/>
                  <w:vAlign w:val="center"/>
                </w:tcPr>
                <w:p w14:paraId="1AEF0EB3">
                  <w:pPr>
                    <w:pStyle w:val="23"/>
                    <w:bidi w:val="0"/>
                  </w:pPr>
                  <w:r>
                    <w:t>规格</w:t>
                  </w:r>
                </w:p>
              </w:tc>
              <w:tc>
                <w:tcPr>
                  <w:tcW w:w="1102" w:type="pct"/>
                  <w:noWrap w:val="0"/>
                  <w:vAlign w:val="center"/>
                </w:tcPr>
                <w:p w14:paraId="313D2056">
                  <w:pPr>
                    <w:pStyle w:val="23"/>
                    <w:bidi w:val="0"/>
                  </w:pPr>
                  <w:r>
                    <w:t>耗量</w:t>
                  </w:r>
                </w:p>
              </w:tc>
            </w:tr>
            <w:tr w14:paraId="1678E3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restart"/>
                  <w:noWrap w:val="0"/>
                  <w:vAlign w:val="center"/>
                </w:tcPr>
                <w:p w14:paraId="01D8508B">
                  <w:pPr>
                    <w:pStyle w:val="23"/>
                    <w:bidi w:val="0"/>
                  </w:pPr>
                  <w:r>
                    <w:t>医疗器械</w:t>
                  </w:r>
                </w:p>
              </w:tc>
              <w:tc>
                <w:tcPr>
                  <w:tcW w:w="1946" w:type="pct"/>
                  <w:vMerge w:val="restart"/>
                  <w:noWrap w:val="0"/>
                  <w:vAlign w:val="center"/>
                </w:tcPr>
                <w:p w14:paraId="6AF7B505">
                  <w:pPr>
                    <w:pStyle w:val="23"/>
                    <w:bidi w:val="0"/>
                  </w:pPr>
                  <w:r>
                    <w:t>医用药品（包括葡萄糖注射液、注射用青霉素钠、头孢克肟片、左氧氟沙星注射液）</w:t>
                  </w:r>
                </w:p>
              </w:tc>
              <w:tc>
                <w:tcPr>
                  <w:tcW w:w="1117" w:type="pct"/>
                  <w:noWrap w:val="0"/>
                  <w:vAlign w:val="center"/>
                </w:tcPr>
                <w:p w14:paraId="61ADC393">
                  <w:pPr>
                    <w:pStyle w:val="23"/>
                    <w:bidi w:val="0"/>
                  </w:pPr>
                  <w:r>
                    <w:t>/</w:t>
                  </w:r>
                </w:p>
              </w:tc>
              <w:tc>
                <w:tcPr>
                  <w:tcW w:w="1102" w:type="pct"/>
                  <w:vMerge w:val="restart"/>
                  <w:noWrap w:val="0"/>
                  <w:vAlign w:val="center"/>
                </w:tcPr>
                <w:p w14:paraId="06E27B5A">
                  <w:pPr>
                    <w:pStyle w:val="23"/>
                    <w:bidi w:val="0"/>
                    <w:rPr>
                      <w:rFonts w:hint="default"/>
                      <w:lang w:val="en-US" w:eastAsia="zh-CN"/>
                    </w:rPr>
                  </w:pPr>
                  <w:r>
                    <w:rPr>
                      <w:rFonts w:hint="eastAsia"/>
                      <w:lang w:val="en-US" w:eastAsia="zh-CN"/>
                    </w:rPr>
                    <w:t>3000瓶</w:t>
                  </w:r>
                </w:p>
              </w:tc>
            </w:tr>
            <w:tr w14:paraId="1402BE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7A259357">
                  <w:pPr>
                    <w:pStyle w:val="23"/>
                    <w:bidi w:val="0"/>
                  </w:pPr>
                </w:p>
              </w:tc>
              <w:tc>
                <w:tcPr>
                  <w:tcW w:w="1946" w:type="pct"/>
                  <w:vMerge w:val="continue"/>
                  <w:noWrap w:val="0"/>
                  <w:vAlign w:val="center"/>
                </w:tcPr>
                <w:p w14:paraId="24AF9E1F">
                  <w:pPr>
                    <w:pStyle w:val="23"/>
                    <w:bidi w:val="0"/>
                  </w:pPr>
                </w:p>
              </w:tc>
              <w:tc>
                <w:tcPr>
                  <w:tcW w:w="1117" w:type="pct"/>
                  <w:noWrap w:val="0"/>
                  <w:vAlign w:val="center"/>
                </w:tcPr>
                <w:p w14:paraId="1B7EBA84">
                  <w:pPr>
                    <w:pStyle w:val="23"/>
                    <w:bidi w:val="0"/>
                  </w:pPr>
                  <w:r>
                    <w:t>/</w:t>
                  </w:r>
                </w:p>
              </w:tc>
              <w:tc>
                <w:tcPr>
                  <w:tcW w:w="1102" w:type="pct"/>
                  <w:vMerge w:val="continue"/>
                  <w:noWrap w:val="0"/>
                  <w:vAlign w:val="center"/>
                </w:tcPr>
                <w:p w14:paraId="05AEA3B2">
                  <w:pPr>
                    <w:pStyle w:val="23"/>
                    <w:bidi w:val="0"/>
                  </w:pPr>
                </w:p>
              </w:tc>
            </w:tr>
            <w:tr w14:paraId="30FB57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418E4F33">
                  <w:pPr>
                    <w:pStyle w:val="23"/>
                    <w:bidi w:val="0"/>
                  </w:pPr>
                </w:p>
              </w:tc>
              <w:tc>
                <w:tcPr>
                  <w:tcW w:w="1946" w:type="pct"/>
                  <w:vMerge w:val="continue"/>
                  <w:noWrap w:val="0"/>
                  <w:vAlign w:val="center"/>
                </w:tcPr>
                <w:p w14:paraId="3BFD3BC8">
                  <w:pPr>
                    <w:pStyle w:val="23"/>
                    <w:bidi w:val="0"/>
                  </w:pPr>
                </w:p>
              </w:tc>
              <w:tc>
                <w:tcPr>
                  <w:tcW w:w="1117" w:type="pct"/>
                  <w:noWrap w:val="0"/>
                  <w:vAlign w:val="center"/>
                </w:tcPr>
                <w:p w14:paraId="29E0637E">
                  <w:pPr>
                    <w:pStyle w:val="23"/>
                    <w:bidi w:val="0"/>
                  </w:pPr>
                  <w:r>
                    <w:t>/</w:t>
                  </w:r>
                </w:p>
              </w:tc>
              <w:tc>
                <w:tcPr>
                  <w:tcW w:w="1102" w:type="pct"/>
                  <w:vMerge w:val="continue"/>
                  <w:noWrap w:val="0"/>
                  <w:vAlign w:val="center"/>
                </w:tcPr>
                <w:p w14:paraId="416E7CE0">
                  <w:pPr>
                    <w:pStyle w:val="23"/>
                    <w:bidi w:val="0"/>
                  </w:pPr>
                </w:p>
              </w:tc>
            </w:tr>
            <w:tr w14:paraId="7A7785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46CC4A41">
                  <w:pPr>
                    <w:pStyle w:val="23"/>
                    <w:bidi w:val="0"/>
                  </w:pPr>
                </w:p>
              </w:tc>
              <w:tc>
                <w:tcPr>
                  <w:tcW w:w="1946" w:type="pct"/>
                  <w:vMerge w:val="continue"/>
                  <w:noWrap w:val="0"/>
                  <w:vAlign w:val="center"/>
                </w:tcPr>
                <w:p w14:paraId="233A4562">
                  <w:pPr>
                    <w:pStyle w:val="23"/>
                    <w:bidi w:val="0"/>
                  </w:pPr>
                </w:p>
              </w:tc>
              <w:tc>
                <w:tcPr>
                  <w:tcW w:w="1117" w:type="pct"/>
                  <w:noWrap w:val="0"/>
                  <w:vAlign w:val="center"/>
                </w:tcPr>
                <w:p w14:paraId="0C298750">
                  <w:pPr>
                    <w:pStyle w:val="23"/>
                    <w:bidi w:val="0"/>
                  </w:pPr>
                  <w:r>
                    <w:t>/</w:t>
                  </w:r>
                </w:p>
              </w:tc>
              <w:tc>
                <w:tcPr>
                  <w:tcW w:w="1102" w:type="pct"/>
                  <w:vMerge w:val="continue"/>
                  <w:noWrap w:val="0"/>
                  <w:vAlign w:val="center"/>
                </w:tcPr>
                <w:p w14:paraId="13D3ABB2">
                  <w:pPr>
                    <w:pStyle w:val="23"/>
                    <w:bidi w:val="0"/>
                  </w:pPr>
                </w:p>
              </w:tc>
            </w:tr>
            <w:tr w14:paraId="0B90D8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43906E60">
                  <w:pPr>
                    <w:pStyle w:val="23"/>
                    <w:bidi w:val="0"/>
                  </w:pPr>
                </w:p>
              </w:tc>
              <w:tc>
                <w:tcPr>
                  <w:tcW w:w="1946" w:type="pct"/>
                  <w:vMerge w:val="continue"/>
                  <w:noWrap w:val="0"/>
                  <w:vAlign w:val="center"/>
                </w:tcPr>
                <w:p w14:paraId="3F20E908">
                  <w:pPr>
                    <w:pStyle w:val="23"/>
                    <w:bidi w:val="0"/>
                  </w:pPr>
                </w:p>
              </w:tc>
              <w:tc>
                <w:tcPr>
                  <w:tcW w:w="1117" w:type="pct"/>
                  <w:noWrap w:val="0"/>
                  <w:vAlign w:val="center"/>
                </w:tcPr>
                <w:p w14:paraId="6929939E">
                  <w:pPr>
                    <w:pStyle w:val="23"/>
                    <w:bidi w:val="0"/>
                  </w:pPr>
                  <w:r>
                    <w:t>/</w:t>
                  </w:r>
                </w:p>
              </w:tc>
              <w:tc>
                <w:tcPr>
                  <w:tcW w:w="1102" w:type="pct"/>
                  <w:vMerge w:val="continue"/>
                  <w:noWrap w:val="0"/>
                  <w:vAlign w:val="center"/>
                </w:tcPr>
                <w:p w14:paraId="6DF87D2B">
                  <w:pPr>
                    <w:pStyle w:val="23"/>
                    <w:bidi w:val="0"/>
                  </w:pPr>
                </w:p>
              </w:tc>
            </w:tr>
            <w:tr w14:paraId="02083D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020CEFF1">
                  <w:pPr>
                    <w:pStyle w:val="23"/>
                    <w:bidi w:val="0"/>
                  </w:pPr>
                </w:p>
              </w:tc>
              <w:tc>
                <w:tcPr>
                  <w:tcW w:w="1946" w:type="pct"/>
                  <w:vMerge w:val="continue"/>
                  <w:noWrap w:val="0"/>
                  <w:vAlign w:val="center"/>
                </w:tcPr>
                <w:p w14:paraId="3E9AB432">
                  <w:pPr>
                    <w:pStyle w:val="23"/>
                    <w:bidi w:val="0"/>
                  </w:pPr>
                </w:p>
              </w:tc>
              <w:tc>
                <w:tcPr>
                  <w:tcW w:w="1117" w:type="pct"/>
                  <w:noWrap w:val="0"/>
                  <w:vAlign w:val="center"/>
                </w:tcPr>
                <w:p w14:paraId="1C5F2E41">
                  <w:pPr>
                    <w:pStyle w:val="23"/>
                    <w:bidi w:val="0"/>
                  </w:pPr>
                  <w:r>
                    <w:t>/</w:t>
                  </w:r>
                </w:p>
              </w:tc>
              <w:tc>
                <w:tcPr>
                  <w:tcW w:w="1102" w:type="pct"/>
                  <w:vMerge w:val="continue"/>
                  <w:noWrap w:val="0"/>
                  <w:vAlign w:val="center"/>
                </w:tcPr>
                <w:p w14:paraId="544B142A">
                  <w:pPr>
                    <w:pStyle w:val="23"/>
                    <w:bidi w:val="0"/>
                  </w:pPr>
                </w:p>
              </w:tc>
            </w:tr>
            <w:tr w14:paraId="7275EE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1506871D">
                  <w:pPr>
                    <w:pStyle w:val="23"/>
                    <w:bidi w:val="0"/>
                  </w:pPr>
                </w:p>
              </w:tc>
              <w:tc>
                <w:tcPr>
                  <w:tcW w:w="1946" w:type="pct"/>
                  <w:noWrap w:val="0"/>
                  <w:vAlign w:val="center"/>
                </w:tcPr>
                <w:p w14:paraId="0BA6F703">
                  <w:pPr>
                    <w:pStyle w:val="23"/>
                    <w:bidi w:val="0"/>
                  </w:pPr>
                  <w:r>
                    <w:t>一次性注射器</w:t>
                  </w:r>
                </w:p>
              </w:tc>
              <w:tc>
                <w:tcPr>
                  <w:tcW w:w="1117" w:type="pct"/>
                  <w:noWrap w:val="0"/>
                  <w:vAlign w:val="center"/>
                </w:tcPr>
                <w:p w14:paraId="2BD01DC8">
                  <w:pPr>
                    <w:pStyle w:val="23"/>
                    <w:bidi w:val="0"/>
                  </w:pPr>
                  <w:r>
                    <w:t>/</w:t>
                  </w:r>
                </w:p>
              </w:tc>
              <w:tc>
                <w:tcPr>
                  <w:tcW w:w="1102" w:type="pct"/>
                  <w:noWrap w:val="0"/>
                  <w:vAlign w:val="center"/>
                </w:tcPr>
                <w:p w14:paraId="69DCC3A4">
                  <w:pPr>
                    <w:pStyle w:val="23"/>
                    <w:bidi w:val="0"/>
                  </w:pPr>
                  <w:r>
                    <w:rPr>
                      <w:rFonts w:hint="eastAsia"/>
                    </w:rPr>
                    <w:t>10000</w:t>
                  </w:r>
                  <w:r>
                    <w:t>支</w:t>
                  </w:r>
                </w:p>
              </w:tc>
            </w:tr>
            <w:tr w14:paraId="708772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5B786B0D">
                  <w:pPr>
                    <w:pStyle w:val="23"/>
                    <w:bidi w:val="0"/>
                  </w:pPr>
                </w:p>
              </w:tc>
              <w:tc>
                <w:tcPr>
                  <w:tcW w:w="1946" w:type="pct"/>
                  <w:noWrap w:val="0"/>
                  <w:vAlign w:val="center"/>
                </w:tcPr>
                <w:p w14:paraId="5A736D4C">
                  <w:pPr>
                    <w:pStyle w:val="23"/>
                    <w:bidi w:val="0"/>
                  </w:pPr>
                  <w:r>
                    <w:t>一次性输液器</w:t>
                  </w:r>
                </w:p>
              </w:tc>
              <w:tc>
                <w:tcPr>
                  <w:tcW w:w="1117" w:type="pct"/>
                  <w:noWrap w:val="0"/>
                  <w:vAlign w:val="center"/>
                </w:tcPr>
                <w:p w14:paraId="5F3BFC95">
                  <w:pPr>
                    <w:pStyle w:val="23"/>
                    <w:bidi w:val="0"/>
                  </w:pPr>
                  <w:r>
                    <w:t>/</w:t>
                  </w:r>
                </w:p>
              </w:tc>
              <w:tc>
                <w:tcPr>
                  <w:tcW w:w="1102" w:type="pct"/>
                  <w:noWrap w:val="0"/>
                  <w:vAlign w:val="center"/>
                </w:tcPr>
                <w:p w14:paraId="5B301210">
                  <w:pPr>
                    <w:pStyle w:val="23"/>
                    <w:bidi w:val="0"/>
                  </w:pPr>
                  <w:r>
                    <w:rPr>
                      <w:rFonts w:hint="eastAsia"/>
                    </w:rPr>
                    <w:t>500</w:t>
                  </w:r>
                  <w:r>
                    <w:t>套</w:t>
                  </w:r>
                </w:p>
              </w:tc>
            </w:tr>
            <w:tr w14:paraId="6621AF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2B4822EB">
                  <w:pPr>
                    <w:pStyle w:val="23"/>
                    <w:bidi w:val="0"/>
                  </w:pPr>
                </w:p>
              </w:tc>
              <w:tc>
                <w:tcPr>
                  <w:tcW w:w="1946" w:type="pct"/>
                  <w:noWrap w:val="0"/>
                  <w:vAlign w:val="center"/>
                </w:tcPr>
                <w:p w14:paraId="6D1C42F1">
                  <w:pPr>
                    <w:pStyle w:val="23"/>
                    <w:bidi w:val="0"/>
                  </w:pPr>
                  <w:r>
                    <w:t>口罩</w:t>
                  </w:r>
                </w:p>
              </w:tc>
              <w:tc>
                <w:tcPr>
                  <w:tcW w:w="1117" w:type="pct"/>
                  <w:noWrap w:val="0"/>
                  <w:vAlign w:val="center"/>
                </w:tcPr>
                <w:p w14:paraId="51C2F49D">
                  <w:pPr>
                    <w:pStyle w:val="23"/>
                    <w:bidi w:val="0"/>
                  </w:pPr>
                  <w:r>
                    <w:t>/</w:t>
                  </w:r>
                </w:p>
              </w:tc>
              <w:tc>
                <w:tcPr>
                  <w:tcW w:w="1102" w:type="pct"/>
                  <w:noWrap w:val="0"/>
                  <w:vAlign w:val="center"/>
                </w:tcPr>
                <w:p w14:paraId="54A807C9">
                  <w:pPr>
                    <w:pStyle w:val="23"/>
                    <w:bidi w:val="0"/>
                  </w:pPr>
                  <w:r>
                    <w:rPr>
                      <w:rFonts w:hint="eastAsia"/>
                    </w:rPr>
                    <w:t>5000</w:t>
                  </w:r>
                  <w:r>
                    <w:t>个</w:t>
                  </w:r>
                </w:p>
              </w:tc>
            </w:tr>
            <w:tr w14:paraId="780806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147536F3">
                  <w:pPr>
                    <w:pStyle w:val="23"/>
                    <w:bidi w:val="0"/>
                  </w:pPr>
                </w:p>
              </w:tc>
              <w:tc>
                <w:tcPr>
                  <w:tcW w:w="1946" w:type="pct"/>
                  <w:noWrap/>
                  <w:vAlign w:val="center"/>
                </w:tcPr>
                <w:p w14:paraId="1AA9FADA">
                  <w:pPr>
                    <w:pStyle w:val="23"/>
                    <w:bidi w:val="0"/>
                  </w:pPr>
                  <w:r>
                    <w:t>KJ516一次性使用标本杯</w:t>
                  </w:r>
                </w:p>
              </w:tc>
              <w:tc>
                <w:tcPr>
                  <w:tcW w:w="1117" w:type="pct"/>
                  <w:noWrap/>
                  <w:vAlign w:val="center"/>
                </w:tcPr>
                <w:p w14:paraId="6309F9EB">
                  <w:pPr>
                    <w:pStyle w:val="23"/>
                    <w:bidi w:val="0"/>
                  </w:pPr>
                  <w:r>
                    <w:t>大号（尿杯）</w:t>
                  </w:r>
                </w:p>
              </w:tc>
              <w:tc>
                <w:tcPr>
                  <w:tcW w:w="1102" w:type="pct"/>
                  <w:noWrap/>
                  <w:vAlign w:val="center"/>
                </w:tcPr>
                <w:p w14:paraId="43962383">
                  <w:pPr>
                    <w:pStyle w:val="23"/>
                    <w:bidi w:val="0"/>
                  </w:pPr>
                  <w:r>
                    <w:rPr>
                      <w:rFonts w:hint="eastAsia"/>
                    </w:rPr>
                    <w:t>1000</w:t>
                  </w:r>
                  <w:r>
                    <w:t>支</w:t>
                  </w:r>
                </w:p>
              </w:tc>
            </w:tr>
            <w:tr w14:paraId="1E30D1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5A732C66">
                  <w:pPr>
                    <w:pStyle w:val="23"/>
                    <w:bidi w:val="0"/>
                  </w:pPr>
                </w:p>
              </w:tc>
              <w:tc>
                <w:tcPr>
                  <w:tcW w:w="1946" w:type="pct"/>
                  <w:noWrap/>
                  <w:vAlign w:val="center"/>
                </w:tcPr>
                <w:p w14:paraId="5205CABE">
                  <w:pPr>
                    <w:pStyle w:val="23"/>
                    <w:bidi w:val="0"/>
                  </w:pPr>
                  <w:r>
                    <w:t>一次性使用静脉采血针</w:t>
                  </w:r>
                </w:p>
              </w:tc>
              <w:tc>
                <w:tcPr>
                  <w:tcW w:w="1117" w:type="pct"/>
                  <w:noWrap/>
                  <w:vAlign w:val="center"/>
                </w:tcPr>
                <w:p w14:paraId="475E1CB9">
                  <w:pPr>
                    <w:pStyle w:val="23"/>
                    <w:bidi w:val="0"/>
                  </w:pPr>
                  <w:r>
                    <w:t>0.7*25TWLB</w:t>
                  </w:r>
                </w:p>
              </w:tc>
              <w:tc>
                <w:tcPr>
                  <w:tcW w:w="1102" w:type="pct"/>
                  <w:noWrap/>
                  <w:vAlign w:val="center"/>
                </w:tcPr>
                <w:p w14:paraId="6DF26BDD">
                  <w:pPr>
                    <w:pStyle w:val="23"/>
                    <w:bidi w:val="0"/>
                  </w:pPr>
                  <w:r>
                    <w:rPr>
                      <w:rFonts w:hint="eastAsia"/>
                    </w:rPr>
                    <w:t>3000</w:t>
                  </w:r>
                  <w:r>
                    <w:t>支</w:t>
                  </w:r>
                </w:p>
              </w:tc>
            </w:tr>
            <w:tr w14:paraId="7110E5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4EC47A49">
                  <w:pPr>
                    <w:pStyle w:val="23"/>
                    <w:bidi w:val="0"/>
                  </w:pPr>
                </w:p>
              </w:tc>
              <w:tc>
                <w:tcPr>
                  <w:tcW w:w="1946" w:type="pct"/>
                  <w:noWrap/>
                  <w:vAlign w:val="center"/>
                </w:tcPr>
                <w:p w14:paraId="426DDB90">
                  <w:pPr>
                    <w:pStyle w:val="23"/>
                    <w:bidi w:val="0"/>
                  </w:pPr>
                  <w:r>
                    <w:t>医用棉签</w:t>
                  </w:r>
                </w:p>
              </w:tc>
              <w:tc>
                <w:tcPr>
                  <w:tcW w:w="1117" w:type="pct"/>
                  <w:noWrap/>
                  <w:vAlign w:val="center"/>
                </w:tcPr>
                <w:p w14:paraId="7705536C">
                  <w:pPr>
                    <w:pStyle w:val="23"/>
                    <w:bidi w:val="0"/>
                  </w:pPr>
                  <w:r>
                    <w:t>1*10</w:t>
                  </w:r>
                </w:p>
              </w:tc>
              <w:tc>
                <w:tcPr>
                  <w:tcW w:w="1102" w:type="pct"/>
                  <w:noWrap/>
                  <w:vAlign w:val="center"/>
                </w:tcPr>
                <w:p w14:paraId="31CC286E">
                  <w:pPr>
                    <w:pStyle w:val="23"/>
                    <w:bidi w:val="0"/>
                  </w:pPr>
                  <w:r>
                    <w:rPr>
                      <w:rFonts w:hint="eastAsia"/>
                    </w:rPr>
                    <w:t>300包</w:t>
                  </w:r>
                </w:p>
              </w:tc>
            </w:tr>
            <w:tr w14:paraId="12E1D8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5FA1DBF8">
                  <w:pPr>
                    <w:pStyle w:val="23"/>
                    <w:bidi w:val="0"/>
                  </w:pPr>
                </w:p>
              </w:tc>
              <w:tc>
                <w:tcPr>
                  <w:tcW w:w="1946" w:type="pct"/>
                  <w:noWrap w:val="0"/>
                  <w:vAlign w:val="center"/>
                </w:tcPr>
                <w:p w14:paraId="09775E87">
                  <w:pPr>
                    <w:pStyle w:val="23"/>
                    <w:bidi w:val="0"/>
                  </w:pPr>
                  <w:r>
                    <w:t>手套</w:t>
                  </w:r>
                </w:p>
              </w:tc>
              <w:tc>
                <w:tcPr>
                  <w:tcW w:w="1117" w:type="pct"/>
                  <w:noWrap w:val="0"/>
                  <w:vAlign w:val="center"/>
                </w:tcPr>
                <w:p w14:paraId="6ACE3E66">
                  <w:pPr>
                    <w:pStyle w:val="23"/>
                    <w:bidi w:val="0"/>
                  </w:pPr>
                  <w:r>
                    <w:t>/</w:t>
                  </w:r>
                </w:p>
              </w:tc>
              <w:tc>
                <w:tcPr>
                  <w:tcW w:w="1102" w:type="pct"/>
                  <w:noWrap w:val="0"/>
                  <w:vAlign w:val="center"/>
                </w:tcPr>
                <w:p w14:paraId="6B0AF518">
                  <w:pPr>
                    <w:pStyle w:val="23"/>
                    <w:bidi w:val="0"/>
                  </w:pPr>
                  <w:r>
                    <w:rPr>
                      <w:rFonts w:hint="eastAsia"/>
                    </w:rPr>
                    <w:t>1000</w:t>
                  </w:r>
                  <w:r>
                    <w:t>副</w:t>
                  </w:r>
                </w:p>
              </w:tc>
            </w:tr>
            <w:tr w14:paraId="741E53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restart"/>
                  <w:noWrap w:val="0"/>
                  <w:vAlign w:val="center"/>
                </w:tcPr>
                <w:p w14:paraId="4E7D4777">
                  <w:pPr>
                    <w:pStyle w:val="23"/>
                    <w:bidi w:val="0"/>
                  </w:pPr>
                  <w:r>
                    <w:t>主要药品</w:t>
                  </w:r>
                </w:p>
              </w:tc>
              <w:tc>
                <w:tcPr>
                  <w:tcW w:w="1946" w:type="pct"/>
                  <w:noWrap w:val="0"/>
                  <w:vAlign w:val="center"/>
                </w:tcPr>
                <w:p w14:paraId="7093C84D">
                  <w:pPr>
                    <w:pStyle w:val="23"/>
                    <w:bidi w:val="0"/>
                  </w:pPr>
                  <w:r>
                    <w:t>咳特灵胶囊</w:t>
                  </w:r>
                </w:p>
              </w:tc>
              <w:tc>
                <w:tcPr>
                  <w:tcW w:w="1117" w:type="pct"/>
                  <w:noWrap w:val="0"/>
                  <w:vAlign w:val="center"/>
                </w:tcPr>
                <w:p w14:paraId="38C5B8A3">
                  <w:pPr>
                    <w:pStyle w:val="23"/>
                    <w:bidi w:val="0"/>
                  </w:pPr>
                  <w:r>
                    <w:t>30粒/瓶</w:t>
                  </w:r>
                </w:p>
              </w:tc>
              <w:tc>
                <w:tcPr>
                  <w:tcW w:w="1102" w:type="pct"/>
                  <w:noWrap w:val="0"/>
                  <w:vAlign w:val="center"/>
                </w:tcPr>
                <w:p w14:paraId="6205A31E">
                  <w:pPr>
                    <w:pStyle w:val="23"/>
                    <w:bidi w:val="0"/>
                  </w:pPr>
                  <w:r>
                    <w:t>2万瓶</w:t>
                  </w:r>
                </w:p>
              </w:tc>
            </w:tr>
            <w:tr w14:paraId="126706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5D8ED71A">
                  <w:pPr>
                    <w:pStyle w:val="23"/>
                    <w:bidi w:val="0"/>
                  </w:pPr>
                </w:p>
              </w:tc>
              <w:tc>
                <w:tcPr>
                  <w:tcW w:w="1946" w:type="pct"/>
                  <w:noWrap w:val="0"/>
                  <w:vAlign w:val="center"/>
                </w:tcPr>
                <w:p w14:paraId="678CF64C">
                  <w:pPr>
                    <w:pStyle w:val="23"/>
                    <w:bidi w:val="0"/>
                  </w:pPr>
                  <w:r>
                    <w:t>咳必清</w:t>
                  </w:r>
                </w:p>
              </w:tc>
              <w:tc>
                <w:tcPr>
                  <w:tcW w:w="1117" w:type="pct"/>
                  <w:noWrap w:val="0"/>
                  <w:vAlign w:val="center"/>
                </w:tcPr>
                <w:p w14:paraId="0C41D14D">
                  <w:pPr>
                    <w:pStyle w:val="23"/>
                    <w:bidi w:val="0"/>
                  </w:pPr>
                  <w:r>
                    <w:t>25mg*100片/瓶</w:t>
                  </w:r>
                </w:p>
              </w:tc>
              <w:tc>
                <w:tcPr>
                  <w:tcW w:w="1102" w:type="pct"/>
                  <w:noWrap w:val="0"/>
                  <w:vAlign w:val="center"/>
                </w:tcPr>
                <w:p w14:paraId="569711D0">
                  <w:pPr>
                    <w:pStyle w:val="23"/>
                    <w:bidi w:val="0"/>
                  </w:pPr>
                  <w:r>
                    <w:t>1万瓶</w:t>
                  </w:r>
                </w:p>
              </w:tc>
            </w:tr>
            <w:tr w14:paraId="60FCAB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6EE8DBDA">
                  <w:pPr>
                    <w:pStyle w:val="23"/>
                    <w:bidi w:val="0"/>
                  </w:pPr>
                </w:p>
              </w:tc>
              <w:tc>
                <w:tcPr>
                  <w:tcW w:w="1946" w:type="pct"/>
                  <w:noWrap w:val="0"/>
                  <w:vAlign w:val="center"/>
                </w:tcPr>
                <w:p w14:paraId="09047ED6">
                  <w:pPr>
                    <w:pStyle w:val="23"/>
                    <w:bidi w:val="0"/>
                  </w:pPr>
                  <w:r>
                    <w:t>阿莫西林克拉维酸钾片</w:t>
                  </w:r>
                </w:p>
              </w:tc>
              <w:tc>
                <w:tcPr>
                  <w:tcW w:w="1117" w:type="pct"/>
                  <w:noWrap w:val="0"/>
                  <w:vAlign w:val="center"/>
                </w:tcPr>
                <w:p w14:paraId="66E9B525">
                  <w:pPr>
                    <w:pStyle w:val="23"/>
                    <w:bidi w:val="0"/>
                  </w:pPr>
                  <w:r>
                    <w:t>0.375g*6片</w:t>
                  </w:r>
                </w:p>
              </w:tc>
              <w:tc>
                <w:tcPr>
                  <w:tcW w:w="1102" w:type="pct"/>
                  <w:noWrap w:val="0"/>
                  <w:vAlign w:val="center"/>
                </w:tcPr>
                <w:p w14:paraId="0042DDB3">
                  <w:pPr>
                    <w:pStyle w:val="23"/>
                    <w:bidi w:val="0"/>
                  </w:pPr>
                  <w:r>
                    <w:t>4万盒</w:t>
                  </w:r>
                </w:p>
              </w:tc>
            </w:tr>
            <w:tr w14:paraId="7C0BDD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78627470">
                  <w:pPr>
                    <w:pStyle w:val="23"/>
                    <w:bidi w:val="0"/>
                  </w:pPr>
                </w:p>
              </w:tc>
              <w:tc>
                <w:tcPr>
                  <w:tcW w:w="1946" w:type="pct"/>
                  <w:noWrap w:val="0"/>
                  <w:vAlign w:val="center"/>
                </w:tcPr>
                <w:p w14:paraId="4D291CEF">
                  <w:pPr>
                    <w:pStyle w:val="23"/>
                    <w:bidi w:val="0"/>
                  </w:pPr>
                  <w:r>
                    <w:t>多潘立酮</w:t>
                  </w:r>
                </w:p>
              </w:tc>
              <w:tc>
                <w:tcPr>
                  <w:tcW w:w="1117" w:type="pct"/>
                  <w:noWrap w:val="0"/>
                  <w:vAlign w:val="center"/>
                </w:tcPr>
                <w:p w14:paraId="7C527C00">
                  <w:pPr>
                    <w:pStyle w:val="23"/>
                    <w:bidi w:val="0"/>
                  </w:pPr>
                  <w:r>
                    <w:t>10mg*30片/盒</w:t>
                  </w:r>
                </w:p>
              </w:tc>
              <w:tc>
                <w:tcPr>
                  <w:tcW w:w="1102" w:type="pct"/>
                  <w:noWrap w:val="0"/>
                  <w:vAlign w:val="center"/>
                </w:tcPr>
                <w:p w14:paraId="35F1C76F">
                  <w:pPr>
                    <w:pStyle w:val="23"/>
                    <w:bidi w:val="0"/>
                  </w:pPr>
                  <w:r>
                    <w:t>4万盒</w:t>
                  </w:r>
                </w:p>
              </w:tc>
            </w:tr>
            <w:tr w14:paraId="18E8E6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524A5B75">
                  <w:pPr>
                    <w:pStyle w:val="23"/>
                    <w:bidi w:val="0"/>
                  </w:pPr>
                </w:p>
              </w:tc>
              <w:tc>
                <w:tcPr>
                  <w:tcW w:w="1946" w:type="pct"/>
                  <w:noWrap w:val="0"/>
                  <w:vAlign w:val="center"/>
                </w:tcPr>
                <w:p w14:paraId="27573F05">
                  <w:pPr>
                    <w:pStyle w:val="23"/>
                    <w:bidi w:val="0"/>
                  </w:pPr>
                  <w:r>
                    <w:t>西米替丁</w:t>
                  </w:r>
                </w:p>
              </w:tc>
              <w:tc>
                <w:tcPr>
                  <w:tcW w:w="1117" w:type="pct"/>
                  <w:noWrap w:val="0"/>
                  <w:vAlign w:val="center"/>
                </w:tcPr>
                <w:p w14:paraId="4E3DFD6D">
                  <w:pPr>
                    <w:pStyle w:val="23"/>
                    <w:bidi w:val="0"/>
                  </w:pPr>
                  <w:r>
                    <w:t>0.2*100片/瓶</w:t>
                  </w:r>
                </w:p>
              </w:tc>
              <w:tc>
                <w:tcPr>
                  <w:tcW w:w="1102" w:type="pct"/>
                  <w:noWrap w:val="0"/>
                  <w:vAlign w:val="center"/>
                </w:tcPr>
                <w:p w14:paraId="1837EC6A">
                  <w:pPr>
                    <w:pStyle w:val="23"/>
                    <w:bidi w:val="0"/>
                  </w:pPr>
                  <w:r>
                    <w:t>4万盒</w:t>
                  </w:r>
                </w:p>
              </w:tc>
            </w:tr>
            <w:tr w14:paraId="522712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0D26527F">
                  <w:pPr>
                    <w:pStyle w:val="23"/>
                    <w:bidi w:val="0"/>
                  </w:pPr>
                </w:p>
              </w:tc>
              <w:tc>
                <w:tcPr>
                  <w:tcW w:w="1946" w:type="pct"/>
                  <w:noWrap w:val="0"/>
                  <w:vAlign w:val="center"/>
                </w:tcPr>
                <w:p w14:paraId="6CD4DE0E">
                  <w:pPr>
                    <w:pStyle w:val="23"/>
                    <w:bidi w:val="0"/>
                  </w:pPr>
                  <w:r>
                    <w:t>急支糖浆</w:t>
                  </w:r>
                </w:p>
              </w:tc>
              <w:tc>
                <w:tcPr>
                  <w:tcW w:w="1117" w:type="pct"/>
                  <w:noWrap w:val="0"/>
                  <w:vAlign w:val="center"/>
                </w:tcPr>
                <w:p w14:paraId="605C4C41">
                  <w:pPr>
                    <w:pStyle w:val="23"/>
                    <w:bidi w:val="0"/>
                  </w:pPr>
                  <w:r>
                    <w:t>200ml/瓶</w:t>
                  </w:r>
                </w:p>
              </w:tc>
              <w:tc>
                <w:tcPr>
                  <w:tcW w:w="1102" w:type="pct"/>
                  <w:noWrap w:val="0"/>
                  <w:vAlign w:val="center"/>
                </w:tcPr>
                <w:p w14:paraId="456A12F5">
                  <w:pPr>
                    <w:pStyle w:val="23"/>
                    <w:bidi w:val="0"/>
                  </w:pPr>
                  <w:r>
                    <w:t>5万盒</w:t>
                  </w:r>
                </w:p>
              </w:tc>
            </w:tr>
            <w:tr w14:paraId="22C747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7D77A56D">
                  <w:pPr>
                    <w:pStyle w:val="23"/>
                    <w:bidi w:val="0"/>
                  </w:pPr>
                </w:p>
              </w:tc>
              <w:tc>
                <w:tcPr>
                  <w:tcW w:w="1946" w:type="pct"/>
                  <w:noWrap w:val="0"/>
                  <w:vAlign w:val="center"/>
                </w:tcPr>
                <w:p w14:paraId="3FF6AF09">
                  <w:pPr>
                    <w:pStyle w:val="23"/>
                    <w:bidi w:val="0"/>
                  </w:pPr>
                  <w:r>
                    <w:t>利君沙（琥乙红霉素）</w:t>
                  </w:r>
                </w:p>
              </w:tc>
              <w:tc>
                <w:tcPr>
                  <w:tcW w:w="1117" w:type="pct"/>
                  <w:noWrap w:val="0"/>
                  <w:vAlign w:val="center"/>
                </w:tcPr>
                <w:p w14:paraId="5E79C27D">
                  <w:pPr>
                    <w:pStyle w:val="23"/>
                    <w:bidi w:val="0"/>
                  </w:pPr>
                  <w:r>
                    <w:t>0.125*24片/盒</w:t>
                  </w:r>
                </w:p>
              </w:tc>
              <w:tc>
                <w:tcPr>
                  <w:tcW w:w="1102" w:type="pct"/>
                  <w:noWrap w:val="0"/>
                  <w:vAlign w:val="center"/>
                </w:tcPr>
                <w:p w14:paraId="7DBFD409">
                  <w:pPr>
                    <w:pStyle w:val="23"/>
                    <w:bidi w:val="0"/>
                  </w:pPr>
                  <w:r>
                    <w:t>4万盒</w:t>
                  </w:r>
                </w:p>
              </w:tc>
            </w:tr>
            <w:tr w14:paraId="0D8C78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6EA32D4F">
                  <w:pPr>
                    <w:pStyle w:val="23"/>
                    <w:bidi w:val="0"/>
                  </w:pPr>
                </w:p>
              </w:tc>
              <w:tc>
                <w:tcPr>
                  <w:tcW w:w="1946" w:type="pct"/>
                  <w:noWrap w:val="0"/>
                  <w:vAlign w:val="center"/>
                </w:tcPr>
                <w:p w14:paraId="2631C49E">
                  <w:pPr>
                    <w:pStyle w:val="23"/>
                    <w:bidi w:val="0"/>
                  </w:pPr>
                  <w:r>
                    <w:t>麦迪霉素</w:t>
                  </w:r>
                </w:p>
              </w:tc>
              <w:tc>
                <w:tcPr>
                  <w:tcW w:w="1117" w:type="pct"/>
                  <w:noWrap w:val="0"/>
                  <w:vAlign w:val="center"/>
                </w:tcPr>
                <w:p w14:paraId="68B1526B">
                  <w:pPr>
                    <w:pStyle w:val="23"/>
                    <w:bidi w:val="0"/>
                  </w:pPr>
                  <w:r>
                    <w:t>0.1*24片/盒</w:t>
                  </w:r>
                </w:p>
              </w:tc>
              <w:tc>
                <w:tcPr>
                  <w:tcW w:w="1102" w:type="pct"/>
                  <w:noWrap w:val="0"/>
                  <w:vAlign w:val="center"/>
                </w:tcPr>
                <w:p w14:paraId="49D4C2CB">
                  <w:pPr>
                    <w:pStyle w:val="23"/>
                    <w:bidi w:val="0"/>
                  </w:pPr>
                  <w:r>
                    <w:t>4万盒</w:t>
                  </w:r>
                </w:p>
              </w:tc>
            </w:tr>
            <w:tr w14:paraId="632332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3D9D9D19">
                  <w:pPr>
                    <w:pStyle w:val="23"/>
                    <w:bidi w:val="0"/>
                  </w:pPr>
                </w:p>
              </w:tc>
              <w:tc>
                <w:tcPr>
                  <w:tcW w:w="1946" w:type="pct"/>
                  <w:noWrap w:val="0"/>
                  <w:vAlign w:val="center"/>
                </w:tcPr>
                <w:p w14:paraId="5D53AA23">
                  <w:pPr>
                    <w:pStyle w:val="23"/>
                    <w:bidi w:val="0"/>
                  </w:pPr>
                  <w:r>
                    <w:t>芬必得(布洛芬缓释片)</w:t>
                  </w:r>
                </w:p>
              </w:tc>
              <w:tc>
                <w:tcPr>
                  <w:tcW w:w="1117" w:type="pct"/>
                  <w:noWrap w:val="0"/>
                  <w:vAlign w:val="center"/>
                </w:tcPr>
                <w:p w14:paraId="5BEB35B0">
                  <w:pPr>
                    <w:pStyle w:val="23"/>
                    <w:bidi w:val="0"/>
                  </w:pPr>
                  <w:r>
                    <w:t>0.3*20粒/盒</w:t>
                  </w:r>
                </w:p>
              </w:tc>
              <w:tc>
                <w:tcPr>
                  <w:tcW w:w="1102" w:type="pct"/>
                  <w:noWrap w:val="0"/>
                  <w:vAlign w:val="center"/>
                </w:tcPr>
                <w:p w14:paraId="0BAE8095">
                  <w:pPr>
                    <w:pStyle w:val="23"/>
                    <w:bidi w:val="0"/>
                  </w:pPr>
                  <w:r>
                    <w:t>5万盒</w:t>
                  </w:r>
                </w:p>
              </w:tc>
            </w:tr>
            <w:tr w14:paraId="6EA80E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17C4A51E">
                  <w:pPr>
                    <w:pStyle w:val="23"/>
                    <w:bidi w:val="0"/>
                  </w:pPr>
                </w:p>
              </w:tc>
              <w:tc>
                <w:tcPr>
                  <w:tcW w:w="1946" w:type="pct"/>
                  <w:noWrap w:val="0"/>
                  <w:vAlign w:val="center"/>
                </w:tcPr>
                <w:p w14:paraId="66A25845">
                  <w:pPr>
                    <w:pStyle w:val="23"/>
                    <w:bidi w:val="0"/>
                  </w:pPr>
                  <w:r>
                    <w:t>氯雷他定</w:t>
                  </w:r>
                </w:p>
              </w:tc>
              <w:tc>
                <w:tcPr>
                  <w:tcW w:w="1117" w:type="pct"/>
                  <w:noWrap w:val="0"/>
                  <w:vAlign w:val="center"/>
                </w:tcPr>
                <w:p w14:paraId="5094E055">
                  <w:pPr>
                    <w:pStyle w:val="23"/>
                    <w:bidi w:val="0"/>
                  </w:pPr>
                  <w:r>
                    <w:t>10mg*10片/盒</w:t>
                  </w:r>
                </w:p>
              </w:tc>
              <w:tc>
                <w:tcPr>
                  <w:tcW w:w="1102" w:type="pct"/>
                  <w:noWrap w:val="0"/>
                  <w:vAlign w:val="center"/>
                </w:tcPr>
                <w:p w14:paraId="34F4E496">
                  <w:pPr>
                    <w:pStyle w:val="23"/>
                    <w:bidi w:val="0"/>
                  </w:pPr>
                  <w:r>
                    <w:t>4万盒</w:t>
                  </w:r>
                </w:p>
              </w:tc>
            </w:tr>
            <w:tr w14:paraId="085E2F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12BF6C4B">
                  <w:pPr>
                    <w:pStyle w:val="23"/>
                    <w:bidi w:val="0"/>
                  </w:pPr>
                </w:p>
              </w:tc>
              <w:tc>
                <w:tcPr>
                  <w:tcW w:w="1946" w:type="pct"/>
                  <w:noWrap w:val="0"/>
                  <w:vAlign w:val="center"/>
                </w:tcPr>
                <w:p w14:paraId="157442A7">
                  <w:pPr>
                    <w:pStyle w:val="23"/>
                    <w:bidi w:val="0"/>
                  </w:pPr>
                  <w:r>
                    <w:t>头孢拉定胶囊(菌必清)</w:t>
                  </w:r>
                </w:p>
              </w:tc>
              <w:tc>
                <w:tcPr>
                  <w:tcW w:w="1117" w:type="pct"/>
                  <w:noWrap w:val="0"/>
                  <w:vAlign w:val="center"/>
                </w:tcPr>
                <w:p w14:paraId="4346C73A">
                  <w:pPr>
                    <w:pStyle w:val="23"/>
                    <w:bidi w:val="0"/>
                  </w:pPr>
                  <w:r>
                    <w:t>0.25g*24片/盒</w:t>
                  </w:r>
                </w:p>
              </w:tc>
              <w:tc>
                <w:tcPr>
                  <w:tcW w:w="1102" w:type="pct"/>
                  <w:noWrap w:val="0"/>
                  <w:vAlign w:val="center"/>
                </w:tcPr>
                <w:p w14:paraId="2E578A0D">
                  <w:pPr>
                    <w:pStyle w:val="23"/>
                    <w:bidi w:val="0"/>
                  </w:pPr>
                  <w:r>
                    <w:t>5万盒</w:t>
                  </w:r>
                </w:p>
              </w:tc>
            </w:tr>
            <w:tr w14:paraId="02F3DB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03B2FE11">
                  <w:pPr>
                    <w:pStyle w:val="23"/>
                    <w:bidi w:val="0"/>
                  </w:pPr>
                </w:p>
              </w:tc>
              <w:tc>
                <w:tcPr>
                  <w:tcW w:w="1946" w:type="pct"/>
                  <w:noWrap w:val="0"/>
                  <w:vAlign w:val="center"/>
                </w:tcPr>
                <w:p w14:paraId="58E42D1D">
                  <w:pPr>
                    <w:pStyle w:val="23"/>
                    <w:bidi w:val="0"/>
                  </w:pPr>
                  <w:r>
                    <w:t>咳喘宁片</w:t>
                  </w:r>
                </w:p>
              </w:tc>
              <w:tc>
                <w:tcPr>
                  <w:tcW w:w="1117" w:type="pct"/>
                  <w:noWrap w:val="0"/>
                  <w:vAlign w:val="center"/>
                </w:tcPr>
                <w:p w14:paraId="0D622222">
                  <w:pPr>
                    <w:pStyle w:val="23"/>
                    <w:bidi w:val="0"/>
                  </w:pPr>
                  <w:r>
                    <w:t>0.6*36片/盒</w:t>
                  </w:r>
                </w:p>
              </w:tc>
              <w:tc>
                <w:tcPr>
                  <w:tcW w:w="1102" w:type="pct"/>
                  <w:noWrap w:val="0"/>
                  <w:vAlign w:val="center"/>
                </w:tcPr>
                <w:p w14:paraId="55D16A67">
                  <w:pPr>
                    <w:pStyle w:val="23"/>
                    <w:bidi w:val="0"/>
                  </w:pPr>
                  <w:r>
                    <w:t>4万盒</w:t>
                  </w:r>
                </w:p>
              </w:tc>
            </w:tr>
            <w:tr w14:paraId="73DFC2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47E34264">
                  <w:pPr>
                    <w:pStyle w:val="23"/>
                    <w:bidi w:val="0"/>
                  </w:pPr>
                </w:p>
              </w:tc>
              <w:tc>
                <w:tcPr>
                  <w:tcW w:w="1946" w:type="pct"/>
                  <w:noWrap w:val="0"/>
                  <w:vAlign w:val="center"/>
                </w:tcPr>
                <w:p w14:paraId="745A8015">
                  <w:pPr>
                    <w:pStyle w:val="23"/>
                    <w:bidi w:val="0"/>
                  </w:pPr>
                  <w:r>
                    <w:t>心可宁胶囊</w:t>
                  </w:r>
                </w:p>
              </w:tc>
              <w:tc>
                <w:tcPr>
                  <w:tcW w:w="1117" w:type="pct"/>
                  <w:noWrap w:val="0"/>
                  <w:vAlign w:val="center"/>
                </w:tcPr>
                <w:p w14:paraId="13BD48D4">
                  <w:pPr>
                    <w:pStyle w:val="23"/>
                    <w:bidi w:val="0"/>
                  </w:pPr>
                  <w:r>
                    <w:t>0.4*24粒/盒</w:t>
                  </w:r>
                </w:p>
              </w:tc>
              <w:tc>
                <w:tcPr>
                  <w:tcW w:w="1102" w:type="pct"/>
                  <w:noWrap w:val="0"/>
                  <w:vAlign w:val="center"/>
                </w:tcPr>
                <w:p w14:paraId="5D926141">
                  <w:pPr>
                    <w:pStyle w:val="23"/>
                    <w:bidi w:val="0"/>
                  </w:pPr>
                  <w:r>
                    <w:t>4万盒</w:t>
                  </w:r>
                </w:p>
              </w:tc>
            </w:tr>
            <w:tr w14:paraId="1CF6C8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3B0DF5FA">
                  <w:pPr>
                    <w:pStyle w:val="23"/>
                    <w:bidi w:val="0"/>
                  </w:pPr>
                </w:p>
              </w:tc>
              <w:tc>
                <w:tcPr>
                  <w:tcW w:w="1946" w:type="pct"/>
                  <w:noWrap w:val="0"/>
                  <w:vAlign w:val="center"/>
                </w:tcPr>
                <w:p w14:paraId="02544B9B">
                  <w:pPr>
                    <w:pStyle w:val="23"/>
                    <w:bidi w:val="0"/>
                  </w:pPr>
                  <w:r>
                    <w:t>复方石韦胶囊</w:t>
                  </w:r>
                </w:p>
              </w:tc>
              <w:tc>
                <w:tcPr>
                  <w:tcW w:w="1117" w:type="pct"/>
                  <w:noWrap w:val="0"/>
                  <w:vAlign w:val="center"/>
                </w:tcPr>
                <w:p w14:paraId="2EEB5ACD">
                  <w:pPr>
                    <w:pStyle w:val="23"/>
                    <w:bidi w:val="0"/>
                  </w:pPr>
                  <w:r>
                    <w:t>0.4*36粒/盒</w:t>
                  </w:r>
                </w:p>
              </w:tc>
              <w:tc>
                <w:tcPr>
                  <w:tcW w:w="1102" w:type="pct"/>
                  <w:noWrap w:val="0"/>
                  <w:vAlign w:val="center"/>
                </w:tcPr>
                <w:p w14:paraId="2E1BA8AD">
                  <w:pPr>
                    <w:pStyle w:val="23"/>
                    <w:bidi w:val="0"/>
                  </w:pPr>
                  <w:r>
                    <w:t>2万盒</w:t>
                  </w:r>
                </w:p>
              </w:tc>
            </w:tr>
            <w:tr w14:paraId="54B099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0F97C285">
                  <w:pPr>
                    <w:pStyle w:val="23"/>
                    <w:bidi w:val="0"/>
                  </w:pPr>
                </w:p>
              </w:tc>
              <w:tc>
                <w:tcPr>
                  <w:tcW w:w="1946" w:type="pct"/>
                  <w:noWrap w:val="0"/>
                  <w:vAlign w:val="center"/>
                </w:tcPr>
                <w:p w14:paraId="743928A0">
                  <w:pPr>
                    <w:pStyle w:val="23"/>
                    <w:bidi w:val="0"/>
                  </w:pPr>
                  <w:r>
                    <w:t>西瓜霜润喉片</w:t>
                  </w:r>
                </w:p>
              </w:tc>
              <w:tc>
                <w:tcPr>
                  <w:tcW w:w="1117" w:type="pct"/>
                  <w:noWrap w:val="0"/>
                  <w:vAlign w:val="center"/>
                </w:tcPr>
                <w:p w14:paraId="49B92C00">
                  <w:pPr>
                    <w:pStyle w:val="23"/>
                    <w:bidi w:val="0"/>
                  </w:pPr>
                  <w:r>
                    <w:t>48片/盒</w:t>
                  </w:r>
                </w:p>
              </w:tc>
              <w:tc>
                <w:tcPr>
                  <w:tcW w:w="1102" w:type="pct"/>
                  <w:noWrap w:val="0"/>
                  <w:vAlign w:val="center"/>
                </w:tcPr>
                <w:p w14:paraId="778D11BD">
                  <w:pPr>
                    <w:pStyle w:val="23"/>
                    <w:bidi w:val="0"/>
                  </w:pPr>
                  <w:r>
                    <w:t>4万盒</w:t>
                  </w:r>
                </w:p>
              </w:tc>
            </w:tr>
            <w:tr w14:paraId="789AAB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6692F398">
                  <w:pPr>
                    <w:pStyle w:val="23"/>
                    <w:bidi w:val="0"/>
                  </w:pPr>
                </w:p>
              </w:tc>
              <w:tc>
                <w:tcPr>
                  <w:tcW w:w="1946" w:type="pct"/>
                  <w:noWrap w:val="0"/>
                  <w:vAlign w:val="center"/>
                </w:tcPr>
                <w:p w14:paraId="6A2879B1">
                  <w:pPr>
                    <w:pStyle w:val="23"/>
                    <w:bidi w:val="0"/>
                  </w:pPr>
                  <w:r>
                    <w:t>注射用青霉素钠</w:t>
                  </w:r>
                </w:p>
              </w:tc>
              <w:tc>
                <w:tcPr>
                  <w:tcW w:w="1117" w:type="pct"/>
                  <w:noWrap w:val="0"/>
                  <w:vAlign w:val="center"/>
                </w:tcPr>
                <w:p w14:paraId="0FF8825A">
                  <w:pPr>
                    <w:pStyle w:val="23"/>
                    <w:bidi w:val="0"/>
                  </w:pPr>
                  <w:r>
                    <w:t>160万u/支</w:t>
                  </w:r>
                </w:p>
              </w:tc>
              <w:tc>
                <w:tcPr>
                  <w:tcW w:w="1102" w:type="pct"/>
                  <w:noWrap w:val="0"/>
                  <w:vAlign w:val="center"/>
                </w:tcPr>
                <w:p w14:paraId="233D38B0">
                  <w:pPr>
                    <w:pStyle w:val="23"/>
                    <w:bidi w:val="0"/>
                  </w:pPr>
                  <w:r>
                    <w:t>4万盒</w:t>
                  </w:r>
                </w:p>
              </w:tc>
            </w:tr>
            <w:tr w14:paraId="3AFD20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143C2FC2">
                  <w:pPr>
                    <w:pStyle w:val="23"/>
                    <w:bidi w:val="0"/>
                  </w:pPr>
                </w:p>
              </w:tc>
              <w:tc>
                <w:tcPr>
                  <w:tcW w:w="1946" w:type="pct"/>
                  <w:noWrap w:val="0"/>
                  <w:vAlign w:val="center"/>
                </w:tcPr>
                <w:p w14:paraId="157DBC1E">
                  <w:pPr>
                    <w:pStyle w:val="23"/>
                    <w:bidi w:val="0"/>
                  </w:pPr>
                  <w:r>
                    <w:t>注射用苯唑西林钠(新青2)</w:t>
                  </w:r>
                </w:p>
              </w:tc>
              <w:tc>
                <w:tcPr>
                  <w:tcW w:w="1117" w:type="pct"/>
                  <w:noWrap w:val="0"/>
                  <w:vAlign w:val="center"/>
                </w:tcPr>
                <w:p w14:paraId="305BEB7F">
                  <w:pPr>
                    <w:pStyle w:val="23"/>
                    <w:bidi w:val="0"/>
                  </w:pPr>
                  <w:r>
                    <w:t>0.5g/支</w:t>
                  </w:r>
                </w:p>
              </w:tc>
              <w:tc>
                <w:tcPr>
                  <w:tcW w:w="1102" w:type="pct"/>
                  <w:noWrap w:val="0"/>
                  <w:vAlign w:val="center"/>
                </w:tcPr>
                <w:p w14:paraId="413A9F67">
                  <w:pPr>
                    <w:pStyle w:val="23"/>
                    <w:bidi w:val="0"/>
                  </w:pPr>
                  <w:r>
                    <w:t>3万盒</w:t>
                  </w:r>
                </w:p>
              </w:tc>
            </w:tr>
            <w:tr w14:paraId="134C75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514E8A60">
                  <w:pPr>
                    <w:pStyle w:val="23"/>
                    <w:bidi w:val="0"/>
                  </w:pPr>
                </w:p>
              </w:tc>
              <w:tc>
                <w:tcPr>
                  <w:tcW w:w="1946" w:type="pct"/>
                  <w:noWrap w:val="0"/>
                  <w:vAlign w:val="center"/>
                </w:tcPr>
                <w:p w14:paraId="5D2618BF">
                  <w:pPr>
                    <w:pStyle w:val="23"/>
                    <w:bidi w:val="0"/>
                  </w:pPr>
                  <w:r>
                    <w:t>注射用氨苄西林钠(AmPNC)</w:t>
                  </w:r>
                </w:p>
              </w:tc>
              <w:tc>
                <w:tcPr>
                  <w:tcW w:w="1117" w:type="pct"/>
                  <w:noWrap w:val="0"/>
                  <w:vAlign w:val="center"/>
                </w:tcPr>
                <w:p w14:paraId="67CF7FB0">
                  <w:pPr>
                    <w:pStyle w:val="23"/>
                    <w:bidi w:val="0"/>
                  </w:pPr>
                  <w:r>
                    <w:t>1g/支</w:t>
                  </w:r>
                </w:p>
              </w:tc>
              <w:tc>
                <w:tcPr>
                  <w:tcW w:w="1102" w:type="pct"/>
                  <w:noWrap w:val="0"/>
                  <w:vAlign w:val="center"/>
                </w:tcPr>
                <w:p w14:paraId="0360B180">
                  <w:pPr>
                    <w:pStyle w:val="23"/>
                    <w:bidi w:val="0"/>
                  </w:pPr>
                  <w:r>
                    <w:t>4万盒</w:t>
                  </w:r>
                </w:p>
              </w:tc>
            </w:tr>
            <w:tr w14:paraId="59E985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27CE8DF5">
                  <w:pPr>
                    <w:pStyle w:val="23"/>
                    <w:bidi w:val="0"/>
                  </w:pPr>
                </w:p>
              </w:tc>
              <w:tc>
                <w:tcPr>
                  <w:tcW w:w="1946" w:type="pct"/>
                  <w:noWrap w:val="0"/>
                  <w:vAlign w:val="center"/>
                </w:tcPr>
                <w:p w14:paraId="4961F748">
                  <w:pPr>
                    <w:pStyle w:val="23"/>
                    <w:bidi w:val="0"/>
                  </w:pPr>
                  <w:r>
                    <w:t>阿莫西林胶囊</w:t>
                  </w:r>
                </w:p>
              </w:tc>
              <w:tc>
                <w:tcPr>
                  <w:tcW w:w="1117" w:type="pct"/>
                  <w:noWrap w:val="0"/>
                  <w:vAlign w:val="center"/>
                </w:tcPr>
                <w:p w14:paraId="6350D35D">
                  <w:pPr>
                    <w:pStyle w:val="23"/>
                    <w:bidi w:val="0"/>
                  </w:pPr>
                  <w:r>
                    <w:t>0.25g*50粒/盒</w:t>
                  </w:r>
                </w:p>
              </w:tc>
              <w:tc>
                <w:tcPr>
                  <w:tcW w:w="1102" w:type="pct"/>
                  <w:noWrap w:val="0"/>
                  <w:vAlign w:val="center"/>
                </w:tcPr>
                <w:p w14:paraId="3FDBFE64">
                  <w:pPr>
                    <w:pStyle w:val="23"/>
                    <w:bidi w:val="0"/>
                  </w:pPr>
                  <w:r>
                    <w:t>4万盒</w:t>
                  </w:r>
                </w:p>
              </w:tc>
            </w:tr>
            <w:tr w14:paraId="2D40F3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43D75077">
                  <w:pPr>
                    <w:pStyle w:val="23"/>
                    <w:bidi w:val="0"/>
                  </w:pPr>
                </w:p>
              </w:tc>
              <w:tc>
                <w:tcPr>
                  <w:tcW w:w="1946" w:type="pct"/>
                  <w:noWrap w:val="0"/>
                  <w:vAlign w:val="center"/>
                </w:tcPr>
                <w:p w14:paraId="30D8E76A">
                  <w:pPr>
                    <w:pStyle w:val="23"/>
                    <w:bidi w:val="0"/>
                  </w:pPr>
                  <w:r>
                    <w:t>阿莫西林颗粒(再林)</w:t>
                  </w:r>
                </w:p>
              </w:tc>
              <w:tc>
                <w:tcPr>
                  <w:tcW w:w="1117" w:type="pct"/>
                  <w:noWrap w:val="0"/>
                  <w:vAlign w:val="center"/>
                </w:tcPr>
                <w:p w14:paraId="4560D459">
                  <w:pPr>
                    <w:pStyle w:val="23"/>
                    <w:bidi w:val="0"/>
                  </w:pPr>
                  <w:r>
                    <w:t>0.125g*18袋/盒</w:t>
                  </w:r>
                </w:p>
              </w:tc>
              <w:tc>
                <w:tcPr>
                  <w:tcW w:w="1102" w:type="pct"/>
                  <w:noWrap w:val="0"/>
                  <w:vAlign w:val="center"/>
                </w:tcPr>
                <w:p w14:paraId="59AFD589">
                  <w:pPr>
                    <w:pStyle w:val="23"/>
                    <w:bidi w:val="0"/>
                  </w:pPr>
                  <w:r>
                    <w:t>3万盒</w:t>
                  </w:r>
                </w:p>
              </w:tc>
            </w:tr>
            <w:tr w14:paraId="346C80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3C0A6F31">
                  <w:pPr>
                    <w:pStyle w:val="23"/>
                    <w:bidi w:val="0"/>
                  </w:pPr>
                </w:p>
              </w:tc>
              <w:tc>
                <w:tcPr>
                  <w:tcW w:w="1946" w:type="pct"/>
                  <w:noWrap w:val="0"/>
                  <w:vAlign w:val="center"/>
                </w:tcPr>
                <w:p w14:paraId="59CEEE4D">
                  <w:pPr>
                    <w:pStyle w:val="23"/>
                    <w:bidi w:val="0"/>
                  </w:pPr>
                  <w:r>
                    <w:t>青霉素V钾片</w:t>
                  </w:r>
                </w:p>
              </w:tc>
              <w:tc>
                <w:tcPr>
                  <w:tcW w:w="1117" w:type="pct"/>
                  <w:noWrap w:val="0"/>
                  <w:vAlign w:val="center"/>
                </w:tcPr>
                <w:p w14:paraId="3029B595">
                  <w:pPr>
                    <w:pStyle w:val="23"/>
                    <w:bidi w:val="0"/>
                  </w:pPr>
                  <w:r>
                    <w:t>40万u*30片/盒</w:t>
                  </w:r>
                </w:p>
              </w:tc>
              <w:tc>
                <w:tcPr>
                  <w:tcW w:w="1102" w:type="pct"/>
                  <w:noWrap w:val="0"/>
                  <w:vAlign w:val="center"/>
                </w:tcPr>
                <w:p w14:paraId="33D97050">
                  <w:pPr>
                    <w:pStyle w:val="23"/>
                    <w:bidi w:val="0"/>
                  </w:pPr>
                  <w:r>
                    <w:t>2万盒</w:t>
                  </w:r>
                </w:p>
              </w:tc>
            </w:tr>
            <w:tr w14:paraId="177E1D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4344405B">
                  <w:pPr>
                    <w:pStyle w:val="23"/>
                    <w:bidi w:val="0"/>
                  </w:pPr>
                </w:p>
              </w:tc>
              <w:tc>
                <w:tcPr>
                  <w:tcW w:w="1946" w:type="pct"/>
                  <w:noWrap w:val="0"/>
                  <w:vAlign w:val="center"/>
                </w:tcPr>
                <w:p w14:paraId="190CF40E">
                  <w:pPr>
                    <w:pStyle w:val="23"/>
                    <w:bidi w:val="0"/>
                  </w:pPr>
                  <w:r>
                    <w:t>头孢拉定胶囊(君必清)</w:t>
                  </w:r>
                </w:p>
              </w:tc>
              <w:tc>
                <w:tcPr>
                  <w:tcW w:w="1117" w:type="pct"/>
                  <w:noWrap w:val="0"/>
                  <w:vAlign w:val="center"/>
                </w:tcPr>
                <w:p w14:paraId="68A17562">
                  <w:pPr>
                    <w:pStyle w:val="23"/>
                    <w:bidi w:val="0"/>
                  </w:pPr>
                  <w:r>
                    <w:t>0.25g*12粒/盒</w:t>
                  </w:r>
                </w:p>
              </w:tc>
              <w:tc>
                <w:tcPr>
                  <w:tcW w:w="1102" w:type="pct"/>
                  <w:noWrap w:val="0"/>
                  <w:vAlign w:val="center"/>
                </w:tcPr>
                <w:p w14:paraId="739B8D36">
                  <w:pPr>
                    <w:pStyle w:val="23"/>
                    <w:bidi w:val="0"/>
                  </w:pPr>
                  <w:r>
                    <w:t>4万盒</w:t>
                  </w:r>
                </w:p>
              </w:tc>
            </w:tr>
            <w:tr w14:paraId="0AF54F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48D864ED">
                  <w:pPr>
                    <w:pStyle w:val="23"/>
                    <w:bidi w:val="0"/>
                  </w:pPr>
                </w:p>
              </w:tc>
              <w:tc>
                <w:tcPr>
                  <w:tcW w:w="1946" w:type="pct"/>
                  <w:noWrap w:val="0"/>
                  <w:vAlign w:val="center"/>
                </w:tcPr>
                <w:p w14:paraId="111501B4">
                  <w:pPr>
                    <w:pStyle w:val="23"/>
                    <w:bidi w:val="0"/>
                  </w:pPr>
                  <w:r>
                    <w:t>注射用头孢曲松钠</w:t>
                  </w:r>
                </w:p>
              </w:tc>
              <w:tc>
                <w:tcPr>
                  <w:tcW w:w="1117" w:type="pct"/>
                  <w:noWrap w:val="0"/>
                  <w:vAlign w:val="center"/>
                </w:tcPr>
                <w:p w14:paraId="52EB4FCD">
                  <w:pPr>
                    <w:pStyle w:val="23"/>
                    <w:bidi w:val="0"/>
                  </w:pPr>
                  <w:r>
                    <w:t>1.0g/支</w:t>
                  </w:r>
                </w:p>
              </w:tc>
              <w:tc>
                <w:tcPr>
                  <w:tcW w:w="1102" w:type="pct"/>
                  <w:noWrap w:val="0"/>
                  <w:vAlign w:val="center"/>
                </w:tcPr>
                <w:p w14:paraId="3885D475">
                  <w:pPr>
                    <w:pStyle w:val="23"/>
                    <w:bidi w:val="0"/>
                  </w:pPr>
                  <w:r>
                    <w:t>2万盒</w:t>
                  </w:r>
                </w:p>
              </w:tc>
            </w:tr>
            <w:tr w14:paraId="18F235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47C3E470">
                  <w:pPr>
                    <w:pStyle w:val="23"/>
                    <w:bidi w:val="0"/>
                  </w:pPr>
                </w:p>
              </w:tc>
              <w:tc>
                <w:tcPr>
                  <w:tcW w:w="1946" w:type="pct"/>
                  <w:noWrap w:val="0"/>
                  <w:vAlign w:val="center"/>
                </w:tcPr>
                <w:p w14:paraId="0B545EDC">
                  <w:pPr>
                    <w:pStyle w:val="23"/>
                    <w:bidi w:val="0"/>
                  </w:pPr>
                  <w:r>
                    <w:t>注射用硫酸阿米卡星(丁胺卡那)</w:t>
                  </w:r>
                </w:p>
              </w:tc>
              <w:tc>
                <w:tcPr>
                  <w:tcW w:w="1117" w:type="pct"/>
                  <w:noWrap w:val="0"/>
                  <w:vAlign w:val="center"/>
                </w:tcPr>
                <w:p w14:paraId="5936FFC2">
                  <w:pPr>
                    <w:pStyle w:val="23"/>
                    <w:bidi w:val="0"/>
                  </w:pPr>
                  <w:r>
                    <w:t>0.2g*10支/盒</w:t>
                  </w:r>
                </w:p>
              </w:tc>
              <w:tc>
                <w:tcPr>
                  <w:tcW w:w="1102" w:type="pct"/>
                  <w:noWrap w:val="0"/>
                  <w:vAlign w:val="center"/>
                </w:tcPr>
                <w:p w14:paraId="468A0B83">
                  <w:pPr>
                    <w:pStyle w:val="23"/>
                    <w:bidi w:val="0"/>
                  </w:pPr>
                  <w:r>
                    <w:t>4万盒</w:t>
                  </w:r>
                </w:p>
              </w:tc>
            </w:tr>
            <w:tr w14:paraId="7460AC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3CD2B5B9">
                  <w:pPr>
                    <w:pStyle w:val="23"/>
                    <w:bidi w:val="0"/>
                  </w:pPr>
                </w:p>
              </w:tc>
              <w:tc>
                <w:tcPr>
                  <w:tcW w:w="1946" w:type="pct"/>
                  <w:noWrap/>
                  <w:vAlign w:val="center"/>
                </w:tcPr>
                <w:p w14:paraId="52DF141B">
                  <w:pPr>
                    <w:pStyle w:val="23"/>
                    <w:bidi w:val="0"/>
                  </w:pPr>
                  <w:r>
                    <w:t>碘伏</w:t>
                  </w:r>
                </w:p>
              </w:tc>
              <w:tc>
                <w:tcPr>
                  <w:tcW w:w="1117" w:type="pct"/>
                  <w:noWrap/>
                  <w:vAlign w:val="center"/>
                </w:tcPr>
                <w:p w14:paraId="281E1A5F">
                  <w:pPr>
                    <w:pStyle w:val="23"/>
                    <w:bidi w:val="0"/>
                  </w:pPr>
                  <w:r>
                    <w:t>100mL</w:t>
                  </w:r>
                </w:p>
              </w:tc>
              <w:tc>
                <w:tcPr>
                  <w:tcW w:w="1102" w:type="pct"/>
                  <w:noWrap/>
                  <w:vAlign w:val="center"/>
                </w:tcPr>
                <w:p w14:paraId="1C96D157">
                  <w:pPr>
                    <w:pStyle w:val="23"/>
                    <w:bidi w:val="0"/>
                  </w:pPr>
                  <w:r>
                    <w:t>1100瓶</w:t>
                  </w:r>
                </w:p>
              </w:tc>
            </w:tr>
            <w:tr w14:paraId="2D449D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65632CA6">
                  <w:pPr>
                    <w:pStyle w:val="23"/>
                    <w:bidi w:val="0"/>
                  </w:pPr>
                </w:p>
              </w:tc>
              <w:tc>
                <w:tcPr>
                  <w:tcW w:w="1946" w:type="pct"/>
                  <w:noWrap/>
                  <w:vAlign w:val="center"/>
                </w:tcPr>
                <w:p w14:paraId="5C4C5152">
                  <w:pPr>
                    <w:pStyle w:val="23"/>
                    <w:bidi w:val="0"/>
                  </w:pPr>
                  <w:r>
                    <w:t>盐酸苯海索片</w:t>
                  </w:r>
                </w:p>
              </w:tc>
              <w:tc>
                <w:tcPr>
                  <w:tcW w:w="1117" w:type="pct"/>
                  <w:noWrap/>
                  <w:vAlign w:val="center"/>
                </w:tcPr>
                <w:p w14:paraId="003A721B">
                  <w:pPr>
                    <w:pStyle w:val="23"/>
                    <w:bidi w:val="0"/>
                  </w:pPr>
                  <w:r>
                    <w:t>2mg*100片/瓶</w:t>
                  </w:r>
                </w:p>
              </w:tc>
              <w:tc>
                <w:tcPr>
                  <w:tcW w:w="1102" w:type="pct"/>
                  <w:noWrap/>
                  <w:vAlign w:val="center"/>
                </w:tcPr>
                <w:p w14:paraId="75F877E3">
                  <w:pPr>
                    <w:pStyle w:val="23"/>
                    <w:bidi w:val="0"/>
                  </w:pPr>
                  <w:r>
                    <w:t>0</w:t>
                  </w:r>
                </w:p>
              </w:tc>
            </w:tr>
            <w:tr w14:paraId="446C69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6C290B17">
                  <w:pPr>
                    <w:pStyle w:val="23"/>
                    <w:bidi w:val="0"/>
                  </w:pPr>
                </w:p>
              </w:tc>
              <w:tc>
                <w:tcPr>
                  <w:tcW w:w="1946" w:type="pct"/>
                  <w:noWrap/>
                  <w:vAlign w:val="center"/>
                </w:tcPr>
                <w:p w14:paraId="21F2FB2E">
                  <w:pPr>
                    <w:pStyle w:val="23"/>
                    <w:bidi w:val="0"/>
                  </w:pPr>
                  <w:r>
                    <w:t>（集）氯氮平片</w:t>
                  </w:r>
                </w:p>
              </w:tc>
              <w:tc>
                <w:tcPr>
                  <w:tcW w:w="1117" w:type="pct"/>
                  <w:noWrap/>
                  <w:vAlign w:val="center"/>
                </w:tcPr>
                <w:p w14:paraId="61F2BE1F">
                  <w:pPr>
                    <w:pStyle w:val="23"/>
                    <w:bidi w:val="0"/>
                  </w:pPr>
                  <w:r>
                    <w:t>25mg*100片/瓶</w:t>
                  </w:r>
                </w:p>
              </w:tc>
              <w:tc>
                <w:tcPr>
                  <w:tcW w:w="1102" w:type="pct"/>
                  <w:noWrap/>
                  <w:vAlign w:val="center"/>
                </w:tcPr>
                <w:p w14:paraId="39644B3D">
                  <w:pPr>
                    <w:pStyle w:val="23"/>
                    <w:bidi w:val="0"/>
                  </w:pPr>
                  <w:r>
                    <w:t>0</w:t>
                  </w:r>
                </w:p>
              </w:tc>
            </w:tr>
            <w:tr w14:paraId="3C18FD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45C2B8E9">
                  <w:pPr>
                    <w:pStyle w:val="23"/>
                    <w:bidi w:val="0"/>
                  </w:pPr>
                </w:p>
              </w:tc>
              <w:tc>
                <w:tcPr>
                  <w:tcW w:w="1946" w:type="pct"/>
                  <w:noWrap/>
                  <w:vAlign w:val="center"/>
                </w:tcPr>
                <w:p w14:paraId="3BFC83AB">
                  <w:pPr>
                    <w:pStyle w:val="23"/>
                    <w:bidi w:val="0"/>
                  </w:pPr>
                  <w:r>
                    <w:t>盐酸丁螺环酮</w:t>
                  </w:r>
                </w:p>
              </w:tc>
              <w:tc>
                <w:tcPr>
                  <w:tcW w:w="1117" w:type="pct"/>
                  <w:noWrap/>
                  <w:vAlign w:val="center"/>
                </w:tcPr>
                <w:p w14:paraId="12502383">
                  <w:pPr>
                    <w:pStyle w:val="23"/>
                    <w:bidi w:val="0"/>
                  </w:pPr>
                  <w:r>
                    <w:t>5mg*60片/盒</w:t>
                  </w:r>
                </w:p>
              </w:tc>
              <w:tc>
                <w:tcPr>
                  <w:tcW w:w="1102" w:type="pct"/>
                  <w:noWrap/>
                  <w:vAlign w:val="center"/>
                </w:tcPr>
                <w:p w14:paraId="4569F753">
                  <w:pPr>
                    <w:pStyle w:val="23"/>
                    <w:bidi w:val="0"/>
                  </w:pPr>
                  <w:r>
                    <w:t>0</w:t>
                  </w:r>
                </w:p>
              </w:tc>
            </w:tr>
            <w:tr w14:paraId="6F7716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0639566C">
                  <w:pPr>
                    <w:pStyle w:val="23"/>
                    <w:bidi w:val="0"/>
                  </w:pPr>
                </w:p>
              </w:tc>
              <w:tc>
                <w:tcPr>
                  <w:tcW w:w="1946" w:type="pct"/>
                  <w:noWrap/>
                  <w:vAlign w:val="center"/>
                </w:tcPr>
                <w:p w14:paraId="2D207A2B">
                  <w:pPr>
                    <w:pStyle w:val="23"/>
                    <w:bidi w:val="0"/>
                  </w:pPr>
                  <w:r>
                    <w:t>（集）利培酮片</w:t>
                  </w:r>
                </w:p>
              </w:tc>
              <w:tc>
                <w:tcPr>
                  <w:tcW w:w="1117" w:type="pct"/>
                  <w:noWrap/>
                  <w:vAlign w:val="center"/>
                </w:tcPr>
                <w:p w14:paraId="01BFC0C1">
                  <w:pPr>
                    <w:pStyle w:val="23"/>
                    <w:bidi w:val="0"/>
                  </w:pPr>
                  <w:r>
                    <w:t>1mg*60片/盒</w:t>
                  </w:r>
                </w:p>
              </w:tc>
              <w:tc>
                <w:tcPr>
                  <w:tcW w:w="1102" w:type="pct"/>
                  <w:noWrap/>
                  <w:vAlign w:val="center"/>
                </w:tcPr>
                <w:p w14:paraId="08C228B7">
                  <w:pPr>
                    <w:pStyle w:val="23"/>
                    <w:bidi w:val="0"/>
                  </w:pPr>
                  <w:r>
                    <w:t>0</w:t>
                  </w:r>
                </w:p>
              </w:tc>
            </w:tr>
            <w:tr w14:paraId="3D2952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4E382CF6">
                  <w:pPr>
                    <w:pStyle w:val="23"/>
                    <w:bidi w:val="0"/>
                  </w:pPr>
                </w:p>
              </w:tc>
              <w:tc>
                <w:tcPr>
                  <w:tcW w:w="1946" w:type="pct"/>
                  <w:noWrap/>
                  <w:vAlign w:val="center"/>
                </w:tcPr>
                <w:p w14:paraId="3260AE1D">
                  <w:pPr>
                    <w:pStyle w:val="23"/>
                    <w:bidi w:val="0"/>
                  </w:pPr>
                  <w:r>
                    <w:t>艾司唑仑片</w:t>
                  </w:r>
                </w:p>
              </w:tc>
              <w:tc>
                <w:tcPr>
                  <w:tcW w:w="1117" w:type="pct"/>
                  <w:noWrap/>
                  <w:vAlign w:val="center"/>
                </w:tcPr>
                <w:p w14:paraId="39CD481E">
                  <w:pPr>
                    <w:pStyle w:val="23"/>
                    <w:bidi w:val="0"/>
                  </w:pPr>
                  <w:r>
                    <w:t>1mg*20片/盒</w:t>
                  </w:r>
                </w:p>
              </w:tc>
              <w:tc>
                <w:tcPr>
                  <w:tcW w:w="1102" w:type="pct"/>
                  <w:noWrap/>
                  <w:vAlign w:val="center"/>
                </w:tcPr>
                <w:p w14:paraId="3047B34B">
                  <w:pPr>
                    <w:pStyle w:val="23"/>
                    <w:bidi w:val="0"/>
                  </w:pPr>
                  <w:r>
                    <w:t>0</w:t>
                  </w:r>
                </w:p>
              </w:tc>
            </w:tr>
            <w:tr w14:paraId="661257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7A4D9788">
                  <w:pPr>
                    <w:pStyle w:val="23"/>
                    <w:bidi w:val="0"/>
                  </w:pPr>
                </w:p>
              </w:tc>
              <w:tc>
                <w:tcPr>
                  <w:tcW w:w="1946" w:type="pct"/>
                  <w:noWrap/>
                  <w:vAlign w:val="center"/>
                </w:tcPr>
                <w:p w14:paraId="2AEEB6DA">
                  <w:pPr>
                    <w:pStyle w:val="23"/>
                    <w:bidi w:val="0"/>
                  </w:pPr>
                  <w:r>
                    <w:t>阿立哌唑空腔崩解片</w:t>
                  </w:r>
                </w:p>
              </w:tc>
              <w:tc>
                <w:tcPr>
                  <w:tcW w:w="1117" w:type="pct"/>
                  <w:noWrap/>
                  <w:vAlign w:val="center"/>
                </w:tcPr>
                <w:p w14:paraId="59C232BA">
                  <w:pPr>
                    <w:pStyle w:val="23"/>
                    <w:bidi w:val="0"/>
                  </w:pPr>
                  <w:r>
                    <w:t>5mg*20片/盒</w:t>
                  </w:r>
                </w:p>
              </w:tc>
              <w:tc>
                <w:tcPr>
                  <w:tcW w:w="1102" w:type="pct"/>
                  <w:noWrap/>
                  <w:vAlign w:val="center"/>
                </w:tcPr>
                <w:p w14:paraId="447193B4">
                  <w:pPr>
                    <w:pStyle w:val="23"/>
                    <w:bidi w:val="0"/>
                  </w:pPr>
                  <w:r>
                    <w:t>0</w:t>
                  </w:r>
                </w:p>
              </w:tc>
            </w:tr>
            <w:tr w14:paraId="467FED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4B9A47E3">
                  <w:pPr>
                    <w:pStyle w:val="23"/>
                    <w:bidi w:val="0"/>
                  </w:pPr>
                </w:p>
              </w:tc>
              <w:tc>
                <w:tcPr>
                  <w:tcW w:w="1946" w:type="pct"/>
                  <w:noWrap/>
                  <w:vAlign w:val="center"/>
                </w:tcPr>
                <w:p w14:paraId="60726599">
                  <w:pPr>
                    <w:pStyle w:val="23"/>
                    <w:bidi w:val="0"/>
                  </w:pPr>
                  <w:r>
                    <w:t>阿普唑仑片</w:t>
                  </w:r>
                </w:p>
              </w:tc>
              <w:tc>
                <w:tcPr>
                  <w:tcW w:w="1117" w:type="pct"/>
                  <w:noWrap/>
                  <w:vAlign w:val="center"/>
                </w:tcPr>
                <w:p w14:paraId="79D2E062">
                  <w:pPr>
                    <w:pStyle w:val="23"/>
                    <w:bidi w:val="0"/>
                  </w:pPr>
                  <w:r>
                    <w:t>0.4mg*20片/盒</w:t>
                  </w:r>
                </w:p>
              </w:tc>
              <w:tc>
                <w:tcPr>
                  <w:tcW w:w="1102" w:type="pct"/>
                  <w:noWrap/>
                  <w:vAlign w:val="center"/>
                </w:tcPr>
                <w:p w14:paraId="10FF9CFD">
                  <w:pPr>
                    <w:pStyle w:val="23"/>
                    <w:bidi w:val="0"/>
                  </w:pPr>
                  <w:r>
                    <w:t>0</w:t>
                  </w:r>
                </w:p>
              </w:tc>
            </w:tr>
            <w:tr w14:paraId="1F2F28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1448763C">
                  <w:pPr>
                    <w:pStyle w:val="23"/>
                    <w:bidi w:val="0"/>
                  </w:pPr>
                </w:p>
              </w:tc>
              <w:tc>
                <w:tcPr>
                  <w:tcW w:w="1946" w:type="pct"/>
                  <w:noWrap/>
                  <w:vAlign w:val="center"/>
                </w:tcPr>
                <w:p w14:paraId="4A95910C">
                  <w:pPr>
                    <w:pStyle w:val="23"/>
                    <w:bidi w:val="0"/>
                  </w:pPr>
                  <w:r>
                    <w:t>盐酸齐拉西酮胶囊</w:t>
                  </w:r>
                </w:p>
              </w:tc>
              <w:tc>
                <w:tcPr>
                  <w:tcW w:w="1117" w:type="pct"/>
                  <w:noWrap/>
                  <w:vAlign w:val="center"/>
                </w:tcPr>
                <w:p w14:paraId="5649CFFD">
                  <w:pPr>
                    <w:pStyle w:val="23"/>
                    <w:bidi w:val="0"/>
                  </w:pPr>
                  <w:r>
                    <w:t>20mg*20粒/盒</w:t>
                  </w:r>
                </w:p>
              </w:tc>
              <w:tc>
                <w:tcPr>
                  <w:tcW w:w="1102" w:type="pct"/>
                  <w:noWrap/>
                  <w:vAlign w:val="center"/>
                </w:tcPr>
                <w:p w14:paraId="1434FC0D">
                  <w:pPr>
                    <w:pStyle w:val="23"/>
                    <w:bidi w:val="0"/>
                  </w:pPr>
                  <w:r>
                    <w:t>0</w:t>
                  </w:r>
                </w:p>
              </w:tc>
            </w:tr>
            <w:tr w14:paraId="1B5CAF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39FCBA2E">
                  <w:pPr>
                    <w:pStyle w:val="23"/>
                    <w:bidi w:val="0"/>
                  </w:pPr>
                </w:p>
              </w:tc>
              <w:tc>
                <w:tcPr>
                  <w:tcW w:w="1946" w:type="pct"/>
                  <w:noWrap/>
                  <w:vAlign w:val="center"/>
                </w:tcPr>
                <w:p w14:paraId="3F8DDA34">
                  <w:pPr>
                    <w:pStyle w:val="23"/>
                    <w:bidi w:val="0"/>
                  </w:pPr>
                  <w:r>
                    <w:t>丙茂酸镁缓释片</w:t>
                  </w:r>
                </w:p>
              </w:tc>
              <w:tc>
                <w:tcPr>
                  <w:tcW w:w="1117" w:type="pct"/>
                  <w:noWrap/>
                  <w:vAlign w:val="center"/>
                </w:tcPr>
                <w:p w14:paraId="2E0F5113">
                  <w:pPr>
                    <w:pStyle w:val="23"/>
                    <w:bidi w:val="0"/>
                  </w:pPr>
                  <w:r>
                    <w:t>0.25g*30片/瓶</w:t>
                  </w:r>
                </w:p>
              </w:tc>
              <w:tc>
                <w:tcPr>
                  <w:tcW w:w="1102" w:type="pct"/>
                  <w:noWrap/>
                  <w:vAlign w:val="center"/>
                </w:tcPr>
                <w:p w14:paraId="068A33C8">
                  <w:pPr>
                    <w:pStyle w:val="23"/>
                    <w:bidi w:val="0"/>
                  </w:pPr>
                  <w:r>
                    <w:t>0</w:t>
                  </w:r>
                </w:p>
              </w:tc>
            </w:tr>
            <w:tr w14:paraId="0860D7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3" w:type="pct"/>
                  <w:vMerge w:val="continue"/>
                  <w:noWrap w:val="0"/>
                  <w:vAlign w:val="center"/>
                </w:tcPr>
                <w:p w14:paraId="720F9E44">
                  <w:pPr>
                    <w:pStyle w:val="23"/>
                    <w:bidi w:val="0"/>
                  </w:pPr>
                </w:p>
              </w:tc>
              <w:tc>
                <w:tcPr>
                  <w:tcW w:w="1946" w:type="pct"/>
                  <w:noWrap/>
                  <w:vAlign w:val="center"/>
                </w:tcPr>
                <w:p w14:paraId="32CC8E85">
                  <w:pPr>
                    <w:pStyle w:val="23"/>
                    <w:bidi w:val="0"/>
                  </w:pPr>
                  <w:r>
                    <w:t>氯硝西洋片</w:t>
                  </w:r>
                </w:p>
              </w:tc>
              <w:tc>
                <w:tcPr>
                  <w:tcW w:w="1117" w:type="pct"/>
                  <w:noWrap/>
                  <w:vAlign w:val="center"/>
                </w:tcPr>
                <w:p w14:paraId="71EF9606">
                  <w:pPr>
                    <w:pStyle w:val="23"/>
                    <w:bidi w:val="0"/>
                  </w:pPr>
                  <w:r>
                    <w:t>2mg*100片/瓶</w:t>
                  </w:r>
                </w:p>
              </w:tc>
              <w:tc>
                <w:tcPr>
                  <w:tcW w:w="1102" w:type="pct"/>
                  <w:noWrap/>
                  <w:vAlign w:val="center"/>
                </w:tcPr>
                <w:p w14:paraId="62D2B001">
                  <w:pPr>
                    <w:pStyle w:val="23"/>
                    <w:bidi w:val="0"/>
                  </w:pPr>
                  <w:r>
                    <w:t>0</w:t>
                  </w:r>
                </w:p>
              </w:tc>
            </w:tr>
            <w:tr w14:paraId="4552AF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3" w:type="pct"/>
                  <w:vMerge w:val="continue"/>
                  <w:noWrap w:val="0"/>
                  <w:vAlign w:val="center"/>
                </w:tcPr>
                <w:p w14:paraId="598875FD">
                  <w:pPr>
                    <w:pStyle w:val="23"/>
                    <w:bidi w:val="0"/>
                  </w:pPr>
                </w:p>
              </w:tc>
              <w:tc>
                <w:tcPr>
                  <w:tcW w:w="1946" w:type="pct"/>
                  <w:noWrap/>
                  <w:vAlign w:val="center"/>
                </w:tcPr>
                <w:p w14:paraId="26F1310D">
                  <w:pPr>
                    <w:pStyle w:val="23"/>
                    <w:bidi w:val="0"/>
                  </w:pPr>
                  <w:r>
                    <w:t>酒精</w:t>
                  </w:r>
                </w:p>
              </w:tc>
              <w:tc>
                <w:tcPr>
                  <w:tcW w:w="1117" w:type="pct"/>
                  <w:noWrap/>
                  <w:vAlign w:val="center"/>
                </w:tcPr>
                <w:p w14:paraId="44F92152">
                  <w:pPr>
                    <w:pStyle w:val="23"/>
                    <w:bidi w:val="0"/>
                  </w:pPr>
                  <w:r>
                    <w:t>75%500mL</w:t>
                  </w:r>
                </w:p>
              </w:tc>
              <w:tc>
                <w:tcPr>
                  <w:tcW w:w="1102" w:type="pct"/>
                  <w:noWrap/>
                  <w:vAlign w:val="center"/>
                </w:tcPr>
                <w:p w14:paraId="5CA2063B">
                  <w:pPr>
                    <w:pStyle w:val="23"/>
                    <w:bidi w:val="0"/>
                  </w:pPr>
                  <w:r>
                    <w:t>200瓶</w:t>
                  </w:r>
                </w:p>
              </w:tc>
            </w:tr>
            <w:tr w14:paraId="44EB07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vMerge w:val="continue"/>
                  <w:noWrap w:val="0"/>
                  <w:vAlign w:val="center"/>
                </w:tcPr>
                <w:p w14:paraId="3F95947D">
                  <w:pPr>
                    <w:pStyle w:val="23"/>
                    <w:bidi w:val="0"/>
                  </w:pPr>
                </w:p>
              </w:tc>
              <w:tc>
                <w:tcPr>
                  <w:tcW w:w="1946" w:type="pct"/>
                  <w:noWrap/>
                  <w:vAlign w:val="center"/>
                </w:tcPr>
                <w:p w14:paraId="46691A5B">
                  <w:pPr>
                    <w:pStyle w:val="23"/>
                    <w:bidi w:val="0"/>
                  </w:pPr>
                  <w:r>
                    <w:t>氧气</w:t>
                  </w:r>
                </w:p>
              </w:tc>
              <w:tc>
                <w:tcPr>
                  <w:tcW w:w="1117" w:type="pct"/>
                  <w:noWrap/>
                  <w:vAlign w:val="center"/>
                </w:tcPr>
                <w:p w14:paraId="4AEF84D9">
                  <w:pPr>
                    <w:pStyle w:val="23"/>
                    <w:bidi w:val="0"/>
                  </w:pPr>
                  <w:r>
                    <w:t>40L</w:t>
                  </w:r>
                </w:p>
              </w:tc>
              <w:tc>
                <w:tcPr>
                  <w:tcW w:w="1102" w:type="pct"/>
                  <w:noWrap/>
                  <w:vAlign w:val="center"/>
                </w:tcPr>
                <w:p w14:paraId="056CDC0E">
                  <w:pPr>
                    <w:pStyle w:val="23"/>
                    <w:bidi w:val="0"/>
                  </w:pPr>
                  <w:r>
                    <w:t>200瓶</w:t>
                  </w:r>
                </w:p>
              </w:tc>
            </w:tr>
            <w:tr w14:paraId="5A7127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3" w:type="pct"/>
                  <w:noWrap w:val="0"/>
                  <w:vAlign w:val="center"/>
                </w:tcPr>
                <w:p w14:paraId="0862071C">
                  <w:pPr>
                    <w:pStyle w:val="23"/>
                    <w:bidi w:val="0"/>
                    <w:rPr>
                      <w:rFonts w:hint="eastAsia"/>
                    </w:rPr>
                  </w:pPr>
                  <w:r>
                    <w:rPr>
                      <w:rFonts w:hint="eastAsia"/>
                    </w:rPr>
                    <w:t>消毒剂</w:t>
                  </w:r>
                </w:p>
              </w:tc>
              <w:tc>
                <w:tcPr>
                  <w:tcW w:w="1946" w:type="pct"/>
                  <w:noWrap/>
                  <w:vAlign w:val="top"/>
                </w:tcPr>
                <w:p w14:paraId="271E2930">
                  <w:pPr>
                    <w:pStyle w:val="23"/>
                    <w:bidi w:val="0"/>
                  </w:pPr>
                  <w:r>
                    <w:rPr>
                      <w:rFonts w:hint="eastAsia"/>
                    </w:rPr>
                    <w:t>单过硫酸氢钾复合盐</w:t>
                  </w:r>
                </w:p>
              </w:tc>
              <w:tc>
                <w:tcPr>
                  <w:tcW w:w="1117" w:type="pct"/>
                  <w:noWrap/>
                  <w:vAlign w:val="top"/>
                </w:tcPr>
                <w:p w14:paraId="6862A62A">
                  <w:pPr>
                    <w:pStyle w:val="23"/>
                    <w:bidi w:val="0"/>
                  </w:pPr>
                  <w:r>
                    <w:rPr>
                      <w:rFonts w:hint="eastAsia"/>
                    </w:rPr>
                    <w:t>1kg/盒</w:t>
                  </w:r>
                </w:p>
              </w:tc>
              <w:tc>
                <w:tcPr>
                  <w:tcW w:w="1102" w:type="pct"/>
                  <w:noWrap/>
                  <w:vAlign w:val="center"/>
                </w:tcPr>
                <w:p w14:paraId="4C007ADF">
                  <w:pPr>
                    <w:pStyle w:val="23"/>
                    <w:bidi w:val="0"/>
                  </w:pPr>
                  <w:r>
                    <w:rPr>
                      <w:rFonts w:hint="eastAsia"/>
                    </w:rPr>
                    <w:t>10盒</w:t>
                  </w:r>
                </w:p>
              </w:tc>
            </w:tr>
            <w:tr w14:paraId="656DDF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79" w:type="pct"/>
                  <w:gridSpan w:val="2"/>
                  <w:noWrap w:val="0"/>
                  <w:vAlign w:val="center"/>
                </w:tcPr>
                <w:p w14:paraId="0F78768F">
                  <w:pPr>
                    <w:pStyle w:val="23"/>
                    <w:bidi w:val="0"/>
                    <w:rPr>
                      <w:rFonts w:hint="eastAsia"/>
                    </w:rPr>
                  </w:pPr>
                  <w:r>
                    <w:rPr>
                      <w:rFonts w:hint="eastAsia"/>
                    </w:rPr>
                    <w:t>自来水</w:t>
                  </w:r>
                </w:p>
              </w:tc>
              <w:tc>
                <w:tcPr>
                  <w:tcW w:w="2220" w:type="pct"/>
                  <w:gridSpan w:val="2"/>
                  <w:noWrap w:val="0"/>
                  <w:vAlign w:val="center"/>
                </w:tcPr>
                <w:p w14:paraId="1526B227">
                  <w:pPr>
                    <w:pStyle w:val="23"/>
                    <w:bidi w:val="0"/>
                  </w:pPr>
                  <w:r>
                    <w:rPr>
                      <w:rFonts w:hint="eastAsia"/>
                    </w:rPr>
                    <w:t>38t/月</w:t>
                  </w:r>
                </w:p>
              </w:tc>
            </w:tr>
            <w:tr w14:paraId="788024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779" w:type="pct"/>
                  <w:gridSpan w:val="2"/>
                  <w:noWrap w:val="0"/>
                  <w:vAlign w:val="center"/>
                </w:tcPr>
                <w:p w14:paraId="4CA718D2">
                  <w:pPr>
                    <w:pStyle w:val="23"/>
                    <w:bidi w:val="0"/>
                  </w:pPr>
                  <w:r>
                    <w:rPr>
                      <w:rFonts w:hint="eastAsia"/>
                    </w:rPr>
                    <w:t>电</w:t>
                  </w:r>
                </w:p>
              </w:tc>
              <w:tc>
                <w:tcPr>
                  <w:tcW w:w="2220" w:type="pct"/>
                  <w:gridSpan w:val="2"/>
                  <w:noWrap/>
                  <w:vAlign w:val="center"/>
                </w:tcPr>
                <w:p w14:paraId="1D9EE350">
                  <w:pPr>
                    <w:pStyle w:val="23"/>
                    <w:bidi w:val="0"/>
                  </w:pPr>
                  <w:r>
                    <w:rPr>
                      <w:rFonts w:hint="eastAsia"/>
                    </w:rPr>
                    <w:t>1428kW·h/月</w:t>
                  </w:r>
                </w:p>
              </w:tc>
            </w:tr>
          </w:tbl>
          <w:p w14:paraId="1D62514B">
            <w:pPr>
              <w:pStyle w:val="4"/>
              <w:bidi w:val="0"/>
            </w:pPr>
            <w:r>
              <w:rPr>
                <w:rFonts w:hint="eastAsia"/>
                <w:lang w:eastAsia="zh-CN"/>
              </w:rPr>
              <w:t>主</w:t>
            </w:r>
            <w:r>
              <w:t>要设备</w:t>
            </w:r>
          </w:p>
          <w:p w14:paraId="3D1A905F">
            <w:pPr>
              <w:bidi w:val="0"/>
            </w:pPr>
            <w:r>
              <w:rPr>
                <w:rFonts w:hint="eastAsia"/>
              </w:rPr>
              <w:t>本</w:t>
            </w:r>
            <w:r>
              <w:t>项目所用设备主要为医院用于检查及治疗的仪器设备，其主要医疗设备一览表见</w:t>
            </w:r>
            <w:r>
              <w:rPr>
                <w:rFonts w:hint="eastAsia"/>
              </w:rPr>
              <w:t>下表</w:t>
            </w:r>
            <w:r>
              <w:t>。</w:t>
            </w:r>
          </w:p>
          <w:p w14:paraId="02642FD4">
            <w:pPr>
              <w:pStyle w:val="22"/>
              <w:bidi w:val="0"/>
            </w:pPr>
            <w:r>
              <w:rPr>
                <w:rFonts w:hint="eastAsia"/>
              </w:rPr>
              <w:t>本</w:t>
            </w:r>
            <w:r>
              <w:t>项目</w:t>
            </w:r>
            <w:r>
              <w:rPr>
                <w:rFonts w:hint="eastAsia"/>
              </w:rPr>
              <w:t>设备清单</w:t>
            </w:r>
          </w:p>
          <w:tbl>
            <w:tblPr>
              <w:tblStyle w:val="1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4383"/>
              <w:gridCol w:w="2800"/>
            </w:tblGrid>
            <w:tr w14:paraId="7CF6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18" w:type="pct"/>
                  <w:noWrap/>
                  <w:vAlign w:val="center"/>
                </w:tcPr>
                <w:p w14:paraId="43FF4DB3">
                  <w:pPr>
                    <w:pStyle w:val="23"/>
                    <w:bidi w:val="0"/>
                  </w:pPr>
                  <w:r>
                    <w:t>序号</w:t>
                  </w:r>
                </w:p>
              </w:tc>
              <w:tc>
                <w:tcPr>
                  <w:tcW w:w="2612" w:type="pct"/>
                  <w:noWrap/>
                  <w:vAlign w:val="center"/>
                </w:tcPr>
                <w:p w14:paraId="1C9B10B4">
                  <w:pPr>
                    <w:pStyle w:val="23"/>
                    <w:bidi w:val="0"/>
                  </w:pPr>
                  <w:r>
                    <w:t>设备名称</w:t>
                  </w:r>
                </w:p>
              </w:tc>
              <w:tc>
                <w:tcPr>
                  <w:tcW w:w="1668" w:type="pct"/>
                  <w:noWrap/>
                  <w:vAlign w:val="center"/>
                </w:tcPr>
                <w:p w14:paraId="3E6832C6">
                  <w:pPr>
                    <w:pStyle w:val="23"/>
                    <w:bidi w:val="0"/>
                  </w:pPr>
                  <w:r>
                    <w:t>数量</w:t>
                  </w:r>
                </w:p>
              </w:tc>
            </w:tr>
            <w:tr w14:paraId="3C4F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18" w:type="pct"/>
                  <w:noWrap w:val="0"/>
                  <w:vAlign w:val="center"/>
                </w:tcPr>
                <w:p w14:paraId="57D43CE5">
                  <w:pPr>
                    <w:pStyle w:val="23"/>
                    <w:bidi w:val="0"/>
                  </w:pPr>
                  <w:r>
                    <w:t>1</w:t>
                  </w:r>
                </w:p>
              </w:tc>
              <w:tc>
                <w:tcPr>
                  <w:tcW w:w="2612" w:type="pct"/>
                  <w:noWrap w:val="0"/>
                  <w:vAlign w:val="center"/>
                </w:tcPr>
                <w:p w14:paraId="64CEF534">
                  <w:pPr>
                    <w:pStyle w:val="23"/>
                    <w:bidi w:val="0"/>
                  </w:pPr>
                  <w:r>
                    <w:rPr>
                      <w:rFonts w:hint="eastAsia"/>
                    </w:rPr>
                    <w:t>核磁共振</w:t>
                  </w:r>
                </w:p>
              </w:tc>
              <w:tc>
                <w:tcPr>
                  <w:tcW w:w="1668" w:type="pct"/>
                  <w:noWrap w:val="0"/>
                  <w:vAlign w:val="center"/>
                </w:tcPr>
                <w:p w14:paraId="0B4D42EF">
                  <w:pPr>
                    <w:pStyle w:val="23"/>
                    <w:bidi w:val="0"/>
                  </w:pPr>
                  <w:r>
                    <w:rPr>
                      <w:rFonts w:hint="eastAsia"/>
                    </w:rPr>
                    <w:t>1</w:t>
                  </w:r>
                </w:p>
              </w:tc>
            </w:tr>
            <w:tr w14:paraId="051D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18" w:type="pct"/>
                  <w:noWrap w:val="0"/>
                  <w:vAlign w:val="center"/>
                </w:tcPr>
                <w:p w14:paraId="52A87A9D">
                  <w:pPr>
                    <w:pStyle w:val="23"/>
                    <w:bidi w:val="0"/>
                  </w:pPr>
                  <w:r>
                    <w:t>2</w:t>
                  </w:r>
                </w:p>
              </w:tc>
              <w:tc>
                <w:tcPr>
                  <w:tcW w:w="2612" w:type="pct"/>
                  <w:noWrap w:val="0"/>
                  <w:vAlign w:val="center"/>
                </w:tcPr>
                <w:p w14:paraId="4EBFE4BB">
                  <w:pPr>
                    <w:pStyle w:val="23"/>
                    <w:bidi w:val="0"/>
                  </w:pPr>
                  <w:r>
                    <w:rPr>
                      <w:rFonts w:hint="eastAsia"/>
                    </w:rPr>
                    <w:t>移动式C臂X光机</w:t>
                  </w:r>
                </w:p>
              </w:tc>
              <w:tc>
                <w:tcPr>
                  <w:tcW w:w="1668" w:type="pct"/>
                  <w:noWrap w:val="0"/>
                  <w:vAlign w:val="center"/>
                </w:tcPr>
                <w:p w14:paraId="291656E0">
                  <w:pPr>
                    <w:pStyle w:val="23"/>
                    <w:bidi w:val="0"/>
                  </w:pPr>
                  <w:r>
                    <w:rPr>
                      <w:rFonts w:hint="eastAsia"/>
                    </w:rPr>
                    <w:t>1</w:t>
                  </w:r>
                </w:p>
              </w:tc>
            </w:tr>
            <w:tr w14:paraId="6C59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18" w:type="pct"/>
                  <w:noWrap w:val="0"/>
                  <w:vAlign w:val="center"/>
                </w:tcPr>
                <w:p w14:paraId="2097F1BD">
                  <w:pPr>
                    <w:pStyle w:val="23"/>
                    <w:bidi w:val="0"/>
                  </w:pPr>
                  <w:r>
                    <w:t>3</w:t>
                  </w:r>
                </w:p>
              </w:tc>
              <w:tc>
                <w:tcPr>
                  <w:tcW w:w="2612" w:type="pct"/>
                  <w:noWrap w:val="0"/>
                  <w:vAlign w:val="center"/>
                </w:tcPr>
                <w:p w14:paraId="3A41BCC7">
                  <w:pPr>
                    <w:pStyle w:val="23"/>
                    <w:bidi w:val="0"/>
                  </w:pPr>
                  <w:r>
                    <w:t>移动式臭氧消毒机</w:t>
                  </w:r>
                </w:p>
              </w:tc>
              <w:tc>
                <w:tcPr>
                  <w:tcW w:w="1668" w:type="pct"/>
                  <w:noWrap w:val="0"/>
                  <w:vAlign w:val="center"/>
                </w:tcPr>
                <w:p w14:paraId="22F0CD7C">
                  <w:pPr>
                    <w:pStyle w:val="23"/>
                    <w:bidi w:val="0"/>
                  </w:pPr>
                  <w:r>
                    <w:rPr>
                      <w:rFonts w:hint="eastAsia"/>
                    </w:rPr>
                    <w:t>1</w:t>
                  </w:r>
                </w:p>
              </w:tc>
            </w:tr>
            <w:tr w14:paraId="3CCD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18" w:type="pct"/>
                  <w:noWrap w:val="0"/>
                  <w:vAlign w:val="center"/>
                </w:tcPr>
                <w:p w14:paraId="37B2A137">
                  <w:pPr>
                    <w:pStyle w:val="23"/>
                    <w:bidi w:val="0"/>
                  </w:pPr>
                  <w:r>
                    <w:t>4</w:t>
                  </w:r>
                </w:p>
              </w:tc>
              <w:tc>
                <w:tcPr>
                  <w:tcW w:w="2612" w:type="pct"/>
                  <w:noWrap w:val="0"/>
                  <w:vAlign w:val="center"/>
                </w:tcPr>
                <w:p w14:paraId="3A3DB9A8">
                  <w:pPr>
                    <w:pStyle w:val="23"/>
                    <w:bidi w:val="0"/>
                  </w:pPr>
                  <w:r>
                    <w:t>臂式电子血压计</w:t>
                  </w:r>
                </w:p>
              </w:tc>
              <w:tc>
                <w:tcPr>
                  <w:tcW w:w="1668" w:type="pct"/>
                  <w:noWrap w:val="0"/>
                  <w:vAlign w:val="center"/>
                </w:tcPr>
                <w:p w14:paraId="26043B54">
                  <w:pPr>
                    <w:pStyle w:val="23"/>
                    <w:bidi w:val="0"/>
                  </w:pPr>
                  <w:r>
                    <w:rPr>
                      <w:rFonts w:hint="eastAsia"/>
                    </w:rPr>
                    <w:t>1</w:t>
                  </w:r>
                </w:p>
              </w:tc>
            </w:tr>
            <w:tr w14:paraId="62AC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18" w:type="pct"/>
                  <w:noWrap w:val="0"/>
                  <w:vAlign w:val="center"/>
                </w:tcPr>
                <w:p w14:paraId="2F25334D">
                  <w:pPr>
                    <w:pStyle w:val="23"/>
                    <w:bidi w:val="0"/>
                  </w:pPr>
                  <w:r>
                    <w:t>5</w:t>
                  </w:r>
                </w:p>
              </w:tc>
              <w:tc>
                <w:tcPr>
                  <w:tcW w:w="2612" w:type="pct"/>
                  <w:noWrap w:val="0"/>
                  <w:vAlign w:val="center"/>
                </w:tcPr>
                <w:p w14:paraId="40555E17">
                  <w:pPr>
                    <w:pStyle w:val="23"/>
                    <w:bidi w:val="0"/>
                  </w:pPr>
                  <w:r>
                    <w:t>十二道数字式心电图机</w:t>
                  </w:r>
                </w:p>
              </w:tc>
              <w:tc>
                <w:tcPr>
                  <w:tcW w:w="1668" w:type="pct"/>
                  <w:noWrap w:val="0"/>
                  <w:vAlign w:val="center"/>
                </w:tcPr>
                <w:p w14:paraId="0FC4A482">
                  <w:pPr>
                    <w:pStyle w:val="23"/>
                    <w:bidi w:val="0"/>
                  </w:pPr>
                  <w:r>
                    <w:rPr>
                      <w:rFonts w:hint="eastAsia"/>
                    </w:rPr>
                    <w:t>1</w:t>
                  </w:r>
                </w:p>
              </w:tc>
            </w:tr>
            <w:tr w14:paraId="1B41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18" w:type="pct"/>
                  <w:noWrap w:val="0"/>
                  <w:vAlign w:val="center"/>
                </w:tcPr>
                <w:p w14:paraId="729DCA32">
                  <w:pPr>
                    <w:pStyle w:val="23"/>
                    <w:bidi w:val="0"/>
                  </w:pPr>
                  <w:r>
                    <w:t>6</w:t>
                  </w:r>
                </w:p>
              </w:tc>
              <w:tc>
                <w:tcPr>
                  <w:tcW w:w="2612" w:type="pct"/>
                  <w:noWrap w:val="0"/>
                  <w:vAlign w:val="center"/>
                </w:tcPr>
                <w:p w14:paraId="2E7A4CA6">
                  <w:pPr>
                    <w:pStyle w:val="23"/>
                    <w:bidi w:val="0"/>
                  </w:pPr>
                  <w:r>
                    <w:t>温热电针综合治疗仪</w:t>
                  </w:r>
                </w:p>
              </w:tc>
              <w:tc>
                <w:tcPr>
                  <w:tcW w:w="1668" w:type="pct"/>
                  <w:noWrap w:val="0"/>
                  <w:vAlign w:val="center"/>
                </w:tcPr>
                <w:p w14:paraId="7EF8062D">
                  <w:pPr>
                    <w:pStyle w:val="23"/>
                    <w:bidi w:val="0"/>
                  </w:pPr>
                  <w:r>
                    <w:rPr>
                      <w:rFonts w:hint="eastAsia"/>
                    </w:rPr>
                    <w:t>10</w:t>
                  </w:r>
                </w:p>
              </w:tc>
            </w:tr>
            <w:tr w14:paraId="4ADE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18" w:type="pct"/>
                  <w:noWrap w:val="0"/>
                  <w:vAlign w:val="center"/>
                </w:tcPr>
                <w:p w14:paraId="30697875">
                  <w:pPr>
                    <w:pStyle w:val="23"/>
                    <w:bidi w:val="0"/>
                  </w:pPr>
                  <w:r>
                    <w:t>7</w:t>
                  </w:r>
                </w:p>
              </w:tc>
              <w:tc>
                <w:tcPr>
                  <w:tcW w:w="2612" w:type="pct"/>
                  <w:noWrap w:val="0"/>
                  <w:vAlign w:val="center"/>
                </w:tcPr>
                <w:p w14:paraId="1BAD7CA9">
                  <w:pPr>
                    <w:pStyle w:val="23"/>
                    <w:bidi w:val="0"/>
                  </w:pPr>
                  <w:r>
                    <w:t>TDP红外线烤灯</w:t>
                  </w:r>
                </w:p>
              </w:tc>
              <w:tc>
                <w:tcPr>
                  <w:tcW w:w="1668" w:type="pct"/>
                  <w:noWrap w:val="0"/>
                  <w:vAlign w:val="center"/>
                </w:tcPr>
                <w:p w14:paraId="1B43A5BA">
                  <w:pPr>
                    <w:pStyle w:val="23"/>
                    <w:bidi w:val="0"/>
                  </w:pPr>
                  <w:r>
                    <w:rPr>
                      <w:rFonts w:hint="eastAsia"/>
                    </w:rPr>
                    <w:t>10</w:t>
                  </w:r>
                </w:p>
              </w:tc>
            </w:tr>
          </w:tbl>
          <w:p w14:paraId="0299D054">
            <w:pPr>
              <w:pStyle w:val="28"/>
              <w:bidi w:val="0"/>
            </w:pPr>
            <w:r>
              <w:rPr>
                <w:rFonts w:hint="eastAsia"/>
              </w:rPr>
              <w:t>注：</w:t>
            </w:r>
            <w:r>
              <w:t>本次环评不涉及放射科等辐射相关</w:t>
            </w:r>
            <w:r>
              <w:rPr>
                <w:rFonts w:hint="eastAsia"/>
              </w:rPr>
              <w:t>设备</w:t>
            </w:r>
            <w:r>
              <w:t>，放射等辐射设备须另行申报，办理环评及相关手续。</w:t>
            </w:r>
          </w:p>
          <w:p w14:paraId="543C1908">
            <w:pPr>
              <w:pStyle w:val="4"/>
              <w:bidi w:val="0"/>
            </w:pPr>
            <w:r>
              <w:t>项目工作制度及劳动定员</w:t>
            </w:r>
          </w:p>
          <w:p w14:paraId="2FDD4F85">
            <w:pPr>
              <w:bidi w:val="0"/>
            </w:pPr>
            <w:r>
              <w:rPr>
                <w:rFonts w:hint="eastAsia"/>
              </w:rPr>
              <w:t>本</w:t>
            </w:r>
            <w:r>
              <w:t>项目医院医务</w:t>
            </w:r>
            <w:r>
              <w:rPr>
                <w:rFonts w:hint="eastAsia"/>
              </w:rPr>
              <w:t>及管理</w:t>
            </w:r>
            <w:r>
              <w:t>人员</w:t>
            </w:r>
            <w:r>
              <w:rPr>
                <w:rFonts w:hint="eastAsia"/>
              </w:rPr>
              <w:t>31</w:t>
            </w:r>
            <w:r>
              <w:t>人，年工作时间365天，全天24小时，实行3班制，每班8小时</w:t>
            </w:r>
            <w:r>
              <w:rPr>
                <w:rFonts w:hint="eastAsia"/>
              </w:rPr>
              <w:t>，每班最大劳动定员</w:t>
            </w:r>
            <w:r>
              <w:rPr>
                <w:rFonts w:hint="eastAsia"/>
                <w:lang w:val="en-US" w:eastAsia="zh-CN"/>
              </w:rPr>
              <w:t>11</w:t>
            </w:r>
            <w:r>
              <w:rPr>
                <w:rFonts w:hint="eastAsia"/>
              </w:rPr>
              <w:t>人</w:t>
            </w:r>
            <w:r>
              <w:t>。</w:t>
            </w:r>
          </w:p>
          <w:p w14:paraId="65D0AA19">
            <w:pPr>
              <w:pStyle w:val="3"/>
              <w:bidi w:val="0"/>
            </w:pPr>
            <w:r>
              <w:t>项目总平面布置合理性分析</w:t>
            </w:r>
          </w:p>
          <w:p w14:paraId="07DF6D1D">
            <w:pPr>
              <w:bidi w:val="0"/>
            </w:pPr>
            <w:r>
              <w:t>本项目院址呈不规则形状，在进行总图布置时，考虑最大限度减少能耗与用地，节省建设投资，充分利用厂区地形的有利条件进行布设。</w:t>
            </w:r>
          </w:p>
          <w:p w14:paraId="47BEA1FB">
            <w:pPr>
              <w:pStyle w:val="22"/>
              <w:bidi w:val="0"/>
            </w:pPr>
            <w:r>
              <w:t>与《</w:t>
            </w:r>
            <w:r>
              <w:rPr>
                <w:rFonts w:hint="eastAsia"/>
              </w:rPr>
              <w:t>综合医院</w:t>
            </w:r>
            <w:r>
              <w:t>建筑设计规范》中总平面设置要求符合性</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4550"/>
              <w:gridCol w:w="2911"/>
              <w:gridCol w:w="478"/>
            </w:tblGrid>
            <w:tr w14:paraId="7645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noWrap w:val="0"/>
                  <w:vAlign w:val="center"/>
                </w:tcPr>
                <w:p w14:paraId="4181E621">
                  <w:pPr>
                    <w:pStyle w:val="23"/>
                    <w:bidi w:val="0"/>
                  </w:pPr>
                  <w:r>
                    <w:t>序号</w:t>
                  </w:r>
                </w:p>
              </w:tc>
              <w:tc>
                <w:tcPr>
                  <w:tcW w:w="2710" w:type="pct"/>
                  <w:noWrap w:val="0"/>
                  <w:vAlign w:val="center"/>
                </w:tcPr>
                <w:p w14:paraId="6303444E">
                  <w:pPr>
                    <w:pStyle w:val="23"/>
                    <w:bidi w:val="0"/>
                  </w:pPr>
                  <w:r>
                    <w:t>规范要求</w:t>
                  </w:r>
                </w:p>
              </w:tc>
              <w:tc>
                <w:tcPr>
                  <w:tcW w:w="1734" w:type="pct"/>
                  <w:noWrap w:val="0"/>
                  <w:vAlign w:val="center"/>
                </w:tcPr>
                <w:p w14:paraId="529E2383">
                  <w:pPr>
                    <w:pStyle w:val="23"/>
                    <w:bidi w:val="0"/>
                  </w:pPr>
                  <w:r>
                    <w:t>本项目</w:t>
                  </w:r>
                </w:p>
              </w:tc>
              <w:tc>
                <w:tcPr>
                  <w:tcW w:w="285" w:type="pct"/>
                  <w:noWrap w:val="0"/>
                  <w:vAlign w:val="center"/>
                </w:tcPr>
                <w:p w14:paraId="0494C6A2">
                  <w:pPr>
                    <w:pStyle w:val="23"/>
                    <w:bidi w:val="0"/>
                  </w:pPr>
                  <w:r>
                    <w:t>符合性</w:t>
                  </w:r>
                </w:p>
              </w:tc>
            </w:tr>
            <w:tr w14:paraId="3BB1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noWrap w:val="0"/>
                  <w:vAlign w:val="center"/>
                </w:tcPr>
                <w:p w14:paraId="07C46A82">
                  <w:pPr>
                    <w:pStyle w:val="23"/>
                    <w:bidi w:val="0"/>
                  </w:pPr>
                  <w:r>
                    <w:t>1</w:t>
                  </w:r>
                </w:p>
              </w:tc>
              <w:tc>
                <w:tcPr>
                  <w:tcW w:w="2710" w:type="pct"/>
                  <w:noWrap w:val="0"/>
                  <w:vAlign w:val="center"/>
                </w:tcPr>
                <w:p w14:paraId="5DD2CC93">
                  <w:pPr>
                    <w:pStyle w:val="23"/>
                    <w:bidi w:val="0"/>
                  </w:pPr>
                  <w:r>
                    <w:rPr>
                      <w:rFonts w:hint="eastAsia"/>
                    </w:rPr>
                    <w:t>合理进行功能分区，洁污、医患、人车等流线组织清晰，并应避免院内感染风险；建筑布局紧凑，交通便捷，并应方便管理、减少能耗；应保证住院、手术、功能检查和教学科研等用房的环境安静；病房宜能获得好的朝向；宜留有可发展或改建、扩建的用地；应有完整的绿化规划；对废弃物的处理做出妥善的安排，并应符合有关环境保护法令、法规的规定。</w:t>
                  </w:r>
                </w:p>
              </w:tc>
              <w:tc>
                <w:tcPr>
                  <w:tcW w:w="1734" w:type="pct"/>
                  <w:noWrap w:val="0"/>
                  <w:vAlign w:val="center"/>
                </w:tcPr>
                <w:p w14:paraId="2362B591">
                  <w:pPr>
                    <w:pStyle w:val="23"/>
                    <w:bidi w:val="0"/>
                  </w:pPr>
                  <w:r>
                    <w:t>本项目合理确定功能分区；建筑布局紧凑，交通组织便捷；住院、功能检查等用房环境安静；主要建筑物有良好朝向，建筑物间距满足卫生、采光等要求；预留有发展或改建、扩建用地</w:t>
                  </w:r>
                </w:p>
              </w:tc>
              <w:tc>
                <w:tcPr>
                  <w:tcW w:w="285" w:type="pct"/>
                  <w:noWrap w:val="0"/>
                  <w:vAlign w:val="center"/>
                </w:tcPr>
                <w:p w14:paraId="2306BAE1">
                  <w:pPr>
                    <w:pStyle w:val="23"/>
                    <w:bidi w:val="0"/>
                  </w:pPr>
                  <w:r>
                    <w:t>符合</w:t>
                  </w:r>
                </w:p>
              </w:tc>
            </w:tr>
            <w:tr w14:paraId="0750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noWrap w:val="0"/>
                  <w:vAlign w:val="center"/>
                </w:tcPr>
                <w:p w14:paraId="6BDD01BA">
                  <w:pPr>
                    <w:pStyle w:val="23"/>
                    <w:bidi w:val="0"/>
                  </w:pPr>
                  <w:r>
                    <w:t>2</w:t>
                  </w:r>
                </w:p>
              </w:tc>
              <w:tc>
                <w:tcPr>
                  <w:tcW w:w="2710" w:type="pct"/>
                  <w:noWrap w:val="0"/>
                  <w:vAlign w:val="center"/>
                </w:tcPr>
                <w:p w14:paraId="356624BE">
                  <w:pPr>
                    <w:pStyle w:val="23"/>
                    <w:bidi w:val="0"/>
                  </w:pPr>
                  <w:r>
                    <w:t>院区出人口不宜少于2处</w:t>
                  </w:r>
                  <w:r>
                    <w:rPr>
                      <w:rFonts w:hint="eastAsia"/>
                    </w:rPr>
                    <w:t>，人员出入口不应兼作尸体或废弃物出口。</w:t>
                  </w:r>
                </w:p>
              </w:tc>
              <w:tc>
                <w:tcPr>
                  <w:tcW w:w="1734" w:type="pct"/>
                  <w:noWrap w:val="0"/>
                  <w:vAlign w:val="center"/>
                </w:tcPr>
                <w:p w14:paraId="0B2F773C">
                  <w:pPr>
                    <w:pStyle w:val="23"/>
                    <w:bidi w:val="0"/>
                  </w:pPr>
                  <w:r>
                    <w:rPr>
                      <w:rFonts w:hint="eastAsia"/>
                    </w:rPr>
                    <w:t>本项目</w:t>
                  </w:r>
                  <w:r>
                    <w:t>设置2处出人口，一处</w:t>
                  </w:r>
                  <w:r>
                    <w:rPr>
                      <w:rFonts w:hint="eastAsia"/>
                    </w:rPr>
                    <w:t>主入口</w:t>
                  </w:r>
                  <w:r>
                    <w:t>位于院区</w:t>
                  </w:r>
                  <w:r>
                    <w:rPr>
                      <w:rFonts w:hint="eastAsia"/>
                    </w:rPr>
                    <w:t>南</w:t>
                  </w:r>
                  <w:r>
                    <w:t>侧，一处</w:t>
                  </w:r>
                  <w:r>
                    <w:rPr>
                      <w:rFonts w:hint="eastAsia"/>
                    </w:rPr>
                    <w:t>次入口</w:t>
                  </w:r>
                  <w:r>
                    <w:t>位于院区</w:t>
                  </w:r>
                  <w:r>
                    <w:rPr>
                      <w:rFonts w:hint="eastAsia"/>
                    </w:rPr>
                    <w:t>东南</w:t>
                  </w:r>
                  <w:r>
                    <w:t>侧</w:t>
                  </w:r>
                </w:p>
              </w:tc>
              <w:tc>
                <w:tcPr>
                  <w:tcW w:w="285" w:type="pct"/>
                  <w:noWrap w:val="0"/>
                  <w:vAlign w:val="center"/>
                </w:tcPr>
                <w:p w14:paraId="24604D7A">
                  <w:pPr>
                    <w:pStyle w:val="23"/>
                    <w:bidi w:val="0"/>
                  </w:pPr>
                  <w:r>
                    <w:t>符合</w:t>
                  </w:r>
                </w:p>
              </w:tc>
            </w:tr>
            <w:tr w14:paraId="7E73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noWrap w:val="0"/>
                  <w:vAlign w:val="center"/>
                </w:tcPr>
                <w:p w14:paraId="0F51044E">
                  <w:pPr>
                    <w:pStyle w:val="23"/>
                    <w:bidi w:val="0"/>
                  </w:pPr>
                  <w:r>
                    <w:t>3</w:t>
                  </w:r>
                </w:p>
              </w:tc>
              <w:tc>
                <w:tcPr>
                  <w:tcW w:w="2710" w:type="pct"/>
                  <w:noWrap w:val="0"/>
                  <w:vAlign w:val="center"/>
                </w:tcPr>
                <w:p w14:paraId="790788F3">
                  <w:pPr>
                    <w:pStyle w:val="23"/>
                    <w:bidi w:val="0"/>
                  </w:pPr>
                  <w:r>
                    <w:rPr>
                      <w:rFonts w:hint="eastAsia"/>
                    </w:rPr>
                    <w:t>在门诊、急诊和住院用房等入口附近应设车辆停放场地。</w:t>
                  </w:r>
                </w:p>
              </w:tc>
              <w:tc>
                <w:tcPr>
                  <w:tcW w:w="1734" w:type="pct"/>
                  <w:noWrap w:val="0"/>
                  <w:vAlign w:val="center"/>
                </w:tcPr>
                <w:p w14:paraId="0E555F6E">
                  <w:pPr>
                    <w:pStyle w:val="23"/>
                    <w:bidi w:val="0"/>
                  </w:pPr>
                  <w:r>
                    <w:rPr>
                      <w:rFonts w:hint="eastAsia"/>
                    </w:rPr>
                    <w:t>本项目出入口附近设有车辆停放场地</w:t>
                  </w:r>
                </w:p>
              </w:tc>
              <w:tc>
                <w:tcPr>
                  <w:tcW w:w="285" w:type="pct"/>
                  <w:noWrap w:val="0"/>
                  <w:vAlign w:val="center"/>
                </w:tcPr>
                <w:p w14:paraId="449043C7">
                  <w:pPr>
                    <w:pStyle w:val="23"/>
                    <w:bidi w:val="0"/>
                  </w:pPr>
                  <w:r>
                    <w:t>符合</w:t>
                  </w:r>
                </w:p>
              </w:tc>
            </w:tr>
            <w:tr w14:paraId="6AC8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noWrap w:val="0"/>
                  <w:vAlign w:val="center"/>
                </w:tcPr>
                <w:p w14:paraId="1BD744D6">
                  <w:pPr>
                    <w:pStyle w:val="23"/>
                    <w:bidi w:val="0"/>
                  </w:pPr>
                  <w:r>
                    <w:t>4</w:t>
                  </w:r>
                </w:p>
              </w:tc>
              <w:tc>
                <w:tcPr>
                  <w:tcW w:w="2710" w:type="pct"/>
                  <w:noWrap w:val="0"/>
                  <w:vAlign w:val="center"/>
                </w:tcPr>
                <w:p w14:paraId="0712A2BC">
                  <w:pPr>
                    <w:pStyle w:val="23"/>
                    <w:bidi w:val="0"/>
                  </w:pPr>
                  <w:r>
                    <w:rPr>
                      <w:rFonts w:hint="eastAsia"/>
                    </w:rPr>
                    <w:t>太平间、病理解剖室应设于医院隐蔽处。需设焚烧炉时，应避免风向影响，并应与主体建筑隔离。尸体运送路线应避免与出入院路线交叉</w:t>
                  </w:r>
                </w:p>
              </w:tc>
              <w:tc>
                <w:tcPr>
                  <w:tcW w:w="1734" w:type="pct"/>
                  <w:noWrap w:val="0"/>
                  <w:vAlign w:val="center"/>
                </w:tcPr>
                <w:p w14:paraId="674FF784">
                  <w:pPr>
                    <w:pStyle w:val="23"/>
                    <w:bidi w:val="0"/>
                  </w:pPr>
                  <w:r>
                    <w:t>本项目</w:t>
                  </w:r>
                  <w:r>
                    <w:rPr>
                      <w:rFonts w:hint="eastAsia"/>
                    </w:rPr>
                    <w:t>不涉及太平间及焚烧炉</w:t>
                  </w:r>
                  <w:r>
                    <w:t>。</w:t>
                  </w:r>
                </w:p>
              </w:tc>
              <w:tc>
                <w:tcPr>
                  <w:tcW w:w="285" w:type="pct"/>
                  <w:noWrap w:val="0"/>
                  <w:vAlign w:val="center"/>
                </w:tcPr>
                <w:p w14:paraId="5E52A1FE">
                  <w:pPr>
                    <w:pStyle w:val="23"/>
                    <w:bidi w:val="0"/>
                  </w:pPr>
                  <w:r>
                    <w:t>符合</w:t>
                  </w:r>
                </w:p>
              </w:tc>
            </w:tr>
            <w:tr w14:paraId="02D4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noWrap w:val="0"/>
                  <w:vAlign w:val="center"/>
                </w:tcPr>
                <w:p w14:paraId="1E948A8E">
                  <w:pPr>
                    <w:pStyle w:val="23"/>
                    <w:bidi w:val="0"/>
                  </w:pPr>
                  <w:r>
                    <w:t>5</w:t>
                  </w:r>
                </w:p>
              </w:tc>
              <w:tc>
                <w:tcPr>
                  <w:tcW w:w="2710" w:type="pct"/>
                  <w:noWrap w:val="0"/>
                  <w:vAlign w:val="center"/>
                </w:tcPr>
                <w:p w14:paraId="56D46622">
                  <w:pPr>
                    <w:pStyle w:val="23"/>
                    <w:bidi w:val="0"/>
                  </w:pPr>
                  <w:r>
                    <w:t>充分利用地形、防护间距和其他空地布置绿化景观，并应有供患者康复活动的专用绿地</w:t>
                  </w:r>
                  <w:r>
                    <w:rPr>
                      <w:rFonts w:hint="eastAsia"/>
                    </w:rPr>
                    <w:t>；</w:t>
                  </w:r>
                  <w:r>
                    <w:t>应对绿化、景观、建筑内外空间、环境和室内外标识导向系统等做综合性设计</w:t>
                  </w:r>
                  <w:r>
                    <w:rPr>
                      <w:rFonts w:hint="eastAsia"/>
                    </w:rPr>
                    <w:t>；</w:t>
                  </w:r>
                  <w:r>
                    <w:t>在儿科用房及其人口附近，宜采取符合儿童生理和心理特点的环境设计。</w:t>
                  </w:r>
                </w:p>
              </w:tc>
              <w:tc>
                <w:tcPr>
                  <w:tcW w:w="1734" w:type="pct"/>
                  <w:noWrap w:val="0"/>
                  <w:vAlign w:val="center"/>
                </w:tcPr>
                <w:p w14:paraId="02652333">
                  <w:pPr>
                    <w:pStyle w:val="23"/>
                    <w:bidi w:val="0"/>
                  </w:pPr>
                  <w:r>
                    <w:t>充分利用院区地形布置绿化景观，宜有供患者康复活动的专用绿地；对绿化、景观建筑内外空间环境和室内外标识导向系统等做综合性设计。</w:t>
                  </w:r>
                </w:p>
              </w:tc>
              <w:tc>
                <w:tcPr>
                  <w:tcW w:w="285" w:type="pct"/>
                  <w:noWrap w:val="0"/>
                  <w:vAlign w:val="center"/>
                </w:tcPr>
                <w:p w14:paraId="1EF6914A">
                  <w:pPr>
                    <w:pStyle w:val="23"/>
                    <w:bidi w:val="0"/>
                  </w:pPr>
                  <w:r>
                    <w:t>符合</w:t>
                  </w:r>
                </w:p>
              </w:tc>
            </w:tr>
            <w:tr w14:paraId="0602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noWrap w:val="0"/>
                  <w:vAlign w:val="center"/>
                </w:tcPr>
                <w:p w14:paraId="74DB398D">
                  <w:pPr>
                    <w:pStyle w:val="23"/>
                    <w:bidi w:val="0"/>
                  </w:pPr>
                  <w:r>
                    <w:t>6</w:t>
                  </w:r>
                </w:p>
              </w:tc>
              <w:tc>
                <w:tcPr>
                  <w:tcW w:w="2710" w:type="pct"/>
                  <w:noWrap w:val="0"/>
                  <w:vAlign w:val="center"/>
                </w:tcPr>
                <w:p w14:paraId="4447E88D">
                  <w:pPr>
                    <w:pStyle w:val="23"/>
                    <w:bidi w:val="0"/>
                  </w:pPr>
                  <w:r>
                    <w:rPr>
                      <w:rFonts w:hint="eastAsia"/>
                    </w:rPr>
                    <w:t>病房建筑的前后间距应满足日照和卫生间距要求，且不宜小于12m</w:t>
                  </w:r>
                </w:p>
              </w:tc>
              <w:tc>
                <w:tcPr>
                  <w:tcW w:w="1734" w:type="pct"/>
                  <w:noWrap w:val="0"/>
                  <w:vAlign w:val="center"/>
                </w:tcPr>
                <w:p w14:paraId="2C8346F1">
                  <w:pPr>
                    <w:pStyle w:val="23"/>
                    <w:bidi w:val="0"/>
                  </w:pPr>
                  <w:r>
                    <w:rPr>
                      <w:rFonts w:hint="eastAsia"/>
                      <w:lang w:eastAsia="zh-CN"/>
                    </w:rPr>
                    <w:t>本项目为独栋建筑，不涉及建筑间距</w:t>
                  </w:r>
                </w:p>
              </w:tc>
              <w:tc>
                <w:tcPr>
                  <w:tcW w:w="285" w:type="pct"/>
                  <w:noWrap w:val="0"/>
                  <w:vAlign w:val="center"/>
                </w:tcPr>
                <w:p w14:paraId="18E54EC1">
                  <w:pPr>
                    <w:pStyle w:val="23"/>
                    <w:bidi w:val="0"/>
                  </w:pPr>
                  <w:r>
                    <w:t>符合</w:t>
                  </w:r>
                </w:p>
              </w:tc>
            </w:tr>
            <w:tr w14:paraId="213F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noWrap w:val="0"/>
                  <w:vAlign w:val="center"/>
                </w:tcPr>
                <w:p w14:paraId="2C36EF16">
                  <w:pPr>
                    <w:pStyle w:val="23"/>
                    <w:bidi w:val="0"/>
                    <w:rPr>
                      <w:rFonts w:hint="eastAsia"/>
                      <w:lang w:val="en-US" w:eastAsia="zh-CN"/>
                    </w:rPr>
                  </w:pPr>
                  <w:r>
                    <w:rPr>
                      <w:rFonts w:hint="eastAsia"/>
                      <w:lang w:val="en-US" w:eastAsia="zh-CN"/>
                    </w:rPr>
                    <w:t>7</w:t>
                  </w:r>
                </w:p>
              </w:tc>
              <w:tc>
                <w:tcPr>
                  <w:tcW w:w="2710" w:type="pct"/>
                  <w:noWrap w:val="0"/>
                  <w:vAlign w:val="center"/>
                </w:tcPr>
                <w:p w14:paraId="61D17C9B">
                  <w:pPr>
                    <w:pStyle w:val="23"/>
                    <w:bidi w:val="0"/>
                  </w:pPr>
                  <w:r>
                    <w:rPr>
                      <w:rFonts w:hint="eastAsia"/>
                    </w:rPr>
                    <w:t>在医疗用地不得建职工住宅。医疗用地与职工住宅用地毗连时，应分隔，并应另设出入口</w:t>
                  </w:r>
                </w:p>
              </w:tc>
              <w:tc>
                <w:tcPr>
                  <w:tcW w:w="1734" w:type="pct"/>
                  <w:noWrap w:val="0"/>
                  <w:vAlign w:val="center"/>
                </w:tcPr>
                <w:p w14:paraId="111DAE13">
                  <w:pPr>
                    <w:pStyle w:val="23"/>
                    <w:bidi w:val="0"/>
                  </w:pPr>
                  <w:r>
                    <w:t>在医疗用地内未建职工住宅</w:t>
                  </w:r>
                  <w:r>
                    <w:rPr>
                      <w:rFonts w:hint="eastAsia"/>
                      <w:lang w:eastAsia="zh-CN"/>
                    </w:rPr>
                    <w:t>，仅设置值班用房（医护办公室）</w:t>
                  </w:r>
                  <w:r>
                    <w:t>。</w:t>
                  </w:r>
                </w:p>
              </w:tc>
              <w:tc>
                <w:tcPr>
                  <w:tcW w:w="285" w:type="pct"/>
                  <w:noWrap w:val="0"/>
                  <w:vAlign w:val="center"/>
                </w:tcPr>
                <w:p w14:paraId="32219D44">
                  <w:pPr>
                    <w:pStyle w:val="23"/>
                    <w:bidi w:val="0"/>
                    <w:rPr>
                      <w:rFonts w:hint="eastAsia"/>
                    </w:rPr>
                  </w:pPr>
                  <w:r>
                    <w:rPr>
                      <w:rFonts w:hint="eastAsia"/>
                    </w:rPr>
                    <w:t>符合</w:t>
                  </w:r>
                </w:p>
              </w:tc>
            </w:tr>
          </w:tbl>
          <w:p w14:paraId="1757A841">
            <w:pPr>
              <w:pStyle w:val="25"/>
              <w:bidi w:val="0"/>
              <w:rPr>
                <w:bCs/>
                <w:szCs w:val="21"/>
              </w:rPr>
            </w:pPr>
            <w:r>
              <w:rPr>
                <w:rFonts w:hint="eastAsia"/>
              </w:rPr>
              <w:t>本</w:t>
            </w:r>
            <w:r>
              <w:t>项目布置</w:t>
            </w:r>
            <w:r>
              <w:rPr>
                <w:rFonts w:hint="eastAsia"/>
              </w:rPr>
              <w:t>一</w:t>
            </w:r>
            <w:r>
              <w:t>栋楼，</w:t>
            </w:r>
            <w:r>
              <w:rPr>
                <w:rFonts w:hint="eastAsia"/>
              </w:rPr>
              <w:t>共五层，</w:t>
            </w:r>
            <w:r>
              <w:t>所有建筑顺应地形布局</w:t>
            </w:r>
            <w:r>
              <w:rPr>
                <w:rFonts w:hint="eastAsia"/>
              </w:rPr>
              <w:t>，一层设置诊疗室、药房、磁共振、废物处置暂存间、急救室和治疗室，</w:t>
            </w:r>
            <w:r>
              <w:t>二</w:t>
            </w:r>
            <w:r>
              <w:rPr>
                <w:rFonts w:hint="eastAsia"/>
              </w:rPr>
              <w:t>层设置医生办公室、档案室、库房、卫生间、检验师、治疗室、B超室三~五</w:t>
            </w:r>
            <w:r>
              <w:t>层</w:t>
            </w:r>
            <w:r>
              <w:rPr>
                <w:rFonts w:hint="eastAsia"/>
              </w:rPr>
              <w:t>主要设置病房、库房、治疗室和废物暂存间（五层暂未开放使用）。</w:t>
            </w:r>
            <w:r>
              <w:t>项目根据不同的使用性质合理的划分功能区，分为接待区、诊疗区、等候区、办公区，功能分区明确，避免了不同功能之间的相互干扰，使项目更具有布局的合理性。院区设置了2处出入口，一处</w:t>
            </w:r>
            <w:r>
              <w:rPr>
                <w:rFonts w:hint="eastAsia"/>
              </w:rPr>
              <w:t>主入口</w:t>
            </w:r>
            <w:r>
              <w:t>位于院区</w:t>
            </w:r>
            <w:r>
              <w:rPr>
                <w:rFonts w:hint="eastAsia"/>
              </w:rPr>
              <w:t>南</w:t>
            </w:r>
            <w:r>
              <w:t>侧，一处</w:t>
            </w:r>
            <w:r>
              <w:rPr>
                <w:rFonts w:hint="eastAsia"/>
              </w:rPr>
              <w:t>次入口</w:t>
            </w:r>
            <w:r>
              <w:t>位于院区</w:t>
            </w:r>
            <w:r>
              <w:rPr>
                <w:rFonts w:hint="eastAsia"/>
              </w:rPr>
              <w:t>东</w:t>
            </w:r>
            <w:r>
              <w:t>侧。</w:t>
            </w:r>
          </w:p>
          <w:p w14:paraId="4D498748">
            <w:pPr>
              <w:bidi w:val="0"/>
            </w:pPr>
            <w:r>
              <w:t>项目合理确定功能分区，符合功能流程和洁污分开的要求：分为污染区、清洁区</w:t>
            </w:r>
            <w:r>
              <w:rPr>
                <w:rFonts w:hint="eastAsia"/>
              </w:rPr>
              <w:t>，</w:t>
            </w:r>
            <w:r>
              <w:t>区域间标志明确。清洁用房和污染用房分开集中布局，清洁物品设置专用路线送至使用地点，污物应沿专用污物通道运出，洁污动线不交叉</w:t>
            </w:r>
            <w:r>
              <w:rPr>
                <w:rFonts w:hint="eastAsia"/>
              </w:rPr>
              <w:t>。二~四层均设有废物暂存间，</w:t>
            </w:r>
            <w:r>
              <w:t>方便医疗垃圾的转运，设置合理可行。</w:t>
            </w:r>
          </w:p>
          <w:p w14:paraId="2BA39372">
            <w:pPr>
              <w:bidi w:val="0"/>
            </w:pPr>
            <w:r>
              <w:t>项目周边无重大污染企业，无明显的环境制约因素，运营期间产生的废水、废气、噪声、固废等各项污染物通过采取相应环保治理措施后均可达标排放，通过项目的合理布局、严格管理、积极推进清洁生产及其它具有针对性的环境污染防治措施的采取，可有效地避免或减轻项目营运过程对周围环境的影响。</w:t>
            </w:r>
          </w:p>
          <w:p w14:paraId="69C98427">
            <w:pPr>
              <w:bidi w:val="0"/>
              <w:rPr>
                <w:kern w:val="0"/>
                <w:szCs w:val="21"/>
              </w:rPr>
            </w:pPr>
            <w:r>
              <w:t>综上所述，本项目功能分区清晰，工艺流程顺畅，物流较短捷，有效地协调了与周边环境的关系。因此，本项目总图布置基本合理。</w:t>
            </w:r>
          </w:p>
        </w:tc>
      </w:tr>
      <w:tr w14:paraId="309F4B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443" w:type="dxa"/>
            <w:noWrap w:val="0"/>
            <w:vAlign w:val="center"/>
          </w:tcPr>
          <w:p w14:paraId="15D060F3">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cs="宋体"/>
                <w:sz w:val="21"/>
                <w:szCs w:val="21"/>
              </w:rPr>
            </w:pPr>
            <w:r>
              <w:rPr>
                <w:rStyle w:val="17"/>
                <w:rFonts w:hint="eastAsia"/>
                <w:b/>
                <w:sz w:val="24"/>
              </w:rPr>
              <w:t>工艺流程和产排污环节</w:t>
            </w:r>
          </w:p>
        </w:tc>
        <w:tc>
          <w:tcPr>
            <w:tcW w:w="8617" w:type="dxa"/>
            <w:gridSpan w:val="2"/>
            <w:noWrap w:val="0"/>
            <w:vAlign w:val="top"/>
          </w:tcPr>
          <w:p w14:paraId="2BD4FFC3">
            <w:pPr>
              <w:pStyle w:val="3"/>
              <w:bidi w:val="0"/>
            </w:pPr>
            <w:r>
              <w:t>工艺流程简述（图示）：</w:t>
            </w:r>
          </w:p>
          <w:p w14:paraId="3964D913">
            <w:pPr>
              <w:bidi w:val="0"/>
            </w:pPr>
            <w:r>
              <w:rPr>
                <w:rFonts w:hint="eastAsia"/>
                <w:lang w:val="en-US" w:eastAsia="zh-CN"/>
              </w:rPr>
              <w:t>本项目为补充评价，无施工期，只进行运行期补充分析</w:t>
            </w:r>
            <w:r>
              <w:t>。</w:t>
            </w:r>
          </w:p>
          <w:p w14:paraId="52FA1AD0">
            <w:pPr>
              <w:pStyle w:val="4"/>
              <w:bidi w:val="0"/>
            </w:pPr>
            <w:r>
              <w:t>营运期工艺流程</w:t>
            </w:r>
          </w:p>
          <w:p w14:paraId="23DDF0AD">
            <w:pPr>
              <w:bidi w:val="0"/>
            </w:pPr>
            <w:r>
              <w:t>本项目不设置中央空调，办公室、住院采用分体式空调。本项目营运期的工艺流程及产污节点图如下示。项目营运流程及产污节点图详见下图。</w:t>
            </w:r>
          </w:p>
          <w:p w14:paraId="792030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szCs w:val="21"/>
                <w:highlight w:val="cyan"/>
                <w:lang w:eastAsia="zh-CN"/>
              </w:rPr>
            </w:pPr>
            <w:r>
              <w:rPr>
                <w:rFonts w:hint="eastAsia" w:eastAsia="宋体"/>
                <w:b/>
                <w:szCs w:val="21"/>
                <w:highlight w:val="none"/>
                <w:lang w:eastAsia="zh-CN"/>
              </w:rPr>
              <w:drawing>
                <wp:inline distT="0" distB="0" distL="114300" distR="114300">
                  <wp:extent cx="5219065" cy="4830445"/>
                  <wp:effectExtent l="0" t="0" r="0" b="0"/>
                  <wp:docPr id="9" name="ECB019B1-382A-4266-B25C-5B523AA43C14-2" descr="C:/Users/Administrator/AppData/Local/Temp/wps.GSxDk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2" descr="C:/Users/Administrator/AppData/Local/Temp/wps.GSxDkawps"/>
                          <pic:cNvPicPr>
                            <a:picLocks noChangeAspect="1"/>
                          </pic:cNvPicPr>
                        </pic:nvPicPr>
                        <pic:blipFill>
                          <a:blip r:embed="rId13"/>
                          <a:stretch>
                            <a:fillRect/>
                          </a:stretch>
                        </pic:blipFill>
                        <pic:spPr>
                          <a:xfrm>
                            <a:off x="0" y="0"/>
                            <a:ext cx="5219065" cy="4830445"/>
                          </a:xfrm>
                          <a:prstGeom prst="rect">
                            <a:avLst/>
                          </a:prstGeom>
                        </pic:spPr>
                      </pic:pic>
                    </a:graphicData>
                  </a:graphic>
                </wp:inline>
              </w:drawing>
            </w:r>
          </w:p>
          <w:p w14:paraId="2625F439">
            <w:pPr>
              <w:pStyle w:val="27"/>
              <w:bidi w:val="0"/>
            </w:pPr>
            <w:r>
              <w:t>医院运营期流程及产污位置图</w:t>
            </w:r>
          </w:p>
          <w:p w14:paraId="6D3C2470">
            <w:pPr>
              <w:pStyle w:val="4"/>
              <w:bidi w:val="0"/>
            </w:pPr>
            <w:bookmarkStart w:id="14" w:name="_Toc313004467"/>
            <w:r>
              <w:t>主要污染工序</w:t>
            </w:r>
            <w:bookmarkEnd w:id="14"/>
          </w:p>
          <w:p w14:paraId="685E6E72">
            <w:pPr>
              <w:bidi w:val="0"/>
            </w:pPr>
            <w:r>
              <w:rPr>
                <w:rFonts w:hint="eastAsia"/>
                <w:lang w:eastAsia="zh-CN"/>
              </w:rPr>
              <w:t>（</w:t>
            </w:r>
            <w:r>
              <w:rPr>
                <w:rFonts w:hint="eastAsia"/>
                <w:lang w:val="en-US" w:eastAsia="zh-CN"/>
              </w:rPr>
              <w:t>1</w:t>
            </w:r>
            <w:r>
              <w:rPr>
                <w:rFonts w:hint="eastAsia"/>
                <w:lang w:eastAsia="zh-CN"/>
              </w:rPr>
              <w:t>）</w:t>
            </w:r>
            <w:r>
              <w:t>营运期</w:t>
            </w:r>
          </w:p>
          <w:p w14:paraId="6E8E6D2F">
            <w:pPr>
              <w:bidi w:val="0"/>
              <w:rPr>
                <w:rFonts w:hint="eastAsia"/>
              </w:rPr>
            </w:pPr>
            <w:r>
              <w:t>营运期产生的主要污染物有：</w:t>
            </w:r>
          </w:p>
          <w:p w14:paraId="4979C970">
            <w:pPr>
              <w:bidi w:val="0"/>
            </w:pPr>
            <w:r>
              <w:t>1）废气：</w:t>
            </w:r>
            <w:r>
              <w:rPr>
                <w:rFonts w:hint="eastAsia"/>
                <w:lang w:val="en-US" w:eastAsia="zh-CN"/>
              </w:rPr>
              <w:t>医疗废物暂存间</w:t>
            </w:r>
            <w:r>
              <w:t>臭气、</w:t>
            </w:r>
            <w:r>
              <w:rPr>
                <w:rFonts w:hint="eastAsia"/>
              </w:rPr>
              <w:t>医院浑浊空气、污水处理站臭气及柴油发电机废气</w:t>
            </w:r>
            <w:r>
              <w:t>；</w:t>
            </w:r>
          </w:p>
          <w:p w14:paraId="5125552A">
            <w:pPr>
              <w:bidi w:val="0"/>
              <w:rPr>
                <w:rFonts w:hint="eastAsia"/>
              </w:rPr>
            </w:pPr>
            <w:r>
              <w:t>2）废水：</w:t>
            </w:r>
            <w:r>
              <w:rPr>
                <w:rFonts w:hint="eastAsia"/>
              </w:rPr>
              <w:t>病房产生的医疗废水</w:t>
            </w:r>
            <w:r>
              <w:rPr>
                <w:rFonts w:hint="eastAsia"/>
                <w:lang w:eastAsia="zh-CN"/>
              </w:rPr>
              <w:t>和</w:t>
            </w:r>
            <w:r>
              <w:rPr>
                <w:rFonts w:hint="eastAsia"/>
              </w:rPr>
              <w:t>工作人员产生的生活污水</w:t>
            </w:r>
            <w:r>
              <w:t>；</w:t>
            </w:r>
          </w:p>
          <w:p w14:paraId="3BD08A84">
            <w:pPr>
              <w:bidi w:val="0"/>
            </w:pPr>
            <w:r>
              <w:t>3）噪声：</w:t>
            </w:r>
            <w:r>
              <w:rPr>
                <w:rFonts w:hint="eastAsia"/>
              </w:rPr>
              <w:t>运营期</w:t>
            </w:r>
            <w:r>
              <w:t>主要</w:t>
            </w:r>
            <w:r>
              <w:rPr>
                <w:rFonts w:hint="eastAsia"/>
              </w:rPr>
              <w:t>噪声源为医患</w:t>
            </w:r>
            <w:r>
              <w:t>人员活动</w:t>
            </w:r>
            <w:r>
              <w:rPr>
                <w:rFonts w:hint="eastAsia"/>
              </w:rPr>
              <w:t>社会噪声、空调机组</w:t>
            </w:r>
            <w:r>
              <w:t>设备噪声</w:t>
            </w:r>
            <w:r>
              <w:rPr>
                <w:rFonts w:hint="eastAsia"/>
              </w:rPr>
              <w:t>、医疗设备噪声、空气能热水器系统噪声</w:t>
            </w:r>
            <w:r>
              <w:t>；</w:t>
            </w:r>
          </w:p>
          <w:p w14:paraId="239D54D0">
            <w:pPr>
              <w:bidi w:val="0"/>
              <w:rPr>
                <w:rFonts w:ascii="宋体" w:hAnsi="宋体"/>
                <w:bCs/>
                <w:color w:val="auto"/>
                <w:szCs w:val="21"/>
              </w:rPr>
            </w:pPr>
            <w:r>
              <w:t>4）固废：主要为医疗废物（包括</w:t>
            </w:r>
            <w:r>
              <w:rPr>
                <w:rFonts w:hint="eastAsia"/>
              </w:rPr>
              <w:t>感染性废物、损伤性废物、病理性废物、药物性废物和化学性废物</w:t>
            </w:r>
            <w:r>
              <w:rPr>
                <w:rFonts w:hint="eastAsia"/>
                <w:lang w:eastAsia="zh-CN"/>
              </w:rPr>
              <w:t>等</w:t>
            </w:r>
            <w:r>
              <w:t>）</w:t>
            </w:r>
            <w:r>
              <w:rPr>
                <w:rFonts w:hint="eastAsia"/>
              </w:rPr>
              <w:t>、</w:t>
            </w:r>
            <w:r>
              <w:t>生活垃圾</w:t>
            </w:r>
            <w:r>
              <w:rPr>
                <w:rFonts w:hint="eastAsia"/>
              </w:rPr>
              <w:t>及污水处理站污泥</w:t>
            </w:r>
            <w:r>
              <w:t>。</w:t>
            </w:r>
          </w:p>
        </w:tc>
      </w:tr>
      <w:tr w14:paraId="72C50C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8" w:hRule="atLeast"/>
          <w:jc w:val="center"/>
        </w:trPr>
        <w:tc>
          <w:tcPr>
            <w:tcW w:w="594" w:type="dxa"/>
            <w:gridSpan w:val="2"/>
            <w:noWrap w:val="0"/>
            <w:vAlign w:val="center"/>
          </w:tcPr>
          <w:p w14:paraId="5A1582E2">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cs="宋体"/>
                <w:sz w:val="21"/>
                <w:szCs w:val="21"/>
              </w:rPr>
            </w:pPr>
            <w:r>
              <w:rPr>
                <w:rFonts w:hint="eastAsia" w:cs="宋体"/>
                <w:b/>
                <w:bCs w:val="0"/>
                <w:kern w:val="2"/>
                <w:sz w:val="24"/>
                <w:szCs w:val="24"/>
              </w:rPr>
              <w:t>与项目有关的原有环境污染问题</w:t>
            </w:r>
          </w:p>
        </w:tc>
        <w:tc>
          <w:tcPr>
            <w:tcW w:w="8466" w:type="dxa"/>
            <w:noWrap w:val="0"/>
            <w:vAlign w:val="top"/>
          </w:tcPr>
          <w:p w14:paraId="71F62D98">
            <w:pPr>
              <w:pStyle w:val="3"/>
              <w:bidi w:val="0"/>
              <w:rPr>
                <w:rFonts w:hint="eastAsia"/>
              </w:rPr>
            </w:pPr>
            <w:r>
              <w:t>项目</w:t>
            </w:r>
            <w:r>
              <w:rPr>
                <w:rFonts w:hint="eastAsia"/>
              </w:rPr>
              <w:t>概况</w:t>
            </w:r>
          </w:p>
          <w:p w14:paraId="7BE22FE4">
            <w:pPr>
              <w:bidi w:val="0"/>
              <w:rPr>
                <w:rFonts w:hint="eastAsia"/>
              </w:rPr>
            </w:pPr>
            <w:r>
              <w:rPr>
                <w:rFonts w:hint="eastAsia"/>
              </w:rPr>
              <w:t>遂宁益民医院于2007年办理了建设用地规划许可证（附件</w:t>
            </w:r>
            <w:r>
              <w:rPr>
                <w:rFonts w:hint="eastAsia"/>
                <w:lang w:val="en-US" w:eastAsia="zh-CN"/>
              </w:rPr>
              <w:t>3</w:t>
            </w:r>
            <w:r>
              <w:rPr>
                <w:rFonts w:hint="eastAsia"/>
              </w:rPr>
              <w:t>）并收到遂宁市自然资源和规划局的建设用地批准书（附件</w:t>
            </w:r>
            <w:r>
              <w:rPr>
                <w:rFonts w:hint="eastAsia"/>
                <w:lang w:val="en-US" w:eastAsia="zh-CN"/>
              </w:rPr>
              <w:t>4</w:t>
            </w:r>
            <w:r>
              <w:rPr>
                <w:rFonts w:hint="eastAsia"/>
              </w:rPr>
              <w:t>），在2008年办理土地使用证（附件</w:t>
            </w:r>
            <w:r>
              <w:rPr>
                <w:rFonts w:hint="eastAsia"/>
                <w:lang w:val="en-US" w:eastAsia="zh-CN"/>
              </w:rPr>
              <w:t>6</w:t>
            </w:r>
            <w:r>
              <w:rPr>
                <w:rFonts w:hint="eastAsia"/>
              </w:rPr>
              <w:t>）并得到遂宁市人民政府及</w:t>
            </w:r>
            <w:r>
              <w:rPr>
                <w:rFonts w:hint="eastAsia"/>
                <w:lang w:eastAsia="zh-CN"/>
              </w:rPr>
              <w:t>遂宁市</w:t>
            </w:r>
            <w:r>
              <w:rPr>
                <w:rFonts w:hint="eastAsia"/>
              </w:rPr>
              <w:t>国土资源局批准，并于2020年核准登记医疗机构执业许可证和民办非企业单位登记证书</w:t>
            </w:r>
            <w:r>
              <w:rPr>
                <w:rFonts w:hint="eastAsia"/>
                <w:lang w:eastAsia="zh-CN"/>
              </w:rPr>
              <w:t>（附件</w:t>
            </w:r>
            <w:r>
              <w:rPr>
                <w:rFonts w:hint="eastAsia"/>
                <w:lang w:val="en-US" w:eastAsia="zh-CN"/>
              </w:rPr>
              <w:t>2</w:t>
            </w:r>
            <w:r>
              <w:rPr>
                <w:rFonts w:hint="eastAsia"/>
                <w:lang w:eastAsia="zh-CN"/>
              </w:rPr>
              <w:t>）</w:t>
            </w:r>
            <w:r>
              <w:rPr>
                <w:rFonts w:hint="eastAsia"/>
              </w:rPr>
              <w:t>。</w:t>
            </w:r>
          </w:p>
          <w:p w14:paraId="51529BC2">
            <w:pPr>
              <w:bidi w:val="0"/>
              <w:rPr>
                <w:rFonts w:hint="eastAsia"/>
              </w:rPr>
            </w:pPr>
            <w:r>
              <w:rPr>
                <w:rFonts w:hint="eastAsia"/>
              </w:rPr>
              <w:t>遂宁益民医院开展了内科外科，中医科，影像科等多个科室，共包含医疗护理人员及管理人员共31人，医疗护理人员</w:t>
            </w:r>
            <w:r>
              <w:rPr>
                <w:rFonts w:hint="eastAsia"/>
                <w:lang w:eastAsia="zh-CN"/>
              </w:rPr>
              <w:t>及后勤人员</w:t>
            </w:r>
            <w:r>
              <w:rPr>
                <w:rFonts w:hint="eastAsia"/>
              </w:rPr>
              <w:t>执行三班倒24小时工作制，全年365天执行该工作制，</w:t>
            </w:r>
            <w:r>
              <w:rPr>
                <w:rFonts w:hint="eastAsia"/>
                <w:lang w:eastAsia="zh-CN"/>
              </w:rPr>
              <w:t>以</w:t>
            </w:r>
            <w:r>
              <w:rPr>
                <w:rFonts w:hint="eastAsia"/>
              </w:rPr>
              <w:t>应对医疗卫生突发应急情况。管理人员执行正常工作制。</w:t>
            </w:r>
          </w:p>
          <w:p w14:paraId="7B2A7FDB">
            <w:pPr>
              <w:bidi w:val="0"/>
              <w:rPr>
                <w:szCs w:val="32"/>
              </w:rPr>
            </w:pPr>
            <w:r>
              <w:rPr>
                <w:rFonts w:hint="eastAsia"/>
              </w:rPr>
              <w:t>医院包含综合楼5</w:t>
            </w:r>
            <w:r>
              <w:t>层，</w:t>
            </w:r>
            <w:r>
              <w:rPr>
                <w:rFonts w:hint="eastAsia"/>
              </w:rPr>
              <w:t>设置内科、外科、中医科及医学影像科，</w:t>
            </w:r>
            <w:r>
              <w:t>配置有病房、保障系统、行政管理、环保设施及其他配套公辅设施等。项目设置病床位</w:t>
            </w:r>
            <w:r>
              <w:rPr>
                <w:rFonts w:hint="eastAsia"/>
              </w:rPr>
              <w:t>20</w:t>
            </w:r>
            <w:r>
              <w:t>张，病床位设置于</w:t>
            </w:r>
            <w:r>
              <w:rPr>
                <w:rFonts w:hint="eastAsia"/>
              </w:rPr>
              <w:t>3</w:t>
            </w:r>
            <w:r>
              <w:t>层、</w:t>
            </w:r>
            <w:r>
              <w:rPr>
                <w:rFonts w:hint="eastAsia"/>
              </w:rPr>
              <w:t>4</w:t>
            </w:r>
            <w:r>
              <w:t>层及</w:t>
            </w:r>
            <w:r>
              <w:rPr>
                <w:rFonts w:hint="eastAsia"/>
              </w:rPr>
              <w:t>5</w:t>
            </w:r>
            <w:r>
              <w:t>层。</w:t>
            </w:r>
          </w:p>
          <w:p w14:paraId="6A29B8C3">
            <w:pPr>
              <w:pStyle w:val="3"/>
              <w:bidi w:val="0"/>
              <w:rPr>
                <w:rFonts w:hint="eastAsia"/>
                <w:lang w:eastAsia="zh-CN"/>
              </w:rPr>
            </w:pPr>
            <w:r>
              <w:rPr>
                <w:rFonts w:hint="eastAsia"/>
              </w:rPr>
              <w:t>现有工程污染物</w:t>
            </w:r>
            <w:r>
              <w:rPr>
                <w:rFonts w:hint="eastAsia"/>
                <w:lang w:eastAsia="zh-CN"/>
              </w:rPr>
              <w:t>排放情况</w:t>
            </w:r>
          </w:p>
          <w:p w14:paraId="2265A52C">
            <w:pPr>
              <w:bidi w:val="0"/>
              <w:rPr>
                <w:rFonts w:hint="default"/>
                <w:lang w:val="en-US" w:eastAsia="zh-CN"/>
              </w:rPr>
            </w:pPr>
            <w:r>
              <w:rPr>
                <w:rFonts w:hint="eastAsia"/>
                <w:lang w:eastAsia="zh-CN"/>
              </w:rPr>
              <w:t>现有工程运营期产排污见图</w:t>
            </w:r>
            <w:r>
              <w:rPr>
                <w:rFonts w:hint="eastAsia"/>
                <w:lang w:val="en-US" w:eastAsia="zh-CN"/>
              </w:rPr>
              <w:t>2-4，污染物排放情况如下：</w:t>
            </w:r>
          </w:p>
          <w:p w14:paraId="715A746F">
            <w:pPr>
              <w:pStyle w:val="4"/>
              <w:bidi w:val="0"/>
            </w:pPr>
            <w:r>
              <w:rPr>
                <w:rFonts w:hint="eastAsia"/>
              </w:rPr>
              <w:t>现有工程废水排放量核算</w:t>
            </w:r>
          </w:p>
          <w:p w14:paraId="742A06D6">
            <w:pPr>
              <w:bidi w:val="0"/>
            </w:pPr>
            <w:r>
              <w:t>现有</w:t>
            </w:r>
            <w:r>
              <w:rPr>
                <w:rFonts w:hint="eastAsia"/>
              </w:rPr>
              <w:t>院区医疗废水及医务人员办公生活污水经预处理池处理后进入自建污水处理站，处理达标后进入市政管网，排放量</w:t>
            </w:r>
            <w:r>
              <w:t>为</w:t>
            </w:r>
            <w:r>
              <w:rPr>
                <w:rFonts w:hint="eastAsia"/>
                <w:lang w:val="en-US" w:eastAsia="zh-CN"/>
              </w:rPr>
              <w:t>7.405t</w:t>
            </w:r>
            <w:r>
              <w:t>/d</w:t>
            </w:r>
            <w:r>
              <w:rPr>
                <w:rFonts w:hint="eastAsia"/>
                <w:lang w:eastAsia="zh-CN"/>
              </w:rPr>
              <w:t>、</w:t>
            </w:r>
            <w:r>
              <w:rPr>
                <w:rFonts w:hint="eastAsia"/>
                <w:lang w:val="en-US" w:eastAsia="zh-CN"/>
              </w:rPr>
              <w:t>2702.825t/a，</w:t>
            </w:r>
            <w:r>
              <w:t>现有污染物排放量为</w:t>
            </w:r>
            <w:r>
              <w:rPr>
                <w:rFonts w:hint="eastAsia"/>
              </w:rPr>
              <w:t>：</w:t>
            </w:r>
          </w:p>
          <w:p w14:paraId="19F1A64D">
            <w:pPr>
              <w:bidi w:val="0"/>
              <w:rPr>
                <w:rFonts w:hint="eastAsia"/>
                <w:lang w:val="en-US" w:eastAsia="zh-CN"/>
              </w:rPr>
            </w:pPr>
            <w:r>
              <w:rPr>
                <w:rFonts w:hint="eastAsia"/>
                <w:lang w:val="en-US" w:eastAsia="zh-CN"/>
              </w:rPr>
              <w:t>（1）项目排口</w:t>
            </w:r>
          </w:p>
          <w:p w14:paraId="63CB1DE5">
            <w:pPr>
              <w:bidi w:val="0"/>
            </w:pPr>
            <w:r>
              <w:t>COD</w:t>
            </w:r>
            <w:r>
              <w:rPr>
                <w:rFonts w:hint="eastAsia"/>
                <w:vertAlign w:val="subscript"/>
                <w:lang w:val="en-US" w:eastAsia="zh-CN"/>
              </w:rPr>
              <w:t>C</w:t>
            </w:r>
            <w:r>
              <w:rPr>
                <w:vertAlign w:val="subscript"/>
              </w:rPr>
              <w:t>r</w:t>
            </w:r>
            <w:r>
              <w:rPr>
                <w:rFonts w:hint="eastAsia"/>
              </w:rPr>
              <w:t>：</w:t>
            </w:r>
            <w:r>
              <w:rPr>
                <w:rFonts w:hint="eastAsia"/>
                <w:lang w:val="en-US" w:eastAsia="zh-CN"/>
              </w:rPr>
              <w:t>2702.825t</w:t>
            </w:r>
            <w:r>
              <w:rPr>
                <w:rFonts w:hint="eastAsia"/>
              </w:rPr>
              <w:t>/a×</w:t>
            </w:r>
            <w:r>
              <w:rPr>
                <w:rFonts w:hint="eastAsia"/>
                <w:lang w:val="en-US" w:eastAsia="zh-CN"/>
              </w:rPr>
              <w:t>250</w:t>
            </w:r>
            <w:r>
              <w:rPr>
                <w:rFonts w:hint="eastAsia"/>
              </w:rPr>
              <w:t>mg/L</w:t>
            </w:r>
            <w:r>
              <w:t>×10</w:t>
            </w:r>
            <w:r>
              <w:rPr>
                <w:vertAlign w:val="superscript"/>
              </w:rPr>
              <w:t>-6</w:t>
            </w:r>
            <w:r>
              <w:rPr>
                <w:rFonts w:hint="eastAsia"/>
              </w:rPr>
              <w:t>=</w:t>
            </w:r>
            <w:r>
              <w:rPr>
                <w:rFonts w:hint="eastAsia"/>
                <w:lang w:val="en-US" w:eastAsia="zh-CN"/>
              </w:rPr>
              <w:t>0.676</w:t>
            </w:r>
            <w:r>
              <w:rPr>
                <w:rFonts w:hint="eastAsia"/>
              </w:rPr>
              <w:t>t/a</w:t>
            </w:r>
          </w:p>
          <w:p w14:paraId="77542074">
            <w:pPr>
              <w:bidi w:val="0"/>
              <w:rPr>
                <w:rFonts w:hint="eastAsia"/>
              </w:rPr>
            </w:pPr>
            <w:r>
              <w:rPr>
                <w:rFonts w:hint="eastAsia"/>
              </w:rPr>
              <w:t>N</w:t>
            </w:r>
            <w:r>
              <w:t>H</w:t>
            </w:r>
            <w:r>
              <w:rPr>
                <w:vertAlign w:val="subscript"/>
              </w:rPr>
              <w:t>3</w:t>
            </w:r>
            <w:r>
              <w:t>-N</w:t>
            </w:r>
            <w:r>
              <w:rPr>
                <w:rFonts w:hint="eastAsia"/>
              </w:rPr>
              <w:t>：</w:t>
            </w:r>
            <w:r>
              <w:rPr>
                <w:rFonts w:hint="eastAsia"/>
                <w:lang w:val="en-US" w:eastAsia="zh-CN"/>
              </w:rPr>
              <w:t>2702.825</w:t>
            </w:r>
            <w:r>
              <w:rPr>
                <w:rFonts w:hint="eastAsia"/>
              </w:rPr>
              <w:t>t/a</w:t>
            </w:r>
            <w:r>
              <w:t>×</w:t>
            </w:r>
            <w:r>
              <w:rPr>
                <w:rFonts w:hint="eastAsia"/>
                <w:lang w:val="en-US" w:eastAsia="zh-CN"/>
              </w:rPr>
              <w:t>45</w:t>
            </w:r>
            <w:r>
              <w:t>mg/L×10</w:t>
            </w:r>
            <w:r>
              <w:rPr>
                <w:vertAlign w:val="superscript"/>
              </w:rPr>
              <w:t>-6</w:t>
            </w:r>
            <w:r>
              <w:rPr>
                <w:rFonts w:hint="eastAsia"/>
              </w:rPr>
              <w:t>=0.</w:t>
            </w:r>
            <w:r>
              <w:rPr>
                <w:rFonts w:hint="eastAsia"/>
                <w:lang w:val="en-US" w:eastAsia="zh-CN"/>
              </w:rPr>
              <w:t>122</w:t>
            </w:r>
            <w:r>
              <w:rPr>
                <w:rFonts w:hint="eastAsia"/>
              </w:rPr>
              <w:t>t/a</w:t>
            </w:r>
          </w:p>
          <w:p w14:paraId="580D204F">
            <w:pPr>
              <w:bidi w:val="0"/>
              <w:rPr>
                <w:rFonts w:hint="eastAsia"/>
                <w:lang w:val="en-US" w:eastAsia="zh-CN"/>
              </w:rPr>
            </w:pPr>
            <w:r>
              <w:rPr>
                <w:rFonts w:hint="eastAsia"/>
                <w:lang w:val="en-US" w:eastAsia="zh-CN"/>
              </w:rPr>
              <w:t>（2）污水处理厂排口</w:t>
            </w:r>
          </w:p>
          <w:p w14:paraId="119FEB6E">
            <w:pPr>
              <w:bidi w:val="0"/>
            </w:pPr>
            <w:r>
              <w:t>COD</w:t>
            </w:r>
            <w:r>
              <w:rPr>
                <w:rFonts w:hint="eastAsia"/>
                <w:vertAlign w:val="subscript"/>
                <w:lang w:val="en-US" w:eastAsia="zh-CN"/>
              </w:rPr>
              <w:t>C</w:t>
            </w:r>
            <w:r>
              <w:rPr>
                <w:vertAlign w:val="subscript"/>
              </w:rPr>
              <w:t>r</w:t>
            </w:r>
            <w:r>
              <w:rPr>
                <w:rFonts w:hint="eastAsia"/>
              </w:rPr>
              <w:t>：</w:t>
            </w:r>
            <w:r>
              <w:rPr>
                <w:rFonts w:hint="eastAsia"/>
                <w:lang w:val="en-US" w:eastAsia="zh-CN"/>
              </w:rPr>
              <w:t>2702.825</w:t>
            </w:r>
            <w:r>
              <w:rPr>
                <w:rFonts w:hint="eastAsia"/>
              </w:rPr>
              <w:t>/a×</w:t>
            </w:r>
            <w:r>
              <w:rPr>
                <w:rFonts w:hint="eastAsia"/>
                <w:lang w:val="en-US" w:eastAsia="zh-CN"/>
              </w:rPr>
              <w:t>50</w:t>
            </w:r>
            <w:r>
              <w:rPr>
                <w:rFonts w:hint="eastAsia"/>
              </w:rPr>
              <w:t>mg/L</w:t>
            </w:r>
            <w:r>
              <w:t>×10</w:t>
            </w:r>
            <w:r>
              <w:rPr>
                <w:vertAlign w:val="superscript"/>
              </w:rPr>
              <w:t>-6</w:t>
            </w:r>
            <w:r>
              <w:rPr>
                <w:rFonts w:hint="eastAsia"/>
              </w:rPr>
              <w:t>=0.</w:t>
            </w:r>
            <w:r>
              <w:rPr>
                <w:rFonts w:hint="eastAsia"/>
                <w:lang w:val="en-US" w:eastAsia="zh-CN"/>
              </w:rPr>
              <w:t>135</w:t>
            </w:r>
            <w:r>
              <w:rPr>
                <w:rFonts w:hint="eastAsia"/>
              </w:rPr>
              <w:t>t/a</w:t>
            </w:r>
          </w:p>
          <w:p w14:paraId="5834FB7C">
            <w:pPr>
              <w:bidi w:val="0"/>
              <w:rPr>
                <w:rFonts w:hint="eastAsia"/>
              </w:rPr>
            </w:pPr>
            <w:r>
              <w:rPr>
                <w:rFonts w:hint="eastAsia"/>
              </w:rPr>
              <w:t>N</w:t>
            </w:r>
            <w:r>
              <w:t>H</w:t>
            </w:r>
            <w:r>
              <w:rPr>
                <w:vertAlign w:val="subscript"/>
              </w:rPr>
              <w:t>3</w:t>
            </w:r>
            <w:r>
              <w:t>-N</w:t>
            </w:r>
            <w:r>
              <w:rPr>
                <w:rFonts w:hint="eastAsia"/>
              </w:rPr>
              <w:t>：</w:t>
            </w:r>
            <w:r>
              <w:rPr>
                <w:rFonts w:hint="eastAsia"/>
                <w:lang w:val="en-US" w:eastAsia="zh-CN"/>
              </w:rPr>
              <w:t>2702.825</w:t>
            </w:r>
            <w:r>
              <w:rPr>
                <w:rFonts w:hint="eastAsia"/>
              </w:rPr>
              <w:t>t/a</w:t>
            </w:r>
            <w:r>
              <w:t>×</w:t>
            </w:r>
            <w:r>
              <w:rPr>
                <w:rFonts w:hint="eastAsia"/>
                <w:lang w:val="en-US" w:eastAsia="zh-CN"/>
              </w:rPr>
              <w:t>5（8）</w:t>
            </w:r>
            <w:r>
              <w:t>mg/L×10</w:t>
            </w:r>
            <w:r>
              <w:rPr>
                <w:vertAlign w:val="superscript"/>
              </w:rPr>
              <w:t>-6</w:t>
            </w:r>
            <w:r>
              <w:rPr>
                <w:rFonts w:hint="eastAsia"/>
              </w:rPr>
              <w:t>=0.0</w:t>
            </w:r>
            <w:r>
              <w:rPr>
                <w:rFonts w:hint="eastAsia"/>
                <w:lang w:val="en-US" w:eastAsia="zh-CN"/>
              </w:rPr>
              <w:t>14（0.022）</w:t>
            </w:r>
            <w:r>
              <w:rPr>
                <w:rFonts w:hint="eastAsia"/>
              </w:rPr>
              <w:t>t/a</w:t>
            </w:r>
          </w:p>
          <w:p w14:paraId="7409FD50">
            <w:pPr>
              <w:pStyle w:val="4"/>
              <w:bidi w:val="0"/>
            </w:pPr>
            <w:r>
              <w:rPr>
                <w:rFonts w:hint="eastAsia"/>
              </w:rPr>
              <w:t>现有工程废气</w:t>
            </w:r>
          </w:p>
          <w:p w14:paraId="6F21C6F6">
            <w:pPr>
              <w:bidi w:val="0"/>
            </w:pPr>
            <w:r>
              <w:rPr>
                <w:rFonts w:hint="eastAsia"/>
                <w:lang w:eastAsia="zh-CN"/>
              </w:rPr>
              <w:t>（</w:t>
            </w:r>
            <w:r>
              <w:rPr>
                <w:rFonts w:hint="eastAsia"/>
                <w:lang w:val="en-US" w:eastAsia="zh-CN"/>
              </w:rPr>
              <w:t>1</w:t>
            </w:r>
            <w:r>
              <w:rPr>
                <w:rFonts w:hint="eastAsia"/>
                <w:lang w:eastAsia="zh-CN"/>
              </w:rPr>
              <w:t>）</w:t>
            </w:r>
            <w:r>
              <w:t>污水处理站臭气</w:t>
            </w:r>
          </w:p>
          <w:p w14:paraId="674ABF6E">
            <w:pPr>
              <w:bidi w:val="0"/>
              <w:rPr>
                <w:rFonts w:hint="eastAsia"/>
              </w:rPr>
            </w:pPr>
            <w:r>
              <w:rPr>
                <w:rFonts w:hint="eastAsia"/>
              </w:rPr>
              <w:t>废水处理设施恶臭来自污水处理设施，在污水生化处理过程中将产生氨、硫化氢等物质，从而形成恶臭。由于本项目所用的一体化污水处理设备处理量小，</w:t>
            </w:r>
            <w:r>
              <w:rPr>
                <w:rFonts w:hint="eastAsia"/>
                <w:lang w:val="en-US" w:eastAsia="zh-CN"/>
              </w:rPr>
              <w:t>每日处理的废水为7.405t</w:t>
            </w:r>
            <w:r>
              <w:rPr>
                <w:rFonts w:hint="eastAsia"/>
              </w:rPr>
              <w:t>，污水停留时间短，所以只有少量臭气产生，并定期对污水处理站区域喷洒除臭剂，因此，对</w:t>
            </w:r>
            <w:r>
              <w:rPr>
                <w:rFonts w:hint="eastAsia"/>
                <w:lang w:eastAsia="zh-CN"/>
              </w:rPr>
              <w:t>周围环境影响较小，定性分析</w:t>
            </w:r>
            <w:r>
              <w:rPr>
                <w:rFonts w:hint="eastAsia"/>
              </w:rPr>
              <w:t>。</w:t>
            </w:r>
          </w:p>
          <w:p w14:paraId="1A4BD14C">
            <w:pPr>
              <w:bidi w:val="0"/>
            </w:pPr>
            <w:r>
              <w:t>（2）医疗暂存间臭气</w:t>
            </w:r>
          </w:p>
          <w:p w14:paraId="51112A37">
            <w:pPr>
              <w:bidi w:val="0"/>
            </w:pPr>
            <w:r>
              <w:t>本项目在</w:t>
            </w:r>
            <w:r>
              <w:rPr>
                <w:rFonts w:hint="eastAsia"/>
              </w:rPr>
              <w:t>一层</w:t>
            </w:r>
            <w:r>
              <w:t>设置医疗废物暂存间，暂存医疗废物期间会产生</w:t>
            </w:r>
            <w:r>
              <w:rPr>
                <w:rFonts w:hint="eastAsia"/>
              </w:rPr>
              <w:t>少量</w:t>
            </w:r>
            <w:r>
              <w:t>恶臭气体。</w:t>
            </w:r>
            <w:r>
              <w:rPr>
                <w:rFonts w:hint="eastAsia"/>
              </w:rPr>
              <w:t>医疗废物经专用医疗废物桶密闭收集贮存。医院设专人负责清理和喷洒消毒药水，</w:t>
            </w:r>
            <w:r>
              <w:rPr>
                <w:rFonts w:hint="eastAsia"/>
                <w:lang w:eastAsia="zh-CN"/>
              </w:rPr>
              <w:t>医疗废物</w:t>
            </w:r>
            <w:r>
              <w:rPr>
                <w:rFonts w:hint="eastAsia"/>
              </w:rPr>
              <w:t>及时由有医疗废物处置单位处置，做到定期清理。因此，对</w:t>
            </w:r>
            <w:r>
              <w:rPr>
                <w:rFonts w:hint="eastAsia"/>
                <w:lang w:eastAsia="zh-CN"/>
              </w:rPr>
              <w:t>周围环境影响较小，定性分析</w:t>
            </w:r>
            <w:r>
              <w:rPr>
                <w:rFonts w:hint="eastAsia"/>
              </w:rPr>
              <w:t>。</w:t>
            </w:r>
          </w:p>
          <w:p w14:paraId="733F9ABE">
            <w:pPr>
              <w:bidi w:val="0"/>
              <w:rPr>
                <w:rFonts w:hint="default"/>
                <w:lang w:val="en-US"/>
              </w:rPr>
            </w:pPr>
            <w:r>
              <w:t>（3）</w:t>
            </w:r>
            <w:r>
              <w:rPr>
                <w:rFonts w:hint="eastAsia"/>
                <w:lang w:val="en-US" w:eastAsia="zh-CN"/>
              </w:rPr>
              <w:t>医院浑浊空气</w:t>
            </w:r>
          </w:p>
          <w:p w14:paraId="256822CB">
            <w:pPr>
              <w:bidi w:val="0"/>
              <w:rPr>
                <w:rFonts w:hint="eastAsia"/>
              </w:rPr>
            </w:pPr>
            <w:r>
              <w:t>医院不同于其它的公共场所，由于来往病人较多，病人会带</w:t>
            </w:r>
            <w:r>
              <w:rPr>
                <w:rFonts w:hint="eastAsia"/>
                <w:lang w:eastAsia="zh-CN"/>
              </w:rPr>
              <w:t>入</w:t>
            </w:r>
            <w:r>
              <w:t>不同的细菌和病毒</w:t>
            </w:r>
            <w:r>
              <w:rPr>
                <w:rFonts w:hint="eastAsia"/>
                <w:lang w:eastAsia="zh-CN"/>
              </w:rPr>
              <w:t>。医院</w:t>
            </w:r>
            <w:r>
              <w:t>严格管理，对室内定期进行紫外消毒灭菌（每日至少一次）以降低空气中含菌量；同时加强室内通风，靠窗办公室及病房采用自然通风，其他区域采用机械通风，利用空调系统送风，排风口均置于本项目所在大楼屋顶平台</w:t>
            </w:r>
            <w:r>
              <w:rPr>
                <w:rFonts w:hint="eastAsia"/>
                <w:lang w:eastAsia="zh-CN"/>
              </w:rPr>
              <w:t>。</w:t>
            </w:r>
            <w:r>
              <w:rPr>
                <w:rFonts w:hint="eastAsia"/>
              </w:rPr>
              <w:t>因此，对</w:t>
            </w:r>
            <w:r>
              <w:rPr>
                <w:rFonts w:hint="eastAsia"/>
                <w:lang w:eastAsia="zh-CN"/>
              </w:rPr>
              <w:t>周围环境影响较小，定性分析</w:t>
            </w:r>
            <w:r>
              <w:rPr>
                <w:rFonts w:hint="eastAsia"/>
              </w:rPr>
              <w:t>。</w:t>
            </w:r>
          </w:p>
          <w:p w14:paraId="2E446741">
            <w:pPr>
              <w:bidi w:val="0"/>
              <w:rPr>
                <w:lang w:val="en-US" w:eastAsia="zh-CN"/>
              </w:rPr>
            </w:pPr>
            <w:r>
              <w:rPr>
                <w:lang w:val="en-US" w:eastAsia="zh-CN"/>
              </w:rPr>
              <w:t>（4）备用柴油发电机废气</w:t>
            </w:r>
          </w:p>
          <w:p w14:paraId="17D0CA79">
            <w:pPr>
              <w:bidi w:val="0"/>
              <w:rPr>
                <w:rFonts w:hint="eastAsia"/>
              </w:rPr>
            </w:pPr>
            <w:r>
              <w:t>当城市电网断电时，备用柴油发电机将投入运行，经过发电机自带的消烟除尘装置处理后，由专用排烟道引至</w:t>
            </w:r>
            <w:r>
              <w:rPr>
                <w:rFonts w:hint="eastAsia"/>
                <w:lang w:val="en-US" w:eastAsia="zh-CN"/>
              </w:rPr>
              <w:t>楼外</w:t>
            </w:r>
            <w:r>
              <w:t>排放。另外，加之项目所在区域电力供应充足，其柴油发电机的使用频率很小。因此，柴油发电机废气不会对周围环境产生明显影响。</w:t>
            </w:r>
          </w:p>
          <w:p w14:paraId="3E994A47">
            <w:pPr>
              <w:pStyle w:val="4"/>
              <w:bidi w:val="0"/>
            </w:pPr>
            <w:r>
              <w:rPr>
                <w:rFonts w:hint="eastAsia"/>
              </w:rPr>
              <w:t>现有工程固废产生及治理情况</w:t>
            </w:r>
          </w:p>
          <w:p w14:paraId="3D788143">
            <w:pPr>
              <w:bidi w:val="0"/>
            </w:pPr>
            <w:r>
              <w:t>根据</w:t>
            </w:r>
            <w:r>
              <w:rPr>
                <w:rFonts w:hint="eastAsia"/>
              </w:rPr>
              <w:t>已建项目情况，现有</w:t>
            </w:r>
            <w:r>
              <w:t>污染物的产生情况见下表</w:t>
            </w:r>
            <w:r>
              <w:rPr>
                <w:rFonts w:hint="eastAsia"/>
              </w:rPr>
              <w:t>。</w:t>
            </w:r>
          </w:p>
          <w:p w14:paraId="0C8A676C">
            <w:pPr>
              <w:pStyle w:val="22"/>
              <w:bidi w:val="0"/>
              <w:rPr>
                <w:rFonts w:hint="eastAsia"/>
              </w:rPr>
            </w:pPr>
            <w:r>
              <w:t>现有工程固废产生及治理情况</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881"/>
              <w:gridCol w:w="1066"/>
              <w:gridCol w:w="1348"/>
              <w:gridCol w:w="899"/>
              <w:gridCol w:w="2195"/>
            </w:tblGrid>
            <w:tr w14:paraId="6B8D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noWrap/>
                  <w:vAlign w:val="center"/>
                </w:tcPr>
                <w:p w14:paraId="16BCF916">
                  <w:pPr>
                    <w:pStyle w:val="23"/>
                    <w:keepNext w:val="0"/>
                    <w:keepLines w:val="0"/>
                    <w:pageBreakBefore w:val="0"/>
                    <w:widowControl/>
                    <w:kinsoku/>
                    <w:wordWrap/>
                    <w:overflowPunct/>
                    <w:topLinePunct w:val="0"/>
                    <w:autoSpaceDE/>
                    <w:autoSpaceDN/>
                    <w:bidi w:val="0"/>
                    <w:adjustRightInd w:val="0"/>
                    <w:snapToGrid w:val="0"/>
                    <w:textAlignment w:val="auto"/>
                  </w:pPr>
                  <w:r>
                    <w:t>污染物类型</w:t>
                  </w:r>
                </w:p>
              </w:tc>
              <w:tc>
                <w:tcPr>
                  <w:tcW w:w="1141" w:type="pct"/>
                  <w:noWrap/>
                  <w:vAlign w:val="center"/>
                </w:tcPr>
                <w:p w14:paraId="4CABBAB3">
                  <w:pPr>
                    <w:pStyle w:val="23"/>
                    <w:keepNext w:val="0"/>
                    <w:keepLines w:val="0"/>
                    <w:pageBreakBefore w:val="0"/>
                    <w:widowControl/>
                    <w:kinsoku/>
                    <w:wordWrap/>
                    <w:overflowPunct/>
                    <w:topLinePunct w:val="0"/>
                    <w:autoSpaceDE/>
                    <w:autoSpaceDN/>
                    <w:bidi w:val="0"/>
                    <w:adjustRightInd w:val="0"/>
                    <w:snapToGrid w:val="0"/>
                    <w:textAlignment w:val="auto"/>
                  </w:pPr>
                  <w:r>
                    <w:t>污染物</w:t>
                  </w:r>
                </w:p>
              </w:tc>
              <w:tc>
                <w:tcPr>
                  <w:tcW w:w="646" w:type="pct"/>
                  <w:noWrap/>
                  <w:vAlign w:val="center"/>
                </w:tcPr>
                <w:p w14:paraId="6D0005B8">
                  <w:pPr>
                    <w:pStyle w:val="23"/>
                    <w:keepNext w:val="0"/>
                    <w:keepLines w:val="0"/>
                    <w:pageBreakBefore w:val="0"/>
                    <w:widowControl/>
                    <w:kinsoku/>
                    <w:wordWrap/>
                    <w:overflowPunct/>
                    <w:topLinePunct w:val="0"/>
                    <w:autoSpaceDE/>
                    <w:autoSpaceDN/>
                    <w:bidi w:val="0"/>
                    <w:adjustRightInd w:val="0"/>
                    <w:snapToGrid w:val="0"/>
                    <w:textAlignment w:val="auto"/>
                  </w:pPr>
                  <w:r>
                    <w:t>危废类别</w:t>
                  </w:r>
                </w:p>
              </w:tc>
              <w:tc>
                <w:tcPr>
                  <w:tcW w:w="818" w:type="pct"/>
                  <w:noWrap/>
                  <w:vAlign w:val="center"/>
                </w:tcPr>
                <w:p w14:paraId="23B0E1BA">
                  <w:pPr>
                    <w:pStyle w:val="23"/>
                    <w:keepNext w:val="0"/>
                    <w:keepLines w:val="0"/>
                    <w:pageBreakBefore w:val="0"/>
                    <w:widowControl/>
                    <w:kinsoku/>
                    <w:wordWrap/>
                    <w:overflowPunct/>
                    <w:topLinePunct w:val="0"/>
                    <w:autoSpaceDE/>
                    <w:autoSpaceDN/>
                    <w:bidi w:val="0"/>
                    <w:adjustRightInd w:val="0"/>
                    <w:snapToGrid w:val="0"/>
                    <w:textAlignment w:val="auto"/>
                  </w:pPr>
                  <w:r>
                    <w:t>危废代码</w:t>
                  </w:r>
                </w:p>
              </w:tc>
              <w:tc>
                <w:tcPr>
                  <w:tcW w:w="545" w:type="pct"/>
                  <w:noWrap/>
                  <w:vAlign w:val="center"/>
                </w:tcPr>
                <w:p w14:paraId="1E6B67E4">
                  <w:pPr>
                    <w:pStyle w:val="23"/>
                    <w:keepNext w:val="0"/>
                    <w:keepLines w:val="0"/>
                    <w:pageBreakBefore w:val="0"/>
                    <w:widowControl/>
                    <w:kinsoku/>
                    <w:wordWrap/>
                    <w:overflowPunct/>
                    <w:topLinePunct w:val="0"/>
                    <w:autoSpaceDE/>
                    <w:autoSpaceDN/>
                    <w:bidi w:val="0"/>
                    <w:adjustRightInd w:val="0"/>
                    <w:snapToGrid w:val="0"/>
                    <w:textAlignment w:val="auto"/>
                  </w:pPr>
                  <w:r>
                    <w:t>产生量t/a</w:t>
                  </w:r>
                </w:p>
              </w:tc>
              <w:tc>
                <w:tcPr>
                  <w:tcW w:w="1332" w:type="pct"/>
                  <w:noWrap/>
                  <w:vAlign w:val="center"/>
                </w:tcPr>
                <w:p w14:paraId="3636FA9B">
                  <w:pPr>
                    <w:pStyle w:val="23"/>
                    <w:keepNext w:val="0"/>
                    <w:keepLines w:val="0"/>
                    <w:pageBreakBefore w:val="0"/>
                    <w:widowControl/>
                    <w:kinsoku/>
                    <w:wordWrap/>
                    <w:overflowPunct/>
                    <w:topLinePunct w:val="0"/>
                    <w:autoSpaceDE/>
                    <w:autoSpaceDN/>
                    <w:bidi w:val="0"/>
                    <w:adjustRightInd w:val="0"/>
                    <w:snapToGrid w:val="0"/>
                    <w:textAlignment w:val="auto"/>
                  </w:pPr>
                  <w:r>
                    <w:t>处理措施</w:t>
                  </w:r>
                </w:p>
              </w:tc>
            </w:tr>
            <w:tr w14:paraId="6D37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noWrap w:val="0"/>
                  <w:vAlign w:val="center"/>
                </w:tcPr>
                <w:p w14:paraId="7BFB800A">
                  <w:pPr>
                    <w:pStyle w:val="23"/>
                    <w:keepNext w:val="0"/>
                    <w:keepLines w:val="0"/>
                    <w:pageBreakBefore w:val="0"/>
                    <w:widowControl/>
                    <w:kinsoku/>
                    <w:wordWrap/>
                    <w:overflowPunct/>
                    <w:topLinePunct w:val="0"/>
                    <w:autoSpaceDE/>
                    <w:autoSpaceDN/>
                    <w:bidi w:val="0"/>
                    <w:adjustRightInd w:val="0"/>
                    <w:snapToGrid w:val="0"/>
                    <w:textAlignment w:val="auto"/>
                  </w:pPr>
                  <w:r>
                    <w:t>一般废物</w:t>
                  </w:r>
                </w:p>
              </w:tc>
              <w:tc>
                <w:tcPr>
                  <w:tcW w:w="1141" w:type="pct"/>
                  <w:noWrap w:val="0"/>
                  <w:vAlign w:val="center"/>
                </w:tcPr>
                <w:p w14:paraId="30E8B21D">
                  <w:pPr>
                    <w:pStyle w:val="23"/>
                    <w:keepNext w:val="0"/>
                    <w:keepLines w:val="0"/>
                    <w:pageBreakBefore w:val="0"/>
                    <w:widowControl/>
                    <w:kinsoku/>
                    <w:wordWrap/>
                    <w:overflowPunct/>
                    <w:topLinePunct w:val="0"/>
                    <w:autoSpaceDE/>
                    <w:autoSpaceDN/>
                    <w:bidi w:val="0"/>
                    <w:adjustRightInd w:val="0"/>
                    <w:snapToGrid w:val="0"/>
                    <w:textAlignment w:val="auto"/>
                  </w:pPr>
                  <w:r>
                    <w:t>生活垃圾</w:t>
                  </w:r>
                </w:p>
              </w:tc>
              <w:tc>
                <w:tcPr>
                  <w:tcW w:w="646" w:type="pct"/>
                  <w:noWrap w:val="0"/>
                  <w:vAlign w:val="center"/>
                </w:tcPr>
                <w:p w14:paraId="12A5739E">
                  <w:pPr>
                    <w:pStyle w:val="23"/>
                    <w:keepNext w:val="0"/>
                    <w:keepLines w:val="0"/>
                    <w:pageBreakBefore w:val="0"/>
                    <w:widowControl/>
                    <w:kinsoku/>
                    <w:wordWrap/>
                    <w:overflowPunct/>
                    <w:topLinePunct w:val="0"/>
                    <w:autoSpaceDE/>
                    <w:autoSpaceDN/>
                    <w:bidi w:val="0"/>
                    <w:adjustRightInd w:val="0"/>
                    <w:snapToGrid w:val="0"/>
                    <w:textAlignment w:val="auto"/>
                  </w:pPr>
                  <w:r>
                    <w:t>/</w:t>
                  </w:r>
                </w:p>
              </w:tc>
              <w:tc>
                <w:tcPr>
                  <w:tcW w:w="818" w:type="pct"/>
                  <w:noWrap w:val="0"/>
                  <w:vAlign w:val="center"/>
                </w:tcPr>
                <w:p w14:paraId="402939A4">
                  <w:pPr>
                    <w:pStyle w:val="23"/>
                    <w:keepNext w:val="0"/>
                    <w:keepLines w:val="0"/>
                    <w:pageBreakBefore w:val="0"/>
                    <w:widowControl/>
                    <w:kinsoku/>
                    <w:wordWrap/>
                    <w:overflowPunct/>
                    <w:topLinePunct w:val="0"/>
                    <w:autoSpaceDE/>
                    <w:autoSpaceDN/>
                    <w:bidi w:val="0"/>
                    <w:adjustRightInd w:val="0"/>
                    <w:snapToGrid w:val="0"/>
                    <w:textAlignment w:val="auto"/>
                  </w:pPr>
                  <w:r>
                    <w:t>/</w:t>
                  </w:r>
                </w:p>
              </w:tc>
              <w:tc>
                <w:tcPr>
                  <w:tcW w:w="545" w:type="pct"/>
                  <w:noWrap w:val="0"/>
                  <w:vAlign w:val="center"/>
                </w:tcPr>
                <w:p w14:paraId="6AA82D80">
                  <w:pPr>
                    <w:pStyle w:val="23"/>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3.76t</w:t>
                  </w:r>
                </w:p>
              </w:tc>
              <w:tc>
                <w:tcPr>
                  <w:tcW w:w="1332" w:type="pct"/>
                  <w:noWrap/>
                  <w:vAlign w:val="center"/>
                </w:tcPr>
                <w:p w14:paraId="2C8E8676">
                  <w:pPr>
                    <w:pStyle w:val="23"/>
                    <w:keepNext w:val="0"/>
                    <w:keepLines w:val="0"/>
                    <w:pageBreakBefore w:val="0"/>
                    <w:widowControl/>
                    <w:kinsoku/>
                    <w:wordWrap/>
                    <w:overflowPunct/>
                    <w:topLinePunct w:val="0"/>
                    <w:autoSpaceDE/>
                    <w:autoSpaceDN/>
                    <w:bidi w:val="0"/>
                    <w:adjustRightInd w:val="0"/>
                    <w:snapToGrid w:val="0"/>
                    <w:textAlignment w:val="auto"/>
                  </w:pPr>
                  <w:r>
                    <w:rPr>
                      <w:rFonts w:hint="eastAsia"/>
                    </w:rPr>
                    <w:t>交由遂宁市环卫处理</w:t>
                  </w:r>
                </w:p>
              </w:tc>
            </w:tr>
            <w:tr w14:paraId="3992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restart"/>
                  <w:noWrap w:val="0"/>
                  <w:vAlign w:val="center"/>
                </w:tcPr>
                <w:p w14:paraId="6496F380">
                  <w:pPr>
                    <w:pStyle w:val="23"/>
                    <w:keepNext w:val="0"/>
                    <w:keepLines w:val="0"/>
                    <w:pageBreakBefore w:val="0"/>
                    <w:widowControl/>
                    <w:kinsoku/>
                    <w:wordWrap/>
                    <w:overflowPunct/>
                    <w:topLinePunct w:val="0"/>
                    <w:autoSpaceDE/>
                    <w:autoSpaceDN/>
                    <w:bidi w:val="0"/>
                    <w:adjustRightInd w:val="0"/>
                    <w:snapToGrid w:val="0"/>
                    <w:textAlignment w:val="auto"/>
                    <w:rPr>
                      <w:rFonts w:hint="eastAsia"/>
                    </w:rPr>
                  </w:pPr>
                  <w:r>
                    <w:rPr>
                      <w:rFonts w:hint="eastAsia"/>
                    </w:rPr>
                    <w:t>医疗废物</w:t>
                  </w:r>
                </w:p>
              </w:tc>
              <w:tc>
                <w:tcPr>
                  <w:tcW w:w="1141" w:type="pct"/>
                  <w:noWrap w:val="0"/>
                  <w:vAlign w:val="center"/>
                </w:tcPr>
                <w:p w14:paraId="649B120E">
                  <w:pPr>
                    <w:pStyle w:val="23"/>
                    <w:keepNext w:val="0"/>
                    <w:keepLines w:val="0"/>
                    <w:pageBreakBefore w:val="0"/>
                    <w:widowControl/>
                    <w:kinsoku/>
                    <w:wordWrap/>
                    <w:overflowPunct/>
                    <w:topLinePunct w:val="0"/>
                    <w:autoSpaceDE/>
                    <w:autoSpaceDN/>
                    <w:bidi w:val="0"/>
                    <w:adjustRightInd w:val="0"/>
                    <w:snapToGrid w:val="0"/>
                    <w:textAlignment w:val="auto"/>
                    <w:rPr>
                      <w:rFonts w:hint="eastAsia"/>
                    </w:rPr>
                  </w:pPr>
                  <w:r>
                    <w:rPr>
                      <w:rFonts w:hint="eastAsia"/>
                    </w:rPr>
                    <w:t>湿纱布及衣物；废血浆、培养基；病理组织；塑料类；金属类</w:t>
                  </w:r>
                </w:p>
              </w:tc>
              <w:tc>
                <w:tcPr>
                  <w:tcW w:w="646" w:type="pct"/>
                  <w:noWrap w:val="0"/>
                  <w:vAlign w:val="center"/>
                </w:tcPr>
                <w:p w14:paraId="1FEA080D">
                  <w:pPr>
                    <w:pStyle w:val="23"/>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HW01</w:t>
                  </w:r>
                </w:p>
              </w:tc>
              <w:tc>
                <w:tcPr>
                  <w:tcW w:w="818" w:type="pct"/>
                  <w:noWrap w:val="0"/>
                  <w:vAlign w:val="center"/>
                </w:tcPr>
                <w:p w14:paraId="4158E599">
                  <w:pPr>
                    <w:pStyle w:val="23"/>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eastAsia"/>
                      <w:lang w:eastAsia="zh-CN"/>
                    </w:rPr>
                    <w:t>8</w:t>
                  </w:r>
                  <w:r>
                    <w:rPr>
                      <w:rFonts w:hint="eastAsia"/>
                      <w:lang w:val="en-US" w:eastAsia="zh-CN"/>
                    </w:rPr>
                    <w:t>41-005-01</w:t>
                  </w:r>
                </w:p>
              </w:tc>
              <w:tc>
                <w:tcPr>
                  <w:tcW w:w="545" w:type="pct"/>
                  <w:vMerge w:val="restart"/>
                  <w:noWrap w:val="0"/>
                  <w:vAlign w:val="center"/>
                </w:tcPr>
                <w:p w14:paraId="79F0294F">
                  <w:pPr>
                    <w:pStyle w:val="23"/>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7.3t</w:t>
                  </w:r>
                </w:p>
              </w:tc>
              <w:tc>
                <w:tcPr>
                  <w:tcW w:w="1332" w:type="pct"/>
                  <w:vMerge w:val="restart"/>
                  <w:noWrap/>
                  <w:vAlign w:val="center"/>
                </w:tcPr>
                <w:p w14:paraId="5B9819BC">
                  <w:pPr>
                    <w:pStyle w:val="23"/>
                    <w:keepNext w:val="0"/>
                    <w:keepLines w:val="0"/>
                    <w:pageBreakBefore w:val="0"/>
                    <w:widowControl/>
                    <w:kinsoku/>
                    <w:wordWrap/>
                    <w:overflowPunct/>
                    <w:topLinePunct w:val="0"/>
                    <w:autoSpaceDE/>
                    <w:autoSpaceDN/>
                    <w:bidi w:val="0"/>
                    <w:adjustRightInd w:val="0"/>
                    <w:snapToGrid w:val="0"/>
                    <w:textAlignment w:val="auto"/>
                    <w:rPr>
                      <w:rFonts w:hint="eastAsia"/>
                    </w:rPr>
                  </w:pPr>
                  <w:r>
                    <w:rPr>
                      <w:rFonts w:hint="eastAsia"/>
                    </w:rPr>
                    <w:t>遂宁市净源垃圾处理有限公司处置集中处置</w:t>
                  </w:r>
                  <w:r>
                    <w:rPr>
                      <w:rFonts w:hint="eastAsia"/>
                      <w:lang w:eastAsia="zh-CN"/>
                    </w:rPr>
                    <w:t>（附件</w:t>
                  </w:r>
                  <w:r>
                    <w:rPr>
                      <w:rFonts w:hint="eastAsia"/>
                      <w:lang w:val="en-US" w:eastAsia="zh-CN"/>
                    </w:rPr>
                    <w:t>12</w:t>
                  </w:r>
                  <w:r>
                    <w:rPr>
                      <w:rFonts w:hint="eastAsia"/>
                      <w:lang w:eastAsia="zh-CN"/>
                    </w:rPr>
                    <w:t>）</w:t>
                  </w:r>
                </w:p>
              </w:tc>
            </w:tr>
            <w:tr w14:paraId="1954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noWrap w:val="0"/>
                  <w:vAlign w:val="center"/>
                </w:tcPr>
                <w:p w14:paraId="15ACE72B">
                  <w:pPr>
                    <w:pStyle w:val="23"/>
                    <w:keepNext w:val="0"/>
                    <w:keepLines w:val="0"/>
                    <w:pageBreakBefore w:val="0"/>
                    <w:widowControl/>
                    <w:kinsoku/>
                    <w:wordWrap/>
                    <w:overflowPunct/>
                    <w:topLinePunct w:val="0"/>
                    <w:autoSpaceDE/>
                    <w:autoSpaceDN/>
                    <w:bidi w:val="0"/>
                    <w:adjustRightInd w:val="0"/>
                    <w:snapToGrid w:val="0"/>
                    <w:textAlignment w:val="auto"/>
                    <w:rPr>
                      <w:rFonts w:hint="eastAsia"/>
                    </w:rPr>
                  </w:pPr>
                </w:p>
              </w:tc>
              <w:tc>
                <w:tcPr>
                  <w:tcW w:w="1141" w:type="pct"/>
                  <w:noWrap w:val="0"/>
                  <w:vAlign w:val="center"/>
                </w:tcPr>
                <w:p w14:paraId="4920FC3D">
                  <w:pPr>
                    <w:pStyle w:val="23"/>
                    <w:keepNext w:val="0"/>
                    <w:keepLines w:val="0"/>
                    <w:pageBreakBefore w:val="0"/>
                    <w:widowControl/>
                    <w:kinsoku/>
                    <w:wordWrap/>
                    <w:overflowPunct/>
                    <w:topLinePunct w:val="0"/>
                    <w:autoSpaceDE/>
                    <w:autoSpaceDN/>
                    <w:bidi w:val="0"/>
                    <w:adjustRightInd w:val="0"/>
                    <w:snapToGrid w:val="0"/>
                    <w:textAlignment w:val="auto"/>
                    <w:rPr>
                      <w:rFonts w:hint="eastAsia"/>
                    </w:rPr>
                  </w:pPr>
                  <w:r>
                    <w:rPr>
                      <w:rFonts w:hint="eastAsia"/>
                    </w:rPr>
                    <w:t>药品药物</w:t>
                  </w:r>
                </w:p>
              </w:tc>
              <w:tc>
                <w:tcPr>
                  <w:tcW w:w="646" w:type="pct"/>
                  <w:noWrap w:val="0"/>
                  <w:vAlign w:val="center"/>
                </w:tcPr>
                <w:p w14:paraId="0F501AED">
                  <w:pPr>
                    <w:pStyle w:val="23"/>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HW01</w:t>
                  </w:r>
                </w:p>
              </w:tc>
              <w:tc>
                <w:tcPr>
                  <w:tcW w:w="818" w:type="pct"/>
                  <w:noWrap w:val="0"/>
                  <w:vAlign w:val="center"/>
                </w:tcPr>
                <w:p w14:paraId="235AFC69">
                  <w:pPr>
                    <w:pStyle w:val="23"/>
                    <w:keepNext w:val="0"/>
                    <w:keepLines w:val="0"/>
                    <w:pageBreakBefore w:val="0"/>
                    <w:widowControl/>
                    <w:kinsoku/>
                    <w:wordWrap/>
                    <w:overflowPunct/>
                    <w:topLinePunct w:val="0"/>
                    <w:autoSpaceDE/>
                    <w:autoSpaceDN/>
                    <w:bidi w:val="0"/>
                    <w:adjustRightInd w:val="0"/>
                    <w:snapToGrid w:val="0"/>
                    <w:textAlignment w:val="auto"/>
                    <w:rPr>
                      <w:rFonts w:hint="default"/>
                    </w:rPr>
                  </w:pPr>
                  <w:r>
                    <w:rPr>
                      <w:rFonts w:hint="eastAsia"/>
                      <w:lang w:eastAsia="zh-CN"/>
                    </w:rPr>
                    <w:t>8</w:t>
                  </w:r>
                  <w:r>
                    <w:rPr>
                      <w:rFonts w:hint="eastAsia"/>
                      <w:lang w:val="en-US" w:eastAsia="zh-CN"/>
                    </w:rPr>
                    <w:t>41-005-01</w:t>
                  </w:r>
                </w:p>
              </w:tc>
              <w:tc>
                <w:tcPr>
                  <w:tcW w:w="545" w:type="pct"/>
                  <w:vMerge w:val="continue"/>
                  <w:noWrap w:val="0"/>
                  <w:vAlign w:val="center"/>
                </w:tcPr>
                <w:p w14:paraId="616EFB58">
                  <w:pPr>
                    <w:pStyle w:val="23"/>
                    <w:keepNext w:val="0"/>
                    <w:keepLines w:val="0"/>
                    <w:pageBreakBefore w:val="0"/>
                    <w:widowControl/>
                    <w:kinsoku/>
                    <w:wordWrap/>
                    <w:overflowPunct/>
                    <w:topLinePunct w:val="0"/>
                    <w:autoSpaceDE/>
                    <w:autoSpaceDN/>
                    <w:bidi w:val="0"/>
                    <w:adjustRightInd w:val="0"/>
                    <w:snapToGrid w:val="0"/>
                    <w:textAlignment w:val="auto"/>
                  </w:pPr>
                </w:p>
              </w:tc>
              <w:tc>
                <w:tcPr>
                  <w:tcW w:w="1332" w:type="pct"/>
                  <w:vMerge w:val="continue"/>
                  <w:noWrap/>
                  <w:vAlign w:val="center"/>
                </w:tcPr>
                <w:p w14:paraId="7B0C94F2">
                  <w:pPr>
                    <w:pStyle w:val="23"/>
                    <w:keepNext w:val="0"/>
                    <w:keepLines w:val="0"/>
                    <w:pageBreakBefore w:val="0"/>
                    <w:widowControl/>
                    <w:kinsoku/>
                    <w:wordWrap/>
                    <w:overflowPunct/>
                    <w:topLinePunct w:val="0"/>
                    <w:autoSpaceDE/>
                    <w:autoSpaceDN/>
                    <w:bidi w:val="0"/>
                    <w:adjustRightInd w:val="0"/>
                    <w:snapToGrid w:val="0"/>
                    <w:textAlignment w:val="auto"/>
                  </w:pPr>
                </w:p>
              </w:tc>
            </w:tr>
            <w:tr w14:paraId="4D16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noWrap w:val="0"/>
                  <w:vAlign w:val="center"/>
                </w:tcPr>
                <w:p w14:paraId="672C0408">
                  <w:pPr>
                    <w:pStyle w:val="23"/>
                    <w:keepNext w:val="0"/>
                    <w:keepLines w:val="0"/>
                    <w:pageBreakBefore w:val="0"/>
                    <w:widowControl/>
                    <w:kinsoku/>
                    <w:wordWrap/>
                    <w:overflowPunct/>
                    <w:topLinePunct w:val="0"/>
                    <w:autoSpaceDE/>
                    <w:autoSpaceDN/>
                    <w:bidi w:val="0"/>
                    <w:adjustRightInd w:val="0"/>
                    <w:snapToGrid w:val="0"/>
                    <w:textAlignment w:val="auto"/>
                  </w:pPr>
                  <w:r>
                    <w:t>危险废物</w:t>
                  </w:r>
                </w:p>
              </w:tc>
              <w:tc>
                <w:tcPr>
                  <w:tcW w:w="1141" w:type="pct"/>
                  <w:noWrap w:val="0"/>
                  <w:vAlign w:val="center"/>
                </w:tcPr>
                <w:p w14:paraId="6F694D22">
                  <w:pPr>
                    <w:pStyle w:val="23"/>
                    <w:keepNext w:val="0"/>
                    <w:keepLines w:val="0"/>
                    <w:pageBreakBefore w:val="0"/>
                    <w:widowControl/>
                    <w:kinsoku/>
                    <w:wordWrap/>
                    <w:overflowPunct/>
                    <w:topLinePunct w:val="0"/>
                    <w:autoSpaceDE/>
                    <w:autoSpaceDN/>
                    <w:bidi w:val="0"/>
                    <w:adjustRightInd w:val="0"/>
                    <w:snapToGrid w:val="0"/>
                    <w:textAlignment w:val="auto"/>
                  </w:pPr>
                  <w:r>
                    <w:t>废水处理站污泥</w:t>
                  </w:r>
                </w:p>
              </w:tc>
              <w:tc>
                <w:tcPr>
                  <w:tcW w:w="646" w:type="pct"/>
                  <w:noWrap w:val="0"/>
                  <w:vAlign w:val="center"/>
                </w:tcPr>
                <w:p w14:paraId="640D56CA">
                  <w:pPr>
                    <w:pStyle w:val="23"/>
                    <w:keepNext w:val="0"/>
                    <w:keepLines w:val="0"/>
                    <w:pageBreakBefore w:val="0"/>
                    <w:widowControl/>
                    <w:kinsoku/>
                    <w:wordWrap/>
                    <w:overflowPunct/>
                    <w:topLinePunct w:val="0"/>
                    <w:autoSpaceDE/>
                    <w:autoSpaceDN/>
                    <w:bidi w:val="0"/>
                    <w:adjustRightInd w:val="0"/>
                    <w:snapToGrid w:val="0"/>
                    <w:textAlignment w:val="auto"/>
                  </w:pPr>
                  <w:r>
                    <w:t>HW17</w:t>
                  </w:r>
                </w:p>
              </w:tc>
              <w:tc>
                <w:tcPr>
                  <w:tcW w:w="818" w:type="pct"/>
                  <w:noWrap w:val="0"/>
                  <w:vAlign w:val="center"/>
                </w:tcPr>
                <w:p w14:paraId="4D91F698">
                  <w:pPr>
                    <w:pStyle w:val="23"/>
                    <w:keepNext w:val="0"/>
                    <w:keepLines w:val="0"/>
                    <w:pageBreakBefore w:val="0"/>
                    <w:widowControl/>
                    <w:kinsoku/>
                    <w:wordWrap/>
                    <w:overflowPunct/>
                    <w:topLinePunct w:val="0"/>
                    <w:autoSpaceDE/>
                    <w:autoSpaceDN/>
                    <w:bidi w:val="0"/>
                    <w:adjustRightInd w:val="0"/>
                    <w:snapToGrid w:val="0"/>
                    <w:textAlignment w:val="auto"/>
                  </w:pPr>
                  <w:r>
                    <w:t>336-064-17</w:t>
                  </w:r>
                </w:p>
              </w:tc>
              <w:tc>
                <w:tcPr>
                  <w:tcW w:w="545" w:type="pct"/>
                  <w:noWrap w:val="0"/>
                  <w:vAlign w:val="center"/>
                </w:tcPr>
                <w:p w14:paraId="3679F520">
                  <w:pPr>
                    <w:pStyle w:val="23"/>
                    <w:keepNext w:val="0"/>
                    <w:keepLines w:val="0"/>
                    <w:pageBreakBefore w:val="0"/>
                    <w:widowControl/>
                    <w:kinsoku/>
                    <w:wordWrap/>
                    <w:overflowPunct/>
                    <w:topLinePunct w:val="0"/>
                    <w:autoSpaceDE/>
                    <w:autoSpaceDN/>
                    <w:bidi w:val="0"/>
                    <w:adjustRightInd w:val="0"/>
                    <w:snapToGrid w:val="0"/>
                    <w:textAlignment w:val="auto"/>
                  </w:pPr>
                  <w:r>
                    <w:rPr>
                      <w:rFonts w:hint="eastAsia"/>
                    </w:rPr>
                    <w:t>0.275</w:t>
                  </w:r>
                </w:p>
              </w:tc>
              <w:tc>
                <w:tcPr>
                  <w:tcW w:w="1332" w:type="pct"/>
                  <w:noWrap w:val="0"/>
                  <w:vAlign w:val="center"/>
                </w:tcPr>
                <w:p w14:paraId="1E4C1A33">
                  <w:pPr>
                    <w:pStyle w:val="23"/>
                    <w:keepNext w:val="0"/>
                    <w:keepLines w:val="0"/>
                    <w:pageBreakBefore w:val="0"/>
                    <w:widowControl/>
                    <w:kinsoku/>
                    <w:wordWrap/>
                    <w:overflowPunct/>
                    <w:topLinePunct w:val="0"/>
                    <w:autoSpaceDE/>
                    <w:autoSpaceDN/>
                    <w:bidi w:val="0"/>
                    <w:adjustRightInd w:val="0"/>
                    <w:snapToGrid w:val="0"/>
                    <w:textAlignment w:val="auto"/>
                  </w:pPr>
                  <w:r>
                    <w:t>交由</w:t>
                  </w:r>
                  <w:r>
                    <w:rPr>
                      <w:rFonts w:hint="eastAsia"/>
                    </w:rPr>
                    <w:t>资质单位</w:t>
                  </w:r>
                  <w:r>
                    <w:t>处置，处置协议见附件</w:t>
                  </w:r>
                </w:p>
              </w:tc>
            </w:tr>
          </w:tbl>
          <w:p w14:paraId="75188239">
            <w:pPr>
              <w:pStyle w:val="4"/>
              <w:bidi w:val="0"/>
              <w:rPr>
                <w:rFonts w:hint="eastAsia"/>
              </w:rPr>
            </w:pPr>
            <w:r>
              <w:rPr>
                <w:rFonts w:hint="eastAsia"/>
              </w:rPr>
              <w:t>现有工程噪声产生情</w:t>
            </w:r>
            <w:r>
              <w:rPr>
                <w:rFonts w:hint="eastAsia" w:ascii="Times New Roman" w:hAnsi="Times New Roman" w:cs="Times New Roman"/>
                <w:color w:val="auto"/>
              </w:rPr>
              <w:t>况</w:t>
            </w:r>
          </w:p>
          <w:p w14:paraId="0696908C">
            <w:pPr>
              <w:bidi w:val="0"/>
              <w:rPr>
                <w:rFonts w:hint="eastAsia"/>
                <w:lang w:eastAsia="zh-CN"/>
              </w:rPr>
            </w:pPr>
            <w:r>
              <w:rPr>
                <w:rFonts w:hint="eastAsia"/>
              </w:rPr>
              <w:t>本项目位于四川省</w:t>
            </w:r>
            <w:r>
              <w:rPr>
                <w:rFonts w:hint="eastAsia"/>
                <w:lang w:eastAsia="zh-CN"/>
              </w:rPr>
              <w:t>遂宁市船山区开善东路327号</w:t>
            </w:r>
            <w:r>
              <w:rPr>
                <w:rFonts w:hint="eastAsia"/>
              </w:rPr>
              <w:t>，</w:t>
            </w:r>
            <w:r>
              <w:rPr>
                <w:rFonts w:hint="eastAsia"/>
                <w:lang w:eastAsia="zh-CN"/>
              </w:rPr>
              <w:t>主要噪声源来源于医疗设备、空气能热水器系统、备用发电机、空调外机和污水处理站水泵</w:t>
            </w:r>
            <w:r>
              <w:rPr>
                <w:rFonts w:hint="eastAsia"/>
              </w:rPr>
              <w:t>。</w:t>
            </w:r>
            <w:r>
              <w:rPr>
                <w:rFonts w:hint="eastAsia"/>
                <w:lang w:val="en-US" w:eastAsia="zh-CN"/>
              </w:rPr>
              <w:t>医院主要采取以下防治措施。</w:t>
            </w:r>
          </w:p>
          <w:p w14:paraId="4C47A23C">
            <w:pPr>
              <w:bidi w:val="0"/>
            </w:pPr>
            <w:r>
              <w:rPr>
                <w:rFonts w:hint="eastAsia"/>
                <w:lang w:val="en-US" w:eastAsia="zh-CN"/>
              </w:rPr>
              <w:t>1）</w:t>
            </w:r>
            <w:r>
              <w:t>产噪设备合理布局，</w:t>
            </w:r>
            <w:r>
              <w:rPr>
                <w:rFonts w:hint="eastAsia"/>
                <w:lang w:eastAsia="zh-CN"/>
              </w:rPr>
              <w:t>污水处理站水泵</w:t>
            </w:r>
            <w:r>
              <w:rPr>
                <w:rFonts w:hint="eastAsia"/>
              </w:rPr>
              <w:t>设备通过选用低噪声设备，墙体隔声</w:t>
            </w:r>
            <w:r>
              <w:t>、医疗设备置于室内，充分利用墙体隔声。备用发电机单独设置于封闭备用发电机房内，对设备做减振处理。</w:t>
            </w:r>
          </w:p>
          <w:p w14:paraId="316CE7D0">
            <w:pPr>
              <w:bidi w:val="0"/>
            </w:pPr>
            <w:r>
              <w:t>2）对于病人、陪护人员以及医务人员产生的社会生活噪声，应通过加强管理，张贴禁止喧哗的告示等方式进行处理。</w:t>
            </w:r>
          </w:p>
          <w:p w14:paraId="30B7A1E3">
            <w:pPr>
              <w:bidi w:val="0"/>
            </w:pPr>
            <w:r>
              <w:t>3）对于产生的交通噪声，采取限速、禁止鸣笛等方式进行处理。</w:t>
            </w:r>
          </w:p>
          <w:p w14:paraId="0B4DBDA6">
            <w:pPr>
              <w:bidi w:val="0"/>
            </w:pPr>
            <w:r>
              <w:t>4）本项目厂界</w:t>
            </w:r>
            <w:r>
              <w:rPr>
                <w:rFonts w:hint="eastAsia"/>
                <w:lang w:val="en-US" w:eastAsia="zh-CN"/>
              </w:rPr>
              <w:t>南侧及东侧</w:t>
            </w:r>
            <w:r>
              <w:t>紧邻城市干道，行驶车辆产生的交通噪声对本项目存在一定的影响。为减小交通噪声对本项目产生影响，本项目采取在医院</w:t>
            </w:r>
            <w:r>
              <w:rPr>
                <w:rFonts w:hint="eastAsia"/>
              </w:rPr>
              <w:t>南</w:t>
            </w:r>
            <w:r>
              <w:t>侧</w:t>
            </w:r>
            <w:r>
              <w:rPr>
                <w:rFonts w:hint="eastAsia"/>
                <w:lang w:val="en-US" w:eastAsia="zh-CN"/>
              </w:rPr>
              <w:t>及东侧</w:t>
            </w:r>
            <w:r>
              <w:t>临街一面窗户设置双层隔音玻璃等降噪措施，将外环境对本项目噪声影响控制在可控范围内。</w:t>
            </w:r>
          </w:p>
          <w:p w14:paraId="36AB8DB8">
            <w:pPr>
              <w:bidi w:val="0"/>
              <w:rPr>
                <w:rFonts w:hint="eastAsia"/>
                <w:lang w:eastAsia="zh-CN"/>
              </w:rPr>
            </w:pPr>
            <w:r>
              <w:rPr>
                <w:rFonts w:hint="eastAsia"/>
                <w:lang w:eastAsia="zh-CN"/>
              </w:rPr>
              <w:t>本项目采取以上措施后，对周围环境影响较小。</w:t>
            </w:r>
          </w:p>
          <w:p w14:paraId="5F8C2093">
            <w:pPr>
              <w:pStyle w:val="3"/>
              <w:bidi w:val="0"/>
              <w:rPr>
                <w:rFonts w:hint="eastAsia"/>
              </w:rPr>
            </w:pPr>
            <w:r>
              <w:rPr>
                <w:rFonts w:hint="eastAsia"/>
              </w:rPr>
              <w:t>现有工程环境问题</w:t>
            </w:r>
          </w:p>
          <w:p w14:paraId="1F9E2906">
            <w:pPr>
              <w:bidi w:val="0"/>
              <w:rPr>
                <w:rFonts w:hint="eastAsia"/>
                <w:kern w:val="0"/>
                <w:lang w:val="en-US" w:eastAsia="zh-CN" w:bidi="ar"/>
              </w:rPr>
            </w:pPr>
            <w:r>
              <w:rPr>
                <w:rFonts w:hint="eastAsia"/>
                <w:lang w:val="en-US" w:eastAsia="zh-CN"/>
              </w:rPr>
              <w:t>医院于2014年建成，目前正在补办环境影响评价报告表，根据现场踏勘和资料收集，医院现存在的环保问题如下：</w:t>
            </w:r>
          </w:p>
          <w:p w14:paraId="7133C7FE">
            <w:pPr>
              <w:pStyle w:val="22"/>
              <w:bidi w:val="0"/>
            </w:pPr>
            <w:r>
              <w:rPr>
                <w:rFonts w:hint="eastAsia"/>
                <w:lang w:eastAsia="zh-CN"/>
              </w:rPr>
              <w:t>现有工程环境主要问题</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419"/>
              <w:gridCol w:w="6373"/>
            </w:tblGrid>
            <w:tr w14:paraId="3E4B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271" w:type="pct"/>
                  <w:noWrap w:val="0"/>
                  <w:vAlign w:val="center"/>
                </w:tcPr>
                <w:p w14:paraId="1B537EA1">
                  <w:pPr>
                    <w:pStyle w:val="23"/>
                    <w:bidi w:val="0"/>
                    <w:rPr>
                      <w:rFonts w:hint="default"/>
                      <w:lang w:val="en-US" w:eastAsia="zh-CN" w:bidi="ar-SA"/>
                    </w:rPr>
                  </w:pPr>
                  <w:r>
                    <w:rPr>
                      <w:rFonts w:hint="eastAsia"/>
                      <w:lang w:val="en-US" w:eastAsia="zh-CN" w:bidi="ar-SA"/>
                    </w:rPr>
                    <w:t>序号</w:t>
                  </w:r>
                </w:p>
              </w:tc>
              <w:tc>
                <w:tcPr>
                  <w:tcW w:w="861" w:type="pct"/>
                  <w:noWrap w:val="0"/>
                  <w:vAlign w:val="center"/>
                </w:tcPr>
                <w:p w14:paraId="3936B8A4">
                  <w:pPr>
                    <w:pStyle w:val="23"/>
                    <w:bidi w:val="0"/>
                    <w:rPr>
                      <w:rFonts w:hint="default"/>
                      <w:lang w:val="en-US" w:eastAsia="zh-CN" w:bidi="ar-SA"/>
                    </w:rPr>
                  </w:pPr>
                  <w:r>
                    <w:rPr>
                      <w:rFonts w:hint="eastAsia"/>
                      <w:lang w:val="en-US" w:eastAsia="zh-CN" w:bidi="ar-SA"/>
                    </w:rPr>
                    <w:t>问题</w:t>
                  </w:r>
                </w:p>
              </w:tc>
              <w:tc>
                <w:tcPr>
                  <w:tcW w:w="3867" w:type="pct"/>
                  <w:noWrap w:val="0"/>
                  <w:vAlign w:val="center"/>
                </w:tcPr>
                <w:p w14:paraId="5BBD7697">
                  <w:pPr>
                    <w:pStyle w:val="23"/>
                    <w:bidi w:val="0"/>
                    <w:rPr>
                      <w:rFonts w:hint="default"/>
                      <w:lang w:val="en-US" w:eastAsia="zh-CN" w:bidi="ar-SA"/>
                    </w:rPr>
                  </w:pPr>
                  <w:r>
                    <w:rPr>
                      <w:rFonts w:hint="eastAsia"/>
                      <w:lang w:val="en-US" w:eastAsia="zh-CN" w:bidi="ar-SA"/>
                    </w:rPr>
                    <w:t>整改措施</w:t>
                  </w:r>
                </w:p>
              </w:tc>
            </w:tr>
            <w:tr w14:paraId="581E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noWrap w:val="0"/>
                  <w:vAlign w:val="center"/>
                </w:tcPr>
                <w:p w14:paraId="3944F02F">
                  <w:pPr>
                    <w:pStyle w:val="23"/>
                    <w:bidi w:val="0"/>
                    <w:rPr>
                      <w:rFonts w:hint="default"/>
                      <w:lang w:val="en-US" w:eastAsia="zh-CN" w:bidi="ar-SA"/>
                    </w:rPr>
                  </w:pPr>
                  <w:r>
                    <w:rPr>
                      <w:rFonts w:hint="eastAsia"/>
                      <w:lang w:val="en-US" w:eastAsia="zh-CN" w:bidi="ar-SA"/>
                    </w:rPr>
                    <w:t>1</w:t>
                  </w:r>
                </w:p>
              </w:tc>
              <w:tc>
                <w:tcPr>
                  <w:tcW w:w="861" w:type="pct"/>
                  <w:noWrap w:val="0"/>
                  <w:vAlign w:val="center"/>
                </w:tcPr>
                <w:p w14:paraId="08F4C9E3">
                  <w:pPr>
                    <w:pStyle w:val="23"/>
                    <w:bidi w:val="0"/>
                    <w:rPr>
                      <w:rFonts w:hint="default"/>
                      <w:lang w:val="en-US" w:eastAsia="zh-CN" w:bidi="ar-SA"/>
                    </w:rPr>
                  </w:pPr>
                  <w:r>
                    <w:rPr>
                      <w:rFonts w:hint="eastAsia"/>
                      <w:lang w:val="en-US" w:eastAsia="zh-CN" w:bidi="ar-SA"/>
                    </w:rPr>
                    <w:t>现有工程自行监测不完善，不满足自行监测要求</w:t>
                  </w:r>
                </w:p>
              </w:tc>
              <w:tc>
                <w:tcPr>
                  <w:tcW w:w="3867" w:type="pct"/>
                  <w:noWrap w:val="0"/>
                  <w:vAlign w:val="center"/>
                </w:tcPr>
                <w:p w14:paraId="02A28C7E">
                  <w:pPr>
                    <w:pStyle w:val="23"/>
                    <w:bidi w:val="0"/>
                    <w:rPr>
                      <w:rFonts w:hint="default"/>
                      <w:lang w:val="en-US" w:eastAsia="zh-CN" w:bidi="ar-SA"/>
                    </w:rPr>
                  </w:pPr>
                  <w:r>
                    <w:rPr>
                      <w:rFonts w:hint="eastAsia"/>
                      <w:lang w:val="en-US" w:eastAsia="zh-CN" w:bidi="ar-SA"/>
                    </w:rPr>
                    <w:t>建设单位根据行业规范制定自行检测方案，落实对企业厂界噪声、废水总排口的自行监测计划</w:t>
                  </w:r>
                </w:p>
              </w:tc>
            </w:tr>
            <w:tr w14:paraId="48C0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noWrap w:val="0"/>
                  <w:vAlign w:val="center"/>
                </w:tcPr>
                <w:p w14:paraId="77233634">
                  <w:pPr>
                    <w:pStyle w:val="23"/>
                    <w:bidi w:val="0"/>
                    <w:rPr>
                      <w:rFonts w:hint="default"/>
                      <w:lang w:val="en-US" w:eastAsia="zh-CN" w:bidi="ar-SA"/>
                    </w:rPr>
                  </w:pPr>
                  <w:r>
                    <w:rPr>
                      <w:rFonts w:hint="eastAsia"/>
                      <w:lang w:val="en-US" w:eastAsia="zh-CN" w:bidi="ar-SA"/>
                    </w:rPr>
                    <w:t>2</w:t>
                  </w:r>
                </w:p>
              </w:tc>
              <w:tc>
                <w:tcPr>
                  <w:tcW w:w="861" w:type="pct"/>
                  <w:noWrap w:val="0"/>
                  <w:vAlign w:val="center"/>
                </w:tcPr>
                <w:p w14:paraId="76A55454">
                  <w:pPr>
                    <w:pStyle w:val="23"/>
                    <w:bidi w:val="0"/>
                    <w:rPr>
                      <w:rFonts w:hint="default"/>
                      <w:lang w:val="en-US" w:eastAsia="zh-CN" w:bidi="ar-SA"/>
                    </w:rPr>
                  </w:pPr>
                  <w:r>
                    <w:rPr>
                      <w:rFonts w:hint="eastAsia"/>
                      <w:lang w:val="en-US" w:eastAsia="zh-CN" w:bidi="ar-SA"/>
                    </w:rPr>
                    <w:t>院内未设置应急事故池</w:t>
                  </w:r>
                </w:p>
              </w:tc>
              <w:tc>
                <w:tcPr>
                  <w:tcW w:w="3867" w:type="pct"/>
                  <w:noWrap w:val="0"/>
                  <w:vAlign w:val="center"/>
                </w:tcPr>
                <w:p w14:paraId="2C9626DF">
                  <w:pPr>
                    <w:pStyle w:val="23"/>
                    <w:bidi w:val="0"/>
                    <w:rPr>
                      <w:rFonts w:hint="default"/>
                      <w:lang w:val="en-US" w:eastAsia="zh-CN" w:bidi="ar-SA"/>
                    </w:rPr>
                  </w:pPr>
                  <w:r>
                    <w:rPr>
                      <w:rFonts w:hint="eastAsia"/>
                      <w:lang w:val="en-US" w:eastAsia="zh-CN" w:bidi="ar-SA"/>
                    </w:rPr>
                    <w:t>根据《医院污水处理工程技术规范》（HJ2029-2013）中：“医院污水处理工程应设应急事故池，以贮存处理系统事故或其它突发事件时医院污水。传染病医院污水处理工程应急事故池容积不小于日排放量的100%，非传染病医院污水处理工程应急事故池容积不小于日排放量的30%”的要求。</w:t>
                  </w:r>
                  <w:r>
                    <w:rPr>
                      <w:lang w:val="en-US" w:eastAsia="zh-CN" w:bidi="ar-SA"/>
                    </w:rPr>
                    <w:t>本项目废水产生量为</w:t>
                  </w:r>
                  <w:r>
                    <w:rPr>
                      <w:rFonts w:hint="eastAsia"/>
                      <w:lang w:val="en-US" w:eastAsia="zh-CN" w:bidi="ar-SA"/>
                    </w:rPr>
                    <w:t>7.405t</w:t>
                  </w:r>
                  <w:r>
                    <w:rPr>
                      <w:lang w:val="en-US" w:eastAsia="zh-CN" w:bidi="ar-SA"/>
                    </w:rPr>
                    <w:t>/d</w:t>
                  </w:r>
                  <w:r>
                    <w:rPr>
                      <w:rFonts w:hint="eastAsia"/>
                      <w:lang w:val="en-US" w:eastAsia="zh-CN" w:bidi="ar-SA"/>
                    </w:rPr>
                    <w:t>，故应设置一个2.5m</w:t>
                  </w:r>
                  <w:r>
                    <w:rPr>
                      <w:rFonts w:hint="eastAsia"/>
                      <w:vertAlign w:val="superscript"/>
                      <w:lang w:val="en-US" w:eastAsia="zh-CN" w:bidi="ar-SA"/>
                    </w:rPr>
                    <w:t>3</w:t>
                  </w:r>
                  <w:r>
                    <w:rPr>
                      <w:rFonts w:hint="eastAsia"/>
                      <w:lang w:val="en-US" w:eastAsia="zh-CN" w:bidi="ar-SA"/>
                    </w:rPr>
                    <w:t>的事故应急桶，用于收集一体化污水处理设备的废水</w:t>
                  </w:r>
                </w:p>
              </w:tc>
            </w:tr>
            <w:tr w14:paraId="3BA4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noWrap w:val="0"/>
                  <w:vAlign w:val="center"/>
                </w:tcPr>
                <w:p w14:paraId="3C24411C">
                  <w:pPr>
                    <w:pStyle w:val="23"/>
                    <w:bidi w:val="0"/>
                    <w:rPr>
                      <w:rFonts w:hint="default"/>
                      <w:lang w:val="en-US" w:eastAsia="zh-CN" w:bidi="ar-SA"/>
                    </w:rPr>
                  </w:pPr>
                  <w:r>
                    <w:rPr>
                      <w:rFonts w:hint="eastAsia"/>
                      <w:lang w:val="en-US" w:eastAsia="zh-CN" w:bidi="ar-SA"/>
                    </w:rPr>
                    <w:t>3</w:t>
                  </w:r>
                </w:p>
              </w:tc>
              <w:tc>
                <w:tcPr>
                  <w:tcW w:w="861" w:type="pct"/>
                  <w:noWrap w:val="0"/>
                  <w:vAlign w:val="center"/>
                </w:tcPr>
                <w:p w14:paraId="2FEFC4C2">
                  <w:pPr>
                    <w:pStyle w:val="23"/>
                    <w:bidi w:val="0"/>
                    <w:rPr>
                      <w:rFonts w:hint="eastAsia"/>
                      <w:lang w:val="en-US" w:eastAsia="zh-CN" w:bidi="ar-SA"/>
                    </w:rPr>
                  </w:pPr>
                  <w:r>
                    <w:rPr>
                      <w:rFonts w:hint="eastAsia"/>
                      <w:lang w:val="en-US" w:eastAsia="zh-CN" w:bidi="ar-SA"/>
                    </w:rPr>
                    <w:t>地下水防渗不满足要求</w:t>
                  </w:r>
                </w:p>
              </w:tc>
              <w:tc>
                <w:tcPr>
                  <w:tcW w:w="3867" w:type="pct"/>
                  <w:noWrap w:val="0"/>
                  <w:vAlign w:val="center"/>
                </w:tcPr>
                <w:p w14:paraId="68B99F98">
                  <w:pPr>
                    <w:pStyle w:val="23"/>
                    <w:bidi w:val="0"/>
                    <w:rPr>
                      <w:rFonts w:hint="eastAsia"/>
                      <w:lang w:val="en-US" w:eastAsia="zh-CN" w:bidi="ar-SA"/>
                    </w:rPr>
                  </w:pPr>
                  <w:r>
                    <w:rPr>
                      <w:rFonts w:hint="eastAsia" w:ascii="Times New Roman" w:hAnsi="Times New Roman" w:eastAsia="宋体" w:cs="Times New Roman"/>
                      <w:lang w:val="en-US" w:eastAsia="zh-CN" w:bidi="ar-SA"/>
                    </w:rPr>
                    <w:t>医疗废物暂存间、一体化污水处理站和备用柴油发电机房及满足等效黏土防渗层</w:t>
                  </w:r>
                  <w:r>
                    <w:rPr>
                      <w:rFonts w:ascii="Times New Roman" w:hAnsi="Times New Roman" w:eastAsia="宋体" w:cs="Times New Roman"/>
                      <w:lang w:val="en-US" w:eastAsia="zh-CN" w:bidi="ar-SA"/>
                    </w:rPr>
                    <w:t>Mb≥6.0m</w:t>
                  </w:r>
                  <w:r>
                    <w:rPr>
                      <w:rFonts w:hint="eastAsia" w:ascii="Times New Roman" w:hAnsi="Times New Roman" w:eastAsia="宋体" w:cs="Times New Roman"/>
                      <w:lang w:val="en-US" w:eastAsia="zh-CN" w:bidi="ar-SA"/>
                    </w:rPr>
                    <w:t>，</w:t>
                  </w:r>
                  <w:r>
                    <w:rPr>
                      <w:rFonts w:ascii="Times New Roman" w:hAnsi="Times New Roman" w:eastAsia="宋体" w:cs="Times New Roman"/>
                      <w:lang w:val="en-US" w:eastAsia="zh-CN" w:bidi="ar-SA"/>
                    </w:rPr>
                    <w:t>K≤1×10</w:t>
                  </w:r>
                  <w:r>
                    <w:rPr>
                      <w:rFonts w:ascii="Times New Roman" w:hAnsi="Times New Roman" w:eastAsia="宋体" w:cs="Times New Roman"/>
                      <w:vertAlign w:val="superscript"/>
                      <w:lang w:val="en-US" w:eastAsia="zh-CN" w:bidi="ar-SA"/>
                    </w:rPr>
                    <w:t>-</w:t>
                  </w:r>
                  <w:r>
                    <w:rPr>
                      <w:rFonts w:hint="eastAsia" w:cs="Times New Roman"/>
                      <w:vertAlign w:val="superscript"/>
                      <w:lang w:val="en-US" w:eastAsia="zh-CN" w:bidi="ar-SA"/>
                    </w:rPr>
                    <w:t>10</w:t>
                  </w:r>
                  <w:r>
                    <w:rPr>
                      <w:rFonts w:ascii="Times New Roman" w:hAnsi="Times New Roman" w:eastAsia="宋体" w:cs="Times New Roman"/>
                      <w:lang w:val="en-US" w:eastAsia="zh-CN" w:bidi="ar-SA"/>
                    </w:rPr>
                    <w:t>cm/s</w:t>
                  </w:r>
                  <w:r>
                    <w:rPr>
                      <w:rFonts w:hint="eastAsia" w:ascii="Times New Roman" w:hAnsi="Times New Roman" w:eastAsia="宋体" w:cs="Times New Roman"/>
                      <w:lang w:val="en-US" w:eastAsia="zh-CN" w:bidi="ar-SA"/>
                    </w:rPr>
                    <w:t>的要求进行防渗设计；手术室防渗层采取</w:t>
                  </w:r>
                  <w:r>
                    <w:rPr>
                      <w:rFonts w:ascii="Times New Roman" w:hAnsi="Times New Roman" w:eastAsia="宋体" w:cs="Times New Roman"/>
                      <w:lang w:val="en-US" w:eastAsia="zh-CN" w:bidi="ar-SA"/>
                    </w:rPr>
                    <w:t>10~15cm</w:t>
                  </w:r>
                  <w:r>
                    <w:rPr>
                      <w:rFonts w:hint="eastAsia" w:ascii="Times New Roman" w:hAnsi="Times New Roman" w:eastAsia="宋体" w:cs="Times New Roman"/>
                      <w:lang w:val="en-US" w:eastAsia="zh-CN" w:bidi="ar-SA"/>
                    </w:rPr>
                    <w:t>的水泥进行硬化，渗透系数</w:t>
                  </w:r>
                  <w:r>
                    <w:rPr>
                      <w:rFonts w:ascii="Times New Roman" w:hAnsi="Times New Roman" w:eastAsia="宋体" w:cs="Times New Roman"/>
                      <w:lang w:val="en-US" w:eastAsia="zh-CN" w:bidi="ar-SA"/>
                    </w:rPr>
                    <w:t>≤10</w:t>
                  </w:r>
                  <w:r>
                    <w:rPr>
                      <w:rFonts w:ascii="Times New Roman" w:hAnsi="Times New Roman" w:eastAsia="宋体" w:cs="Times New Roman"/>
                      <w:vertAlign w:val="superscript"/>
                      <w:lang w:val="en-US" w:eastAsia="zh-CN" w:bidi="ar-SA"/>
                    </w:rPr>
                    <w:t>-7</w:t>
                  </w:r>
                  <w:r>
                    <w:rPr>
                      <w:rFonts w:ascii="Times New Roman" w:hAnsi="Times New Roman" w:eastAsia="宋体" w:cs="Times New Roman"/>
                      <w:lang w:val="en-US" w:eastAsia="zh-CN" w:bidi="ar-SA"/>
                    </w:rPr>
                    <w:t>cm/s</w:t>
                  </w:r>
                </w:p>
              </w:tc>
            </w:tr>
          </w:tbl>
          <w:p w14:paraId="1FD80FCF">
            <w:pPr>
              <w:pageBreakBefore w:val="0"/>
              <w:wordWrap/>
              <w:bidi w:val="0"/>
              <w:adjustRightInd w:val="0"/>
              <w:snapToGrid w:val="0"/>
              <w:spacing w:line="360" w:lineRule="auto"/>
              <w:ind w:firstLine="480" w:firstLineChars="200"/>
              <w:jc w:val="left"/>
              <w:rPr>
                <w:rFonts w:hint="default" w:eastAsia="宋体"/>
                <w:kern w:val="0"/>
                <w:sz w:val="24"/>
                <w:lang w:val="en-US" w:eastAsia="zh-CN" w:bidi="ar"/>
              </w:rPr>
            </w:pPr>
          </w:p>
        </w:tc>
      </w:tr>
    </w:tbl>
    <w:p w14:paraId="192BC696">
      <w:pPr>
        <w:pageBreakBefore w:val="0"/>
        <w:wordWrap/>
        <w:bidi w:val="0"/>
        <w:adjustRightInd w:val="0"/>
        <w:snapToGrid w:val="0"/>
        <w:jc w:val="center"/>
        <w:rPr>
          <w:rFonts w:ascii="黑体" w:hAnsi="黑体" w:eastAsia="黑体"/>
          <w:snapToGrid w:val="0"/>
          <w:sz w:val="36"/>
          <w:szCs w:val="36"/>
        </w:rPr>
        <w:sectPr>
          <w:pgSz w:w="11906" w:h="16838"/>
          <w:pgMar w:top="1701" w:right="1531" w:bottom="1701" w:left="1531" w:header="1361" w:footer="1361" w:gutter="0"/>
          <w:pgBorders>
            <w:top w:val="none" w:sz="0" w:space="0"/>
            <w:left w:val="none" w:sz="0" w:space="0"/>
            <w:bottom w:val="none" w:sz="0" w:space="0"/>
            <w:right w:val="none" w:sz="0" w:space="0"/>
          </w:pgBorders>
          <w:pgNumType w:fmt="decimal"/>
          <w:cols w:space="720" w:num="1"/>
          <w:docGrid w:linePitch="312" w:charSpace="0"/>
        </w:sectPr>
      </w:pPr>
    </w:p>
    <w:p w14:paraId="579C2F2F">
      <w:pPr>
        <w:pStyle w:val="2"/>
        <w:bidi w:val="0"/>
      </w:pPr>
      <w:bookmarkStart w:id="15" w:name="_Toc8142"/>
      <w:bookmarkStart w:id="16" w:name="_Toc6280"/>
      <w:r>
        <w:rPr>
          <w:rFonts w:hint="eastAsia"/>
        </w:rPr>
        <w:t>区域环境质量现状、环境保护目标及评价标准</w:t>
      </w:r>
      <w:bookmarkEnd w:id="15"/>
      <w:bookmarkEnd w:id="16"/>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612"/>
      </w:tblGrid>
      <w:tr w14:paraId="5044A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9" w:hRule="atLeast"/>
          <w:jc w:val="center"/>
        </w:trPr>
        <w:tc>
          <w:tcPr>
            <w:tcW w:w="449" w:type="dxa"/>
            <w:noWrap w:val="0"/>
            <w:vAlign w:val="center"/>
          </w:tcPr>
          <w:p w14:paraId="560C8E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kern w:val="0"/>
                <w:szCs w:val="21"/>
              </w:rPr>
            </w:pPr>
            <w:r>
              <w:rPr>
                <w:rStyle w:val="17"/>
                <w:rFonts w:hint="eastAsia"/>
                <w:b/>
                <w:sz w:val="24"/>
              </w:rPr>
              <w:t>区域环境质量现状</w:t>
            </w:r>
          </w:p>
        </w:tc>
        <w:tc>
          <w:tcPr>
            <w:tcW w:w="8612" w:type="dxa"/>
            <w:noWrap w:val="0"/>
            <w:vAlign w:val="center"/>
          </w:tcPr>
          <w:p w14:paraId="29599B3C">
            <w:pPr>
              <w:pStyle w:val="3"/>
              <w:bidi w:val="0"/>
            </w:pPr>
            <w:r>
              <w:rPr>
                <w:rFonts w:hint="eastAsia"/>
              </w:rPr>
              <w:t>区域环境质量现状</w:t>
            </w:r>
          </w:p>
          <w:p w14:paraId="13012616">
            <w:pPr>
              <w:pStyle w:val="4"/>
              <w:bidi w:val="0"/>
            </w:pPr>
            <w:r>
              <w:t>空气质量现状</w:t>
            </w:r>
          </w:p>
          <w:p w14:paraId="024BE853">
            <w:pPr>
              <w:bidi w:val="0"/>
            </w:pPr>
            <w:r>
              <w:rPr>
                <w:rFonts w:hint="eastAsia"/>
                <w:lang w:eastAsia="zh-CN"/>
              </w:rPr>
              <w:t>（</w:t>
            </w:r>
            <w:r>
              <w:rPr>
                <w:rFonts w:hint="eastAsia"/>
                <w:lang w:val="en-US" w:eastAsia="zh-CN"/>
              </w:rPr>
              <w:t>1</w:t>
            </w:r>
            <w:r>
              <w:rPr>
                <w:rFonts w:hint="eastAsia"/>
                <w:lang w:eastAsia="zh-CN"/>
              </w:rPr>
              <w:t>）</w:t>
            </w:r>
            <w:r>
              <w:t>常规污染物</w:t>
            </w:r>
          </w:p>
          <w:p w14:paraId="17A5FB87">
            <w:pPr>
              <w:bidi w:val="0"/>
            </w:pPr>
            <w:r>
              <w:t>根据《环境影响评价导则大气环境》(HJ2.2-2018)中有关基本污染物环境质量现状数据的规定，可优先采用国家或地方生态环境主管部门公布的评价基</w:t>
            </w:r>
            <w:r>
              <w:rPr>
                <w:rFonts w:hint="eastAsia"/>
                <w:lang w:eastAsia="zh-CN"/>
              </w:rPr>
              <w:t>准</w:t>
            </w:r>
            <w:r>
              <w:t>年（近3年中1个完整日历年）环境质量公告或环境质量报告中的数据或结论，本次引用《</w:t>
            </w:r>
            <w:r>
              <w:rPr>
                <w:rFonts w:hint="eastAsia"/>
              </w:rPr>
              <w:t>2023年遂宁市环境质量公告</w:t>
            </w:r>
            <w:r>
              <w:t>》</w:t>
            </w:r>
          </w:p>
          <w:p w14:paraId="42938EBE">
            <w:pPr>
              <w:bidi w:val="0"/>
              <w:rPr>
                <w:rFonts w:hint="eastAsia"/>
                <w:lang w:eastAsia="zh-CN"/>
              </w:rPr>
            </w:pPr>
            <w:r>
              <w:t>根据《</w:t>
            </w:r>
            <w:r>
              <w:rPr>
                <w:rFonts w:hint="eastAsia"/>
              </w:rPr>
              <w:t>2023年遂宁市环境质量公告</w:t>
            </w:r>
            <w:r>
              <w:t>》，</w:t>
            </w:r>
            <w:r>
              <w:rPr>
                <w:rFonts w:hint="eastAsia"/>
              </w:rPr>
              <w:t>本年度遂宁市城区环境空气质量119天优、199天良、43天轻度污染、3天重度污染、1天重度污染，空气质量达标率为87.1%，主要污染物SO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、CO和O</w:t>
            </w:r>
            <w:r>
              <w:rPr>
                <w:rFonts w:hint="eastAsia"/>
                <w:vertAlign w:val="subscript"/>
              </w:rPr>
              <w:t>3</w:t>
            </w:r>
            <w:r>
              <w:rPr>
                <w:rFonts w:hint="eastAsia"/>
              </w:rPr>
              <w:t>的年均值分别为7.7</w:t>
            </w:r>
            <w:r>
              <w:t>μ</w:t>
            </w:r>
            <w:r>
              <w:rPr>
                <w:rFonts w:hint="eastAsia"/>
              </w:rPr>
              <w:t>g/m</w:t>
            </w:r>
            <w:r>
              <w:rPr>
                <w:rFonts w:hint="eastAsia"/>
                <w:vertAlign w:val="superscript"/>
                <w:lang w:val="en-US" w:eastAsia="zh-CN"/>
              </w:rPr>
              <w:t>3</w:t>
            </w:r>
            <w:r>
              <w:rPr>
                <w:rFonts w:hint="eastAsia"/>
              </w:rPr>
              <w:t>、24.6</w:t>
            </w:r>
            <w:r>
              <w:t>μ</w:t>
            </w:r>
            <w:r>
              <w:rPr>
                <w:rFonts w:hint="eastAsia"/>
              </w:rPr>
              <w:t>g/m³、51.7</w:t>
            </w:r>
            <w:r>
              <w:t>μ</w:t>
            </w:r>
            <w:r>
              <w:rPr>
                <w:rFonts w:hint="eastAsia"/>
              </w:rPr>
              <w:t>g/m³、30.0</w:t>
            </w:r>
            <w:r>
              <w:t>μ</w:t>
            </w:r>
            <w:r>
              <w:rPr>
                <w:rFonts w:hint="eastAsia"/>
              </w:rPr>
              <w:t>g/m³、1.0mg/m³和144.4</w:t>
            </w:r>
            <w:r>
              <w:t>μ</w:t>
            </w:r>
            <w:r>
              <w:rPr>
                <w:rFonts w:hint="eastAsia"/>
              </w:rPr>
              <w:t>g/m³。同比SO</w:t>
            </w:r>
            <w:r>
              <w:rPr>
                <w:rFonts w:hint="eastAsia"/>
                <w:vertAlign w:val="subscript"/>
              </w:rPr>
              <w:t>2</w:t>
            </w:r>
            <w:r>
              <w:rPr>
                <w:rFonts w:hint="eastAsia"/>
              </w:rPr>
              <w:t>、PM</w:t>
            </w:r>
            <w:r>
              <w:rPr>
                <w:rFonts w:hint="eastAsia"/>
                <w:vertAlign w:val="subscript"/>
              </w:rPr>
              <w:t>10</w:t>
            </w:r>
            <w:r>
              <w:rPr>
                <w:rFonts w:hint="eastAsia"/>
              </w:rPr>
              <w:t>和O</w:t>
            </w:r>
            <w:r>
              <w:rPr>
                <w:rFonts w:hint="eastAsia"/>
                <w:vertAlign w:val="subscript"/>
              </w:rPr>
              <w:t>3</w:t>
            </w:r>
            <w:r>
              <w:rPr>
                <w:rFonts w:hint="eastAsia"/>
              </w:rPr>
              <w:t>浓度分别下降了21.4%、4.3%和1.1%，NO</w:t>
            </w:r>
            <w:r>
              <w:rPr>
                <w:rFonts w:hint="eastAsia"/>
                <w:vertAlign w:val="subscript"/>
              </w:rPr>
              <w:t>2</w:t>
            </w:r>
            <w:r>
              <w:rPr>
                <w:rFonts w:hint="eastAsia"/>
              </w:rPr>
              <w:t>、PM</w:t>
            </w:r>
            <w:r>
              <w:rPr>
                <w:rFonts w:hint="eastAsia"/>
                <w:vertAlign w:val="subscript"/>
              </w:rPr>
              <w:t>2.5</w:t>
            </w:r>
            <w:r>
              <w:rPr>
                <w:rFonts w:hint="eastAsia"/>
              </w:rPr>
              <w:t>和CO浓度分别上升了22.4%、0.7%和11.1%。各测点主要污染物浓度详见</w:t>
            </w:r>
            <w:r>
              <w:rPr>
                <w:rFonts w:hint="eastAsia"/>
                <w:lang w:eastAsia="zh-CN"/>
              </w:rPr>
              <w:t>下</w:t>
            </w:r>
            <w:r>
              <w:rPr>
                <w:rFonts w:hint="eastAsia"/>
              </w:rPr>
              <w:t>表</w:t>
            </w:r>
            <w:r>
              <w:rPr>
                <w:rFonts w:hint="eastAsia"/>
                <w:lang w:eastAsia="zh-CN"/>
              </w:rPr>
              <w:t>。</w:t>
            </w:r>
          </w:p>
          <w:p w14:paraId="66746CB1">
            <w:pPr>
              <w:pStyle w:val="22"/>
              <w:bidi w:val="0"/>
            </w:pPr>
            <w:r>
              <w:rPr>
                <w:rFonts w:hint="eastAsia"/>
              </w:rPr>
              <w:t>2023年遂宁市城区环境空气质量主要污染物浓度</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061"/>
              <w:gridCol w:w="1076"/>
              <w:gridCol w:w="1076"/>
              <w:gridCol w:w="1045"/>
              <w:gridCol w:w="1091"/>
              <w:gridCol w:w="968"/>
              <w:gridCol w:w="1129"/>
            </w:tblGrid>
            <w:tr w14:paraId="4B14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14:paraId="016A7301">
                  <w:pPr>
                    <w:pStyle w:val="23"/>
                    <w:keepNext w:val="0"/>
                    <w:keepLines w:val="0"/>
                    <w:pageBreakBefore w:val="0"/>
                    <w:widowControl/>
                    <w:kinsoku/>
                    <w:wordWrap/>
                    <w:overflowPunct/>
                    <w:topLinePunct w:val="0"/>
                    <w:autoSpaceDE/>
                    <w:autoSpaceDN/>
                    <w:bidi w:val="0"/>
                    <w:adjustRightInd/>
                    <w:snapToGrid/>
                    <w:textAlignment w:val="auto"/>
                  </w:pPr>
                  <w:r>
                    <w:rPr>
                      <w:rFonts w:hint="eastAsia"/>
                    </w:rPr>
                    <w:t>点位</w:t>
                  </w:r>
                </w:p>
              </w:tc>
              <w:tc>
                <w:tcPr>
                  <w:tcW w:w="633" w:type="pct"/>
                  <w:noWrap w:val="0"/>
                  <w:vAlign w:val="center"/>
                </w:tcPr>
                <w:p w14:paraId="597A894A">
                  <w:pPr>
                    <w:pStyle w:val="23"/>
                    <w:keepNext w:val="0"/>
                    <w:keepLines w:val="0"/>
                    <w:pageBreakBefore w:val="0"/>
                    <w:widowControl/>
                    <w:kinsoku/>
                    <w:wordWrap/>
                    <w:overflowPunct/>
                    <w:topLinePunct w:val="0"/>
                    <w:autoSpaceDE/>
                    <w:autoSpaceDN/>
                    <w:bidi w:val="0"/>
                    <w:adjustRightInd/>
                    <w:snapToGrid/>
                    <w:textAlignment w:val="auto"/>
                  </w:pPr>
                  <w:r>
                    <w:rPr>
                      <w:rFonts w:hint="eastAsia"/>
                    </w:rPr>
                    <w:t>SO2年均浓度(</w:t>
                  </w:r>
                  <w:r>
                    <w:t>μ</w:t>
                  </w:r>
                  <w:r>
                    <w:rPr>
                      <w:rFonts w:hint="eastAsia"/>
                    </w:rPr>
                    <w:t>g/m³)</w:t>
                  </w:r>
                </w:p>
              </w:tc>
              <w:tc>
                <w:tcPr>
                  <w:tcW w:w="642" w:type="pct"/>
                  <w:noWrap w:val="0"/>
                  <w:vAlign w:val="center"/>
                </w:tcPr>
                <w:p w14:paraId="4B707402">
                  <w:pPr>
                    <w:pStyle w:val="23"/>
                    <w:keepNext w:val="0"/>
                    <w:keepLines w:val="0"/>
                    <w:pageBreakBefore w:val="0"/>
                    <w:widowControl/>
                    <w:kinsoku/>
                    <w:wordWrap/>
                    <w:overflowPunct/>
                    <w:topLinePunct w:val="0"/>
                    <w:autoSpaceDE/>
                    <w:autoSpaceDN/>
                    <w:bidi w:val="0"/>
                    <w:adjustRightInd/>
                    <w:snapToGrid/>
                    <w:textAlignment w:val="auto"/>
                  </w:pPr>
                  <w:r>
                    <w:rPr>
                      <w:rFonts w:hint="eastAsia"/>
                    </w:rPr>
                    <w:t>NO2年均浓度(</w:t>
                  </w:r>
                  <w:r>
                    <w:t>μ</w:t>
                  </w:r>
                  <w:r>
                    <w:rPr>
                      <w:rFonts w:hint="eastAsia"/>
                    </w:rPr>
                    <w:t>g/m³)</w:t>
                  </w:r>
                </w:p>
              </w:tc>
              <w:tc>
                <w:tcPr>
                  <w:tcW w:w="642" w:type="pct"/>
                  <w:noWrap w:val="0"/>
                  <w:vAlign w:val="center"/>
                </w:tcPr>
                <w:p w14:paraId="0549C138">
                  <w:pPr>
                    <w:pStyle w:val="23"/>
                    <w:keepNext w:val="0"/>
                    <w:keepLines w:val="0"/>
                    <w:pageBreakBefore w:val="0"/>
                    <w:widowControl/>
                    <w:kinsoku/>
                    <w:wordWrap/>
                    <w:overflowPunct/>
                    <w:topLinePunct w:val="0"/>
                    <w:autoSpaceDE/>
                    <w:autoSpaceDN/>
                    <w:bidi w:val="0"/>
                    <w:adjustRightInd/>
                    <w:snapToGrid/>
                    <w:textAlignment w:val="auto"/>
                  </w:pPr>
                  <w:r>
                    <w:rPr>
                      <w:rFonts w:hint="eastAsia"/>
                    </w:rPr>
                    <w:t>PM</w:t>
                  </w:r>
                  <w:r>
                    <w:rPr>
                      <w:rFonts w:hint="eastAsia"/>
                      <w:vertAlign w:val="subscript"/>
                    </w:rPr>
                    <w:t>10</w:t>
                  </w:r>
                  <w:r>
                    <w:rPr>
                      <w:rFonts w:hint="eastAsia"/>
                    </w:rPr>
                    <w:t>年均浓度(</w:t>
                  </w:r>
                  <w:r>
                    <w:t>μ</w:t>
                  </w:r>
                  <w:r>
                    <w:rPr>
                      <w:rFonts w:hint="eastAsia"/>
                    </w:rPr>
                    <w:t>g/m³)</w:t>
                  </w:r>
                </w:p>
              </w:tc>
              <w:tc>
                <w:tcPr>
                  <w:tcW w:w="623" w:type="pct"/>
                  <w:noWrap w:val="0"/>
                  <w:vAlign w:val="center"/>
                </w:tcPr>
                <w:p w14:paraId="6B496DC7">
                  <w:pPr>
                    <w:pStyle w:val="23"/>
                    <w:keepNext w:val="0"/>
                    <w:keepLines w:val="0"/>
                    <w:pageBreakBefore w:val="0"/>
                    <w:widowControl/>
                    <w:kinsoku/>
                    <w:wordWrap/>
                    <w:overflowPunct/>
                    <w:topLinePunct w:val="0"/>
                    <w:autoSpaceDE/>
                    <w:autoSpaceDN/>
                    <w:bidi w:val="0"/>
                    <w:adjustRightInd/>
                    <w:snapToGrid/>
                    <w:textAlignment w:val="auto"/>
                  </w:pPr>
                  <w:r>
                    <w:rPr>
                      <w:rFonts w:hint="eastAsia"/>
                    </w:rPr>
                    <w:t>PM</w:t>
                  </w:r>
                  <w:r>
                    <w:rPr>
                      <w:rFonts w:hint="eastAsia"/>
                      <w:vertAlign w:val="subscript"/>
                    </w:rPr>
                    <w:t>2.5</w:t>
                  </w:r>
                  <w:r>
                    <w:rPr>
                      <w:rFonts w:hint="eastAsia"/>
                    </w:rPr>
                    <w:t>年均浓度(</w:t>
                  </w:r>
                  <w:r>
                    <w:t>μ</w:t>
                  </w:r>
                  <w:r>
                    <w:rPr>
                      <w:rFonts w:hint="eastAsia"/>
                    </w:rPr>
                    <w:t>g/m³)</w:t>
                  </w:r>
                </w:p>
              </w:tc>
              <w:tc>
                <w:tcPr>
                  <w:tcW w:w="651" w:type="pct"/>
                  <w:noWrap w:val="0"/>
                  <w:vAlign w:val="center"/>
                </w:tcPr>
                <w:p w14:paraId="4996324C">
                  <w:pPr>
                    <w:pStyle w:val="23"/>
                    <w:keepNext w:val="0"/>
                    <w:keepLines w:val="0"/>
                    <w:pageBreakBefore w:val="0"/>
                    <w:widowControl/>
                    <w:kinsoku/>
                    <w:wordWrap/>
                    <w:overflowPunct/>
                    <w:topLinePunct w:val="0"/>
                    <w:autoSpaceDE/>
                    <w:autoSpaceDN/>
                    <w:bidi w:val="0"/>
                    <w:adjustRightInd/>
                    <w:snapToGrid/>
                    <w:textAlignment w:val="auto"/>
                  </w:pPr>
                  <w:r>
                    <w:rPr>
                      <w:rFonts w:hint="eastAsia"/>
                    </w:rPr>
                    <w:t>CO年均浓度(mg/m³)</w:t>
                  </w:r>
                </w:p>
              </w:tc>
              <w:tc>
                <w:tcPr>
                  <w:tcW w:w="577" w:type="pct"/>
                  <w:noWrap w:val="0"/>
                  <w:vAlign w:val="center"/>
                </w:tcPr>
                <w:p w14:paraId="4811F476">
                  <w:pPr>
                    <w:pStyle w:val="23"/>
                    <w:keepNext w:val="0"/>
                    <w:keepLines w:val="0"/>
                    <w:pageBreakBefore w:val="0"/>
                    <w:widowControl/>
                    <w:kinsoku/>
                    <w:wordWrap/>
                    <w:overflowPunct/>
                    <w:topLinePunct w:val="0"/>
                    <w:autoSpaceDE/>
                    <w:autoSpaceDN/>
                    <w:bidi w:val="0"/>
                    <w:adjustRightInd/>
                    <w:snapToGrid/>
                    <w:textAlignment w:val="auto"/>
                  </w:pPr>
                  <w:r>
                    <w:rPr>
                      <w:rFonts w:hint="eastAsia"/>
                    </w:rPr>
                    <w:t>O</w:t>
                  </w:r>
                  <w:r>
                    <w:rPr>
                      <w:rFonts w:hint="eastAsia"/>
                      <w:vertAlign w:val="subscript"/>
                    </w:rPr>
                    <w:t>3</w:t>
                  </w:r>
                  <w:r>
                    <w:rPr>
                      <w:rFonts w:hint="eastAsia"/>
                    </w:rPr>
                    <w:t>年均浓度(</w:t>
                  </w:r>
                  <w:r>
                    <w:t>μ</w:t>
                  </w:r>
                  <w:r>
                    <w:rPr>
                      <w:rFonts w:hint="eastAsia"/>
                    </w:rPr>
                    <w:t>g/m³)</w:t>
                  </w:r>
                </w:p>
              </w:tc>
              <w:tc>
                <w:tcPr>
                  <w:tcW w:w="670" w:type="pct"/>
                  <w:noWrap w:val="0"/>
                  <w:vAlign w:val="center"/>
                </w:tcPr>
                <w:p w14:paraId="4203461C">
                  <w:pPr>
                    <w:pStyle w:val="23"/>
                    <w:keepNext w:val="0"/>
                    <w:keepLines w:val="0"/>
                    <w:pageBreakBefore w:val="0"/>
                    <w:widowControl/>
                    <w:kinsoku/>
                    <w:wordWrap/>
                    <w:overflowPunct/>
                    <w:topLinePunct w:val="0"/>
                    <w:autoSpaceDE/>
                    <w:autoSpaceDN/>
                    <w:bidi w:val="0"/>
                    <w:adjustRightInd/>
                    <w:snapToGrid/>
                    <w:textAlignment w:val="auto"/>
                  </w:pPr>
                  <w:r>
                    <w:rPr>
                      <w:rFonts w:hint="eastAsia"/>
                    </w:rPr>
                    <w:t>环境空气质量综合指数</w:t>
                  </w:r>
                </w:p>
              </w:tc>
            </w:tr>
            <w:tr w14:paraId="57DE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14:paraId="14BB88FB">
                  <w:pPr>
                    <w:pStyle w:val="23"/>
                    <w:keepNext w:val="0"/>
                    <w:keepLines w:val="0"/>
                    <w:pageBreakBefore w:val="0"/>
                    <w:widowControl/>
                    <w:kinsoku/>
                    <w:wordWrap/>
                    <w:overflowPunct/>
                    <w:topLinePunct w:val="0"/>
                    <w:autoSpaceDE/>
                    <w:autoSpaceDN/>
                    <w:bidi w:val="0"/>
                    <w:adjustRightInd/>
                    <w:snapToGrid/>
                    <w:textAlignment w:val="auto"/>
                  </w:pPr>
                  <w:r>
                    <w:rPr>
                      <w:rFonts w:hint="eastAsia"/>
                    </w:rPr>
                    <w:t>市监测站</w:t>
                  </w:r>
                </w:p>
              </w:tc>
              <w:tc>
                <w:tcPr>
                  <w:tcW w:w="633" w:type="pct"/>
                  <w:noWrap w:val="0"/>
                  <w:vAlign w:val="center"/>
                </w:tcPr>
                <w:p w14:paraId="2C648078">
                  <w:pPr>
                    <w:pStyle w:val="23"/>
                    <w:keepNext w:val="0"/>
                    <w:keepLines w:val="0"/>
                    <w:pageBreakBefore w:val="0"/>
                    <w:widowControl/>
                    <w:kinsoku/>
                    <w:wordWrap/>
                    <w:overflowPunct/>
                    <w:topLinePunct w:val="0"/>
                    <w:autoSpaceDE/>
                    <w:autoSpaceDN/>
                    <w:bidi w:val="0"/>
                    <w:adjustRightInd/>
                    <w:snapToGrid/>
                    <w:textAlignment w:val="auto"/>
                  </w:pPr>
                  <w:r>
                    <w:rPr>
                      <w:rFonts w:hint="eastAsia"/>
                    </w:rPr>
                    <w:t>8.1</w:t>
                  </w:r>
                </w:p>
              </w:tc>
              <w:tc>
                <w:tcPr>
                  <w:tcW w:w="642" w:type="pct"/>
                  <w:noWrap w:val="0"/>
                  <w:vAlign w:val="center"/>
                </w:tcPr>
                <w:p w14:paraId="68040217">
                  <w:pPr>
                    <w:pStyle w:val="23"/>
                    <w:keepNext w:val="0"/>
                    <w:keepLines w:val="0"/>
                    <w:pageBreakBefore w:val="0"/>
                    <w:widowControl/>
                    <w:kinsoku/>
                    <w:wordWrap/>
                    <w:overflowPunct/>
                    <w:topLinePunct w:val="0"/>
                    <w:autoSpaceDE/>
                    <w:autoSpaceDN/>
                    <w:bidi w:val="0"/>
                    <w:adjustRightInd/>
                    <w:snapToGrid/>
                    <w:textAlignment w:val="auto"/>
                  </w:pPr>
                  <w:r>
                    <w:rPr>
                      <w:rFonts w:hint="eastAsia"/>
                    </w:rPr>
                    <w:t>25.2</w:t>
                  </w:r>
                </w:p>
              </w:tc>
              <w:tc>
                <w:tcPr>
                  <w:tcW w:w="642" w:type="pct"/>
                  <w:noWrap w:val="0"/>
                  <w:vAlign w:val="center"/>
                </w:tcPr>
                <w:p w14:paraId="69D00E00">
                  <w:pPr>
                    <w:pStyle w:val="23"/>
                    <w:keepNext w:val="0"/>
                    <w:keepLines w:val="0"/>
                    <w:pageBreakBefore w:val="0"/>
                    <w:widowControl/>
                    <w:kinsoku/>
                    <w:wordWrap/>
                    <w:overflowPunct/>
                    <w:topLinePunct w:val="0"/>
                    <w:autoSpaceDE/>
                    <w:autoSpaceDN/>
                    <w:bidi w:val="0"/>
                    <w:adjustRightInd/>
                    <w:snapToGrid/>
                    <w:textAlignment w:val="auto"/>
                  </w:pPr>
                  <w:r>
                    <w:rPr>
                      <w:rFonts w:hint="eastAsia"/>
                    </w:rPr>
                    <w:t>50.2</w:t>
                  </w:r>
                </w:p>
              </w:tc>
              <w:tc>
                <w:tcPr>
                  <w:tcW w:w="623" w:type="pct"/>
                  <w:noWrap w:val="0"/>
                  <w:vAlign w:val="center"/>
                </w:tcPr>
                <w:p w14:paraId="0528D378">
                  <w:pPr>
                    <w:pStyle w:val="23"/>
                    <w:keepNext w:val="0"/>
                    <w:keepLines w:val="0"/>
                    <w:pageBreakBefore w:val="0"/>
                    <w:widowControl/>
                    <w:kinsoku/>
                    <w:wordWrap/>
                    <w:overflowPunct/>
                    <w:topLinePunct w:val="0"/>
                    <w:autoSpaceDE/>
                    <w:autoSpaceDN/>
                    <w:bidi w:val="0"/>
                    <w:adjustRightInd/>
                    <w:snapToGrid/>
                    <w:textAlignment w:val="auto"/>
                  </w:pPr>
                  <w:r>
                    <w:rPr>
                      <w:rFonts w:hint="eastAsia"/>
                    </w:rPr>
                    <w:t>30.1</w:t>
                  </w:r>
                </w:p>
              </w:tc>
              <w:tc>
                <w:tcPr>
                  <w:tcW w:w="651" w:type="pct"/>
                  <w:noWrap w:val="0"/>
                  <w:vAlign w:val="center"/>
                </w:tcPr>
                <w:p w14:paraId="79AA3083">
                  <w:pPr>
                    <w:pStyle w:val="23"/>
                    <w:keepNext w:val="0"/>
                    <w:keepLines w:val="0"/>
                    <w:pageBreakBefore w:val="0"/>
                    <w:widowControl/>
                    <w:kinsoku/>
                    <w:wordWrap/>
                    <w:overflowPunct/>
                    <w:topLinePunct w:val="0"/>
                    <w:autoSpaceDE/>
                    <w:autoSpaceDN/>
                    <w:bidi w:val="0"/>
                    <w:adjustRightInd/>
                    <w:snapToGrid/>
                    <w:textAlignment w:val="auto"/>
                  </w:pPr>
                  <w:r>
                    <w:rPr>
                      <w:rFonts w:hint="eastAsia"/>
                    </w:rPr>
                    <w:t>1.0</w:t>
                  </w:r>
                </w:p>
              </w:tc>
              <w:tc>
                <w:tcPr>
                  <w:tcW w:w="577" w:type="pct"/>
                  <w:noWrap w:val="0"/>
                  <w:vAlign w:val="center"/>
                </w:tcPr>
                <w:p w14:paraId="7A50BFA1">
                  <w:pPr>
                    <w:pStyle w:val="23"/>
                    <w:keepNext w:val="0"/>
                    <w:keepLines w:val="0"/>
                    <w:pageBreakBefore w:val="0"/>
                    <w:widowControl/>
                    <w:kinsoku/>
                    <w:wordWrap/>
                    <w:overflowPunct/>
                    <w:topLinePunct w:val="0"/>
                    <w:autoSpaceDE/>
                    <w:autoSpaceDN/>
                    <w:bidi w:val="0"/>
                    <w:adjustRightInd/>
                    <w:snapToGrid/>
                    <w:textAlignment w:val="auto"/>
                  </w:pPr>
                  <w:r>
                    <w:rPr>
                      <w:rFonts w:hint="eastAsia"/>
                    </w:rPr>
                    <w:t>148.2</w:t>
                  </w:r>
                </w:p>
              </w:tc>
              <w:tc>
                <w:tcPr>
                  <w:tcW w:w="670" w:type="pct"/>
                  <w:noWrap w:val="0"/>
                  <w:vAlign w:val="center"/>
                </w:tcPr>
                <w:p w14:paraId="450ED370">
                  <w:pPr>
                    <w:pStyle w:val="23"/>
                    <w:keepNext w:val="0"/>
                    <w:keepLines w:val="0"/>
                    <w:pageBreakBefore w:val="0"/>
                    <w:widowControl/>
                    <w:kinsoku/>
                    <w:wordWrap/>
                    <w:overflowPunct/>
                    <w:topLinePunct w:val="0"/>
                    <w:autoSpaceDE/>
                    <w:autoSpaceDN/>
                    <w:bidi w:val="0"/>
                    <w:adjustRightInd/>
                    <w:snapToGrid/>
                    <w:textAlignment w:val="auto"/>
                  </w:pPr>
                  <w:r>
                    <w:rPr>
                      <w:rFonts w:hint="eastAsia"/>
                    </w:rPr>
                    <w:t>3.49</w:t>
                  </w:r>
                </w:p>
              </w:tc>
            </w:tr>
            <w:tr w14:paraId="7159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14:paraId="3D79FCAD">
                  <w:pPr>
                    <w:pStyle w:val="23"/>
                    <w:keepNext w:val="0"/>
                    <w:keepLines w:val="0"/>
                    <w:pageBreakBefore w:val="0"/>
                    <w:widowControl/>
                    <w:kinsoku/>
                    <w:wordWrap/>
                    <w:overflowPunct/>
                    <w:topLinePunct w:val="0"/>
                    <w:autoSpaceDE/>
                    <w:autoSpaceDN/>
                    <w:bidi w:val="0"/>
                    <w:adjustRightInd/>
                    <w:snapToGrid/>
                    <w:textAlignment w:val="auto"/>
                  </w:pPr>
                  <w:r>
                    <w:rPr>
                      <w:rFonts w:hint="eastAsia"/>
                    </w:rPr>
                    <w:t>美宁食品公司</w:t>
                  </w:r>
                </w:p>
              </w:tc>
              <w:tc>
                <w:tcPr>
                  <w:tcW w:w="633" w:type="pct"/>
                  <w:noWrap w:val="0"/>
                  <w:vAlign w:val="center"/>
                </w:tcPr>
                <w:p w14:paraId="163FDCEB">
                  <w:pPr>
                    <w:pStyle w:val="23"/>
                    <w:keepNext w:val="0"/>
                    <w:keepLines w:val="0"/>
                    <w:pageBreakBefore w:val="0"/>
                    <w:widowControl/>
                    <w:kinsoku/>
                    <w:wordWrap/>
                    <w:overflowPunct/>
                    <w:topLinePunct w:val="0"/>
                    <w:autoSpaceDE/>
                    <w:autoSpaceDN/>
                    <w:bidi w:val="0"/>
                    <w:adjustRightInd/>
                    <w:snapToGrid/>
                    <w:textAlignment w:val="auto"/>
                  </w:pPr>
                  <w:r>
                    <w:rPr>
                      <w:rFonts w:hint="eastAsia"/>
                    </w:rPr>
                    <w:t>7.9</w:t>
                  </w:r>
                </w:p>
              </w:tc>
              <w:tc>
                <w:tcPr>
                  <w:tcW w:w="642" w:type="pct"/>
                  <w:noWrap w:val="0"/>
                  <w:vAlign w:val="center"/>
                </w:tcPr>
                <w:p w14:paraId="7C28DEF1">
                  <w:pPr>
                    <w:pStyle w:val="23"/>
                    <w:keepNext w:val="0"/>
                    <w:keepLines w:val="0"/>
                    <w:pageBreakBefore w:val="0"/>
                    <w:widowControl/>
                    <w:kinsoku/>
                    <w:wordWrap/>
                    <w:overflowPunct/>
                    <w:topLinePunct w:val="0"/>
                    <w:autoSpaceDE/>
                    <w:autoSpaceDN/>
                    <w:bidi w:val="0"/>
                    <w:adjustRightInd/>
                    <w:snapToGrid/>
                    <w:textAlignment w:val="auto"/>
                  </w:pPr>
                  <w:r>
                    <w:rPr>
                      <w:rFonts w:hint="eastAsia"/>
                    </w:rPr>
                    <w:t>27.</w:t>
                  </w:r>
                </w:p>
              </w:tc>
              <w:tc>
                <w:tcPr>
                  <w:tcW w:w="642" w:type="pct"/>
                  <w:noWrap w:val="0"/>
                  <w:vAlign w:val="center"/>
                </w:tcPr>
                <w:p w14:paraId="6D43B53D">
                  <w:pPr>
                    <w:pStyle w:val="23"/>
                    <w:keepNext w:val="0"/>
                    <w:keepLines w:val="0"/>
                    <w:pageBreakBefore w:val="0"/>
                    <w:widowControl/>
                    <w:kinsoku/>
                    <w:wordWrap/>
                    <w:overflowPunct/>
                    <w:topLinePunct w:val="0"/>
                    <w:autoSpaceDE/>
                    <w:autoSpaceDN/>
                    <w:bidi w:val="0"/>
                    <w:adjustRightInd/>
                    <w:snapToGrid/>
                    <w:textAlignment w:val="auto"/>
                  </w:pPr>
                  <w:r>
                    <w:rPr>
                      <w:rFonts w:hint="eastAsia"/>
                    </w:rPr>
                    <w:t>55.9</w:t>
                  </w:r>
                </w:p>
              </w:tc>
              <w:tc>
                <w:tcPr>
                  <w:tcW w:w="623" w:type="pct"/>
                  <w:noWrap w:val="0"/>
                  <w:vAlign w:val="center"/>
                </w:tcPr>
                <w:p w14:paraId="404153AF">
                  <w:pPr>
                    <w:pStyle w:val="23"/>
                    <w:keepNext w:val="0"/>
                    <w:keepLines w:val="0"/>
                    <w:pageBreakBefore w:val="0"/>
                    <w:widowControl/>
                    <w:kinsoku/>
                    <w:wordWrap/>
                    <w:overflowPunct/>
                    <w:topLinePunct w:val="0"/>
                    <w:autoSpaceDE/>
                    <w:autoSpaceDN/>
                    <w:bidi w:val="0"/>
                    <w:adjustRightInd/>
                    <w:snapToGrid/>
                    <w:textAlignment w:val="auto"/>
                  </w:pPr>
                  <w:r>
                    <w:rPr>
                      <w:rFonts w:hint="eastAsia"/>
                    </w:rPr>
                    <w:t>30.2</w:t>
                  </w:r>
                </w:p>
              </w:tc>
              <w:tc>
                <w:tcPr>
                  <w:tcW w:w="651" w:type="pct"/>
                  <w:noWrap w:val="0"/>
                  <w:vAlign w:val="center"/>
                </w:tcPr>
                <w:p w14:paraId="3824830F">
                  <w:pPr>
                    <w:pStyle w:val="23"/>
                    <w:keepNext w:val="0"/>
                    <w:keepLines w:val="0"/>
                    <w:pageBreakBefore w:val="0"/>
                    <w:widowControl/>
                    <w:kinsoku/>
                    <w:wordWrap/>
                    <w:overflowPunct/>
                    <w:topLinePunct w:val="0"/>
                    <w:autoSpaceDE/>
                    <w:autoSpaceDN/>
                    <w:bidi w:val="0"/>
                    <w:adjustRightInd/>
                    <w:snapToGrid/>
                    <w:textAlignment w:val="auto"/>
                  </w:pPr>
                  <w:r>
                    <w:rPr>
                      <w:rFonts w:hint="eastAsia"/>
                    </w:rPr>
                    <w:t>0.9</w:t>
                  </w:r>
                </w:p>
              </w:tc>
              <w:tc>
                <w:tcPr>
                  <w:tcW w:w="577" w:type="pct"/>
                  <w:noWrap w:val="0"/>
                  <w:vAlign w:val="center"/>
                </w:tcPr>
                <w:p w14:paraId="25070193">
                  <w:pPr>
                    <w:pStyle w:val="23"/>
                    <w:keepNext w:val="0"/>
                    <w:keepLines w:val="0"/>
                    <w:pageBreakBefore w:val="0"/>
                    <w:widowControl/>
                    <w:kinsoku/>
                    <w:wordWrap/>
                    <w:overflowPunct/>
                    <w:topLinePunct w:val="0"/>
                    <w:autoSpaceDE/>
                    <w:autoSpaceDN/>
                    <w:bidi w:val="0"/>
                    <w:adjustRightInd/>
                    <w:snapToGrid/>
                    <w:textAlignment w:val="auto"/>
                  </w:pPr>
                  <w:r>
                    <w:rPr>
                      <w:rFonts w:hint="eastAsia"/>
                    </w:rPr>
                    <w:t>142.6</w:t>
                  </w:r>
                </w:p>
              </w:tc>
              <w:tc>
                <w:tcPr>
                  <w:tcW w:w="670" w:type="pct"/>
                  <w:noWrap w:val="0"/>
                  <w:vAlign w:val="center"/>
                </w:tcPr>
                <w:p w14:paraId="16F01C26">
                  <w:pPr>
                    <w:pStyle w:val="23"/>
                    <w:keepNext w:val="0"/>
                    <w:keepLines w:val="0"/>
                    <w:pageBreakBefore w:val="0"/>
                    <w:widowControl/>
                    <w:kinsoku/>
                    <w:wordWrap/>
                    <w:overflowPunct/>
                    <w:topLinePunct w:val="0"/>
                    <w:autoSpaceDE/>
                    <w:autoSpaceDN/>
                    <w:bidi w:val="0"/>
                    <w:adjustRightInd/>
                    <w:snapToGrid/>
                    <w:textAlignment w:val="auto"/>
                  </w:pPr>
                  <w:r>
                    <w:rPr>
                      <w:rFonts w:hint="eastAsia"/>
                    </w:rPr>
                    <w:t>3.60</w:t>
                  </w:r>
                </w:p>
              </w:tc>
            </w:tr>
            <w:tr w14:paraId="6F79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14:paraId="48C48F5D">
                  <w:pPr>
                    <w:pStyle w:val="23"/>
                    <w:keepNext w:val="0"/>
                    <w:keepLines w:val="0"/>
                    <w:pageBreakBefore w:val="0"/>
                    <w:widowControl/>
                    <w:kinsoku/>
                    <w:wordWrap/>
                    <w:overflowPunct/>
                    <w:topLinePunct w:val="0"/>
                    <w:autoSpaceDE/>
                    <w:autoSpaceDN/>
                    <w:bidi w:val="0"/>
                    <w:adjustRightInd/>
                    <w:snapToGrid/>
                    <w:textAlignment w:val="auto"/>
                  </w:pPr>
                  <w:r>
                    <w:rPr>
                      <w:rFonts w:hint="eastAsia"/>
                    </w:rPr>
                    <w:t>行政中心</w:t>
                  </w:r>
                </w:p>
              </w:tc>
              <w:tc>
                <w:tcPr>
                  <w:tcW w:w="633" w:type="pct"/>
                  <w:noWrap w:val="0"/>
                  <w:vAlign w:val="center"/>
                </w:tcPr>
                <w:p w14:paraId="40F61903">
                  <w:pPr>
                    <w:pStyle w:val="23"/>
                    <w:keepNext w:val="0"/>
                    <w:keepLines w:val="0"/>
                    <w:pageBreakBefore w:val="0"/>
                    <w:widowControl/>
                    <w:kinsoku/>
                    <w:wordWrap/>
                    <w:overflowPunct/>
                    <w:topLinePunct w:val="0"/>
                    <w:autoSpaceDE/>
                    <w:autoSpaceDN/>
                    <w:bidi w:val="0"/>
                    <w:adjustRightInd/>
                    <w:snapToGrid/>
                    <w:textAlignment w:val="auto"/>
                  </w:pPr>
                  <w:r>
                    <w:rPr>
                      <w:rFonts w:hint="eastAsia"/>
                    </w:rPr>
                    <w:t>7.2</w:t>
                  </w:r>
                </w:p>
              </w:tc>
              <w:tc>
                <w:tcPr>
                  <w:tcW w:w="642" w:type="pct"/>
                  <w:noWrap w:val="0"/>
                  <w:vAlign w:val="center"/>
                </w:tcPr>
                <w:p w14:paraId="6C177700">
                  <w:pPr>
                    <w:pStyle w:val="23"/>
                    <w:keepNext w:val="0"/>
                    <w:keepLines w:val="0"/>
                    <w:pageBreakBefore w:val="0"/>
                    <w:widowControl/>
                    <w:kinsoku/>
                    <w:wordWrap/>
                    <w:overflowPunct/>
                    <w:topLinePunct w:val="0"/>
                    <w:autoSpaceDE/>
                    <w:autoSpaceDN/>
                    <w:bidi w:val="0"/>
                    <w:adjustRightInd/>
                    <w:snapToGrid/>
                    <w:textAlignment w:val="auto"/>
                  </w:pPr>
                  <w:r>
                    <w:rPr>
                      <w:rFonts w:hint="eastAsia"/>
                    </w:rPr>
                    <w:t>20.9</w:t>
                  </w:r>
                </w:p>
              </w:tc>
              <w:tc>
                <w:tcPr>
                  <w:tcW w:w="642" w:type="pct"/>
                  <w:noWrap w:val="0"/>
                  <w:vAlign w:val="center"/>
                </w:tcPr>
                <w:p w14:paraId="7952F01C">
                  <w:pPr>
                    <w:pStyle w:val="23"/>
                    <w:keepNext w:val="0"/>
                    <w:keepLines w:val="0"/>
                    <w:pageBreakBefore w:val="0"/>
                    <w:widowControl/>
                    <w:kinsoku/>
                    <w:wordWrap/>
                    <w:overflowPunct/>
                    <w:topLinePunct w:val="0"/>
                    <w:autoSpaceDE/>
                    <w:autoSpaceDN/>
                    <w:bidi w:val="0"/>
                    <w:adjustRightInd/>
                    <w:snapToGrid/>
                    <w:textAlignment w:val="auto"/>
                  </w:pPr>
                  <w:r>
                    <w:rPr>
                      <w:rFonts w:hint="eastAsia"/>
                    </w:rPr>
                    <w:t>49.2</w:t>
                  </w:r>
                </w:p>
              </w:tc>
              <w:tc>
                <w:tcPr>
                  <w:tcW w:w="623" w:type="pct"/>
                  <w:noWrap w:val="0"/>
                  <w:vAlign w:val="center"/>
                </w:tcPr>
                <w:p w14:paraId="23230E54">
                  <w:pPr>
                    <w:pStyle w:val="23"/>
                    <w:keepNext w:val="0"/>
                    <w:keepLines w:val="0"/>
                    <w:pageBreakBefore w:val="0"/>
                    <w:widowControl/>
                    <w:kinsoku/>
                    <w:wordWrap/>
                    <w:overflowPunct/>
                    <w:topLinePunct w:val="0"/>
                    <w:autoSpaceDE/>
                    <w:autoSpaceDN/>
                    <w:bidi w:val="0"/>
                    <w:adjustRightInd/>
                    <w:snapToGrid/>
                    <w:textAlignment w:val="auto"/>
                  </w:pPr>
                  <w:r>
                    <w:rPr>
                      <w:rFonts w:hint="eastAsia"/>
                    </w:rPr>
                    <w:t>29.8</w:t>
                  </w:r>
                </w:p>
              </w:tc>
              <w:tc>
                <w:tcPr>
                  <w:tcW w:w="651" w:type="pct"/>
                  <w:noWrap w:val="0"/>
                  <w:vAlign w:val="center"/>
                </w:tcPr>
                <w:p w14:paraId="47AED6C8">
                  <w:pPr>
                    <w:pStyle w:val="23"/>
                    <w:keepNext w:val="0"/>
                    <w:keepLines w:val="0"/>
                    <w:pageBreakBefore w:val="0"/>
                    <w:widowControl/>
                    <w:kinsoku/>
                    <w:wordWrap/>
                    <w:overflowPunct/>
                    <w:topLinePunct w:val="0"/>
                    <w:autoSpaceDE/>
                    <w:autoSpaceDN/>
                    <w:bidi w:val="0"/>
                    <w:adjustRightInd/>
                    <w:snapToGrid/>
                    <w:textAlignment w:val="auto"/>
                  </w:pPr>
                  <w:r>
                    <w:rPr>
                      <w:rFonts w:hint="eastAsia"/>
                    </w:rPr>
                    <w:t>1.0</w:t>
                  </w:r>
                </w:p>
              </w:tc>
              <w:tc>
                <w:tcPr>
                  <w:tcW w:w="577" w:type="pct"/>
                  <w:noWrap w:val="0"/>
                  <w:vAlign w:val="center"/>
                </w:tcPr>
                <w:p w14:paraId="022DCF8C">
                  <w:pPr>
                    <w:pStyle w:val="23"/>
                    <w:keepNext w:val="0"/>
                    <w:keepLines w:val="0"/>
                    <w:pageBreakBefore w:val="0"/>
                    <w:widowControl/>
                    <w:kinsoku/>
                    <w:wordWrap/>
                    <w:overflowPunct/>
                    <w:topLinePunct w:val="0"/>
                    <w:autoSpaceDE/>
                    <w:autoSpaceDN/>
                    <w:bidi w:val="0"/>
                    <w:adjustRightInd/>
                    <w:snapToGrid/>
                    <w:textAlignment w:val="auto"/>
                  </w:pPr>
                  <w:r>
                    <w:rPr>
                      <w:rFonts w:hint="eastAsia"/>
                    </w:rPr>
                    <w:t>145.0</w:t>
                  </w:r>
                </w:p>
              </w:tc>
              <w:tc>
                <w:tcPr>
                  <w:tcW w:w="670" w:type="pct"/>
                  <w:noWrap w:val="0"/>
                  <w:vAlign w:val="center"/>
                </w:tcPr>
                <w:p w14:paraId="3C61A59C">
                  <w:pPr>
                    <w:pStyle w:val="23"/>
                    <w:keepNext w:val="0"/>
                    <w:keepLines w:val="0"/>
                    <w:pageBreakBefore w:val="0"/>
                    <w:widowControl/>
                    <w:kinsoku/>
                    <w:wordWrap/>
                    <w:overflowPunct/>
                    <w:topLinePunct w:val="0"/>
                    <w:autoSpaceDE/>
                    <w:autoSpaceDN/>
                    <w:bidi w:val="0"/>
                    <w:adjustRightInd/>
                    <w:snapToGrid/>
                    <w:textAlignment w:val="auto"/>
                  </w:pPr>
                  <w:r>
                    <w:rPr>
                      <w:rFonts w:hint="eastAsia"/>
                    </w:rPr>
                    <w:t>3.36</w:t>
                  </w:r>
                </w:p>
              </w:tc>
            </w:tr>
            <w:tr w14:paraId="1509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14:paraId="42670ADD">
                  <w:pPr>
                    <w:pStyle w:val="23"/>
                    <w:keepNext w:val="0"/>
                    <w:keepLines w:val="0"/>
                    <w:pageBreakBefore w:val="0"/>
                    <w:widowControl/>
                    <w:kinsoku/>
                    <w:wordWrap/>
                    <w:overflowPunct/>
                    <w:topLinePunct w:val="0"/>
                    <w:autoSpaceDE/>
                    <w:autoSpaceDN/>
                    <w:bidi w:val="0"/>
                    <w:adjustRightInd/>
                    <w:snapToGrid/>
                    <w:textAlignment w:val="auto"/>
                  </w:pPr>
                  <w:r>
                    <w:rPr>
                      <w:rFonts w:hint="eastAsia"/>
                    </w:rPr>
                    <w:t>石溪浩</w:t>
                  </w:r>
                </w:p>
              </w:tc>
              <w:tc>
                <w:tcPr>
                  <w:tcW w:w="633" w:type="pct"/>
                  <w:noWrap w:val="0"/>
                  <w:vAlign w:val="center"/>
                </w:tcPr>
                <w:p w14:paraId="42A5AE91">
                  <w:pPr>
                    <w:pStyle w:val="23"/>
                    <w:keepNext w:val="0"/>
                    <w:keepLines w:val="0"/>
                    <w:pageBreakBefore w:val="0"/>
                    <w:widowControl/>
                    <w:kinsoku/>
                    <w:wordWrap/>
                    <w:overflowPunct/>
                    <w:topLinePunct w:val="0"/>
                    <w:autoSpaceDE/>
                    <w:autoSpaceDN/>
                    <w:bidi w:val="0"/>
                    <w:adjustRightInd/>
                    <w:snapToGrid/>
                    <w:textAlignment w:val="auto"/>
                  </w:pPr>
                  <w:r>
                    <w:rPr>
                      <w:rFonts w:hint="eastAsia"/>
                    </w:rPr>
                    <w:t>7.9</w:t>
                  </w:r>
                </w:p>
              </w:tc>
              <w:tc>
                <w:tcPr>
                  <w:tcW w:w="642" w:type="pct"/>
                  <w:noWrap w:val="0"/>
                  <w:vAlign w:val="center"/>
                </w:tcPr>
                <w:p w14:paraId="1A289344">
                  <w:pPr>
                    <w:pStyle w:val="23"/>
                    <w:keepNext w:val="0"/>
                    <w:keepLines w:val="0"/>
                    <w:pageBreakBefore w:val="0"/>
                    <w:widowControl/>
                    <w:kinsoku/>
                    <w:wordWrap/>
                    <w:overflowPunct/>
                    <w:topLinePunct w:val="0"/>
                    <w:autoSpaceDE/>
                    <w:autoSpaceDN/>
                    <w:bidi w:val="0"/>
                    <w:adjustRightInd/>
                    <w:snapToGrid/>
                    <w:textAlignment w:val="auto"/>
                  </w:pPr>
                  <w:r>
                    <w:rPr>
                      <w:rFonts w:hint="eastAsia"/>
                    </w:rPr>
                    <w:t>18.3</w:t>
                  </w:r>
                </w:p>
              </w:tc>
              <w:tc>
                <w:tcPr>
                  <w:tcW w:w="642" w:type="pct"/>
                  <w:noWrap w:val="0"/>
                  <w:vAlign w:val="center"/>
                </w:tcPr>
                <w:p w14:paraId="17983DAE">
                  <w:pPr>
                    <w:pStyle w:val="23"/>
                    <w:keepNext w:val="0"/>
                    <w:keepLines w:val="0"/>
                    <w:pageBreakBefore w:val="0"/>
                    <w:widowControl/>
                    <w:kinsoku/>
                    <w:wordWrap/>
                    <w:overflowPunct/>
                    <w:topLinePunct w:val="0"/>
                    <w:autoSpaceDE/>
                    <w:autoSpaceDN/>
                    <w:bidi w:val="0"/>
                    <w:adjustRightInd/>
                    <w:snapToGrid/>
                    <w:textAlignment w:val="auto"/>
                  </w:pPr>
                  <w:r>
                    <w:rPr>
                      <w:rFonts w:hint="eastAsia"/>
                    </w:rPr>
                    <w:t>59.8</w:t>
                  </w:r>
                </w:p>
              </w:tc>
              <w:tc>
                <w:tcPr>
                  <w:tcW w:w="623" w:type="pct"/>
                  <w:noWrap w:val="0"/>
                  <w:vAlign w:val="center"/>
                </w:tcPr>
                <w:p w14:paraId="03F2A288">
                  <w:pPr>
                    <w:pStyle w:val="23"/>
                    <w:keepNext w:val="0"/>
                    <w:keepLines w:val="0"/>
                    <w:pageBreakBefore w:val="0"/>
                    <w:widowControl/>
                    <w:kinsoku/>
                    <w:wordWrap/>
                    <w:overflowPunct/>
                    <w:topLinePunct w:val="0"/>
                    <w:autoSpaceDE/>
                    <w:autoSpaceDN/>
                    <w:bidi w:val="0"/>
                    <w:adjustRightInd/>
                    <w:snapToGrid/>
                    <w:textAlignment w:val="auto"/>
                  </w:pPr>
                  <w:r>
                    <w:rPr>
                      <w:rFonts w:hint="eastAsia"/>
                    </w:rPr>
                    <w:t>31.2</w:t>
                  </w:r>
                </w:p>
              </w:tc>
              <w:tc>
                <w:tcPr>
                  <w:tcW w:w="651" w:type="pct"/>
                  <w:noWrap w:val="0"/>
                  <w:vAlign w:val="center"/>
                </w:tcPr>
                <w:p w14:paraId="2434B0E2">
                  <w:pPr>
                    <w:pStyle w:val="23"/>
                    <w:keepNext w:val="0"/>
                    <w:keepLines w:val="0"/>
                    <w:pageBreakBefore w:val="0"/>
                    <w:widowControl/>
                    <w:kinsoku/>
                    <w:wordWrap/>
                    <w:overflowPunct/>
                    <w:topLinePunct w:val="0"/>
                    <w:autoSpaceDE/>
                    <w:autoSpaceDN/>
                    <w:bidi w:val="0"/>
                    <w:adjustRightInd/>
                    <w:snapToGrid/>
                    <w:textAlignment w:val="auto"/>
                  </w:pPr>
                  <w:r>
                    <w:rPr>
                      <w:rFonts w:hint="eastAsia"/>
                    </w:rPr>
                    <w:t>0.9</w:t>
                  </w:r>
                </w:p>
              </w:tc>
              <w:tc>
                <w:tcPr>
                  <w:tcW w:w="577" w:type="pct"/>
                  <w:noWrap w:val="0"/>
                  <w:vAlign w:val="center"/>
                </w:tcPr>
                <w:p w14:paraId="405E7282">
                  <w:pPr>
                    <w:pStyle w:val="23"/>
                    <w:keepNext w:val="0"/>
                    <w:keepLines w:val="0"/>
                    <w:pageBreakBefore w:val="0"/>
                    <w:widowControl/>
                    <w:kinsoku/>
                    <w:wordWrap/>
                    <w:overflowPunct/>
                    <w:topLinePunct w:val="0"/>
                    <w:autoSpaceDE/>
                    <w:autoSpaceDN/>
                    <w:bidi w:val="0"/>
                    <w:adjustRightInd/>
                    <w:snapToGrid/>
                    <w:textAlignment w:val="auto"/>
                  </w:pPr>
                  <w:r>
                    <w:rPr>
                      <w:rFonts w:hint="eastAsia"/>
                    </w:rPr>
                    <w:t>142.2</w:t>
                  </w:r>
                </w:p>
              </w:tc>
              <w:tc>
                <w:tcPr>
                  <w:tcW w:w="670" w:type="pct"/>
                  <w:noWrap w:val="0"/>
                  <w:vAlign w:val="center"/>
                </w:tcPr>
                <w:p w14:paraId="3C7D281C">
                  <w:pPr>
                    <w:pStyle w:val="23"/>
                    <w:keepNext w:val="0"/>
                    <w:keepLines w:val="0"/>
                    <w:pageBreakBefore w:val="0"/>
                    <w:widowControl/>
                    <w:kinsoku/>
                    <w:wordWrap/>
                    <w:overflowPunct/>
                    <w:topLinePunct w:val="0"/>
                    <w:autoSpaceDE/>
                    <w:autoSpaceDN/>
                    <w:bidi w:val="0"/>
                    <w:adjustRightInd/>
                    <w:snapToGrid/>
                    <w:textAlignment w:val="auto"/>
                  </w:pPr>
                  <w:r>
                    <w:rPr>
                      <w:rFonts w:hint="eastAsia"/>
                    </w:rPr>
                    <w:t>3.44</w:t>
                  </w:r>
                </w:p>
              </w:tc>
            </w:tr>
            <w:tr w14:paraId="52C0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14:paraId="46D5F98B">
                  <w:pPr>
                    <w:pStyle w:val="23"/>
                    <w:keepNext w:val="0"/>
                    <w:keepLines w:val="0"/>
                    <w:pageBreakBefore w:val="0"/>
                    <w:widowControl/>
                    <w:kinsoku/>
                    <w:wordWrap/>
                    <w:overflowPunct/>
                    <w:topLinePunct w:val="0"/>
                    <w:autoSpaceDE/>
                    <w:autoSpaceDN/>
                    <w:bidi w:val="0"/>
                    <w:adjustRightInd/>
                    <w:snapToGrid/>
                    <w:textAlignment w:val="auto"/>
                  </w:pPr>
                  <w:r>
                    <w:rPr>
                      <w:rFonts w:hint="eastAsia"/>
                    </w:rPr>
                    <w:t>全市平均</w:t>
                  </w:r>
                </w:p>
              </w:tc>
              <w:tc>
                <w:tcPr>
                  <w:tcW w:w="633" w:type="pct"/>
                  <w:noWrap w:val="0"/>
                  <w:vAlign w:val="center"/>
                </w:tcPr>
                <w:p w14:paraId="01E87ABD">
                  <w:pPr>
                    <w:pStyle w:val="23"/>
                    <w:keepNext w:val="0"/>
                    <w:keepLines w:val="0"/>
                    <w:pageBreakBefore w:val="0"/>
                    <w:widowControl/>
                    <w:kinsoku/>
                    <w:wordWrap/>
                    <w:overflowPunct/>
                    <w:topLinePunct w:val="0"/>
                    <w:autoSpaceDE/>
                    <w:autoSpaceDN/>
                    <w:bidi w:val="0"/>
                    <w:adjustRightInd/>
                    <w:snapToGrid/>
                    <w:textAlignment w:val="auto"/>
                  </w:pPr>
                  <w:r>
                    <w:rPr>
                      <w:rFonts w:hint="eastAsia"/>
                    </w:rPr>
                    <w:t>7.7</w:t>
                  </w:r>
                </w:p>
              </w:tc>
              <w:tc>
                <w:tcPr>
                  <w:tcW w:w="642" w:type="pct"/>
                  <w:noWrap w:val="0"/>
                  <w:vAlign w:val="center"/>
                </w:tcPr>
                <w:p w14:paraId="5825EC0C">
                  <w:pPr>
                    <w:pStyle w:val="23"/>
                    <w:keepNext w:val="0"/>
                    <w:keepLines w:val="0"/>
                    <w:pageBreakBefore w:val="0"/>
                    <w:widowControl/>
                    <w:kinsoku/>
                    <w:wordWrap/>
                    <w:overflowPunct/>
                    <w:topLinePunct w:val="0"/>
                    <w:autoSpaceDE/>
                    <w:autoSpaceDN/>
                    <w:bidi w:val="0"/>
                    <w:adjustRightInd/>
                    <w:snapToGrid/>
                    <w:textAlignment w:val="auto"/>
                  </w:pPr>
                  <w:r>
                    <w:rPr>
                      <w:rFonts w:hint="eastAsia"/>
                    </w:rPr>
                    <w:t>24.6</w:t>
                  </w:r>
                </w:p>
              </w:tc>
              <w:tc>
                <w:tcPr>
                  <w:tcW w:w="642" w:type="pct"/>
                  <w:noWrap w:val="0"/>
                  <w:vAlign w:val="center"/>
                </w:tcPr>
                <w:p w14:paraId="733F57DD">
                  <w:pPr>
                    <w:pStyle w:val="23"/>
                    <w:keepNext w:val="0"/>
                    <w:keepLines w:val="0"/>
                    <w:pageBreakBefore w:val="0"/>
                    <w:widowControl/>
                    <w:kinsoku/>
                    <w:wordWrap/>
                    <w:overflowPunct/>
                    <w:topLinePunct w:val="0"/>
                    <w:autoSpaceDE/>
                    <w:autoSpaceDN/>
                    <w:bidi w:val="0"/>
                    <w:adjustRightInd/>
                    <w:snapToGrid/>
                    <w:textAlignment w:val="auto"/>
                  </w:pPr>
                  <w:r>
                    <w:rPr>
                      <w:rFonts w:hint="eastAsia"/>
                    </w:rPr>
                    <w:t>51.7</w:t>
                  </w:r>
                </w:p>
              </w:tc>
              <w:tc>
                <w:tcPr>
                  <w:tcW w:w="623" w:type="pct"/>
                  <w:noWrap w:val="0"/>
                  <w:vAlign w:val="center"/>
                </w:tcPr>
                <w:p w14:paraId="5925C788">
                  <w:pPr>
                    <w:pStyle w:val="23"/>
                    <w:keepNext w:val="0"/>
                    <w:keepLines w:val="0"/>
                    <w:pageBreakBefore w:val="0"/>
                    <w:widowControl/>
                    <w:kinsoku/>
                    <w:wordWrap/>
                    <w:overflowPunct/>
                    <w:topLinePunct w:val="0"/>
                    <w:autoSpaceDE/>
                    <w:autoSpaceDN/>
                    <w:bidi w:val="0"/>
                    <w:adjustRightInd/>
                    <w:snapToGrid/>
                    <w:textAlignment w:val="auto"/>
                  </w:pPr>
                  <w:r>
                    <w:rPr>
                      <w:rFonts w:hint="eastAsia"/>
                    </w:rPr>
                    <w:t>30.0</w:t>
                  </w:r>
                </w:p>
              </w:tc>
              <w:tc>
                <w:tcPr>
                  <w:tcW w:w="651" w:type="pct"/>
                  <w:noWrap w:val="0"/>
                  <w:vAlign w:val="center"/>
                </w:tcPr>
                <w:p w14:paraId="5A3C2894">
                  <w:pPr>
                    <w:pStyle w:val="23"/>
                    <w:keepNext w:val="0"/>
                    <w:keepLines w:val="0"/>
                    <w:pageBreakBefore w:val="0"/>
                    <w:widowControl/>
                    <w:kinsoku/>
                    <w:wordWrap/>
                    <w:overflowPunct/>
                    <w:topLinePunct w:val="0"/>
                    <w:autoSpaceDE/>
                    <w:autoSpaceDN/>
                    <w:bidi w:val="0"/>
                    <w:adjustRightInd/>
                    <w:snapToGrid/>
                    <w:textAlignment w:val="auto"/>
                  </w:pPr>
                  <w:r>
                    <w:rPr>
                      <w:rFonts w:hint="eastAsia"/>
                    </w:rPr>
                    <w:t>1.0</w:t>
                  </w:r>
                </w:p>
              </w:tc>
              <w:tc>
                <w:tcPr>
                  <w:tcW w:w="577" w:type="pct"/>
                  <w:noWrap w:val="0"/>
                  <w:vAlign w:val="center"/>
                </w:tcPr>
                <w:p w14:paraId="654D03A3">
                  <w:pPr>
                    <w:pStyle w:val="23"/>
                    <w:keepNext w:val="0"/>
                    <w:keepLines w:val="0"/>
                    <w:pageBreakBefore w:val="0"/>
                    <w:widowControl/>
                    <w:kinsoku/>
                    <w:wordWrap/>
                    <w:overflowPunct/>
                    <w:topLinePunct w:val="0"/>
                    <w:autoSpaceDE/>
                    <w:autoSpaceDN/>
                    <w:bidi w:val="0"/>
                    <w:adjustRightInd/>
                    <w:snapToGrid/>
                    <w:textAlignment w:val="auto"/>
                  </w:pPr>
                  <w:r>
                    <w:rPr>
                      <w:rFonts w:hint="eastAsia"/>
                    </w:rPr>
                    <w:t>144.4</w:t>
                  </w:r>
                </w:p>
              </w:tc>
              <w:tc>
                <w:tcPr>
                  <w:tcW w:w="670" w:type="pct"/>
                  <w:noWrap w:val="0"/>
                  <w:vAlign w:val="center"/>
                </w:tcPr>
                <w:p w14:paraId="5D75FBCE">
                  <w:pPr>
                    <w:pStyle w:val="23"/>
                    <w:keepNext w:val="0"/>
                    <w:keepLines w:val="0"/>
                    <w:pageBreakBefore w:val="0"/>
                    <w:widowControl/>
                    <w:kinsoku/>
                    <w:wordWrap/>
                    <w:overflowPunct/>
                    <w:topLinePunct w:val="0"/>
                    <w:autoSpaceDE/>
                    <w:autoSpaceDN/>
                    <w:bidi w:val="0"/>
                    <w:adjustRightInd/>
                    <w:snapToGrid/>
                    <w:textAlignment w:val="auto"/>
                  </w:pPr>
                  <w:r>
                    <w:rPr>
                      <w:rFonts w:hint="eastAsia"/>
                    </w:rPr>
                    <w:t>3.50</w:t>
                  </w:r>
                </w:p>
              </w:tc>
            </w:tr>
            <w:tr w14:paraId="4C51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14:paraId="7C13DCE3">
                  <w:pPr>
                    <w:pStyle w:val="23"/>
                    <w:keepNext w:val="0"/>
                    <w:keepLines w:val="0"/>
                    <w:pageBreakBefore w:val="0"/>
                    <w:widowControl/>
                    <w:kinsoku/>
                    <w:wordWrap/>
                    <w:overflowPunct/>
                    <w:topLinePunct w:val="0"/>
                    <w:autoSpaceDE/>
                    <w:autoSpaceDN/>
                    <w:bidi w:val="0"/>
                    <w:adjustRightInd/>
                    <w:snapToGrid/>
                    <w:textAlignment w:val="auto"/>
                    <w:rPr>
                      <w:rFonts w:hint="eastAsia"/>
                      <w:lang w:eastAsia="zh-CN"/>
                    </w:rPr>
                  </w:pPr>
                  <w:r>
                    <w:rPr>
                      <w:rFonts w:hint="eastAsia"/>
                      <w:lang w:eastAsia="zh-CN"/>
                    </w:rPr>
                    <w:t>标准值</w:t>
                  </w:r>
                </w:p>
              </w:tc>
              <w:tc>
                <w:tcPr>
                  <w:tcW w:w="633" w:type="pct"/>
                  <w:noWrap w:val="0"/>
                  <w:vAlign w:val="center"/>
                </w:tcPr>
                <w:p w14:paraId="468789C8">
                  <w:pPr>
                    <w:pStyle w:val="23"/>
                    <w:keepNext w:val="0"/>
                    <w:keepLines w:val="0"/>
                    <w:pageBreakBefore w:val="0"/>
                    <w:widowControl/>
                    <w:kinsoku/>
                    <w:wordWrap/>
                    <w:overflowPunct/>
                    <w:topLinePunct w:val="0"/>
                    <w:autoSpaceDE/>
                    <w:autoSpaceDN/>
                    <w:bidi w:val="0"/>
                    <w:adjustRightInd/>
                    <w:snapToGrid/>
                    <w:textAlignment w:val="auto"/>
                    <w:rPr>
                      <w:rFonts w:hint="default"/>
                      <w:lang w:val="en-US" w:eastAsia="zh-CN"/>
                    </w:rPr>
                  </w:pPr>
                  <w:r>
                    <w:rPr>
                      <w:rFonts w:hint="eastAsia"/>
                      <w:lang w:val="en-US" w:eastAsia="zh-CN"/>
                    </w:rPr>
                    <w:t>60</w:t>
                  </w:r>
                </w:p>
              </w:tc>
              <w:tc>
                <w:tcPr>
                  <w:tcW w:w="642" w:type="pct"/>
                  <w:noWrap w:val="0"/>
                  <w:vAlign w:val="center"/>
                </w:tcPr>
                <w:p w14:paraId="5E2BAFCE">
                  <w:pPr>
                    <w:pStyle w:val="23"/>
                    <w:keepNext w:val="0"/>
                    <w:keepLines w:val="0"/>
                    <w:pageBreakBefore w:val="0"/>
                    <w:widowControl/>
                    <w:kinsoku/>
                    <w:wordWrap/>
                    <w:overflowPunct/>
                    <w:topLinePunct w:val="0"/>
                    <w:autoSpaceDE/>
                    <w:autoSpaceDN/>
                    <w:bidi w:val="0"/>
                    <w:adjustRightInd/>
                    <w:snapToGrid/>
                    <w:textAlignment w:val="auto"/>
                    <w:rPr>
                      <w:rFonts w:hint="default"/>
                      <w:lang w:val="en-US" w:eastAsia="zh-CN"/>
                    </w:rPr>
                  </w:pPr>
                  <w:r>
                    <w:rPr>
                      <w:rFonts w:hint="eastAsia"/>
                      <w:lang w:val="en-US" w:eastAsia="zh-CN"/>
                    </w:rPr>
                    <w:t>40</w:t>
                  </w:r>
                </w:p>
              </w:tc>
              <w:tc>
                <w:tcPr>
                  <w:tcW w:w="642" w:type="pct"/>
                  <w:noWrap w:val="0"/>
                  <w:vAlign w:val="center"/>
                </w:tcPr>
                <w:p w14:paraId="7AF15632">
                  <w:pPr>
                    <w:pStyle w:val="23"/>
                    <w:keepNext w:val="0"/>
                    <w:keepLines w:val="0"/>
                    <w:pageBreakBefore w:val="0"/>
                    <w:widowControl/>
                    <w:kinsoku/>
                    <w:wordWrap/>
                    <w:overflowPunct/>
                    <w:topLinePunct w:val="0"/>
                    <w:autoSpaceDE/>
                    <w:autoSpaceDN/>
                    <w:bidi w:val="0"/>
                    <w:adjustRightInd/>
                    <w:snapToGrid/>
                    <w:textAlignment w:val="auto"/>
                    <w:rPr>
                      <w:rFonts w:hint="default"/>
                      <w:lang w:val="en-US" w:eastAsia="zh-CN"/>
                    </w:rPr>
                  </w:pPr>
                  <w:r>
                    <w:rPr>
                      <w:rFonts w:hint="eastAsia"/>
                      <w:lang w:val="en-US" w:eastAsia="zh-CN"/>
                    </w:rPr>
                    <w:t>70</w:t>
                  </w:r>
                </w:p>
              </w:tc>
              <w:tc>
                <w:tcPr>
                  <w:tcW w:w="623" w:type="pct"/>
                  <w:noWrap w:val="0"/>
                  <w:vAlign w:val="center"/>
                </w:tcPr>
                <w:p w14:paraId="627A644D">
                  <w:pPr>
                    <w:pStyle w:val="23"/>
                    <w:keepNext w:val="0"/>
                    <w:keepLines w:val="0"/>
                    <w:pageBreakBefore w:val="0"/>
                    <w:widowControl/>
                    <w:kinsoku/>
                    <w:wordWrap/>
                    <w:overflowPunct/>
                    <w:topLinePunct w:val="0"/>
                    <w:autoSpaceDE/>
                    <w:autoSpaceDN/>
                    <w:bidi w:val="0"/>
                    <w:adjustRightInd/>
                    <w:snapToGrid/>
                    <w:textAlignment w:val="auto"/>
                    <w:rPr>
                      <w:rFonts w:hint="default"/>
                      <w:lang w:val="en-US" w:eastAsia="zh-CN"/>
                    </w:rPr>
                  </w:pPr>
                  <w:r>
                    <w:rPr>
                      <w:rFonts w:hint="eastAsia"/>
                      <w:lang w:val="en-US" w:eastAsia="zh-CN"/>
                    </w:rPr>
                    <w:t>35</w:t>
                  </w:r>
                </w:p>
              </w:tc>
              <w:tc>
                <w:tcPr>
                  <w:tcW w:w="651" w:type="pct"/>
                  <w:noWrap w:val="0"/>
                  <w:vAlign w:val="center"/>
                </w:tcPr>
                <w:p w14:paraId="01DD0C7B">
                  <w:pPr>
                    <w:pStyle w:val="23"/>
                    <w:keepNext w:val="0"/>
                    <w:keepLines w:val="0"/>
                    <w:pageBreakBefore w:val="0"/>
                    <w:widowControl/>
                    <w:kinsoku/>
                    <w:wordWrap/>
                    <w:overflowPunct/>
                    <w:topLinePunct w:val="0"/>
                    <w:autoSpaceDE/>
                    <w:autoSpaceDN/>
                    <w:bidi w:val="0"/>
                    <w:adjustRightInd/>
                    <w:snapToGrid/>
                    <w:textAlignment w:val="auto"/>
                    <w:rPr>
                      <w:rFonts w:hint="eastAsia"/>
                      <w:lang w:val="en-US" w:eastAsia="zh-CN"/>
                    </w:rPr>
                  </w:pPr>
                  <w:r>
                    <w:rPr>
                      <w:rFonts w:hint="eastAsia"/>
                      <w:lang w:val="en-US" w:eastAsia="zh-CN"/>
                    </w:rPr>
                    <w:t>4</w:t>
                  </w:r>
                </w:p>
              </w:tc>
              <w:tc>
                <w:tcPr>
                  <w:tcW w:w="577" w:type="pct"/>
                  <w:noWrap w:val="0"/>
                  <w:vAlign w:val="center"/>
                </w:tcPr>
                <w:p w14:paraId="2E1EB1EF">
                  <w:pPr>
                    <w:pStyle w:val="23"/>
                    <w:keepNext w:val="0"/>
                    <w:keepLines w:val="0"/>
                    <w:pageBreakBefore w:val="0"/>
                    <w:widowControl/>
                    <w:kinsoku/>
                    <w:wordWrap/>
                    <w:overflowPunct/>
                    <w:topLinePunct w:val="0"/>
                    <w:autoSpaceDE/>
                    <w:autoSpaceDN/>
                    <w:bidi w:val="0"/>
                    <w:adjustRightInd/>
                    <w:snapToGrid/>
                    <w:textAlignment w:val="auto"/>
                    <w:rPr>
                      <w:rFonts w:hint="default"/>
                      <w:lang w:val="en-US" w:eastAsia="zh-CN"/>
                    </w:rPr>
                  </w:pPr>
                  <w:r>
                    <w:rPr>
                      <w:rFonts w:hint="eastAsia"/>
                      <w:lang w:val="en-US" w:eastAsia="zh-CN"/>
                    </w:rPr>
                    <w:t>160</w:t>
                  </w:r>
                </w:p>
              </w:tc>
              <w:tc>
                <w:tcPr>
                  <w:tcW w:w="670" w:type="pct"/>
                  <w:noWrap w:val="0"/>
                  <w:vAlign w:val="center"/>
                </w:tcPr>
                <w:p w14:paraId="11D615FE">
                  <w:pPr>
                    <w:pStyle w:val="23"/>
                    <w:keepNext w:val="0"/>
                    <w:keepLines w:val="0"/>
                    <w:pageBreakBefore w:val="0"/>
                    <w:widowControl/>
                    <w:kinsoku/>
                    <w:wordWrap/>
                    <w:overflowPunct/>
                    <w:topLinePunct w:val="0"/>
                    <w:autoSpaceDE/>
                    <w:autoSpaceDN/>
                    <w:bidi w:val="0"/>
                    <w:adjustRightInd/>
                    <w:snapToGrid/>
                    <w:textAlignment w:val="auto"/>
                    <w:rPr>
                      <w:rFonts w:hint="eastAsia"/>
                      <w:lang w:val="en-US" w:eastAsia="zh-CN"/>
                    </w:rPr>
                  </w:pPr>
                  <w:r>
                    <w:rPr>
                      <w:rFonts w:hint="eastAsia"/>
                      <w:lang w:val="en-US" w:eastAsia="zh-CN"/>
                    </w:rPr>
                    <w:t>/</w:t>
                  </w:r>
                </w:p>
              </w:tc>
            </w:tr>
            <w:tr w14:paraId="2789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14:paraId="484B871F">
                  <w:pPr>
                    <w:pStyle w:val="23"/>
                    <w:keepNext w:val="0"/>
                    <w:keepLines w:val="0"/>
                    <w:pageBreakBefore w:val="0"/>
                    <w:widowControl/>
                    <w:kinsoku/>
                    <w:wordWrap/>
                    <w:overflowPunct/>
                    <w:topLinePunct w:val="0"/>
                    <w:autoSpaceDE/>
                    <w:autoSpaceDN/>
                    <w:bidi w:val="0"/>
                    <w:adjustRightInd/>
                    <w:snapToGrid/>
                    <w:textAlignment w:val="auto"/>
                    <w:rPr>
                      <w:rFonts w:hint="default"/>
                      <w:lang w:val="en-US" w:eastAsia="zh-CN"/>
                    </w:rPr>
                  </w:pPr>
                  <w:r>
                    <w:rPr>
                      <w:rFonts w:hint="eastAsia"/>
                      <w:lang w:eastAsia="zh-CN"/>
                    </w:rPr>
                    <w:t>最大浓度占标率</w:t>
                  </w:r>
                  <w:r>
                    <w:rPr>
                      <w:rFonts w:hint="eastAsia"/>
                      <w:lang w:val="en-US" w:eastAsia="zh-CN"/>
                    </w:rPr>
                    <w:t>%</w:t>
                  </w:r>
                </w:p>
              </w:tc>
              <w:tc>
                <w:tcPr>
                  <w:tcW w:w="633" w:type="pct"/>
                  <w:noWrap w:val="0"/>
                  <w:vAlign w:val="center"/>
                </w:tcPr>
                <w:p w14:paraId="5CCABCF1">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val="en-US" w:eastAsia="zh-CN"/>
                    </w:rPr>
                    <w:t>12.8</w:t>
                  </w:r>
                </w:p>
              </w:tc>
              <w:tc>
                <w:tcPr>
                  <w:tcW w:w="642" w:type="pct"/>
                  <w:noWrap w:val="0"/>
                  <w:vAlign w:val="center"/>
                </w:tcPr>
                <w:p w14:paraId="64D93ACF">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val="en-US" w:eastAsia="zh-CN"/>
                    </w:rPr>
                    <w:t>61.5</w:t>
                  </w:r>
                </w:p>
              </w:tc>
              <w:tc>
                <w:tcPr>
                  <w:tcW w:w="642" w:type="pct"/>
                  <w:noWrap w:val="0"/>
                  <w:vAlign w:val="center"/>
                </w:tcPr>
                <w:p w14:paraId="680688CE">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val="en-US" w:eastAsia="zh-CN"/>
                    </w:rPr>
                    <w:t>73.9</w:t>
                  </w:r>
                </w:p>
              </w:tc>
              <w:tc>
                <w:tcPr>
                  <w:tcW w:w="623" w:type="pct"/>
                  <w:noWrap w:val="0"/>
                  <w:vAlign w:val="center"/>
                </w:tcPr>
                <w:p w14:paraId="07CC91FB">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val="en-US" w:eastAsia="zh-CN"/>
                    </w:rPr>
                    <w:t>85.7</w:t>
                  </w:r>
                </w:p>
              </w:tc>
              <w:tc>
                <w:tcPr>
                  <w:tcW w:w="651" w:type="pct"/>
                  <w:noWrap w:val="0"/>
                  <w:vAlign w:val="center"/>
                </w:tcPr>
                <w:p w14:paraId="7B142CBA">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val="en-US" w:eastAsia="zh-CN"/>
                    </w:rPr>
                    <w:t>25.0</w:t>
                  </w:r>
                </w:p>
              </w:tc>
              <w:tc>
                <w:tcPr>
                  <w:tcW w:w="577" w:type="pct"/>
                  <w:noWrap w:val="0"/>
                  <w:vAlign w:val="center"/>
                </w:tcPr>
                <w:p w14:paraId="77585B45">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val="en-US" w:eastAsia="zh-CN"/>
                    </w:rPr>
                    <w:t>90.3</w:t>
                  </w:r>
                </w:p>
              </w:tc>
              <w:tc>
                <w:tcPr>
                  <w:tcW w:w="670" w:type="pct"/>
                  <w:noWrap w:val="0"/>
                  <w:vAlign w:val="center"/>
                </w:tcPr>
                <w:p w14:paraId="40861712">
                  <w:pPr>
                    <w:pStyle w:val="23"/>
                    <w:keepNext w:val="0"/>
                    <w:keepLines w:val="0"/>
                    <w:pageBreakBefore w:val="0"/>
                    <w:widowControl/>
                    <w:kinsoku/>
                    <w:wordWrap/>
                    <w:overflowPunct/>
                    <w:topLinePunct w:val="0"/>
                    <w:autoSpaceDE/>
                    <w:autoSpaceDN/>
                    <w:bidi w:val="0"/>
                    <w:adjustRightInd/>
                    <w:snapToGrid/>
                    <w:textAlignment w:val="auto"/>
                    <w:rPr>
                      <w:rFonts w:hint="eastAsia"/>
                      <w:lang w:val="en-US" w:eastAsia="zh-CN"/>
                    </w:rPr>
                  </w:pPr>
                  <w:r>
                    <w:rPr>
                      <w:rFonts w:hint="eastAsia"/>
                      <w:lang w:val="en-US" w:eastAsia="zh-CN"/>
                    </w:rPr>
                    <w:t>/</w:t>
                  </w:r>
                </w:p>
              </w:tc>
            </w:tr>
            <w:tr w14:paraId="57F6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14:paraId="54E367FE">
                  <w:pPr>
                    <w:pStyle w:val="23"/>
                    <w:keepNext w:val="0"/>
                    <w:keepLines w:val="0"/>
                    <w:pageBreakBefore w:val="0"/>
                    <w:widowControl/>
                    <w:kinsoku/>
                    <w:wordWrap/>
                    <w:overflowPunct/>
                    <w:topLinePunct w:val="0"/>
                    <w:autoSpaceDE/>
                    <w:autoSpaceDN/>
                    <w:bidi w:val="0"/>
                    <w:adjustRightInd/>
                    <w:snapToGrid/>
                    <w:textAlignment w:val="auto"/>
                    <w:rPr>
                      <w:rFonts w:hint="eastAsia"/>
                      <w:lang w:eastAsia="zh-CN"/>
                    </w:rPr>
                  </w:pPr>
                  <w:r>
                    <w:rPr>
                      <w:rFonts w:hint="eastAsia"/>
                      <w:lang w:eastAsia="zh-CN"/>
                    </w:rPr>
                    <w:t>超标倍数</w:t>
                  </w:r>
                </w:p>
              </w:tc>
              <w:tc>
                <w:tcPr>
                  <w:tcW w:w="633" w:type="pct"/>
                  <w:noWrap w:val="0"/>
                  <w:vAlign w:val="center"/>
                </w:tcPr>
                <w:p w14:paraId="5C5176E5">
                  <w:pPr>
                    <w:pStyle w:val="23"/>
                    <w:keepNext w:val="0"/>
                    <w:keepLines w:val="0"/>
                    <w:pageBreakBefore w:val="0"/>
                    <w:widowControl/>
                    <w:kinsoku/>
                    <w:wordWrap/>
                    <w:overflowPunct/>
                    <w:topLinePunct w:val="0"/>
                    <w:autoSpaceDE/>
                    <w:autoSpaceDN/>
                    <w:bidi w:val="0"/>
                    <w:adjustRightInd/>
                    <w:snapToGrid/>
                    <w:textAlignment w:val="auto"/>
                    <w:rPr>
                      <w:rFonts w:hint="eastAsia"/>
                      <w:lang w:val="en-US" w:eastAsia="zh-CN"/>
                    </w:rPr>
                  </w:pPr>
                  <w:r>
                    <w:rPr>
                      <w:rFonts w:hint="eastAsia"/>
                      <w:lang w:val="en-US" w:eastAsia="zh-CN"/>
                    </w:rPr>
                    <w:t>/</w:t>
                  </w:r>
                </w:p>
              </w:tc>
              <w:tc>
                <w:tcPr>
                  <w:tcW w:w="642" w:type="pct"/>
                  <w:noWrap w:val="0"/>
                  <w:vAlign w:val="center"/>
                </w:tcPr>
                <w:p w14:paraId="5824E59D">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val="en-US" w:eastAsia="zh-CN"/>
                    </w:rPr>
                    <w:t>/</w:t>
                  </w:r>
                </w:p>
              </w:tc>
              <w:tc>
                <w:tcPr>
                  <w:tcW w:w="642" w:type="pct"/>
                  <w:noWrap w:val="0"/>
                  <w:vAlign w:val="center"/>
                </w:tcPr>
                <w:p w14:paraId="258E1FBC">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val="en-US" w:eastAsia="zh-CN"/>
                    </w:rPr>
                    <w:t>/</w:t>
                  </w:r>
                </w:p>
              </w:tc>
              <w:tc>
                <w:tcPr>
                  <w:tcW w:w="623" w:type="pct"/>
                  <w:noWrap w:val="0"/>
                  <w:vAlign w:val="center"/>
                </w:tcPr>
                <w:p w14:paraId="6025403C">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val="en-US" w:eastAsia="zh-CN"/>
                    </w:rPr>
                    <w:t>/</w:t>
                  </w:r>
                </w:p>
              </w:tc>
              <w:tc>
                <w:tcPr>
                  <w:tcW w:w="651" w:type="pct"/>
                  <w:noWrap w:val="0"/>
                  <w:vAlign w:val="center"/>
                </w:tcPr>
                <w:p w14:paraId="65E2D834">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val="en-US" w:eastAsia="zh-CN"/>
                    </w:rPr>
                    <w:t>/</w:t>
                  </w:r>
                </w:p>
              </w:tc>
              <w:tc>
                <w:tcPr>
                  <w:tcW w:w="577" w:type="pct"/>
                  <w:noWrap w:val="0"/>
                  <w:vAlign w:val="center"/>
                </w:tcPr>
                <w:p w14:paraId="3960DE9E">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val="en-US" w:eastAsia="zh-CN"/>
                    </w:rPr>
                    <w:t>/</w:t>
                  </w:r>
                </w:p>
              </w:tc>
              <w:tc>
                <w:tcPr>
                  <w:tcW w:w="670" w:type="pct"/>
                  <w:noWrap w:val="0"/>
                  <w:vAlign w:val="center"/>
                </w:tcPr>
                <w:p w14:paraId="571FFF55">
                  <w:pPr>
                    <w:pStyle w:val="23"/>
                    <w:keepNext w:val="0"/>
                    <w:keepLines w:val="0"/>
                    <w:pageBreakBefore w:val="0"/>
                    <w:widowControl/>
                    <w:kinsoku/>
                    <w:wordWrap/>
                    <w:overflowPunct/>
                    <w:topLinePunct w:val="0"/>
                    <w:autoSpaceDE/>
                    <w:autoSpaceDN/>
                    <w:bidi w:val="0"/>
                    <w:adjustRightInd/>
                    <w:snapToGrid/>
                    <w:textAlignment w:val="auto"/>
                    <w:rPr>
                      <w:rFonts w:hint="eastAsia"/>
                      <w:lang w:val="en-US" w:eastAsia="zh-CN"/>
                    </w:rPr>
                  </w:pPr>
                  <w:r>
                    <w:rPr>
                      <w:rFonts w:hint="eastAsia"/>
                      <w:lang w:val="en-US" w:eastAsia="zh-CN"/>
                    </w:rPr>
                    <w:t>/</w:t>
                  </w:r>
                </w:p>
              </w:tc>
            </w:tr>
            <w:tr w14:paraId="19C0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14:paraId="27641FD8">
                  <w:pPr>
                    <w:pStyle w:val="23"/>
                    <w:keepNext w:val="0"/>
                    <w:keepLines w:val="0"/>
                    <w:pageBreakBefore w:val="0"/>
                    <w:widowControl/>
                    <w:kinsoku/>
                    <w:wordWrap/>
                    <w:overflowPunct/>
                    <w:topLinePunct w:val="0"/>
                    <w:autoSpaceDE/>
                    <w:autoSpaceDN/>
                    <w:bidi w:val="0"/>
                    <w:adjustRightInd/>
                    <w:snapToGrid/>
                    <w:textAlignment w:val="auto"/>
                    <w:rPr>
                      <w:rFonts w:hint="eastAsia"/>
                      <w:lang w:eastAsia="zh-CN"/>
                    </w:rPr>
                  </w:pPr>
                  <w:r>
                    <w:rPr>
                      <w:rFonts w:hint="eastAsia"/>
                      <w:lang w:eastAsia="zh-CN"/>
                    </w:rPr>
                    <w:t>达标情况</w:t>
                  </w:r>
                </w:p>
              </w:tc>
              <w:tc>
                <w:tcPr>
                  <w:tcW w:w="633" w:type="pct"/>
                  <w:noWrap w:val="0"/>
                  <w:vAlign w:val="center"/>
                </w:tcPr>
                <w:p w14:paraId="64E44675">
                  <w:pPr>
                    <w:pStyle w:val="23"/>
                    <w:keepNext w:val="0"/>
                    <w:keepLines w:val="0"/>
                    <w:pageBreakBefore w:val="0"/>
                    <w:widowControl/>
                    <w:kinsoku/>
                    <w:wordWrap/>
                    <w:overflowPunct/>
                    <w:topLinePunct w:val="0"/>
                    <w:autoSpaceDE/>
                    <w:autoSpaceDN/>
                    <w:bidi w:val="0"/>
                    <w:adjustRightInd/>
                    <w:snapToGrid/>
                    <w:textAlignment w:val="auto"/>
                    <w:rPr>
                      <w:rFonts w:hint="eastAsia"/>
                      <w:lang w:eastAsia="zh-CN"/>
                    </w:rPr>
                  </w:pPr>
                  <w:r>
                    <w:rPr>
                      <w:rFonts w:hint="eastAsia"/>
                      <w:lang w:eastAsia="zh-CN"/>
                    </w:rPr>
                    <w:t>达标</w:t>
                  </w:r>
                </w:p>
              </w:tc>
              <w:tc>
                <w:tcPr>
                  <w:tcW w:w="642" w:type="pct"/>
                  <w:noWrap w:val="0"/>
                  <w:vAlign w:val="center"/>
                </w:tcPr>
                <w:p w14:paraId="765CDFD0">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eastAsia="zh-CN"/>
                    </w:rPr>
                    <w:t>达标</w:t>
                  </w:r>
                </w:p>
              </w:tc>
              <w:tc>
                <w:tcPr>
                  <w:tcW w:w="642" w:type="pct"/>
                  <w:noWrap w:val="0"/>
                  <w:vAlign w:val="center"/>
                </w:tcPr>
                <w:p w14:paraId="106E4CF2">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eastAsia="zh-CN"/>
                    </w:rPr>
                    <w:t>达标</w:t>
                  </w:r>
                </w:p>
              </w:tc>
              <w:tc>
                <w:tcPr>
                  <w:tcW w:w="623" w:type="pct"/>
                  <w:noWrap w:val="0"/>
                  <w:vAlign w:val="center"/>
                </w:tcPr>
                <w:p w14:paraId="54FDC91A">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eastAsia="zh-CN"/>
                    </w:rPr>
                    <w:t>达标</w:t>
                  </w:r>
                </w:p>
              </w:tc>
              <w:tc>
                <w:tcPr>
                  <w:tcW w:w="651" w:type="pct"/>
                  <w:noWrap w:val="0"/>
                  <w:vAlign w:val="center"/>
                </w:tcPr>
                <w:p w14:paraId="7D12298A">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eastAsia="zh-CN"/>
                    </w:rPr>
                    <w:t>达标</w:t>
                  </w:r>
                </w:p>
              </w:tc>
              <w:tc>
                <w:tcPr>
                  <w:tcW w:w="577" w:type="pct"/>
                  <w:noWrap w:val="0"/>
                  <w:vAlign w:val="center"/>
                </w:tcPr>
                <w:p w14:paraId="225E1CAC">
                  <w:pPr>
                    <w:pStyle w:val="23"/>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lang w:eastAsia="zh-CN"/>
                    </w:rPr>
                    <w:t>达标</w:t>
                  </w:r>
                </w:p>
              </w:tc>
              <w:tc>
                <w:tcPr>
                  <w:tcW w:w="670" w:type="pct"/>
                  <w:noWrap w:val="0"/>
                  <w:vAlign w:val="center"/>
                </w:tcPr>
                <w:p w14:paraId="6C287435">
                  <w:pPr>
                    <w:pStyle w:val="23"/>
                    <w:keepNext w:val="0"/>
                    <w:keepLines w:val="0"/>
                    <w:pageBreakBefore w:val="0"/>
                    <w:widowControl/>
                    <w:kinsoku/>
                    <w:wordWrap/>
                    <w:overflowPunct/>
                    <w:topLinePunct w:val="0"/>
                    <w:autoSpaceDE/>
                    <w:autoSpaceDN/>
                    <w:bidi w:val="0"/>
                    <w:adjustRightInd/>
                    <w:snapToGrid/>
                    <w:textAlignment w:val="auto"/>
                    <w:rPr>
                      <w:rFonts w:hint="eastAsia"/>
                      <w:lang w:val="en-US" w:eastAsia="zh-CN"/>
                    </w:rPr>
                  </w:pPr>
                  <w:r>
                    <w:rPr>
                      <w:rFonts w:hint="eastAsia"/>
                      <w:lang w:val="en-US" w:eastAsia="zh-CN"/>
                    </w:rPr>
                    <w:t>/</w:t>
                  </w:r>
                </w:p>
              </w:tc>
            </w:tr>
            <w:tr w14:paraId="5ED3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noWrap w:val="0"/>
                  <w:vAlign w:val="center"/>
                </w:tcPr>
                <w:p w14:paraId="12585D21">
                  <w:pPr>
                    <w:pStyle w:val="23"/>
                    <w:keepNext w:val="0"/>
                    <w:keepLines w:val="0"/>
                    <w:pageBreakBefore w:val="0"/>
                    <w:widowControl/>
                    <w:kinsoku/>
                    <w:wordWrap/>
                    <w:overflowPunct/>
                    <w:topLinePunct w:val="0"/>
                    <w:autoSpaceDE/>
                    <w:autoSpaceDN/>
                    <w:bidi w:val="0"/>
                    <w:adjustRightInd/>
                    <w:snapToGrid/>
                    <w:jc w:val="both"/>
                    <w:textAlignment w:val="auto"/>
                    <w:rPr>
                      <w:rFonts w:hint="eastAsia"/>
                    </w:rPr>
                  </w:pPr>
                  <w:r>
                    <w:rPr>
                      <w:rFonts w:hint="eastAsia"/>
                    </w:rPr>
                    <w:t>注：</w:t>
                  </w:r>
                  <w:r>
                    <w:t>1.</w:t>
                  </w:r>
                  <w:r>
                    <w:rPr>
                      <w:rFonts w:hint="eastAsia"/>
                    </w:rPr>
                    <w:t>城市环境空气评价执行《环境空气质量标准》（GB3095-2012）；</w:t>
                  </w:r>
                </w:p>
                <w:p w14:paraId="2A739152">
                  <w:pPr>
                    <w:pStyle w:val="23"/>
                    <w:keepNext w:val="0"/>
                    <w:keepLines w:val="0"/>
                    <w:pageBreakBefore w:val="0"/>
                    <w:widowControl/>
                    <w:kinsoku/>
                    <w:wordWrap/>
                    <w:overflowPunct/>
                    <w:topLinePunct w:val="0"/>
                    <w:autoSpaceDE/>
                    <w:autoSpaceDN/>
                    <w:bidi w:val="0"/>
                    <w:adjustRightInd/>
                    <w:snapToGrid/>
                    <w:jc w:val="both"/>
                    <w:textAlignment w:val="auto"/>
                    <w:rPr>
                      <w:rFonts w:hint="eastAsia"/>
                    </w:rPr>
                  </w:pPr>
                  <w:r>
                    <w:t>2.</w:t>
                  </w:r>
                  <w:r>
                    <w:rPr>
                      <w:rFonts w:hint="eastAsia"/>
                    </w:rPr>
                    <w:t>环境空气质量综合指数是描述城市环境空气质量综合状况的无量纲指数，综合考虑了各项污染物的污染程度。环境空气质量综合指数越大，表明综合污染程度越重；</w:t>
                  </w:r>
                </w:p>
                <w:p w14:paraId="561BB2D2">
                  <w:pPr>
                    <w:pStyle w:val="23"/>
                    <w:keepNext w:val="0"/>
                    <w:keepLines w:val="0"/>
                    <w:pageBreakBefore w:val="0"/>
                    <w:widowControl/>
                    <w:kinsoku/>
                    <w:wordWrap/>
                    <w:overflowPunct/>
                    <w:topLinePunct w:val="0"/>
                    <w:autoSpaceDE/>
                    <w:autoSpaceDN/>
                    <w:bidi w:val="0"/>
                    <w:adjustRightInd/>
                    <w:snapToGrid/>
                    <w:jc w:val="both"/>
                    <w:textAlignment w:val="auto"/>
                    <w:rPr>
                      <w:rFonts w:hint="eastAsia"/>
                    </w:rPr>
                  </w:pPr>
                  <w:r>
                    <w:t>3.</w:t>
                  </w:r>
                  <w:r>
                    <w:rPr>
                      <w:rFonts w:hint="eastAsia"/>
                    </w:rPr>
                    <w:t>臭氧月平均值为日最大8小时平均浓度值第90百分位数，一氧化碳月平均值为每日平均浓度值第95百分位数；</w:t>
                  </w:r>
                </w:p>
                <w:p w14:paraId="011102CD">
                  <w:pPr>
                    <w:pStyle w:val="23"/>
                    <w:keepNext w:val="0"/>
                    <w:keepLines w:val="0"/>
                    <w:pageBreakBefore w:val="0"/>
                    <w:widowControl/>
                    <w:kinsoku/>
                    <w:wordWrap/>
                    <w:overflowPunct/>
                    <w:topLinePunct w:val="0"/>
                    <w:autoSpaceDE/>
                    <w:autoSpaceDN/>
                    <w:bidi w:val="0"/>
                    <w:adjustRightInd/>
                    <w:snapToGrid/>
                    <w:jc w:val="both"/>
                    <w:textAlignment w:val="auto"/>
                  </w:pPr>
                  <w:r>
                    <w:t>4.</w:t>
                  </w:r>
                  <w:r>
                    <w:rPr>
                      <w:rFonts w:hint="eastAsia"/>
                    </w:rPr>
                    <w:t>石溪浩（对照点）未参与全市统计。</w:t>
                  </w:r>
                </w:p>
              </w:tc>
            </w:tr>
          </w:tbl>
          <w:p w14:paraId="40805802">
            <w:pPr>
              <w:pStyle w:val="25"/>
              <w:bidi w:val="0"/>
            </w:pPr>
            <w:r>
              <w:t>由上表可知，项目所在区域 SO</w:t>
            </w:r>
            <w:r>
              <w:rPr>
                <w:vertAlign w:val="subscript"/>
              </w:rPr>
              <w:t>2</w:t>
            </w:r>
            <w:r>
              <w:t>、NO</w:t>
            </w:r>
            <w:r>
              <w:rPr>
                <w:vertAlign w:val="subscript"/>
              </w:rPr>
              <w:t>2</w:t>
            </w:r>
            <w:r>
              <w:t>、PM</w:t>
            </w:r>
            <w:r>
              <w:rPr>
                <w:rFonts w:hint="default"/>
                <w:vertAlign w:val="subscript"/>
                <w:lang w:val="en-US" w:eastAsia="zh-CN"/>
              </w:rPr>
              <w:t>10</w:t>
            </w:r>
            <w:r>
              <w:t>、CO</w:t>
            </w:r>
            <w:r>
              <w:rPr>
                <w:rFonts w:hint="eastAsia"/>
                <w:lang w:eastAsia="zh-CN"/>
              </w:rPr>
              <w:t>、</w:t>
            </w:r>
            <w:r>
              <w:t>PM</w:t>
            </w:r>
            <w:r>
              <w:rPr>
                <w:rFonts w:hint="default"/>
                <w:vertAlign w:val="subscript"/>
                <w:lang w:val="en-US" w:eastAsia="zh-CN"/>
              </w:rPr>
              <w:t>2.5</w:t>
            </w:r>
            <w:r>
              <w:rPr>
                <w:rFonts w:hint="eastAsia"/>
                <w:lang w:eastAsia="zh-CN"/>
              </w:rPr>
              <w:t>、</w:t>
            </w:r>
            <w:r>
              <w:t>O</w:t>
            </w:r>
            <w:r>
              <w:rPr>
                <w:vertAlign w:val="subscript"/>
              </w:rPr>
              <w:t>3</w:t>
            </w:r>
            <w:r>
              <w:rPr>
                <w:rFonts w:hint="eastAsia"/>
                <w:lang w:eastAsia="zh-CN"/>
              </w:rPr>
              <w:t>均</w:t>
            </w:r>
            <w:r>
              <w:t>满足《环境空气质量标准》（GB3095-2012）中二级标准要求</w:t>
            </w:r>
            <w:r>
              <w:rPr>
                <w:rFonts w:hint="default"/>
                <w:lang w:eastAsia="zh-CN"/>
              </w:rPr>
              <w:t>。</w:t>
            </w:r>
            <w:r>
              <w:t>项目所在区域环境空气质量为达标区。</w:t>
            </w:r>
          </w:p>
          <w:p w14:paraId="1AB8AA5D">
            <w:pPr>
              <w:pStyle w:val="4"/>
              <w:bidi w:val="0"/>
            </w:pPr>
            <w:r>
              <w:t>地表水环境质量现状</w:t>
            </w:r>
          </w:p>
          <w:p w14:paraId="03FA406E">
            <w:pPr>
              <w:bidi w:val="0"/>
              <w:rPr>
                <w:rFonts w:hint="eastAsia"/>
                <w:lang w:val="en-US" w:eastAsia="zh-CN"/>
              </w:rPr>
            </w:pPr>
            <w:r>
              <w:rPr>
                <w:rFonts w:hint="eastAsia"/>
                <w:lang w:val="en-US" w:eastAsia="zh-CN"/>
              </w:rPr>
              <w:t>本项目污水进入院区内预处理池收集处理后，进入一体化污水处理设备（采用格栅调节+接触氧化+沉淀+消毒工艺）处理，达标后，通过市政污水管网进入遂宁市城南第一污水处理厂处理</w:t>
            </w:r>
            <w:r>
              <w:rPr>
                <w:lang w:val="en-US" w:eastAsia="zh-CN"/>
              </w:rPr>
              <w:t>受纳水体为</w:t>
            </w:r>
            <w:r>
              <w:rPr>
                <w:rFonts w:hint="eastAsia"/>
                <w:lang w:val="en-US" w:eastAsia="zh-CN"/>
              </w:rPr>
              <w:t>涪江</w:t>
            </w:r>
            <w:r>
              <w:rPr>
                <w:lang w:val="en-US" w:eastAsia="zh-CN"/>
              </w:rPr>
              <w:t>，根据《</w:t>
            </w:r>
            <w:r>
              <w:rPr>
                <w:rFonts w:hint="eastAsia"/>
                <w:lang w:val="en-US" w:eastAsia="zh-CN"/>
              </w:rPr>
              <w:t>2023年遂宁市环境质量公告</w:t>
            </w:r>
            <w:r>
              <w:rPr>
                <w:lang w:val="en-US" w:eastAsia="zh-CN"/>
              </w:rPr>
              <w:t>》，</w:t>
            </w:r>
            <w:r>
              <w:rPr>
                <w:rFonts w:hint="eastAsia"/>
                <w:lang w:val="en-US" w:eastAsia="zh-CN"/>
              </w:rPr>
              <w:t>本年度遂宁市9个国、省控地表水监测断面（含2个长江经济带断面）水环境质量状况、主要污染指标、环比和同比情况见下表。</w:t>
            </w:r>
          </w:p>
          <w:p w14:paraId="715ADDF9">
            <w:pPr>
              <w:pStyle w:val="22"/>
              <w:bidi w:val="0"/>
            </w:pPr>
            <w:r>
              <w:rPr>
                <w:rFonts w:hint="eastAsia"/>
              </w:rPr>
              <w:t>2023年遂宁市河流水质评价结果表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833"/>
              <w:gridCol w:w="834"/>
              <w:gridCol w:w="834"/>
              <w:gridCol w:w="941"/>
              <w:gridCol w:w="941"/>
              <w:gridCol w:w="1506"/>
              <w:gridCol w:w="1664"/>
            </w:tblGrid>
            <w:tr w14:paraId="126B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bottom w:val="single" w:color="auto" w:sz="4" w:space="0"/>
                    <w:right w:val="single" w:color="auto" w:sz="4" w:space="0"/>
                  </w:tcBorders>
                  <w:noWrap w:val="0"/>
                  <w:vAlign w:val="center"/>
                </w:tcPr>
                <w:p w14:paraId="05BE6409">
                  <w:pPr>
                    <w:pStyle w:val="23"/>
                    <w:bidi w:val="0"/>
                  </w:pPr>
                  <w:r>
                    <w:rPr>
                      <w:rFonts w:hint="eastAsia"/>
                    </w:rPr>
                    <w:t>断面名称</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6DC12A64">
                  <w:pPr>
                    <w:pStyle w:val="23"/>
                    <w:bidi w:val="0"/>
                  </w:pPr>
                  <w:r>
                    <w:rPr>
                      <w:rFonts w:hint="eastAsia"/>
                    </w:rPr>
                    <w:t>所在地</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0B325209">
                  <w:pPr>
                    <w:pStyle w:val="23"/>
                    <w:bidi w:val="0"/>
                  </w:pPr>
                  <w:r>
                    <w:rPr>
                      <w:rFonts w:hint="eastAsia"/>
                    </w:rPr>
                    <w:t>断面类别</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4DD5722A">
                  <w:pPr>
                    <w:pStyle w:val="23"/>
                    <w:bidi w:val="0"/>
                  </w:pPr>
                  <w:r>
                    <w:rPr>
                      <w:rFonts w:hint="eastAsia"/>
                    </w:rPr>
                    <w:t>规定类别</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2C54B848">
                  <w:pPr>
                    <w:pStyle w:val="23"/>
                    <w:bidi w:val="0"/>
                  </w:pPr>
                  <w:r>
                    <w:rPr>
                      <w:rFonts w:hint="eastAsia"/>
                    </w:rPr>
                    <w:t>上年度类别</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2789348C">
                  <w:pPr>
                    <w:pStyle w:val="23"/>
                    <w:bidi w:val="0"/>
                  </w:pPr>
                  <w:r>
                    <w:rPr>
                      <w:rFonts w:hint="eastAsia"/>
                    </w:rPr>
                    <w:t>本年度类别</w:t>
                  </w:r>
                </w:p>
              </w:tc>
              <w:tc>
                <w:tcPr>
                  <w:tcW w:w="898" w:type="pct"/>
                  <w:tcBorders>
                    <w:top w:val="single" w:color="auto" w:sz="4" w:space="0"/>
                    <w:left w:val="single" w:color="auto" w:sz="4" w:space="0"/>
                    <w:bottom w:val="single" w:color="auto" w:sz="4" w:space="0"/>
                    <w:right w:val="single" w:color="auto" w:sz="4" w:space="0"/>
                  </w:tcBorders>
                  <w:noWrap w:val="0"/>
                  <w:vAlign w:val="center"/>
                </w:tcPr>
                <w:p w14:paraId="2AC9C31E">
                  <w:pPr>
                    <w:pStyle w:val="23"/>
                    <w:bidi w:val="0"/>
                  </w:pPr>
                  <w:r>
                    <w:rPr>
                      <w:rFonts w:hint="eastAsia"/>
                    </w:rPr>
                    <w:t>主要污染指标/超标倍数</w:t>
                  </w:r>
                </w:p>
              </w:tc>
              <w:tc>
                <w:tcPr>
                  <w:tcW w:w="987" w:type="pct"/>
                  <w:tcBorders>
                    <w:top w:val="single" w:color="auto" w:sz="4" w:space="0"/>
                    <w:left w:val="single" w:color="auto" w:sz="4" w:space="0"/>
                    <w:bottom w:val="single" w:color="auto" w:sz="4" w:space="0"/>
                    <w:right w:val="single" w:color="auto" w:sz="4" w:space="0"/>
                  </w:tcBorders>
                  <w:noWrap w:val="0"/>
                  <w:vAlign w:val="center"/>
                </w:tcPr>
                <w:p w14:paraId="2F06F19D">
                  <w:pPr>
                    <w:pStyle w:val="23"/>
                    <w:bidi w:val="0"/>
                  </w:pPr>
                  <w:r>
                    <w:rPr>
                      <w:rFonts w:hint="eastAsia"/>
                    </w:rPr>
                    <w:t>单独评价指标/超标倍数</w:t>
                  </w:r>
                </w:p>
              </w:tc>
            </w:tr>
            <w:tr w14:paraId="6C42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6106FD0C">
                  <w:pPr>
                    <w:pStyle w:val="23"/>
                    <w:bidi w:val="0"/>
                  </w:pPr>
                  <w:r>
                    <w:rPr>
                      <w:rFonts w:hint="eastAsia"/>
                    </w:rPr>
                    <w:t>红江渡口</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5D5277CC">
                  <w:pPr>
                    <w:pStyle w:val="23"/>
                    <w:bidi w:val="0"/>
                  </w:pPr>
                  <w:r>
                    <w:rPr>
                      <w:rFonts w:hint="eastAsia"/>
                    </w:rPr>
                    <w:t>蓬溪县</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0DB3C5D4">
                  <w:pPr>
                    <w:pStyle w:val="23"/>
                    <w:bidi w:val="0"/>
                  </w:pPr>
                  <w:r>
                    <w:rPr>
                      <w:rFonts w:hint="eastAsia"/>
                    </w:rPr>
                    <w:t>国控</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0FD68256">
                  <w:pPr>
                    <w:pStyle w:val="23"/>
                    <w:bidi w:val="0"/>
                  </w:pPr>
                  <w:r>
                    <w:rPr>
                      <w:rFonts w:hint="eastAsia"/>
                    </w:rPr>
                    <w:t>Ⅱ</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686F6E24">
                  <w:pPr>
                    <w:pStyle w:val="23"/>
                    <w:bidi w:val="0"/>
                  </w:pPr>
                  <w:r>
                    <w:rPr>
                      <w:rFonts w:hint="eastAsia"/>
                    </w:rPr>
                    <w:t>Ⅱ</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5B090EEC">
                  <w:pPr>
                    <w:pStyle w:val="23"/>
                    <w:bidi w:val="0"/>
                  </w:pPr>
                  <w:r>
                    <w:rPr>
                      <w:rFonts w:hint="eastAsia"/>
                    </w:rPr>
                    <w:t>Ⅱ</w:t>
                  </w:r>
                </w:p>
              </w:tc>
              <w:tc>
                <w:tcPr>
                  <w:tcW w:w="898" w:type="pct"/>
                  <w:tcBorders>
                    <w:top w:val="single" w:color="auto" w:sz="4" w:space="0"/>
                    <w:left w:val="single" w:color="auto" w:sz="4" w:space="0"/>
                    <w:bottom w:val="single" w:color="auto" w:sz="4" w:space="0"/>
                    <w:right w:val="single" w:color="auto" w:sz="4" w:space="0"/>
                  </w:tcBorders>
                  <w:noWrap w:val="0"/>
                  <w:vAlign w:val="center"/>
                </w:tcPr>
                <w:p w14:paraId="4B94FEAE">
                  <w:pPr>
                    <w:pStyle w:val="23"/>
                    <w:bidi w:val="0"/>
                  </w:pPr>
                  <w:r>
                    <w:rPr>
                      <w:rFonts w:hint="eastAsia"/>
                    </w:rPr>
                    <w:t>/</w:t>
                  </w:r>
                </w:p>
              </w:tc>
              <w:tc>
                <w:tcPr>
                  <w:tcW w:w="987" w:type="pct"/>
                  <w:tcBorders>
                    <w:top w:val="single" w:color="auto" w:sz="4" w:space="0"/>
                    <w:left w:val="single" w:color="auto" w:sz="4" w:space="0"/>
                    <w:bottom w:val="single" w:color="auto" w:sz="4" w:space="0"/>
                    <w:right w:val="single" w:color="auto" w:sz="4" w:space="0"/>
                  </w:tcBorders>
                  <w:noWrap w:val="0"/>
                  <w:vAlign w:val="center"/>
                </w:tcPr>
                <w:p w14:paraId="2919E4BE">
                  <w:pPr>
                    <w:pStyle w:val="23"/>
                    <w:bidi w:val="0"/>
                  </w:pPr>
                  <w:r>
                    <w:rPr>
                      <w:rFonts w:hint="eastAsia"/>
                    </w:rPr>
                    <w:t>/</w:t>
                  </w:r>
                </w:p>
              </w:tc>
            </w:tr>
            <w:tr w14:paraId="5C8C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43028F5F">
                  <w:pPr>
                    <w:pStyle w:val="23"/>
                    <w:bidi w:val="0"/>
                  </w:pPr>
                  <w:r>
                    <w:rPr>
                      <w:rFonts w:hint="eastAsia"/>
                    </w:rPr>
                    <w:t>玉溪</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3B727A9B">
                  <w:pPr>
                    <w:pStyle w:val="23"/>
                    <w:bidi w:val="0"/>
                  </w:pPr>
                  <w:r>
                    <w:rPr>
                      <w:rFonts w:hint="eastAsia"/>
                    </w:rPr>
                    <w:t>重庆潼南</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03596861">
                  <w:pPr>
                    <w:pStyle w:val="23"/>
                    <w:bidi w:val="0"/>
                  </w:pPr>
                  <w:r>
                    <w:rPr>
                      <w:rFonts w:hint="eastAsia"/>
                    </w:rPr>
                    <w:t>国控</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10840C06">
                  <w:pPr>
                    <w:pStyle w:val="23"/>
                    <w:bidi w:val="0"/>
                  </w:pPr>
                  <w:r>
                    <w:rPr>
                      <w:rFonts w:hint="eastAsia"/>
                    </w:rPr>
                    <w:t>Ⅱ</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6F69B89F">
                  <w:pPr>
                    <w:pStyle w:val="23"/>
                    <w:bidi w:val="0"/>
                  </w:pPr>
                  <w:r>
                    <w:rPr>
                      <w:rFonts w:hint="eastAsia"/>
                    </w:rPr>
                    <w:t>Ⅱ</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4DC1E546">
                  <w:pPr>
                    <w:pStyle w:val="23"/>
                    <w:bidi w:val="0"/>
                  </w:pPr>
                  <w:r>
                    <w:rPr>
                      <w:rFonts w:hint="eastAsia"/>
                    </w:rPr>
                    <w:t>Ⅱ</w:t>
                  </w:r>
                </w:p>
              </w:tc>
              <w:tc>
                <w:tcPr>
                  <w:tcW w:w="898" w:type="pct"/>
                  <w:tcBorders>
                    <w:top w:val="single" w:color="auto" w:sz="4" w:space="0"/>
                    <w:left w:val="single" w:color="auto" w:sz="4" w:space="0"/>
                    <w:bottom w:val="single" w:color="auto" w:sz="4" w:space="0"/>
                    <w:right w:val="single" w:color="auto" w:sz="4" w:space="0"/>
                  </w:tcBorders>
                  <w:noWrap w:val="0"/>
                  <w:vAlign w:val="center"/>
                </w:tcPr>
                <w:p w14:paraId="5093B0DD">
                  <w:pPr>
                    <w:pStyle w:val="23"/>
                    <w:bidi w:val="0"/>
                  </w:pPr>
                  <w:r>
                    <w:rPr>
                      <w:rFonts w:hint="eastAsia"/>
                    </w:rPr>
                    <w:t>/</w:t>
                  </w:r>
                </w:p>
              </w:tc>
              <w:tc>
                <w:tcPr>
                  <w:tcW w:w="987" w:type="pct"/>
                  <w:tcBorders>
                    <w:top w:val="single" w:color="auto" w:sz="4" w:space="0"/>
                    <w:left w:val="single" w:color="auto" w:sz="4" w:space="0"/>
                    <w:bottom w:val="single" w:color="auto" w:sz="4" w:space="0"/>
                    <w:right w:val="single" w:color="auto" w:sz="4" w:space="0"/>
                  </w:tcBorders>
                  <w:noWrap w:val="0"/>
                  <w:vAlign w:val="center"/>
                </w:tcPr>
                <w:p w14:paraId="631C4C7A">
                  <w:pPr>
                    <w:pStyle w:val="23"/>
                    <w:bidi w:val="0"/>
                  </w:pPr>
                  <w:r>
                    <w:rPr>
                      <w:rFonts w:hint="eastAsia"/>
                    </w:rPr>
                    <w:t>/</w:t>
                  </w:r>
                </w:p>
              </w:tc>
            </w:tr>
            <w:tr w14:paraId="4D01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4981E1A7">
                  <w:pPr>
                    <w:pStyle w:val="23"/>
                    <w:bidi w:val="0"/>
                  </w:pPr>
                  <w:r>
                    <w:rPr>
                      <w:rFonts w:hint="eastAsia"/>
                    </w:rPr>
                    <w:t>跑马滩</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0E7507B0">
                  <w:pPr>
                    <w:pStyle w:val="23"/>
                    <w:bidi w:val="0"/>
                  </w:pPr>
                  <w:r>
                    <w:rPr>
                      <w:rFonts w:hint="eastAsia"/>
                    </w:rPr>
                    <w:t>安居区</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5C8168BE">
                  <w:pPr>
                    <w:pStyle w:val="23"/>
                    <w:bidi w:val="0"/>
                  </w:pPr>
                  <w:r>
                    <w:rPr>
                      <w:rFonts w:hint="eastAsia"/>
                    </w:rPr>
                    <w:t>国控</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4EDCBB9A">
                  <w:pPr>
                    <w:pStyle w:val="23"/>
                    <w:bidi w:val="0"/>
                  </w:pPr>
                  <w:r>
                    <w:rPr>
                      <w:rFonts w:hint="eastAsia"/>
                    </w:rPr>
                    <w:t>Ⅲ</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74C8A31D">
                  <w:pPr>
                    <w:pStyle w:val="23"/>
                    <w:bidi w:val="0"/>
                  </w:pPr>
                  <w:r>
                    <w:rPr>
                      <w:rFonts w:hint="eastAsia"/>
                    </w:rPr>
                    <w:t>Ⅲ</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0AAF5CA2">
                  <w:pPr>
                    <w:pStyle w:val="23"/>
                    <w:bidi w:val="0"/>
                  </w:pPr>
                  <w:r>
                    <w:rPr>
                      <w:rFonts w:hint="eastAsia"/>
                    </w:rPr>
                    <w:t>Ⅲ</w:t>
                  </w:r>
                </w:p>
              </w:tc>
              <w:tc>
                <w:tcPr>
                  <w:tcW w:w="898" w:type="pct"/>
                  <w:tcBorders>
                    <w:top w:val="single" w:color="auto" w:sz="4" w:space="0"/>
                    <w:left w:val="single" w:color="auto" w:sz="4" w:space="0"/>
                    <w:bottom w:val="single" w:color="auto" w:sz="4" w:space="0"/>
                    <w:right w:val="single" w:color="auto" w:sz="4" w:space="0"/>
                  </w:tcBorders>
                  <w:noWrap w:val="0"/>
                  <w:vAlign w:val="center"/>
                </w:tcPr>
                <w:p w14:paraId="43960CC2">
                  <w:pPr>
                    <w:pStyle w:val="23"/>
                    <w:bidi w:val="0"/>
                  </w:pPr>
                  <w:r>
                    <w:rPr>
                      <w:rFonts w:hint="eastAsia"/>
                    </w:rPr>
                    <w:t>/</w:t>
                  </w:r>
                </w:p>
              </w:tc>
              <w:tc>
                <w:tcPr>
                  <w:tcW w:w="987" w:type="pct"/>
                  <w:tcBorders>
                    <w:top w:val="single" w:color="auto" w:sz="4" w:space="0"/>
                    <w:left w:val="single" w:color="auto" w:sz="4" w:space="0"/>
                    <w:bottom w:val="single" w:color="auto" w:sz="4" w:space="0"/>
                    <w:right w:val="single" w:color="auto" w:sz="4" w:space="0"/>
                  </w:tcBorders>
                  <w:noWrap w:val="0"/>
                  <w:vAlign w:val="center"/>
                </w:tcPr>
                <w:p w14:paraId="6ECDD29B">
                  <w:pPr>
                    <w:pStyle w:val="23"/>
                    <w:bidi w:val="0"/>
                  </w:pPr>
                  <w:r>
                    <w:rPr>
                      <w:rFonts w:hint="eastAsia"/>
                    </w:rPr>
                    <w:t>/</w:t>
                  </w:r>
                </w:p>
              </w:tc>
            </w:tr>
            <w:tr w14:paraId="2065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43A90F1A">
                  <w:pPr>
                    <w:pStyle w:val="23"/>
                    <w:bidi w:val="0"/>
                  </w:pPr>
                  <w:r>
                    <w:rPr>
                      <w:rFonts w:hint="eastAsia"/>
                    </w:rPr>
                    <w:t>大安</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55676AB0">
                  <w:pPr>
                    <w:pStyle w:val="23"/>
                    <w:bidi w:val="0"/>
                  </w:pPr>
                  <w:r>
                    <w:rPr>
                      <w:rFonts w:hint="eastAsia"/>
                    </w:rPr>
                    <w:t>安居区</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4A3C016B">
                  <w:pPr>
                    <w:pStyle w:val="23"/>
                    <w:bidi w:val="0"/>
                  </w:pPr>
                  <w:r>
                    <w:rPr>
                      <w:rFonts w:hint="eastAsia"/>
                    </w:rPr>
                    <w:t>国控</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33DDFE3D">
                  <w:pPr>
                    <w:pStyle w:val="23"/>
                    <w:bidi w:val="0"/>
                  </w:pPr>
                  <w:r>
                    <w:rPr>
                      <w:rFonts w:hint="eastAsia"/>
                    </w:rPr>
                    <w:t>Ⅲ</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251ED1F5">
                  <w:pPr>
                    <w:pStyle w:val="23"/>
                    <w:bidi w:val="0"/>
                  </w:pPr>
                  <w:r>
                    <w:rPr>
                      <w:rFonts w:hint="eastAsia"/>
                    </w:rPr>
                    <w:t>Ⅲ</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49C8E91D">
                  <w:pPr>
                    <w:pStyle w:val="23"/>
                    <w:bidi w:val="0"/>
                  </w:pPr>
                  <w:r>
                    <w:rPr>
                      <w:rFonts w:hint="eastAsia"/>
                    </w:rPr>
                    <w:t>Ⅲ</w:t>
                  </w:r>
                </w:p>
              </w:tc>
              <w:tc>
                <w:tcPr>
                  <w:tcW w:w="898" w:type="pct"/>
                  <w:tcBorders>
                    <w:top w:val="single" w:color="auto" w:sz="4" w:space="0"/>
                    <w:left w:val="single" w:color="auto" w:sz="4" w:space="0"/>
                    <w:bottom w:val="single" w:color="auto" w:sz="4" w:space="0"/>
                    <w:right w:val="single" w:color="auto" w:sz="4" w:space="0"/>
                  </w:tcBorders>
                  <w:noWrap w:val="0"/>
                  <w:vAlign w:val="center"/>
                </w:tcPr>
                <w:p w14:paraId="4D169C9A">
                  <w:pPr>
                    <w:pStyle w:val="23"/>
                    <w:bidi w:val="0"/>
                  </w:pPr>
                  <w:r>
                    <w:rPr>
                      <w:rFonts w:hint="eastAsia"/>
                    </w:rPr>
                    <w:t>/</w:t>
                  </w:r>
                </w:p>
              </w:tc>
              <w:tc>
                <w:tcPr>
                  <w:tcW w:w="987" w:type="pct"/>
                  <w:tcBorders>
                    <w:top w:val="single" w:color="auto" w:sz="4" w:space="0"/>
                    <w:left w:val="single" w:color="auto" w:sz="4" w:space="0"/>
                    <w:bottom w:val="single" w:color="auto" w:sz="4" w:space="0"/>
                    <w:right w:val="single" w:color="auto" w:sz="4" w:space="0"/>
                  </w:tcBorders>
                  <w:noWrap w:val="0"/>
                  <w:vAlign w:val="center"/>
                </w:tcPr>
                <w:p w14:paraId="09FF4AEF">
                  <w:pPr>
                    <w:pStyle w:val="23"/>
                    <w:bidi w:val="0"/>
                  </w:pPr>
                  <w:r>
                    <w:rPr>
                      <w:rFonts w:hint="eastAsia"/>
                    </w:rPr>
                    <w:t>/</w:t>
                  </w:r>
                </w:p>
              </w:tc>
            </w:tr>
            <w:tr w14:paraId="64B5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5E2E83E7">
                  <w:pPr>
                    <w:pStyle w:val="23"/>
                    <w:bidi w:val="0"/>
                  </w:pPr>
                  <w:r>
                    <w:rPr>
                      <w:rFonts w:hint="eastAsia"/>
                    </w:rPr>
                    <w:t>郪江口</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72EED83B">
                  <w:pPr>
                    <w:pStyle w:val="23"/>
                    <w:bidi w:val="0"/>
                  </w:pPr>
                  <w:r>
                    <w:rPr>
                      <w:rFonts w:hint="eastAsia"/>
                    </w:rPr>
                    <w:t>大英县</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4672E887">
                  <w:pPr>
                    <w:pStyle w:val="23"/>
                    <w:bidi w:val="0"/>
                  </w:pPr>
                  <w:r>
                    <w:rPr>
                      <w:rFonts w:hint="eastAsia"/>
                    </w:rPr>
                    <w:t>国控</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3C7D7F87">
                  <w:pPr>
                    <w:pStyle w:val="23"/>
                    <w:bidi w:val="0"/>
                  </w:pPr>
                  <w:r>
                    <w:rPr>
                      <w:rFonts w:hint="eastAsia"/>
                    </w:rPr>
                    <w:t>Ⅲ</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2AB6D31D">
                  <w:pPr>
                    <w:pStyle w:val="23"/>
                    <w:bidi w:val="0"/>
                  </w:pPr>
                  <w:r>
                    <w:rPr>
                      <w:rFonts w:hint="eastAsia"/>
                    </w:rPr>
                    <w:t>Ⅲ</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02D24F78">
                  <w:pPr>
                    <w:pStyle w:val="23"/>
                    <w:bidi w:val="0"/>
                  </w:pPr>
                  <w:r>
                    <w:rPr>
                      <w:rFonts w:hint="eastAsia"/>
                    </w:rPr>
                    <w:t>Ⅲ</w:t>
                  </w:r>
                </w:p>
              </w:tc>
              <w:tc>
                <w:tcPr>
                  <w:tcW w:w="898" w:type="pct"/>
                  <w:tcBorders>
                    <w:top w:val="single" w:color="auto" w:sz="4" w:space="0"/>
                    <w:left w:val="single" w:color="auto" w:sz="4" w:space="0"/>
                    <w:bottom w:val="single" w:color="auto" w:sz="4" w:space="0"/>
                    <w:right w:val="single" w:color="auto" w:sz="4" w:space="0"/>
                  </w:tcBorders>
                  <w:noWrap w:val="0"/>
                  <w:vAlign w:val="center"/>
                </w:tcPr>
                <w:p w14:paraId="0D819396">
                  <w:pPr>
                    <w:pStyle w:val="23"/>
                    <w:bidi w:val="0"/>
                  </w:pPr>
                  <w:r>
                    <w:rPr>
                      <w:rFonts w:hint="eastAsia"/>
                    </w:rPr>
                    <w:t>/</w:t>
                  </w:r>
                </w:p>
              </w:tc>
              <w:tc>
                <w:tcPr>
                  <w:tcW w:w="987" w:type="pct"/>
                  <w:tcBorders>
                    <w:top w:val="single" w:color="auto" w:sz="4" w:space="0"/>
                    <w:left w:val="single" w:color="auto" w:sz="4" w:space="0"/>
                    <w:bottom w:val="single" w:color="auto" w:sz="4" w:space="0"/>
                    <w:right w:val="single" w:color="auto" w:sz="4" w:space="0"/>
                  </w:tcBorders>
                  <w:noWrap w:val="0"/>
                  <w:vAlign w:val="center"/>
                </w:tcPr>
                <w:p w14:paraId="10FDE75A">
                  <w:pPr>
                    <w:pStyle w:val="23"/>
                    <w:bidi w:val="0"/>
                  </w:pPr>
                  <w:r>
                    <w:rPr>
                      <w:rFonts w:hint="eastAsia"/>
                    </w:rPr>
                    <w:t>/</w:t>
                  </w:r>
                </w:p>
              </w:tc>
            </w:tr>
            <w:tr w14:paraId="1C56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09427301">
                  <w:pPr>
                    <w:pStyle w:val="23"/>
                    <w:bidi w:val="0"/>
                  </w:pPr>
                  <w:r>
                    <w:rPr>
                      <w:rFonts w:hint="eastAsia"/>
                    </w:rPr>
                    <w:t>梓江大桥</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14F5F94D">
                  <w:pPr>
                    <w:pStyle w:val="23"/>
                    <w:bidi w:val="0"/>
                  </w:pPr>
                  <w:r>
                    <w:rPr>
                      <w:rFonts w:hint="eastAsia"/>
                    </w:rPr>
                    <w:t>射洪市</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5E5756EF">
                  <w:pPr>
                    <w:pStyle w:val="23"/>
                    <w:bidi w:val="0"/>
                  </w:pPr>
                  <w:r>
                    <w:rPr>
                      <w:rFonts w:hint="eastAsia"/>
                    </w:rPr>
                    <w:t>国控</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590733AD">
                  <w:pPr>
                    <w:pStyle w:val="23"/>
                    <w:bidi w:val="0"/>
                  </w:pPr>
                  <w:r>
                    <w:rPr>
                      <w:rFonts w:hint="eastAsia"/>
                    </w:rPr>
                    <w:t>Ⅱ</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7AD45589">
                  <w:pPr>
                    <w:pStyle w:val="23"/>
                    <w:bidi w:val="0"/>
                  </w:pPr>
                  <w:r>
                    <w:rPr>
                      <w:rFonts w:hint="eastAsia"/>
                    </w:rPr>
                    <w:t>Ⅱ</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3FC27B59">
                  <w:pPr>
                    <w:pStyle w:val="23"/>
                    <w:bidi w:val="0"/>
                  </w:pPr>
                  <w:r>
                    <w:rPr>
                      <w:rFonts w:hint="eastAsia"/>
                    </w:rPr>
                    <w:t>Ⅱ</w:t>
                  </w:r>
                </w:p>
              </w:tc>
              <w:tc>
                <w:tcPr>
                  <w:tcW w:w="898" w:type="pct"/>
                  <w:tcBorders>
                    <w:top w:val="single" w:color="auto" w:sz="4" w:space="0"/>
                    <w:left w:val="single" w:color="auto" w:sz="4" w:space="0"/>
                    <w:bottom w:val="single" w:color="auto" w:sz="4" w:space="0"/>
                    <w:right w:val="single" w:color="auto" w:sz="4" w:space="0"/>
                  </w:tcBorders>
                  <w:noWrap w:val="0"/>
                  <w:vAlign w:val="center"/>
                </w:tcPr>
                <w:p w14:paraId="34BEFBFF">
                  <w:pPr>
                    <w:pStyle w:val="23"/>
                    <w:bidi w:val="0"/>
                  </w:pPr>
                  <w:r>
                    <w:rPr>
                      <w:rFonts w:hint="eastAsia"/>
                    </w:rPr>
                    <w:t>/</w:t>
                  </w:r>
                </w:p>
              </w:tc>
              <w:tc>
                <w:tcPr>
                  <w:tcW w:w="987" w:type="pct"/>
                  <w:tcBorders>
                    <w:top w:val="single" w:color="auto" w:sz="4" w:space="0"/>
                    <w:left w:val="single" w:color="auto" w:sz="4" w:space="0"/>
                    <w:bottom w:val="single" w:color="auto" w:sz="4" w:space="0"/>
                    <w:right w:val="single" w:color="auto" w:sz="4" w:space="0"/>
                  </w:tcBorders>
                  <w:noWrap w:val="0"/>
                  <w:vAlign w:val="center"/>
                </w:tcPr>
                <w:p w14:paraId="2B3B294F">
                  <w:pPr>
                    <w:pStyle w:val="23"/>
                    <w:bidi w:val="0"/>
                  </w:pPr>
                  <w:r>
                    <w:rPr>
                      <w:rFonts w:hint="eastAsia"/>
                    </w:rPr>
                    <w:t>/</w:t>
                  </w:r>
                </w:p>
              </w:tc>
            </w:tr>
            <w:tr w14:paraId="0CCA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670A84D6">
                  <w:pPr>
                    <w:pStyle w:val="23"/>
                    <w:bidi w:val="0"/>
                  </w:pPr>
                  <w:r>
                    <w:rPr>
                      <w:rFonts w:hint="eastAsia"/>
                    </w:rPr>
                    <w:t>白鹤桥</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12A3B8E8">
                  <w:pPr>
                    <w:pStyle w:val="23"/>
                    <w:bidi w:val="0"/>
                  </w:pPr>
                  <w:r>
                    <w:rPr>
                      <w:rFonts w:hint="eastAsia"/>
                    </w:rPr>
                    <w:t>安居区</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46AA5555">
                  <w:pPr>
                    <w:pStyle w:val="23"/>
                    <w:bidi w:val="0"/>
                  </w:pPr>
                  <w:r>
                    <w:rPr>
                      <w:rFonts w:hint="eastAsia"/>
                    </w:rPr>
                    <w:t>省控</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1B4BBA01">
                  <w:pPr>
                    <w:pStyle w:val="23"/>
                    <w:bidi w:val="0"/>
                  </w:pPr>
                  <w:r>
                    <w:rPr>
                      <w:rFonts w:hint="eastAsia"/>
                    </w:rPr>
                    <w:t>Ⅲ</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0609AF35">
                  <w:pPr>
                    <w:pStyle w:val="23"/>
                    <w:bidi w:val="0"/>
                  </w:pPr>
                  <w:r>
                    <w:rPr>
                      <w:rFonts w:hint="eastAsia"/>
                    </w:rPr>
                    <w:t>Ⅳ</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3175F351">
                  <w:pPr>
                    <w:pStyle w:val="23"/>
                    <w:bidi w:val="0"/>
                  </w:pPr>
                  <w:r>
                    <w:rPr>
                      <w:rFonts w:hint="eastAsia"/>
                    </w:rPr>
                    <w:t>Ⅲ</w:t>
                  </w:r>
                </w:p>
              </w:tc>
              <w:tc>
                <w:tcPr>
                  <w:tcW w:w="898" w:type="pct"/>
                  <w:tcBorders>
                    <w:top w:val="single" w:color="auto" w:sz="4" w:space="0"/>
                    <w:left w:val="single" w:color="auto" w:sz="4" w:space="0"/>
                    <w:bottom w:val="single" w:color="auto" w:sz="4" w:space="0"/>
                    <w:right w:val="single" w:color="auto" w:sz="4" w:space="0"/>
                  </w:tcBorders>
                  <w:noWrap w:val="0"/>
                  <w:vAlign w:val="center"/>
                </w:tcPr>
                <w:p w14:paraId="20CDF93C">
                  <w:pPr>
                    <w:pStyle w:val="23"/>
                    <w:bidi w:val="0"/>
                  </w:pPr>
                  <w:r>
                    <w:rPr>
                      <w:rFonts w:hint="eastAsia"/>
                    </w:rPr>
                    <w:t>/</w:t>
                  </w:r>
                </w:p>
              </w:tc>
              <w:tc>
                <w:tcPr>
                  <w:tcW w:w="987" w:type="pct"/>
                  <w:tcBorders>
                    <w:top w:val="single" w:color="auto" w:sz="4" w:space="0"/>
                    <w:left w:val="single" w:color="auto" w:sz="4" w:space="0"/>
                    <w:bottom w:val="single" w:color="auto" w:sz="4" w:space="0"/>
                    <w:right w:val="single" w:color="auto" w:sz="4" w:space="0"/>
                  </w:tcBorders>
                  <w:noWrap w:val="0"/>
                  <w:vAlign w:val="center"/>
                </w:tcPr>
                <w:p w14:paraId="493489E6">
                  <w:pPr>
                    <w:pStyle w:val="23"/>
                    <w:bidi w:val="0"/>
                  </w:pPr>
                  <w:r>
                    <w:rPr>
                      <w:rFonts w:hint="eastAsia"/>
                    </w:rPr>
                    <w:t>/</w:t>
                  </w:r>
                </w:p>
              </w:tc>
            </w:tr>
            <w:tr w14:paraId="49EE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1ACB289D">
                  <w:pPr>
                    <w:pStyle w:val="23"/>
                    <w:bidi w:val="0"/>
                  </w:pPr>
                  <w:r>
                    <w:rPr>
                      <w:rFonts w:hint="eastAsia"/>
                    </w:rPr>
                    <w:t>涪山坝</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7BBD4610">
                  <w:pPr>
                    <w:pStyle w:val="23"/>
                    <w:bidi w:val="0"/>
                  </w:pPr>
                  <w:r>
                    <w:rPr>
                      <w:rFonts w:hint="eastAsia"/>
                    </w:rPr>
                    <w:t>蓬溪县</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7E2FDD51">
                  <w:pPr>
                    <w:pStyle w:val="23"/>
                    <w:bidi w:val="0"/>
                  </w:pPr>
                  <w:r>
                    <w:rPr>
                      <w:rFonts w:hint="eastAsia"/>
                    </w:rPr>
                    <w:t>省控</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036067D2">
                  <w:pPr>
                    <w:pStyle w:val="23"/>
                    <w:bidi w:val="0"/>
                  </w:pPr>
                  <w:r>
                    <w:rPr>
                      <w:rFonts w:hint="eastAsia"/>
                    </w:rPr>
                    <w:t>Ⅲ</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360E88C4">
                  <w:pPr>
                    <w:pStyle w:val="23"/>
                    <w:bidi w:val="0"/>
                  </w:pPr>
                  <w:r>
                    <w:rPr>
                      <w:rFonts w:hint="eastAsia"/>
                    </w:rPr>
                    <w:t>Ⅲ</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33EDBE21">
                  <w:pPr>
                    <w:pStyle w:val="23"/>
                    <w:bidi w:val="0"/>
                  </w:pPr>
                  <w:r>
                    <w:rPr>
                      <w:rFonts w:hint="eastAsia"/>
                    </w:rPr>
                    <w:t>Ⅲ</w:t>
                  </w:r>
                </w:p>
              </w:tc>
              <w:tc>
                <w:tcPr>
                  <w:tcW w:w="898" w:type="pct"/>
                  <w:tcBorders>
                    <w:top w:val="single" w:color="auto" w:sz="4" w:space="0"/>
                    <w:left w:val="single" w:color="auto" w:sz="4" w:space="0"/>
                    <w:bottom w:val="single" w:color="auto" w:sz="4" w:space="0"/>
                    <w:right w:val="single" w:color="auto" w:sz="4" w:space="0"/>
                  </w:tcBorders>
                  <w:noWrap w:val="0"/>
                  <w:vAlign w:val="center"/>
                </w:tcPr>
                <w:p w14:paraId="1A72BCE9">
                  <w:pPr>
                    <w:pStyle w:val="23"/>
                    <w:bidi w:val="0"/>
                  </w:pPr>
                  <w:r>
                    <w:rPr>
                      <w:rFonts w:hint="eastAsia"/>
                    </w:rPr>
                    <w:t>/</w:t>
                  </w:r>
                </w:p>
              </w:tc>
              <w:tc>
                <w:tcPr>
                  <w:tcW w:w="987" w:type="pct"/>
                  <w:tcBorders>
                    <w:top w:val="single" w:color="auto" w:sz="4" w:space="0"/>
                    <w:left w:val="single" w:color="auto" w:sz="4" w:space="0"/>
                    <w:bottom w:val="single" w:color="auto" w:sz="4" w:space="0"/>
                    <w:right w:val="single" w:color="auto" w:sz="4" w:space="0"/>
                  </w:tcBorders>
                  <w:noWrap w:val="0"/>
                  <w:vAlign w:val="center"/>
                </w:tcPr>
                <w:p w14:paraId="5A265CA6">
                  <w:pPr>
                    <w:pStyle w:val="23"/>
                    <w:bidi w:val="0"/>
                  </w:pPr>
                  <w:r>
                    <w:rPr>
                      <w:rFonts w:hint="eastAsia"/>
                    </w:rPr>
                    <w:t>粪大肠菌群/0.09</w:t>
                  </w:r>
                </w:p>
              </w:tc>
            </w:tr>
            <w:tr w14:paraId="772E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7F3AF2FC">
                  <w:pPr>
                    <w:pStyle w:val="23"/>
                    <w:bidi w:val="0"/>
                  </w:pPr>
                  <w:r>
                    <w:rPr>
                      <w:rFonts w:hint="eastAsia"/>
                    </w:rPr>
                    <w:t>米家桥</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1CBF53E6">
                  <w:pPr>
                    <w:pStyle w:val="23"/>
                    <w:bidi w:val="0"/>
                  </w:pPr>
                  <w:r>
                    <w:rPr>
                      <w:rFonts w:hint="eastAsia"/>
                    </w:rPr>
                    <w:t>船山区</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18105369">
                  <w:pPr>
                    <w:pStyle w:val="23"/>
                    <w:bidi w:val="0"/>
                  </w:pPr>
                  <w:r>
                    <w:rPr>
                      <w:rFonts w:hint="eastAsia"/>
                    </w:rPr>
                    <w:t>省控</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6B385F23">
                  <w:pPr>
                    <w:pStyle w:val="23"/>
                    <w:bidi w:val="0"/>
                  </w:pPr>
                  <w:r>
                    <w:rPr>
                      <w:rFonts w:hint="eastAsia"/>
                    </w:rPr>
                    <w:t>Ⅱ</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430E6FF9">
                  <w:pPr>
                    <w:pStyle w:val="23"/>
                    <w:bidi w:val="0"/>
                  </w:pPr>
                  <w:r>
                    <w:rPr>
                      <w:rFonts w:hint="eastAsia"/>
                    </w:rPr>
                    <w:t>Ⅱ</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30DD05D7">
                  <w:pPr>
                    <w:pStyle w:val="23"/>
                    <w:bidi w:val="0"/>
                  </w:pPr>
                  <w:r>
                    <w:rPr>
                      <w:rFonts w:hint="eastAsia"/>
                    </w:rPr>
                    <w:t>Ⅱ</w:t>
                  </w:r>
                </w:p>
              </w:tc>
              <w:tc>
                <w:tcPr>
                  <w:tcW w:w="898" w:type="pct"/>
                  <w:tcBorders>
                    <w:top w:val="single" w:color="auto" w:sz="4" w:space="0"/>
                    <w:left w:val="single" w:color="auto" w:sz="4" w:space="0"/>
                    <w:bottom w:val="single" w:color="auto" w:sz="4" w:space="0"/>
                    <w:right w:val="single" w:color="auto" w:sz="4" w:space="0"/>
                  </w:tcBorders>
                  <w:noWrap w:val="0"/>
                  <w:vAlign w:val="center"/>
                </w:tcPr>
                <w:p w14:paraId="0FFD51F7">
                  <w:pPr>
                    <w:pStyle w:val="23"/>
                    <w:bidi w:val="0"/>
                  </w:pPr>
                  <w:r>
                    <w:rPr>
                      <w:rFonts w:hint="eastAsia"/>
                    </w:rPr>
                    <w:t>/</w:t>
                  </w:r>
                </w:p>
              </w:tc>
              <w:tc>
                <w:tcPr>
                  <w:tcW w:w="987" w:type="pct"/>
                  <w:tcBorders>
                    <w:top w:val="single" w:color="auto" w:sz="4" w:space="0"/>
                    <w:left w:val="single" w:color="auto" w:sz="4" w:space="0"/>
                    <w:bottom w:val="single" w:color="auto" w:sz="4" w:space="0"/>
                    <w:right w:val="single" w:color="auto" w:sz="4" w:space="0"/>
                  </w:tcBorders>
                  <w:noWrap w:val="0"/>
                  <w:vAlign w:val="center"/>
                </w:tcPr>
                <w:p w14:paraId="1FF4871D">
                  <w:pPr>
                    <w:pStyle w:val="23"/>
                    <w:bidi w:val="0"/>
                  </w:pPr>
                  <w:r>
                    <w:rPr>
                      <w:rFonts w:hint="eastAsia"/>
                    </w:rPr>
                    <w:t>/</w:t>
                  </w:r>
                </w:p>
              </w:tc>
            </w:tr>
            <w:tr w14:paraId="23C4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op w:val="single" w:color="auto" w:sz="4" w:space="0"/>
                  </w:tcBorders>
                  <w:noWrap w:val="0"/>
                  <w:vAlign w:val="center"/>
                </w:tcPr>
                <w:p w14:paraId="72D1AAC4">
                  <w:pPr>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both"/>
                    <w:textAlignment w:val="auto"/>
                    <w:rPr>
                      <w:rFonts w:hint="eastAsia" w:ascii="Times New Roman" w:hAnsi="Times New Roman" w:eastAsia="宋体"/>
                      <w:sz w:val="21"/>
                      <w:szCs w:val="21"/>
                    </w:rPr>
                  </w:pPr>
                  <w:r>
                    <w:rPr>
                      <w:rFonts w:hint="eastAsia" w:ascii="Times New Roman" w:hAnsi="Times New Roman" w:eastAsia="宋体"/>
                      <w:sz w:val="21"/>
                      <w:szCs w:val="21"/>
                    </w:rPr>
                    <w:t>注：</w:t>
                  </w:r>
                  <w:r>
                    <w:rPr>
                      <w:rFonts w:ascii="Times New Roman" w:hAnsi="Times New Roman" w:eastAsia="宋体"/>
                      <w:sz w:val="21"/>
                      <w:szCs w:val="21"/>
                    </w:rPr>
                    <w:t>1.</w:t>
                  </w:r>
                  <w:r>
                    <w:rPr>
                      <w:rFonts w:hint="eastAsia" w:ascii="Times New Roman" w:hAnsi="Times New Roman" w:eastAsia="宋体"/>
                      <w:sz w:val="21"/>
                      <w:szCs w:val="21"/>
                    </w:rPr>
                    <w:t>地表水环境评价执行《地表水环境质量标准》（GB3838-2002）和《地表水环境质量评价办法（试行）》（环办[2011]22号）；</w:t>
                  </w:r>
                </w:p>
                <w:p w14:paraId="722028A9">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eastAsia="宋体"/>
                      <w:kern w:val="0"/>
                      <w:sz w:val="21"/>
                      <w:szCs w:val="21"/>
                    </w:rPr>
                  </w:pPr>
                  <w:r>
                    <w:rPr>
                      <w:rFonts w:ascii="Times New Roman" w:hAnsi="Times New Roman" w:eastAsia="宋体"/>
                      <w:kern w:val="0"/>
                      <w:sz w:val="21"/>
                      <w:szCs w:val="21"/>
                    </w:rPr>
                    <w:t>2.</w:t>
                  </w:r>
                  <w:r>
                    <w:rPr>
                      <w:rFonts w:hint="eastAsia" w:ascii="Times New Roman" w:hAnsi="Times New Roman" w:eastAsia="宋体"/>
                      <w:kern w:val="0"/>
                      <w:sz w:val="21"/>
                      <w:szCs w:val="21"/>
                    </w:rPr>
                    <w:t>21项评价指标为：ph、溶解氢、高锰酸盐指数、五日生化需氧量、氨氮、石油类、挥发酚、汞、铅、镉、阴离子表面活性剂、铬（六价）、氟化物、总磷、氰化物、硫化物、砷、化学需氧量、铜、锌、硒；</w:t>
                  </w:r>
                </w:p>
                <w:p w14:paraId="78424E31">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eastAsia="宋体"/>
                      <w:kern w:val="0"/>
                      <w:sz w:val="21"/>
                      <w:szCs w:val="21"/>
                    </w:rPr>
                  </w:pPr>
                  <w:r>
                    <w:rPr>
                      <w:rFonts w:ascii="Times New Roman" w:hAnsi="Times New Roman" w:eastAsia="宋体"/>
                      <w:kern w:val="0"/>
                      <w:sz w:val="21"/>
                      <w:szCs w:val="21"/>
                    </w:rPr>
                    <w:t>3.</w:t>
                  </w:r>
                  <w:r>
                    <w:rPr>
                      <w:rFonts w:hint="eastAsia" w:ascii="Times New Roman" w:hAnsi="Times New Roman" w:eastAsia="宋体"/>
                      <w:kern w:val="0"/>
                      <w:sz w:val="21"/>
                      <w:szCs w:val="21"/>
                    </w:rPr>
                    <w:t>超过Ⅲ类水质标准的指标为断面污染指标，取超标倍数最大的前三项为主要污染指标；</w:t>
                  </w:r>
                </w:p>
                <w:p w14:paraId="7D66F0F5">
                  <w:pPr>
                    <w:keepNext w:val="0"/>
                    <w:keepLines w:val="0"/>
                    <w:pageBreakBefore w:val="0"/>
                    <w:kinsoku/>
                    <w:wordWrap/>
                    <w:overflowPunct/>
                    <w:topLinePunct w:val="0"/>
                    <w:autoSpaceDE/>
                    <w:autoSpaceDN/>
                    <w:bidi w:val="0"/>
                    <w:adjustRightInd w:val="0"/>
                    <w:snapToGrid w:val="0"/>
                    <w:spacing w:beforeLines="0" w:afterLines="0" w:line="240" w:lineRule="auto"/>
                    <w:ind w:right="0" w:rightChars="0" w:firstLine="0" w:firstLineChars="0"/>
                    <w:jc w:val="both"/>
                    <w:textAlignment w:val="auto"/>
                    <w:rPr>
                      <w:rFonts w:ascii="Times New Roman" w:hAnsi="Times New Roman" w:eastAsia="宋体"/>
                      <w:sz w:val="21"/>
                    </w:rPr>
                  </w:pPr>
                  <w:r>
                    <w:rPr>
                      <w:rFonts w:ascii="Times New Roman" w:hAnsi="Times New Roman" w:eastAsia="宋体"/>
                      <w:sz w:val="21"/>
                      <w:szCs w:val="21"/>
                    </w:rPr>
                    <w:t>4.</w:t>
                  </w:r>
                  <w:r>
                    <w:rPr>
                      <w:rFonts w:hint="eastAsia" w:ascii="Times New Roman" w:hAnsi="Times New Roman" w:eastAsia="宋体"/>
                      <w:sz w:val="21"/>
                      <w:szCs w:val="21"/>
                    </w:rPr>
                    <w:t>红江渡口、玉溪、跑马滩、大安、郪江口和锌江大桥6个国控断面采用国家反馈的采测分离数据（含部分市级补充检测数据）进行评价。</w:t>
                  </w:r>
                </w:p>
              </w:tc>
            </w:tr>
          </w:tbl>
          <w:p w14:paraId="1E2EA33C">
            <w:pPr>
              <w:pStyle w:val="25"/>
              <w:bidi w:val="0"/>
            </w:pPr>
            <w:r>
              <w:rPr>
                <w:rFonts w:hint="eastAsia"/>
                <w:lang w:val="en-US" w:eastAsia="zh-CN"/>
              </w:rPr>
              <w:t>由上表可知，船山区米家桥断面为II类水质，因此本项目受纳水体能够满足《地表水环境质量标准》（</w:t>
            </w:r>
            <w:r>
              <w:rPr>
                <w:rFonts w:hint="default"/>
                <w:lang w:val="en-US" w:eastAsia="zh-CN"/>
              </w:rPr>
              <w:t>GB3838-2002</w:t>
            </w:r>
            <w:r>
              <w:rPr>
                <w:rFonts w:hint="eastAsia"/>
                <w:lang w:val="en-US" w:eastAsia="zh-CN"/>
              </w:rPr>
              <w:t>）</w:t>
            </w:r>
            <w:r>
              <w:rPr>
                <w:rFonts w:hint="default"/>
                <w:lang w:val="en-US" w:eastAsia="zh-CN"/>
              </w:rPr>
              <w:t>II</w:t>
            </w:r>
            <w:r>
              <w:rPr>
                <w:rFonts w:hint="eastAsia"/>
                <w:lang w:val="en-US" w:eastAsia="zh-CN"/>
              </w:rPr>
              <w:t>类标准，表明项目地地表水环境质量较好。</w:t>
            </w:r>
          </w:p>
          <w:p w14:paraId="0DECD67B">
            <w:pPr>
              <w:pStyle w:val="4"/>
              <w:bidi w:val="0"/>
            </w:pPr>
            <w:r>
              <w:rPr>
                <w:b/>
                <w:sz w:val="24"/>
              </w:rPr>
              <w:t>声环境质量现状</w:t>
            </w:r>
          </w:p>
          <w:p w14:paraId="6B7C3FEF">
            <w:pPr>
              <w:bidi w:val="0"/>
              <w:rPr>
                <w:rFonts w:hint="eastAsia"/>
                <w:lang w:val="en-US" w:eastAsia="zh-CN"/>
              </w:rPr>
            </w:pPr>
            <w:r>
              <w:rPr>
                <w:rFonts w:hint="eastAsia"/>
              </w:rPr>
              <w:t>本项目周边</w:t>
            </w:r>
            <w:r>
              <w:rPr>
                <w:rFonts w:hint="eastAsia"/>
                <w:lang w:val="en-US" w:eastAsia="zh-CN"/>
              </w:rPr>
              <w:t>50m范围</w:t>
            </w:r>
            <w:r>
              <w:rPr>
                <w:rFonts w:hint="eastAsia"/>
              </w:rPr>
              <w:t>存在声环境保护目标</w:t>
            </w:r>
            <w:r>
              <w:rPr>
                <w:rFonts w:hint="eastAsia"/>
                <w:lang w:eastAsia="zh-CN"/>
              </w:rPr>
              <w:t>为天宫石油小区</w:t>
            </w:r>
            <w:r>
              <w:rPr>
                <w:rFonts w:hint="eastAsia"/>
              </w:rPr>
              <w:t>，</w:t>
            </w:r>
            <w:r>
              <w:rPr>
                <w:rFonts w:hint="eastAsia"/>
                <w:lang w:val="en-US" w:eastAsia="zh-CN"/>
              </w:rPr>
              <w:t>主要噪声源来源于医疗设备、空气能热水器系统、备用发电机、空调外机和污水处理站水泵。医院主要采取以下防治措施。</w:t>
            </w:r>
          </w:p>
          <w:p w14:paraId="6D54D4A5">
            <w:pPr>
              <w:bidi w:val="0"/>
              <w:rPr>
                <w:rFonts w:hint="eastAsia"/>
                <w:lang w:val="en-US" w:eastAsia="zh-CN"/>
              </w:rPr>
            </w:pPr>
            <w:r>
              <w:rPr>
                <w:rFonts w:hint="eastAsia"/>
                <w:lang w:val="en-US" w:eastAsia="zh-CN"/>
              </w:rPr>
              <w:t>1）产噪设备合理布局，污水处理站水泵设备通过选用低噪声设备，墙体隔声、医疗设备置于室内，充分利用墙体隔声。备用发电机单独设置于封闭备用发电机房内，对设备做减振处理。</w:t>
            </w:r>
          </w:p>
          <w:p w14:paraId="3E9EB788">
            <w:pPr>
              <w:bidi w:val="0"/>
              <w:rPr>
                <w:rFonts w:hint="eastAsia"/>
                <w:lang w:val="en-US" w:eastAsia="zh-CN"/>
              </w:rPr>
            </w:pPr>
            <w:r>
              <w:rPr>
                <w:rFonts w:hint="eastAsia"/>
                <w:lang w:val="en-US" w:eastAsia="zh-CN"/>
              </w:rPr>
              <w:t>2）对于病人、陪护人员以及医务人员产生的社会生活噪声，应通过加强管理，张贴禁止喧哗的告示等方式进行处理。</w:t>
            </w:r>
          </w:p>
          <w:p w14:paraId="48FE07C0">
            <w:pPr>
              <w:bidi w:val="0"/>
              <w:rPr>
                <w:rFonts w:hint="eastAsia"/>
                <w:lang w:val="en-US" w:eastAsia="zh-CN"/>
              </w:rPr>
            </w:pPr>
            <w:r>
              <w:rPr>
                <w:rFonts w:hint="eastAsia"/>
                <w:lang w:val="en-US" w:eastAsia="zh-CN"/>
              </w:rPr>
              <w:t>3）对于产生的交通噪声，采取限速、禁止鸣笛等方式进行处理。</w:t>
            </w:r>
          </w:p>
          <w:p w14:paraId="37BC3649">
            <w:pPr>
              <w:bidi w:val="0"/>
              <w:rPr>
                <w:rFonts w:hint="eastAsia"/>
                <w:lang w:val="en-US" w:eastAsia="zh-CN"/>
              </w:rPr>
            </w:pPr>
            <w:r>
              <w:rPr>
                <w:rFonts w:hint="eastAsia"/>
                <w:lang w:val="en-US" w:eastAsia="zh-CN"/>
              </w:rPr>
              <w:t>4）本项目厂界南侧及东侧紧邻城市干道，行驶车辆产生的交通噪声对本项目存在一定的影响。为减小交通噪声对本项目产生影响，本项目采取在医院南侧及东侧临街一面窗户设置双层隔音玻璃等降噪措施，将外环境对本项目噪声影响控制在可控范围内。本项目采取以上措施后，对周围环境影响较小。</w:t>
            </w:r>
          </w:p>
          <w:p w14:paraId="70320F75">
            <w:pPr>
              <w:bidi w:val="0"/>
            </w:pPr>
            <w:r>
              <w:rPr>
                <w:rFonts w:hint="eastAsia"/>
              </w:rPr>
              <w:t>因此环评认为该项目声环境质量良好。</w:t>
            </w:r>
          </w:p>
          <w:p w14:paraId="5769974C">
            <w:pPr>
              <w:pStyle w:val="4"/>
              <w:bidi w:val="0"/>
            </w:pPr>
            <w:r>
              <w:t>生态环境质量现状</w:t>
            </w:r>
          </w:p>
          <w:p w14:paraId="3BAD8EAC">
            <w:pPr>
              <w:bidi w:val="0"/>
              <w:rPr>
                <w:kern w:val="0"/>
                <w:szCs w:val="21"/>
              </w:rPr>
            </w:pPr>
            <w:r>
              <w:rPr>
                <w:rFonts w:hint="eastAsia"/>
              </w:rPr>
              <w:t>项目区域人工活动频繁，为城市区域，本项目场地内人类活动频繁，生态环境简单，无其他珍稀动物和植物</w:t>
            </w:r>
            <w:bookmarkStart w:id="31" w:name="_GoBack"/>
            <w:bookmarkEnd w:id="31"/>
            <w:r>
              <w:t>，无特殊文物保护单位。</w:t>
            </w:r>
          </w:p>
        </w:tc>
      </w:tr>
      <w:tr w14:paraId="76C1F8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449" w:type="dxa"/>
            <w:noWrap w:val="0"/>
            <w:vAlign w:val="center"/>
          </w:tcPr>
          <w:p w14:paraId="2E41E3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宋体"/>
                <w:b/>
                <w:kern w:val="0"/>
                <w:sz w:val="24"/>
                <w:szCs w:val="21"/>
              </w:rPr>
            </w:pPr>
            <w:r>
              <w:rPr>
                <w:rFonts w:hint="eastAsia" w:ascii="Times New Roman" w:hAnsi="Times New Roman" w:cs="宋体"/>
                <w:b/>
                <w:kern w:val="0"/>
                <w:sz w:val="24"/>
                <w:szCs w:val="21"/>
              </w:rPr>
              <w:t>环境保护目标</w:t>
            </w:r>
          </w:p>
        </w:tc>
        <w:tc>
          <w:tcPr>
            <w:tcW w:w="8612" w:type="dxa"/>
            <w:noWrap w:val="0"/>
            <w:vAlign w:val="center"/>
          </w:tcPr>
          <w:p w14:paraId="1D5CBCB9">
            <w:pPr>
              <w:pStyle w:val="3"/>
              <w:bidi w:val="0"/>
            </w:pPr>
            <w:r>
              <w:rPr>
                <w:rFonts w:hint="eastAsia"/>
              </w:rPr>
              <w:t>环境保护目标</w:t>
            </w:r>
          </w:p>
          <w:p w14:paraId="7D4DF4DE">
            <w:pPr>
              <w:pageBreakBefore w:val="0"/>
              <w:wordWrap/>
              <w:bidi w:val="0"/>
              <w:adjustRightInd w:val="0"/>
              <w:snapToGrid w:val="0"/>
              <w:spacing w:line="360" w:lineRule="auto"/>
              <w:ind w:firstLine="480" w:firstLineChars="200"/>
              <w:rPr>
                <w:bCs/>
                <w:sz w:val="21"/>
                <w:szCs w:val="21"/>
              </w:rPr>
            </w:pPr>
            <w:r>
              <w:rPr>
                <w:bCs/>
                <w:sz w:val="24"/>
              </w:rPr>
              <w:t>根据本项目排污特点，并结合项目外环境关系，确定本项目环境保护级别如下：</w:t>
            </w:r>
          </w:p>
          <w:p w14:paraId="2C1CA45F">
            <w:pPr>
              <w:pageBreakBefore w:val="0"/>
              <w:wordWrap/>
              <w:bidi w:val="0"/>
              <w:adjustRightInd w:val="0"/>
              <w:snapToGrid w:val="0"/>
              <w:spacing w:line="360" w:lineRule="auto"/>
              <w:ind w:firstLine="422" w:firstLineChars="200"/>
              <w:rPr>
                <w:bCs/>
                <w:sz w:val="24"/>
              </w:rPr>
            </w:pPr>
            <w:r>
              <w:rPr>
                <w:b/>
                <w:bCs/>
                <w:sz w:val="21"/>
                <w:szCs w:val="21"/>
              </w:rPr>
              <w:t>环境空气</w:t>
            </w:r>
            <w:r>
              <w:rPr>
                <w:bCs/>
                <w:sz w:val="21"/>
                <w:szCs w:val="21"/>
              </w:rPr>
              <w:t>：</w:t>
            </w:r>
            <w:r>
              <w:rPr>
                <w:bCs/>
                <w:sz w:val="24"/>
              </w:rPr>
              <w:t>本项目</w:t>
            </w:r>
            <w:r>
              <w:rPr>
                <w:rFonts w:hint="default"/>
                <w:bCs/>
                <w:sz w:val="24"/>
                <w:lang w:val="en-US" w:eastAsia="zh-CN"/>
              </w:rPr>
              <w:t>处于环境空气二类功能区，</w:t>
            </w:r>
            <w:r>
              <w:rPr>
                <w:bCs/>
                <w:sz w:val="24"/>
              </w:rPr>
              <w:t>评价区内的环境空气质量应达到《环境空气质量标准》(GB3095-2012)中的二级标准要求；</w:t>
            </w:r>
          </w:p>
          <w:p w14:paraId="1B32F706">
            <w:pPr>
              <w:pageBreakBefore w:val="0"/>
              <w:wordWrap/>
              <w:bidi w:val="0"/>
              <w:adjustRightInd w:val="0"/>
              <w:snapToGrid w:val="0"/>
              <w:spacing w:line="360" w:lineRule="auto"/>
              <w:ind w:firstLine="482" w:firstLineChars="200"/>
              <w:rPr>
                <w:bCs/>
                <w:sz w:val="24"/>
              </w:rPr>
            </w:pPr>
            <w:r>
              <w:rPr>
                <w:b/>
                <w:bCs/>
                <w:sz w:val="24"/>
              </w:rPr>
              <w:t>声环境</w:t>
            </w:r>
            <w:r>
              <w:rPr>
                <w:bCs/>
                <w:sz w:val="24"/>
              </w:rPr>
              <w:t>：本项目评价区内声学环境质量应达到</w:t>
            </w:r>
            <w:bookmarkStart w:id="17" w:name="OLE_LINK2"/>
            <w:r>
              <w:rPr>
                <w:bCs/>
                <w:sz w:val="24"/>
              </w:rPr>
              <w:t>《声环境噪声标准》（GB3096-2008）中的2类标准</w:t>
            </w:r>
            <w:bookmarkEnd w:id="17"/>
            <w:r>
              <w:rPr>
                <w:bCs/>
                <w:sz w:val="24"/>
              </w:rPr>
              <w:t>要求；</w:t>
            </w:r>
          </w:p>
          <w:p w14:paraId="0D0BC5FE">
            <w:pPr>
              <w:pageBreakBefore w:val="0"/>
              <w:widowControl w:val="0"/>
              <w:wordWrap/>
              <w:bidi w:val="0"/>
              <w:adjustRightInd w:val="0"/>
              <w:snapToGrid w:val="0"/>
              <w:ind w:firstLine="482" w:firstLineChars="200"/>
              <w:jc w:val="both"/>
              <w:rPr>
                <w:rFonts w:ascii="Times New Roman" w:hAnsi="Times New Roman"/>
                <w:bCs/>
                <w:szCs w:val="24"/>
              </w:rPr>
            </w:pPr>
            <w:r>
              <w:rPr>
                <w:rFonts w:ascii="Times New Roman" w:hAnsi="Times New Roman"/>
                <w:b/>
                <w:bCs/>
                <w:szCs w:val="24"/>
              </w:rPr>
              <w:t>地表水环境</w:t>
            </w:r>
            <w:r>
              <w:rPr>
                <w:rFonts w:ascii="Times New Roman" w:hAnsi="Times New Roman"/>
                <w:bCs/>
                <w:szCs w:val="24"/>
              </w:rPr>
              <w:t>：</w:t>
            </w:r>
            <w:r>
              <w:rPr>
                <w:rFonts w:hint="eastAsia" w:ascii="Times New Roman" w:hAnsi="Times New Roman"/>
                <w:bCs/>
                <w:szCs w:val="24"/>
              </w:rPr>
              <w:t>涪江</w:t>
            </w:r>
            <w:r>
              <w:rPr>
                <w:rFonts w:ascii="Times New Roman" w:hAnsi="Times New Roman"/>
                <w:bCs/>
                <w:szCs w:val="24"/>
              </w:rPr>
              <w:t>是本项目受纳水体，其水质和水体功能不因接纳本项目的外排污水而发生变化。地表水执行《地表水环境质量标准》（GB3838-2002）Ⅲ类标准，要求本项目的建设不影响</w:t>
            </w:r>
            <w:r>
              <w:rPr>
                <w:rFonts w:hint="eastAsia" w:ascii="Times New Roman" w:hAnsi="Times New Roman"/>
                <w:bCs/>
                <w:szCs w:val="24"/>
              </w:rPr>
              <w:t>涪江</w:t>
            </w:r>
            <w:r>
              <w:rPr>
                <w:rFonts w:ascii="Times New Roman" w:hAnsi="Times New Roman"/>
                <w:bCs/>
                <w:szCs w:val="24"/>
              </w:rPr>
              <w:t>的水质和水体功能。</w:t>
            </w:r>
          </w:p>
          <w:p w14:paraId="58053750">
            <w:pPr>
              <w:pageBreakBefore w:val="0"/>
              <w:widowControl w:val="0"/>
              <w:wordWrap/>
              <w:bidi w:val="0"/>
              <w:adjustRightInd w:val="0"/>
              <w:snapToGrid w:val="0"/>
              <w:ind w:firstLine="482" w:firstLineChars="200"/>
              <w:jc w:val="both"/>
              <w:rPr>
                <w:rFonts w:ascii="Times New Roman" w:hAnsi="Times New Roman"/>
                <w:bCs/>
                <w:szCs w:val="24"/>
              </w:rPr>
            </w:pPr>
            <w:r>
              <w:rPr>
                <w:rFonts w:ascii="Times New Roman" w:hAnsi="Times New Roman"/>
                <w:b/>
                <w:szCs w:val="24"/>
              </w:rPr>
              <w:t>地下水环境：</w:t>
            </w:r>
            <w:r>
              <w:rPr>
                <w:rFonts w:ascii="Times New Roman" w:hAnsi="Times New Roman"/>
                <w:bCs/>
                <w:szCs w:val="24"/>
              </w:rPr>
              <w:t>本项目地下水执行《地下水环境质量标准》GB/T14848-2017中的Ⅲ类标准要求。项目所在区域地下水水质和水体功能不因本项目的建设而发生变化。本项目厂界外500米范围内无地下水集中式饮用水水源和热水、矿泉水、温泉等特殊地下水资源。</w:t>
            </w:r>
          </w:p>
          <w:p w14:paraId="7068C491">
            <w:pPr>
              <w:pageBreakBefore w:val="0"/>
              <w:widowControl/>
              <w:wordWrap/>
              <w:bidi w:val="0"/>
              <w:adjustRightInd w:val="0"/>
              <w:snapToGrid w:val="0"/>
              <w:spacing w:line="360" w:lineRule="auto"/>
              <w:ind w:firstLine="480" w:firstLineChars="200"/>
              <w:rPr>
                <w:b/>
                <w:sz w:val="24"/>
              </w:rPr>
            </w:pPr>
            <w:r>
              <w:rPr>
                <w:sz w:val="24"/>
              </w:rPr>
              <w:t>本项目选址位于</w:t>
            </w:r>
            <w:r>
              <w:rPr>
                <w:rFonts w:hint="eastAsia"/>
                <w:sz w:val="24"/>
                <w:lang w:eastAsia="zh-CN"/>
              </w:rPr>
              <w:t>四川省遂宁市船山区开善东路327号</w:t>
            </w:r>
            <w:r>
              <w:rPr>
                <w:sz w:val="24"/>
              </w:rPr>
              <w:t>。根据现场踏勘，周边环境以居民</w:t>
            </w:r>
            <w:r>
              <w:rPr>
                <w:rFonts w:hint="eastAsia"/>
                <w:sz w:val="24"/>
              </w:rPr>
              <w:t>、</w:t>
            </w:r>
            <w:r>
              <w:rPr>
                <w:rFonts w:hint="eastAsia"/>
                <w:sz w:val="24"/>
                <w:lang w:eastAsia="zh-CN"/>
              </w:rPr>
              <w:t>学校</w:t>
            </w:r>
            <w:r>
              <w:rPr>
                <w:sz w:val="24"/>
              </w:rPr>
              <w:t>为主</w:t>
            </w:r>
            <w:r>
              <w:rPr>
                <w:rFonts w:hint="eastAsia"/>
                <w:sz w:val="24"/>
              </w:rPr>
              <w:t>，</w:t>
            </w:r>
            <w:r>
              <w:rPr>
                <w:bCs/>
                <w:sz w:val="24"/>
              </w:rPr>
              <w:t>根据项目所在区域的外环境关系和项目产污特征分析，确定本项目环境保护目标见下表。</w:t>
            </w:r>
          </w:p>
          <w:p w14:paraId="466F85B1">
            <w:pPr>
              <w:pStyle w:val="22"/>
              <w:bidi w:val="0"/>
              <w:rPr>
                <w:rFonts w:hint="eastAsia"/>
              </w:rPr>
            </w:pPr>
            <w:r>
              <w:rPr>
                <w:rFonts w:hint="eastAsia"/>
              </w:rPr>
              <w:t>主要环境保护目标一览表</w:t>
            </w:r>
          </w:p>
          <w:tbl>
            <w:tblPr>
              <w:tblStyle w:val="15"/>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569"/>
              <w:gridCol w:w="2146"/>
              <w:gridCol w:w="912"/>
              <w:gridCol w:w="773"/>
              <w:gridCol w:w="1683"/>
            </w:tblGrid>
            <w:tr w14:paraId="3493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76" w:type="pct"/>
                  <w:noWrap w:val="0"/>
                  <w:vAlign w:val="center"/>
                </w:tcPr>
                <w:p w14:paraId="3A4C24D2">
                  <w:pPr>
                    <w:pStyle w:val="23"/>
                    <w:bidi w:val="0"/>
                  </w:pPr>
                  <w:r>
                    <w:t>要素</w:t>
                  </w:r>
                </w:p>
              </w:tc>
              <w:tc>
                <w:tcPr>
                  <w:tcW w:w="935" w:type="pct"/>
                  <w:noWrap w:val="0"/>
                  <w:vAlign w:val="center"/>
                </w:tcPr>
                <w:p w14:paraId="39308EAD">
                  <w:pPr>
                    <w:pStyle w:val="23"/>
                    <w:bidi w:val="0"/>
                    <w:rPr>
                      <w:rFonts w:hint="eastAsia" w:eastAsia="宋体"/>
                      <w:lang w:eastAsia="zh-CN"/>
                    </w:rPr>
                  </w:pPr>
                  <w:r>
                    <w:rPr>
                      <w:rFonts w:ascii="Times New Roman" w:hAnsi="Times New Roman" w:eastAsia="宋体"/>
                      <w:b w:val="0"/>
                      <w:bCs w:val="0"/>
                      <w:kern w:val="2"/>
                      <w:sz w:val="21"/>
                      <w:szCs w:val="24"/>
                      <w:lang w:bidi="ar"/>
                    </w:rPr>
                    <w:t>保护</w:t>
                  </w:r>
                  <w:r>
                    <w:rPr>
                      <w:rFonts w:hint="eastAsia"/>
                      <w:lang w:eastAsia="zh-CN"/>
                    </w:rPr>
                    <w:t>项目</w:t>
                  </w:r>
                </w:p>
              </w:tc>
              <w:tc>
                <w:tcPr>
                  <w:tcW w:w="1279" w:type="pct"/>
                  <w:noWrap w:val="0"/>
                  <w:vAlign w:val="center"/>
                </w:tcPr>
                <w:p w14:paraId="646A9225">
                  <w:pPr>
                    <w:pStyle w:val="23"/>
                    <w:bidi w:val="0"/>
                  </w:pPr>
                  <w:r>
                    <w:t>环境保护目标名称</w:t>
                  </w:r>
                </w:p>
              </w:tc>
              <w:tc>
                <w:tcPr>
                  <w:tcW w:w="543" w:type="pct"/>
                  <w:noWrap w:val="0"/>
                  <w:vAlign w:val="center"/>
                </w:tcPr>
                <w:p w14:paraId="3C7104A3">
                  <w:pPr>
                    <w:pStyle w:val="23"/>
                    <w:bidi w:val="0"/>
                  </w:pPr>
                  <w:r>
                    <w:t>方位</w:t>
                  </w:r>
                </w:p>
              </w:tc>
              <w:tc>
                <w:tcPr>
                  <w:tcW w:w="460" w:type="pct"/>
                  <w:noWrap w:val="0"/>
                  <w:vAlign w:val="center"/>
                </w:tcPr>
                <w:p w14:paraId="3A546633">
                  <w:pPr>
                    <w:pStyle w:val="23"/>
                    <w:bidi w:val="0"/>
                    <w:rPr>
                      <w:rFonts w:hint="default" w:eastAsia="宋体"/>
                      <w:lang w:val="en-US" w:eastAsia="zh-CN"/>
                    </w:rPr>
                  </w:pPr>
                  <w:r>
                    <w:t>距离</w:t>
                  </w:r>
                  <w:r>
                    <w:rPr>
                      <w:rFonts w:hint="eastAsia"/>
                      <w:lang w:val="en-US" w:eastAsia="zh-CN"/>
                    </w:rPr>
                    <w:t>/m</w:t>
                  </w:r>
                </w:p>
              </w:tc>
              <w:tc>
                <w:tcPr>
                  <w:tcW w:w="1003" w:type="pct"/>
                  <w:noWrap w:val="0"/>
                  <w:vAlign w:val="center"/>
                </w:tcPr>
                <w:p w14:paraId="2E0279B6">
                  <w:pPr>
                    <w:pStyle w:val="23"/>
                    <w:bidi w:val="0"/>
                    <w:rPr>
                      <w:rFonts w:hint="eastAsia"/>
                    </w:rPr>
                  </w:pPr>
                  <w:r>
                    <w:t>执行标准</w:t>
                  </w:r>
                </w:p>
              </w:tc>
            </w:tr>
            <w:tr w14:paraId="1610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restart"/>
                  <w:noWrap w:val="0"/>
                  <w:vAlign w:val="center"/>
                </w:tcPr>
                <w:p w14:paraId="133601E7">
                  <w:pPr>
                    <w:pStyle w:val="23"/>
                    <w:bidi w:val="0"/>
                  </w:pPr>
                  <w:r>
                    <w:t>大气环境</w:t>
                  </w:r>
                </w:p>
              </w:tc>
              <w:tc>
                <w:tcPr>
                  <w:tcW w:w="935" w:type="pct"/>
                  <w:vMerge w:val="restart"/>
                  <w:noWrap w:val="0"/>
                  <w:vAlign w:val="center"/>
                </w:tcPr>
                <w:p w14:paraId="5E7EC6A3">
                  <w:pPr>
                    <w:pStyle w:val="23"/>
                    <w:bidi w:val="0"/>
                  </w:pPr>
                  <w:r>
                    <w:t>本项目周边500m范围内环境空气保护目标</w:t>
                  </w:r>
                </w:p>
              </w:tc>
              <w:tc>
                <w:tcPr>
                  <w:tcW w:w="1279" w:type="pct"/>
                  <w:noWrap w:val="0"/>
                  <w:vAlign w:val="center"/>
                </w:tcPr>
                <w:p w14:paraId="641A8473">
                  <w:pPr>
                    <w:pStyle w:val="23"/>
                    <w:bidi w:val="0"/>
                  </w:pPr>
                  <w:r>
                    <w:rPr>
                      <w:rFonts w:hint="eastAsia"/>
                      <w:lang w:val="en-US" w:eastAsia="zh-CN"/>
                    </w:rPr>
                    <w:t>明睿堂幼儿园</w:t>
                  </w:r>
                </w:p>
              </w:tc>
              <w:tc>
                <w:tcPr>
                  <w:tcW w:w="543" w:type="pct"/>
                  <w:noWrap w:val="0"/>
                  <w:vAlign w:val="center"/>
                </w:tcPr>
                <w:p w14:paraId="4BFCD5CD">
                  <w:pPr>
                    <w:pStyle w:val="23"/>
                    <w:bidi w:val="0"/>
                  </w:pPr>
                  <w:r>
                    <w:rPr>
                      <w:rFonts w:hint="eastAsia"/>
                      <w:lang w:val="en-US" w:eastAsia="zh-CN"/>
                    </w:rPr>
                    <w:t>东</w:t>
                  </w:r>
                </w:p>
              </w:tc>
              <w:tc>
                <w:tcPr>
                  <w:tcW w:w="460" w:type="pct"/>
                  <w:noWrap w:val="0"/>
                  <w:vAlign w:val="center"/>
                </w:tcPr>
                <w:p w14:paraId="684DAA4A">
                  <w:pPr>
                    <w:pStyle w:val="23"/>
                    <w:bidi w:val="0"/>
                    <w:rPr>
                      <w:rFonts w:hint="default"/>
                    </w:rPr>
                  </w:pPr>
                  <w:r>
                    <w:rPr>
                      <w:rFonts w:hint="eastAsia"/>
                      <w:lang w:val="en-US" w:eastAsia="zh-CN"/>
                    </w:rPr>
                    <w:t>100</w:t>
                  </w:r>
                </w:p>
              </w:tc>
              <w:tc>
                <w:tcPr>
                  <w:tcW w:w="1003" w:type="pct"/>
                  <w:vMerge w:val="restart"/>
                  <w:noWrap w:val="0"/>
                  <w:vAlign w:val="center"/>
                </w:tcPr>
                <w:p w14:paraId="61FCE8DF">
                  <w:pPr>
                    <w:pStyle w:val="23"/>
                    <w:bidi w:val="0"/>
                  </w:pPr>
                  <w:r>
                    <w:rPr>
                      <w:rFonts w:hint="eastAsia"/>
                    </w:rPr>
                    <w:t>执行</w:t>
                  </w:r>
                  <w:r>
                    <w:t>《环境空气质量标准》（GB3095-2012）二级标准</w:t>
                  </w:r>
                </w:p>
              </w:tc>
            </w:tr>
            <w:tr w14:paraId="1DC3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75F1A4A3">
                  <w:pPr>
                    <w:pStyle w:val="23"/>
                    <w:bidi w:val="0"/>
                  </w:pPr>
                </w:p>
              </w:tc>
              <w:tc>
                <w:tcPr>
                  <w:tcW w:w="935" w:type="pct"/>
                  <w:vMerge w:val="continue"/>
                  <w:noWrap w:val="0"/>
                  <w:vAlign w:val="center"/>
                </w:tcPr>
                <w:p w14:paraId="2B0004E2">
                  <w:pPr>
                    <w:pStyle w:val="23"/>
                    <w:bidi w:val="0"/>
                  </w:pPr>
                </w:p>
              </w:tc>
              <w:tc>
                <w:tcPr>
                  <w:tcW w:w="1279" w:type="pct"/>
                  <w:noWrap w:val="0"/>
                  <w:vAlign w:val="center"/>
                </w:tcPr>
                <w:p w14:paraId="1D88CF1D">
                  <w:pPr>
                    <w:pStyle w:val="23"/>
                    <w:bidi w:val="0"/>
                  </w:pPr>
                  <w:r>
                    <w:rPr>
                      <w:rFonts w:hint="eastAsia"/>
                      <w:lang w:val="en-US" w:eastAsia="zh-CN"/>
                    </w:rPr>
                    <w:t>锦澜馨苑</w:t>
                  </w:r>
                </w:p>
              </w:tc>
              <w:tc>
                <w:tcPr>
                  <w:tcW w:w="543" w:type="pct"/>
                  <w:noWrap w:val="0"/>
                  <w:vAlign w:val="center"/>
                </w:tcPr>
                <w:p w14:paraId="76C97507">
                  <w:pPr>
                    <w:pStyle w:val="23"/>
                    <w:bidi w:val="0"/>
                  </w:pPr>
                  <w:r>
                    <w:rPr>
                      <w:rFonts w:hint="eastAsia"/>
                      <w:lang w:val="en-US" w:eastAsia="zh-CN"/>
                    </w:rPr>
                    <w:t>东</w:t>
                  </w:r>
                </w:p>
              </w:tc>
              <w:tc>
                <w:tcPr>
                  <w:tcW w:w="460" w:type="pct"/>
                  <w:noWrap w:val="0"/>
                  <w:vAlign w:val="center"/>
                </w:tcPr>
                <w:p w14:paraId="49257F54">
                  <w:pPr>
                    <w:pStyle w:val="23"/>
                    <w:bidi w:val="0"/>
                    <w:rPr>
                      <w:rFonts w:hint="default"/>
                    </w:rPr>
                  </w:pPr>
                  <w:r>
                    <w:rPr>
                      <w:rFonts w:hint="eastAsia"/>
                      <w:lang w:val="en-US" w:eastAsia="zh-CN"/>
                    </w:rPr>
                    <w:t>400</w:t>
                  </w:r>
                </w:p>
              </w:tc>
              <w:tc>
                <w:tcPr>
                  <w:tcW w:w="1003" w:type="pct"/>
                  <w:vMerge w:val="continue"/>
                  <w:noWrap w:val="0"/>
                  <w:vAlign w:val="center"/>
                </w:tcPr>
                <w:p w14:paraId="3AA4B54E">
                  <w:pPr>
                    <w:pStyle w:val="23"/>
                    <w:bidi w:val="0"/>
                  </w:pPr>
                </w:p>
              </w:tc>
            </w:tr>
            <w:tr w14:paraId="1C32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39BF6252">
                  <w:pPr>
                    <w:pStyle w:val="23"/>
                    <w:bidi w:val="0"/>
                  </w:pPr>
                </w:p>
              </w:tc>
              <w:tc>
                <w:tcPr>
                  <w:tcW w:w="935" w:type="pct"/>
                  <w:vMerge w:val="continue"/>
                  <w:noWrap w:val="0"/>
                  <w:vAlign w:val="center"/>
                </w:tcPr>
                <w:p w14:paraId="61AEC5CF">
                  <w:pPr>
                    <w:pStyle w:val="23"/>
                    <w:bidi w:val="0"/>
                  </w:pPr>
                </w:p>
              </w:tc>
              <w:tc>
                <w:tcPr>
                  <w:tcW w:w="1279" w:type="pct"/>
                  <w:noWrap w:val="0"/>
                  <w:vAlign w:val="center"/>
                </w:tcPr>
                <w:p w14:paraId="508B0005">
                  <w:pPr>
                    <w:pStyle w:val="23"/>
                    <w:bidi w:val="0"/>
                  </w:pPr>
                  <w:r>
                    <w:rPr>
                      <w:rFonts w:hint="eastAsia"/>
                      <w:lang w:val="en-US" w:eastAsia="zh-CN"/>
                    </w:rPr>
                    <w:t>红样苑小区</w:t>
                  </w:r>
                </w:p>
              </w:tc>
              <w:tc>
                <w:tcPr>
                  <w:tcW w:w="543" w:type="pct"/>
                  <w:noWrap w:val="0"/>
                  <w:vAlign w:val="center"/>
                </w:tcPr>
                <w:p w14:paraId="4C158FC9">
                  <w:pPr>
                    <w:pStyle w:val="23"/>
                    <w:bidi w:val="0"/>
                  </w:pPr>
                  <w:r>
                    <w:rPr>
                      <w:rFonts w:hint="eastAsia"/>
                      <w:lang w:val="en-US" w:eastAsia="zh-CN"/>
                    </w:rPr>
                    <w:t>东</w:t>
                  </w:r>
                </w:p>
              </w:tc>
              <w:tc>
                <w:tcPr>
                  <w:tcW w:w="460" w:type="pct"/>
                  <w:noWrap w:val="0"/>
                  <w:vAlign w:val="center"/>
                </w:tcPr>
                <w:p w14:paraId="45308987">
                  <w:pPr>
                    <w:pStyle w:val="23"/>
                    <w:bidi w:val="0"/>
                    <w:rPr>
                      <w:rFonts w:hint="default"/>
                    </w:rPr>
                  </w:pPr>
                  <w:r>
                    <w:rPr>
                      <w:rFonts w:hint="eastAsia"/>
                      <w:lang w:val="en-US" w:eastAsia="zh-CN"/>
                    </w:rPr>
                    <w:t>200</w:t>
                  </w:r>
                </w:p>
              </w:tc>
              <w:tc>
                <w:tcPr>
                  <w:tcW w:w="1003" w:type="pct"/>
                  <w:vMerge w:val="continue"/>
                  <w:noWrap w:val="0"/>
                  <w:vAlign w:val="center"/>
                </w:tcPr>
                <w:p w14:paraId="656F0986">
                  <w:pPr>
                    <w:pStyle w:val="23"/>
                    <w:bidi w:val="0"/>
                  </w:pPr>
                </w:p>
              </w:tc>
            </w:tr>
            <w:tr w14:paraId="6901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2F36A004">
                  <w:pPr>
                    <w:pStyle w:val="23"/>
                    <w:bidi w:val="0"/>
                  </w:pPr>
                </w:p>
              </w:tc>
              <w:tc>
                <w:tcPr>
                  <w:tcW w:w="935" w:type="pct"/>
                  <w:vMerge w:val="continue"/>
                  <w:noWrap w:val="0"/>
                  <w:vAlign w:val="center"/>
                </w:tcPr>
                <w:p w14:paraId="3E9920CB">
                  <w:pPr>
                    <w:pStyle w:val="23"/>
                    <w:bidi w:val="0"/>
                  </w:pPr>
                </w:p>
              </w:tc>
              <w:tc>
                <w:tcPr>
                  <w:tcW w:w="1279" w:type="pct"/>
                  <w:noWrap/>
                  <w:vAlign w:val="center"/>
                </w:tcPr>
                <w:p w14:paraId="7D0DE8E4">
                  <w:pPr>
                    <w:pStyle w:val="23"/>
                    <w:bidi w:val="0"/>
                  </w:pPr>
                  <w:r>
                    <w:rPr>
                      <w:rFonts w:hint="eastAsia"/>
                      <w:lang w:val="en-US" w:eastAsia="zh-CN"/>
                    </w:rPr>
                    <w:t>天宫石油小区</w:t>
                  </w:r>
                </w:p>
              </w:tc>
              <w:tc>
                <w:tcPr>
                  <w:tcW w:w="543" w:type="pct"/>
                  <w:noWrap w:val="0"/>
                  <w:vAlign w:val="center"/>
                </w:tcPr>
                <w:p w14:paraId="4E8AA463">
                  <w:pPr>
                    <w:pStyle w:val="23"/>
                    <w:bidi w:val="0"/>
                  </w:pPr>
                  <w:r>
                    <w:rPr>
                      <w:rFonts w:hint="eastAsia"/>
                      <w:lang w:val="en-US" w:eastAsia="zh-CN"/>
                    </w:rPr>
                    <w:t>西北</w:t>
                  </w:r>
                </w:p>
              </w:tc>
              <w:tc>
                <w:tcPr>
                  <w:tcW w:w="460" w:type="pct"/>
                  <w:noWrap w:val="0"/>
                  <w:vAlign w:val="center"/>
                </w:tcPr>
                <w:p w14:paraId="654C9AFA">
                  <w:pPr>
                    <w:pStyle w:val="23"/>
                    <w:bidi w:val="0"/>
                    <w:rPr>
                      <w:rFonts w:hint="eastAsia"/>
                      <w:lang w:eastAsia="zh-CN"/>
                    </w:rPr>
                  </w:pPr>
                  <w:r>
                    <w:rPr>
                      <w:rFonts w:hint="eastAsia"/>
                      <w:lang w:val="en-US" w:eastAsia="zh-CN"/>
                    </w:rPr>
                    <w:t>紧邻</w:t>
                  </w:r>
                </w:p>
              </w:tc>
              <w:tc>
                <w:tcPr>
                  <w:tcW w:w="1003" w:type="pct"/>
                  <w:vMerge w:val="continue"/>
                  <w:noWrap w:val="0"/>
                  <w:vAlign w:val="center"/>
                </w:tcPr>
                <w:p w14:paraId="7B16BCED">
                  <w:pPr>
                    <w:pStyle w:val="23"/>
                    <w:bidi w:val="0"/>
                  </w:pPr>
                </w:p>
              </w:tc>
            </w:tr>
            <w:tr w14:paraId="29E8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02BFAAC5">
                  <w:pPr>
                    <w:pStyle w:val="23"/>
                    <w:bidi w:val="0"/>
                  </w:pPr>
                </w:p>
              </w:tc>
              <w:tc>
                <w:tcPr>
                  <w:tcW w:w="935" w:type="pct"/>
                  <w:vMerge w:val="continue"/>
                  <w:noWrap w:val="0"/>
                  <w:vAlign w:val="center"/>
                </w:tcPr>
                <w:p w14:paraId="2FC0B9CF">
                  <w:pPr>
                    <w:pStyle w:val="23"/>
                    <w:bidi w:val="0"/>
                  </w:pPr>
                </w:p>
              </w:tc>
              <w:tc>
                <w:tcPr>
                  <w:tcW w:w="1279" w:type="pct"/>
                  <w:noWrap w:val="0"/>
                  <w:vAlign w:val="center"/>
                </w:tcPr>
                <w:p w14:paraId="749E9CF5">
                  <w:pPr>
                    <w:pStyle w:val="23"/>
                    <w:bidi w:val="0"/>
                  </w:pPr>
                  <w:r>
                    <w:rPr>
                      <w:rFonts w:hint="eastAsia"/>
                      <w:lang w:val="en-US" w:eastAsia="zh-CN"/>
                    </w:rPr>
                    <w:t>凯悦江岸</w:t>
                  </w:r>
                </w:p>
              </w:tc>
              <w:tc>
                <w:tcPr>
                  <w:tcW w:w="543" w:type="pct"/>
                  <w:noWrap w:val="0"/>
                  <w:vAlign w:val="center"/>
                </w:tcPr>
                <w:p w14:paraId="6C44B5C9">
                  <w:pPr>
                    <w:pStyle w:val="23"/>
                    <w:bidi w:val="0"/>
                  </w:pPr>
                  <w:r>
                    <w:rPr>
                      <w:rFonts w:hint="eastAsia"/>
                      <w:lang w:val="en-US" w:eastAsia="zh-CN"/>
                    </w:rPr>
                    <w:t>东北</w:t>
                  </w:r>
                </w:p>
              </w:tc>
              <w:tc>
                <w:tcPr>
                  <w:tcW w:w="460" w:type="pct"/>
                  <w:noWrap w:val="0"/>
                  <w:vAlign w:val="center"/>
                </w:tcPr>
                <w:p w14:paraId="1B8A70FC">
                  <w:pPr>
                    <w:pStyle w:val="23"/>
                    <w:bidi w:val="0"/>
                    <w:rPr>
                      <w:rFonts w:hint="eastAsia"/>
                    </w:rPr>
                  </w:pPr>
                  <w:r>
                    <w:rPr>
                      <w:rFonts w:hint="eastAsia"/>
                      <w:lang w:val="en-US" w:eastAsia="zh-CN"/>
                    </w:rPr>
                    <w:t>450</w:t>
                  </w:r>
                </w:p>
              </w:tc>
              <w:tc>
                <w:tcPr>
                  <w:tcW w:w="1003" w:type="pct"/>
                  <w:vMerge w:val="continue"/>
                  <w:noWrap w:val="0"/>
                  <w:vAlign w:val="center"/>
                </w:tcPr>
                <w:p w14:paraId="1E38D3FC">
                  <w:pPr>
                    <w:pStyle w:val="23"/>
                    <w:bidi w:val="0"/>
                  </w:pPr>
                </w:p>
              </w:tc>
            </w:tr>
            <w:tr w14:paraId="5877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2F63B92A">
                  <w:pPr>
                    <w:pStyle w:val="23"/>
                    <w:bidi w:val="0"/>
                  </w:pPr>
                </w:p>
              </w:tc>
              <w:tc>
                <w:tcPr>
                  <w:tcW w:w="935" w:type="pct"/>
                  <w:vMerge w:val="continue"/>
                  <w:noWrap w:val="0"/>
                  <w:vAlign w:val="center"/>
                </w:tcPr>
                <w:p w14:paraId="36B2F90C">
                  <w:pPr>
                    <w:pStyle w:val="23"/>
                    <w:bidi w:val="0"/>
                  </w:pPr>
                </w:p>
              </w:tc>
              <w:tc>
                <w:tcPr>
                  <w:tcW w:w="1279" w:type="pct"/>
                  <w:noWrap w:val="0"/>
                  <w:vAlign w:val="center"/>
                </w:tcPr>
                <w:p w14:paraId="24EE5125">
                  <w:pPr>
                    <w:pStyle w:val="23"/>
                    <w:bidi w:val="0"/>
                  </w:pPr>
                  <w:r>
                    <w:rPr>
                      <w:rFonts w:hint="eastAsia"/>
                      <w:lang w:val="en-US" w:eastAsia="zh-CN"/>
                    </w:rPr>
                    <w:t>船山区支渠巷金悦华府</w:t>
                  </w:r>
                </w:p>
              </w:tc>
              <w:tc>
                <w:tcPr>
                  <w:tcW w:w="543" w:type="pct"/>
                  <w:noWrap w:val="0"/>
                  <w:vAlign w:val="center"/>
                </w:tcPr>
                <w:p w14:paraId="23CE97FF">
                  <w:pPr>
                    <w:pStyle w:val="23"/>
                    <w:bidi w:val="0"/>
                  </w:pPr>
                  <w:r>
                    <w:rPr>
                      <w:rFonts w:hint="eastAsia"/>
                      <w:lang w:val="en-US" w:eastAsia="zh-CN"/>
                    </w:rPr>
                    <w:t>北</w:t>
                  </w:r>
                </w:p>
              </w:tc>
              <w:tc>
                <w:tcPr>
                  <w:tcW w:w="460" w:type="pct"/>
                  <w:noWrap w:val="0"/>
                  <w:vAlign w:val="center"/>
                </w:tcPr>
                <w:p w14:paraId="6F53F0AC">
                  <w:pPr>
                    <w:pStyle w:val="23"/>
                    <w:bidi w:val="0"/>
                    <w:rPr>
                      <w:rFonts w:hint="eastAsia"/>
                    </w:rPr>
                  </w:pPr>
                  <w:r>
                    <w:rPr>
                      <w:rFonts w:hint="eastAsia"/>
                      <w:lang w:val="en-US" w:eastAsia="zh-CN"/>
                    </w:rPr>
                    <w:t>450</w:t>
                  </w:r>
                </w:p>
              </w:tc>
              <w:tc>
                <w:tcPr>
                  <w:tcW w:w="1003" w:type="pct"/>
                  <w:vMerge w:val="continue"/>
                  <w:noWrap w:val="0"/>
                  <w:vAlign w:val="center"/>
                </w:tcPr>
                <w:p w14:paraId="1152177A">
                  <w:pPr>
                    <w:pStyle w:val="23"/>
                    <w:bidi w:val="0"/>
                  </w:pPr>
                </w:p>
              </w:tc>
            </w:tr>
            <w:tr w14:paraId="6879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3584576B">
                  <w:pPr>
                    <w:pStyle w:val="23"/>
                    <w:bidi w:val="0"/>
                  </w:pPr>
                </w:p>
              </w:tc>
              <w:tc>
                <w:tcPr>
                  <w:tcW w:w="935" w:type="pct"/>
                  <w:vMerge w:val="continue"/>
                  <w:noWrap w:val="0"/>
                  <w:vAlign w:val="center"/>
                </w:tcPr>
                <w:p w14:paraId="59D48D3B">
                  <w:pPr>
                    <w:pStyle w:val="23"/>
                    <w:bidi w:val="0"/>
                  </w:pPr>
                </w:p>
              </w:tc>
              <w:tc>
                <w:tcPr>
                  <w:tcW w:w="1279" w:type="pct"/>
                  <w:noWrap w:val="0"/>
                  <w:vAlign w:val="center"/>
                </w:tcPr>
                <w:p w14:paraId="24DE977D">
                  <w:pPr>
                    <w:pStyle w:val="23"/>
                    <w:bidi w:val="0"/>
                  </w:pPr>
                  <w:r>
                    <w:rPr>
                      <w:rFonts w:hint="eastAsia"/>
                      <w:lang w:val="en-US" w:eastAsia="zh-CN"/>
                    </w:rPr>
                    <w:t>交通运输局公路管理局</w:t>
                  </w:r>
                </w:p>
              </w:tc>
              <w:tc>
                <w:tcPr>
                  <w:tcW w:w="543" w:type="pct"/>
                  <w:noWrap w:val="0"/>
                  <w:vAlign w:val="center"/>
                </w:tcPr>
                <w:p w14:paraId="05059975">
                  <w:pPr>
                    <w:pStyle w:val="23"/>
                    <w:bidi w:val="0"/>
                  </w:pPr>
                  <w:r>
                    <w:rPr>
                      <w:rFonts w:hint="eastAsia"/>
                      <w:lang w:val="en-US" w:eastAsia="zh-CN"/>
                    </w:rPr>
                    <w:t>西</w:t>
                  </w:r>
                </w:p>
              </w:tc>
              <w:tc>
                <w:tcPr>
                  <w:tcW w:w="460" w:type="pct"/>
                  <w:noWrap w:val="0"/>
                  <w:vAlign w:val="center"/>
                </w:tcPr>
                <w:p w14:paraId="64CC9D7F">
                  <w:pPr>
                    <w:pStyle w:val="23"/>
                    <w:bidi w:val="0"/>
                    <w:rPr>
                      <w:rFonts w:hint="default"/>
                    </w:rPr>
                  </w:pPr>
                  <w:r>
                    <w:rPr>
                      <w:rFonts w:hint="eastAsia"/>
                      <w:lang w:val="en-US" w:eastAsia="zh-CN"/>
                    </w:rPr>
                    <w:t>100</w:t>
                  </w:r>
                </w:p>
              </w:tc>
              <w:tc>
                <w:tcPr>
                  <w:tcW w:w="1003" w:type="pct"/>
                  <w:vMerge w:val="continue"/>
                  <w:noWrap w:val="0"/>
                  <w:vAlign w:val="center"/>
                </w:tcPr>
                <w:p w14:paraId="18B80691">
                  <w:pPr>
                    <w:pStyle w:val="23"/>
                    <w:bidi w:val="0"/>
                  </w:pPr>
                </w:p>
              </w:tc>
            </w:tr>
            <w:tr w14:paraId="112D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4EF8C106">
                  <w:pPr>
                    <w:pStyle w:val="23"/>
                    <w:bidi w:val="0"/>
                  </w:pPr>
                </w:p>
              </w:tc>
              <w:tc>
                <w:tcPr>
                  <w:tcW w:w="935" w:type="pct"/>
                  <w:vMerge w:val="continue"/>
                  <w:noWrap w:val="0"/>
                  <w:vAlign w:val="center"/>
                </w:tcPr>
                <w:p w14:paraId="743A7B25">
                  <w:pPr>
                    <w:pStyle w:val="23"/>
                    <w:bidi w:val="0"/>
                  </w:pPr>
                </w:p>
              </w:tc>
              <w:tc>
                <w:tcPr>
                  <w:tcW w:w="1279" w:type="pct"/>
                  <w:noWrap/>
                  <w:vAlign w:val="center"/>
                </w:tcPr>
                <w:p w14:paraId="4EB61B9D">
                  <w:pPr>
                    <w:pStyle w:val="23"/>
                    <w:bidi w:val="0"/>
                  </w:pPr>
                  <w:r>
                    <w:rPr>
                      <w:rFonts w:hint="eastAsia"/>
                      <w:lang w:val="en-US" w:eastAsia="zh-CN"/>
                    </w:rPr>
                    <w:t>新民街幼儿园</w:t>
                  </w:r>
                </w:p>
              </w:tc>
              <w:tc>
                <w:tcPr>
                  <w:tcW w:w="543" w:type="pct"/>
                  <w:noWrap w:val="0"/>
                  <w:vAlign w:val="center"/>
                </w:tcPr>
                <w:p w14:paraId="59C44307">
                  <w:pPr>
                    <w:pStyle w:val="23"/>
                    <w:bidi w:val="0"/>
                  </w:pPr>
                  <w:r>
                    <w:rPr>
                      <w:rFonts w:hint="eastAsia"/>
                      <w:lang w:val="en-US" w:eastAsia="zh-CN"/>
                    </w:rPr>
                    <w:t>西北</w:t>
                  </w:r>
                </w:p>
              </w:tc>
              <w:tc>
                <w:tcPr>
                  <w:tcW w:w="460" w:type="pct"/>
                  <w:noWrap w:val="0"/>
                  <w:vAlign w:val="center"/>
                </w:tcPr>
                <w:p w14:paraId="6DDB6FF3">
                  <w:pPr>
                    <w:pStyle w:val="23"/>
                    <w:bidi w:val="0"/>
                  </w:pPr>
                  <w:r>
                    <w:rPr>
                      <w:rFonts w:hint="eastAsia"/>
                      <w:lang w:val="en-US" w:eastAsia="zh-CN"/>
                    </w:rPr>
                    <w:t>350</w:t>
                  </w:r>
                </w:p>
              </w:tc>
              <w:tc>
                <w:tcPr>
                  <w:tcW w:w="1003" w:type="pct"/>
                  <w:vMerge w:val="continue"/>
                  <w:noWrap w:val="0"/>
                  <w:vAlign w:val="center"/>
                </w:tcPr>
                <w:p w14:paraId="508080A6">
                  <w:pPr>
                    <w:pStyle w:val="23"/>
                    <w:bidi w:val="0"/>
                  </w:pPr>
                </w:p>
              </w:tc>
            </w:tr>
            <w:tr w14:paraId="75EF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64FE1439">
                  <w:pPr>
                    <w:pStyle w:val="23"/>
                    <w:bidi w:val="0"/>
                  </w:pPr>
                </w:p>
              </w:tc>
              <w:tc>
                <w:tcPr>
                  <w:tcW w:w="935" w:type="pct"/>
                  <w:vMerge w:val="continue"/>
                  <w:noWrap w:val="0"/>
                  <w:vAlign w:val="center"/>
                </w:tcPr>
                <w:p w14:paraId="56CF1D56">
                  <w:pPr>
                    <w:pStyle w:val="23"/>
                    <w:bidi w:val="0"/>
                  </w:pPr>
                </w:p>
              </w:tc>
              <w:tc>
                <w:tcPr>
                  <w:tcW w:w="1279" w:type="pct"/>
                  <w:noWrap/>
                  <w:vAlign w:val="center"/>
                </w:tcPr>
                <w:p w14:paraId="63D2C1F5">
                  <w:pPr>
                    <w:pStyle w:val="23"/>
                    <w:bidi w:val="0"/>
                  </w:pPr>
                  <w:r>
                    <w:rPr>
                      <w:rFonts w:hint="eastAsia"/>
                      <w:lang w:val="en-US" w:eastAsia="zh-CN"/>
                    </w:rPr>
                    <w:t>彩虹街35号</w:t>
                  </w:r>
                </w:p>
              </w:tc>
              <w:tc>
                <w:tcPr>
                  <w:tcW w:w="543" w:type="pct"/>
                  <w:noWrap w:val="0"/>
                  <w:vAlign w:val="center"/>
                </w:tcPr>
                <w:p w14:paraId="13C8D2D2">
                  <w:pPr>
                    <w:pStyle w:val="23"/>
                    <w:bidi w:val="0"/>
                  </w:pPr>
                  <w:r>
                    <w:rPr>
                      <w:rFonts w:hint="eastAsia"/>
                      <w:lang w:val="en-US" w:eastAsia="zh-CN"/>
                    </w:rPr>
                    <w:t>东北</w:t>
                  </w:r>
                </w:p>
              </w:tc>
              <w:tc>
                <w:tcPr>
                  <w:tcW w:w="460" w:type="pct"/>
                  <w:noWrap w:val="0"/>
                  <w:vAlign w:val="center"/>
                </w:tcPr>
                <w:p w14:paraId="63A73D1B">
                  <w:pPr>
                    <w:pStyle w:val="23"/>
                    <w:bidi w:val="0"/>
                    <w:rPr>
                      <w:rFonts w:hint="default"/>
                      <w:lang w:val="en-US" w:eastAsia="zh-CN"/>
                    </w:rPr>
                  </w:pPr>
                  <w:r>
                    <w:rPr>
                      <w:rFonts w:hint="eastAsia"/>
                      <w:lang w:val="en-US" w:eastAsia="zh-CN"/>
                    </w:rPr>
                    <w:t>220</w:t>
                  </w:r>
                </w:p>
              </w:tc>
              <w:tc>
                <w:tcPr>
                  <w:tcW w:w="1003" w:type="pct"/>
                  <w:vMerge w:val="continue"/>
                  <w:noWrap w:val="0"/>
                  <w:vAlign w:val="center"/>
                </w:tcPr>
                <w:p w14:paraId="39FEB648">
                  <w:pPr>
                    <w:pStyle w:val="23"/>
                    <w:bidi w:val="0"/>
                  </w:pPr>
                </w:p>
              </w:tc>
            </w:tr>
            <w:tr w14:paraId="601E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693573C1">
                  <w:pPr>
                    <w:pStyle w:val="23"/>
                    <w:bidi w:val="0"/>
                  </w:pPr>
                </w:p>
              </w:tc>
              <w:tc>
                <w:tcPr>
                  <w:tcW w:w="935" w:type="pct"/>
                  <w:vMerge w:val="continue"/>
                  <w:noWrap w:val="0"/>
                  <w:vAlign w:val="center"/>
                </w:tcPr>
                <w:p w14:paraId="28EB73EC">
                  <w:pPr>
                    <w:pStyle w:val="23"/>
                    <w:bidi w:val="0"/>
                  </w:pPr>
                </w:p>
              </w:tc>
              <w:tc>
                <w:tcPr>
                  <w:tcW w:w="1279" w:type="pct"/>
                  <w:noWrap/>
                  <w:vAlign w:val="center"/>
                </w:tcPr>
                <w:p w14:paraId="0C8A53A7">
                  <w:pPr>
                    <w:pStyle w:val="23"/>
                    <w:bidi w:val="0"/>
                  </w:pPr>
                  <w:r>
                    <w:rPr>
                      <w:rFonts w:hint="eastAsia"/>
                      <w:lang w:val="en-US" w:eastAsia="zh-CN"/>
                    </w:rPr>
                    <w:t>龙王井东巷1号</w:t>
                  </w:r>
                </w:p>
              </w:tc>
              <w:tc>
                <w:tcPr>
                  <w:tcW w:w="543" w:type="pct"/>
                  <w:noWrap w:val="0"/>
                  <w:vAlign w:val="center"/>
                </w:tcPr>
                <w:p w14:paraId="4EA290D7">
                  <w:pPr>
                    <w:pStyle w:val="23"/>
                    <w:bidi w:val="0"/>
                  </w:pPr>
                  <w:r>
                    <w:rPr>
                      <w:rFonts w:hint="eastAsia"/>
                      <w:lang w:val="en-US" w:eastAsia="zh-CN"/>
                    </w:rPr>
                    <w:t>西北</w:t>
                  </w:r>
                </w:p>
              </w:tc>
              <w:tc>
                <w:tcPr>
                  <w:tcW w:w="460" w:type="pct"/>
                  <w:noWrap w:val="0"/>
                  <w:vAlign w:val="center"/>
                </w:tcPr>
                <w:p w14:paraId="72F22BF1">
                  <w:pPr>
                    <w:pStyle w:val="23"/>
                    <w:bidi w:val="0"/>
                    <w:rPr>
                      <w:rFonts w:hint="eastAsia"/>
                    </w:rPr>
                  </w:pPr>
                  <w:r>
                    <w:rPr>
                      <w:rFonts w:hint="eastAsia"/>
                      <w:lang w:val="en-US" w:eastAsia="zh-CN"/>
                    </w:rPr>
                    <w:t>190</w:t>
                  </w:r>
                </w:p>
              </w:tc>
              <w:tc>
                <w:tcPr>
                  <w:tcW w:w="1003" w:type="pct"/>
                  <w:vMerge w:val="continue"/>
                  <w:noWrap w:val="0"/>
                  <w:vAlign w:val="center"/>
                </w:tcPr>
                <w:p w14:paraId="633EEC1D">
                  <w:pPr>
                    <w:pStyle w:val="23"/>
                    <w:bidi w:val="0"/>
                  </w:pPr>
                </w:p>
              </w:tc>
            </w:tr>
            <w:tr w14:paraId="2080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0EC9A12E">
                  <w:pPr>
                    <w:pStyle w:val="23"/>
                    <w:bidi w:val="0"/>
                  </w:pPr>
                </w:p>
              </w:tc>
              <w:tc>
                <w:tcPr>
                  <w:tcW w:w="935" w:type="pct"/>
                  <w:vMerge w:val="continue"/>
                  <w:noWrap w:val="0"/>
                  <w:vAlign w:val="center"/>
                </w:tcPr>
                <w:p w14:paraId="3672EF01">
                  <w:pPr>
                    <w:pStyle w:val="23"/>
                    <w:bidi w:val="0"/>
                  </w:pPr>
                </w:p>
              </w:tc>
              <w:tc>
                <w:tcPr>
                  <w:tcW w:w="1279" w:type="pct"/>
                  <w:noWrap/>
                  <w:vAlign w:val="center"/>
                </w:tcPr>
                <w:p w14:paraId="2A74AEB0">
                  <w:pPr>
                    <w:pStyle w:val="23"/>
                    <w:bidi w:val="0"/>
                  </w:pPr>
                  <w:r>
                    <w:rPr>
                      <w:rFonts w:hint="eastAsia"/>
                      <w:lang w:val="en-US" w:eastAsia="zh-CN"/>
                    </w:rPr>
                    <w:t>国类公寓</w:t>
                  </w:r>
                </w:p>
              </w:tc>
              <w:tc>
                <w:tcPr>
                  <w:tcW w:w="543" w:type="pct"/>
                  <w:noWrap w:val="0"/>
                  <w:vAlign w:val="center"/>
                </w:tcPr>
                <w:p w14:paraId="41B561EE">
                  <w:pPr>
                    <w:pStyle w:val="23"/>
                    <w:bidi w:val="0"/>
                  </w:pPr>
                  <w:r>
                    <w:rPr>
                      <w:rFonts w:hint="eastAsia"/>
                      <w:lang w:val="en-US" w:eastAsia="zh-CN"/>
                    </w:rPr>
                    <w:t>西</w:t>
                  </w:r>
                </w:p>
              </w:tc>
              <w:tc>
                <w:tcPr>
                  <w:tcW w:w="460" w:type="pct"/>
                  <w:noWrap w:val="0"/>
                  <w:vAlign w:val="center"/>
                </w:tcPr>
                <w:p w14:paraId="524D2B04">
                  <w:pPr>
                    <w:pStyle w:val="23"/>
                    <w:bidi w:val="0"/>
                    <w:rPr>
                      <w:rFonts w:hint="eastAsia"/>
                    </w:rPr>
                  </w:pPr>
                  <w:r>
                    <w:rPr>
                      <w:rFonts w:hint="eastAsia"/>
                      <w:lang w:val="en-US" w:eastAsia="zh-CN"/>
                    </w:rPr>
                    <w:t>450</w:t>
                  </w:r>
                </w:p>
              </w:tc>
              <w:tc>
                <w:tcPr>
                  <w:tcW w:w="1003" w:type="pct"/>
                  <w:vMerge w:val="continue"/>
                  <w:noWrap w:val="0"/>
                  <w:vAlign w:val="center"/>
                </w:tcPr>
                <w:p w14:paraId="433470DA">
                  <w:pPr>
                    <w:pStyle w:val="23"/>
                    <w:bidi w:val="0"/>
                  </w:pPr>
                </w:p>
              </w:tc>
            </w:tr>
            <w:tr w14:paraId="6AAC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58E277C8">
                  <w:pPr>
                    <w:pStyle w:val="23"/>
                    <w:bidi w:val="0"/>
                  </w:pPr>
                </w:p>
              </w:tc>
              <w:tc>
                <w:tcPr>
                  <w:tcW w:w="935" w:type="pct"/>
                  <w:vMerge w:val="continue"/>
                  <w:noWrap w:val="0"/>
                  <w:vAlign w:val="center"/>
                </w:tcPr>
                <w:p w14:paraId="2144B418">
                  <w:pPr>
                    <w:pStyle w:val="23"/>
                    <w:bidi w:val="0"/>
                  </w:pPr>
                </w:p>
              </w:tc>
              <w:tc>
                <w:tcPr>
                  <w:tcW w:w="1279" w:type="pct"/>
                  <w:noWrap w:val="0"/>
                  <w:vAlign w:val="center"/>
                </w:tcPr>
                <w:p w14:paraId="11223F5B">
                  <w:pPr>
                    <w:pStyle w:val="23"/>
                    <w:bidi w:val="0"/>
                  </w:pPr>
                  <w:r>
                    <w:rPr>
                      <w:rFonts w:hint="eastAsia"/>
                      <w:lang w:val="en-US" w:eastAsia="zh-CN"/>
                    </w:rPr>
                    <w:t>玉泉街社区</w:t>
                  </w:r>
                </w:p>
              </w:tc>
              <w:tc>
                <w:tcPr>
                  <w:tcW w:w="543" w:type="pct"/>
                  <w:noWrap w:val="0"/>
                  <w:vAlign w:val="center"/>
                </w:tcPr>
                <w:p w14:paraId="41CA1A0B">
                  <w:pPr>
                    <w:pStyle w:val="23"/>
                    <w:bidi w:val="0"/>
                  </w:pPr>
                  <w:r>
                    <w:rPr>
                      <w:rFonts w:hint="eastAsia"/>
                      <w:lang w:val="en-US" w:eastAsia="zh-CN"/>
                    </w:rPr>
                    <w:t>西</w:t>
                  </w:r>
                </w:p>
              </w:tc>
              <w:tc>
                <w:tcPr>
                  <w:tcW w:w="460" w:type="pct"/>
                  <w:noWrap w:val="0"/>
                  <w:vAlign w:val="center"/>
                </w:tcPr>
                <w:p w14:paraId="3FED6A75">
                  <w:pPr>
                    <w:pStyle w:val="23"/>
                    <w:bidi w:val="0"/>
                  </w:pPr>
                  <w:r>
                    <w:rPr>
                      <w:rFonts w:hint="eastAsia"/>
                      <w:lang w:val="en-US" w:eastAsia="zh-CN"/>
                    </w:rPr>
                    <w:t>450</w:t>
                  </w:r>
                </w:p>
              </w:tc>
              <w:tc>
                <w:tcPr>
                  <w:tcW w:w="1003" w:type="pct"/>
                  <w:vMerge w:val="continue"/>
                  <w:noWrap w:val="0"/>
                  <w:vAlign w:val="center"/>
                </w:tcPr>
                <w:p w14:paraId="07FEB0B8">
                  <w:pPr>
                    <w:pStyle w:val="23"/>
                    <w:bidi w:val="0"/>
                  </w:pPr>
                </w:p>
              </w:tc>
            </w:tr>
            <w:tr w14:paraId="0392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030C1E2C">
                  <w:pPr>
                    <w:pStyle w:val="23"/>
                    <w:bidi w:val="0"/>
                  </w:pPr>
                </w:p>
              </w:tc>
              <w:tc>
                <w:tcPr>
                  <w:tcW w:w="935" w:type="pct"/>
                  <w:vMerge w:val="continue"/>
                  <w:noWrap w:val="0"/>
                  <w:vAlign w:val="center"/>
                </w:tcPr>
                <w:p w14:paraId="32AE3754">
                  <w:pPr>
                    <w:pStyle w:val="23"/>
                    <w:bidi w:val="0"/>
                  </w:pPr>
                </w:p>
              </w:tc>
              <w:tc>
                <w:tcPr>
                  <w:tcW w:w="1279" w:type="pct"/>
                  <w:noWrap/>
                  <w:vAlign w:val="center"/>
                </w:tcPr>
                <w:p w14:paraId="0AE7F48D">
                  <w:pPr>
                    <w:pStyle w:val="23"/>
                    <w:bidi w:val="0"/>
                  </w:pPr>
                  <w:r>
                    <w:rPr>
                      <w:rFonts w:hint="eastAsia"/>
                      <w:lang w:val="en-US" w:eastAsia="zh-CN"/>
                    </w:rPr>
                    <w:t>玉泉街137号</w:t>
                  </w:r>
                </w:p>
              </w:tc>
              <w:tc>
                <w:tcPr>
                  <w:tcW w:w="543" w:type="pct"/>
                  <w:noWrap w:val="0"/>
                  <w:vAlign w:val="center"/>
                </w:tcPr>
                <w:p w14:paraId="0B3CDBB3">
                  <w:pPr>
                    <w:pStyle w:val="23"/>
                    <w:bidi w:val="0"/>
                  </w:pPr>
                  <w:r>
                    <w:rPr>
                      <w:rFonts w:hint="eastAsia"/>
                      <w:lang w:val="en-US" w:eastAsia="zh-CN"/>
                    </w:rPr>
                    <w:t>西北</w:t>
                  </w:r>
                </w:p>
              </w:tc>
              <w:tc>
                <w:tcPr>
                  <w:tcW w:w="460" w:type="pct"/>
                  <w:noWrap w:val="0"/>
                  <w:vAlign w:val="center"/>
                </w:tcPr>
                <w:p w14:paraId="104914D1">
                  <w:pPr>
                    <w:pStyle w:val="23"/>
                    <w:bidi w:val="0"/>
                  </w:pPr>
                  <w:r>
                    <w:rPr>
                      <w:rFonts w:hint="eastAsia"/>
                      <w:lang w:val="en-US" w:eastAsia="zh-CN"/>
                    </w:rPr>
                    <w:t>265</w:t>
                  </w:r>
                </w:p>
              </w:tc>
              <w:tc>
                <w:tcPr>
                  <w:tcW w:w="1003" w:type="pct"/>
                  <w:vMerge w:val="continue"/>
                  <w:noWrap w:val="0"/>
                  <w:vAlign w:val="center"/>
                </w:tcPr>
                <w:p w14:paraId="5E2880F8">
                  <w:pPr>
                    <w:pStyle w:val="23"/>
                    <w:bidi w:val="0"/>
                  </w:pPr>
                </w:p>
              </w:tc>
            </w:tr>
            <w:tr w14:paraId="4AA6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63B5D0A7">
                  <w:pPr>
                    <w:pStyle w:val="23"/>
                    <w:bidi w:val="0"/>
                  </w:pPr>
                </w:p>
              </w:tc>
              <w:tc>
                <w:tcPr>
                  <w:tcW w:w="935" w:type="pct"/>
                  <w:vMerge w:val="continue"/>
                  <w:noWrap w:val="0"/>
                  <w:vAlign w:val="center"/>
                </w:tcPr>
                <w:p w14:paraId="582A2B29">
                  <w:pPr>
                    <w:pStyle w:val="23"/>
                    <w:bidi w:val="0"/>
                  </w:pPr>
                </w:p>
              </w:tc>
              <w:tc>
                <w:tcPr>
                  <w:tcW w:w="1279" w:type="pct"/>
                  <w:noWrap w:val="0"/>
                  <w:vAlign w:val="center"/>
                </w:tcPr>
                <w:p w14:paraId="1B58E39D">
                  <w:pPr>
                    <w:pStyle w:val="23"/>
                    <w:bidi w:val="0"/>
                  </w:pPr>
                  <w:r>
                    <w:rPr>
                      <w:rFonts w:hint="eastAsia"/>
                      <w:lang w:val="en-US" w:eastAsia="zh-CN"/>
                    </w:rPr>
                    <w:t>金泽丽园</w:t>
                  </w:r>
                </w:p>
              </w:tc>
              <w:tc>
                <w:tcPr>
                  <w:tcW w:w="543" w:type="pct"/>
                  <w:noWrap w:val="0"/>
                  <w:vAlign w:val="center"/>
                </w:tcPr>
                <w:p w14:paraId="75176091">
                  <w:pPr>
                    <w:pStyle w:val="23"/>
                    <w:bidi w:val="0"/>
                  </w:pPr>
                  <w:r>
                    <w:rPr>
                      <w:rFonts w:hint="eastAsia"/>
                      <w:lang w:val="en-US" w:eastAsia="zh-CN"/>
                    </w:rPr>
                    <w:t>西北</w:t>
                  </w:r>
                </w:p>
              </w:tc>
              <w:tc>
                <w:tcPr>
                  <w:tcW w:w="460" w:type="pct"/>
                  <w:noWrap w:val="0"/>
                  <w:vAlign w:val="center"/>
                </w:tcPr>
                <w:p w14:paraId="73694DA1">
                  <w:pPr>
                    <w:pStyle w:val="23"/>
                    <w:bidi w:val="0"/>
                    <w:rPr>
                      <w:rFonts w:hint="default"/>
                    </w:rPr>
                  </w:pPr>
                  <w:r>
                    <w:rPr>
                      <w:rFonts w:hint="eastAsia"/>
                      <w:lang w:val="en-US" w:eastAsia="zh-CN"/>
                    </w:rPr>
                    <w:t>400</w:t>
                  </w:r>
                </w:p>
              </w:tc>
              <w:tc>
                <w:tcPr>
                  <w:tcW w:w="1003" w:type="pct"/>
                  <w:vMerge w:val="continue"/>
                  <w:noWrap w:val="0"/>
                  <w:vAlign w:val="center"/>
                </w:tcPr>
                <w:p w14:paraId="54538E8D">
                  <w:pPr>
                    <w:pStyle w:val="23"/>
                    <w:bidi w:val="0"/>
                  </w:pPr>
                </w:p>
              </w:tc>
            </w:tr>
            <w:tr w14:paraId="06E7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2F1CDDCF">
                  <w:pPr>
                    <w:pStyle w:val="23"/>
                    <w:bidi w:val="0"/>
                  </w:pPr>
                </w:p>
              </w:tc>
              <w:tc>
                <w:tcPr>
                  <w:tcW w:w="935" w:type="pct"/>
                  <w:vMerge w:val="continue"/>
                  <w:noWrap w:val="0"/>
                  <w:vAlign w:val="center"/>
                </w:tcPr>
                <w:p w14:paraId="4EA89013">
                  <w:pPr>
                    <w:pStyle w:val="23"/>
                    <w:bidi w:val="0"/>
                  </w:pPr>
                </w:p>
              </w:tc>
              <w:tc>
                <w:tcPr>
                  <w:tcW w:w="1279" w:type="pct"/>
                  <w:noWrap w:val="0"/>
                  <w:vAlign w:val="center"/>
                </w:tcPr>
                <w:p w14:paraId="28715A69">
                  <w:pPr>
                    <w:pStyle w:val="23"/>
                    <w:bidi w:val="0"/>
                  </w:pPr>
                  <w:r>
                    <w:rPr>
                      <w:rFonts w:hint="eastAsia"/>
                      <w:lang w:val="en-US" w:eastAsia="zh-CN"/>
                    </w:rPr>
                    <w:t>泰佳尔阳光城</w:t>
                  </w:r>
                </w:p>
              </w:tc>
              <w:tc>
                <w:tcPr>
                  <w:tcW w:w="543" w:type="pct"/>
                  <w:noWrap w:val="0"/>
                  <w:vAlign w:val="center"/>
                </w:tcPr>
                <w:p w14:paraId="3BFEFBD7">
                  <w:pPr>
                    <w:pStyle w:val="23"/>
                    <w:bidi w:val="0"/>
                  </w:pPr>
                  <w:r>
                    <w:rPr>
                      <w:rFonts w:hint="eastAsia"/>
                      <w:lang w:val="en-US" w:eastAsia="zh-CN"/>
                    </w:rPr>
                    <w:t>东南</w:t>
                  </w:r>
                </w:p>
              </w:tc>
              <w:tc>
                <w:tcPr>
                  <w:tcW w:w="460" w:type="pct"/>
                  <w:noWrap w:val="0"/>
                  <w:vAlign w:val="center"/>
                </w:tcPr>
                <w:p w14:paraId="5A1A48DB">
                  <w:pPr>
                    <w:pStyle w:val="23"/>
                    <w:bidi w:val="0"/>
                    <w:rPr>
                      <w:rFonts w:hint="default"/>
                    </w:rPr>
                  </w:pPr>
                  <w:r>
                    <w:rPr>
                      <w:rFonts w:hint="eastAsia"/>
                      <w:lang w:val="en-US" w:eastAsia="zh-CN"/>
                    </w:rPr>
                    <w:t>450</w:t>
                  </w:r>
                </w:p>
              </w:tc>
              <w:tc>
                <w:tcPr>
                  <w:tcW w:w="1003" w:type="pct"/>
                  <w:vMerge w:val="continue"/>
                  <w:noWrap w:val="0"/>
                  <w:vAlign w:val="center"/>
                </w:tcPr>
                <w:p w14:paraId="5DFF3F19">
                  <w:pPr>
                    <w:pStyle w:val="23"/>
                    <w:bidi w:val="0"/>
                  </w:pPr>
                </w:p>
              </w:tc>
            </w:tr>
            <w:tr w14:paraId="1E97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34A01E2B">
                  <w:pPr>
                    <w:pStyle w:val="23"/>
                    <w:bidi w:val="0"/>
                  </w:pPr>
                </w:p>
              </w:tc>
              <w:tc>
                <w:tcPr>
                  <w:tcW w:w="935" w:type="pct"/>
                  <w:vMerge w:val="continue"/>
                  <w:noWrap w:val="0"/>
                  <w:vAlign w:val="center"/>
                </w:tcPr>
                <w:p w14:paraId="55FC9A3F">
                  <w:pPr>
                    <w:pStyle w:val="23"/>
                    <w:bidi w:val="0"/>
                  </w:pPr>
                </w:p>
              </w:tc>
              <w:tc>
                <w:tcPr>
                  <w:tcW w:w="1279" w:type="pct"/>
                  <w:noWrap/>
                  <w:vAlign w:val="center"/>
                </w:tcPr>
                <w:p w14:paraId="732D7892">
                  <w:pPr>
                    <w:pStyle w:val="23"/>
                    <w:bidi w:val="0"/>
                  </w:pPr>
                  <w:r>
                    <w:rPr>
                      <w:rFonts w:hint="eastAsia"/>
                      <w:lang w:val="en-US" w:eastAsia="zh-CN"/>
                    </w:rPr>
                    <w:t>深南小区</w:t>
                  </w:r>
                </w:p>
              </w:tc>
              <w:tc>
                <w:tcPr>
                  <w:tcW w:w="543" w:type="pct"/>
                  <w:noWrap/>
                  <w:vAlign w:val="center"/>
                </w:tcPr>
                <w:p w14:paraId="0F5A199C">
                  <w:pPr>
                    <w:pStyle w:val="23"/>
                    <w:bidi w:val="0"/>
                  </w:pPr>
                  <w:r>
                    <w:rPr>
                      <w:rFonts w:hint="eastAsia"/>
                      <w:lang w:val="en-US" w:eastAsia="zh-CN"/>
                    </w:rPr>
                    <w:t>东南</w:t>
                  </w:r>
                </w:p>
              </w:tc>
              <w:tc>
                <w:tcPr>
                  <w:tcW w:w="460" w:type="pct"/>
                  <w:noWrap w:val="0"/>
                  <w:vAlign w:val="center"/>
                </w:tcPr>
                <w:p w14:paraId="2B85DB23">
                  <w:pPr>
                    <w:pStyle w:val="23"/>
                    <w:bidi w:val="0"/>
                    <w:rPr>
                      <w:rFonts w:hint="default"/>
                    </w:rPr>
                  </w:pPr>
                  <w:r>
                    <w:rPr>
                      <w:rFonts w:hint="eastAsia"/>
                      <w:lang w:val="en-US" w:eastAsia="zh-CN"/>
                    </w:rPr>
                    <w:t>350</w:t>
                  </w:r>
                </w:p>
              </w:tc>
              <w:tc>
                <w:tcPr>
                  <w:tcW w:w="1003" w:type="pct"/>
                  <w:vMerge w:val="continue"/>
                  <w:noWrap w:val="0"/>
                  <w:vAlign w:val="center"/>
                </w:tcPr>
                <w:p w14:paraId="4C0ED319">
                  <w:pPr>
                    <w:pStyle w:val="23"/>
                    <w:bidi w:val="0"/>
                  </w:pPr>
                </w:p>
              </w:tc>
            </w:tr>
            <w:tr w14:paraId="1109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1B5416DC">
                  <w:pPr>
                    <w:pStyle w:val="23"/>
                    <w:bidi w:val="0"/>
                  </w:pPr>
                </w:p>
              </w:tc>
              <w:tc>
                <w:tcPr>
                  <w:tcW w:w="935" w:type="pct"/>
                  <w:vMerge w:val="continue"/>
                  <w:noWrap w:val="0"/>
                  <w:vAlign w:val="center"/>
                </w:tcPr>
                <w:p w14:paraId="59F53176">
                  <w:pPr>
                    <w:pStyle w:val="23"/>
                    <w:bidi w:val="0"/>
                  </w:pPr>
                </w:p>
              </w:tc>
              <w:tc>
                <w:tcPr>
                  <w:tcW w:w="1279" w:type="pct"/>
                  <w:noWrap/>
                  <w:vAlign w:val="center"/>
                </w:tcPr>
                <w:p w14:paraId="458627D3">
                  <w:pPr>
                    <w:pStyle w:val="23"/>
                    <w:bidi w:val="0"/>
                  </w:pPr>
                  <w:r>
                    <w:rPr>
                      <w:rFonts w:hint="eastAsia"/>
                      <w:lang w:val="en-US" w:eastAsia="zh-CN"/>
                    </w:rPr>
                    <w:t>荣兴南苑</w:t>
                  </w:r>
                </w:p>
              </w:tc>
              <w:tc>
                <w:tcPr>
                  <w:tcW w:w="543" w:type="pct"/>
                  <w:noWrap/>
                  <w:vAlign w:val="center"/>
                </w:tcPr>
                <w:p w14:paraId="21A703EE">
                  <w:pPr>
                    <w:pStyle w:val="23"/>
                    <w:bidi w:val="0"/>
                  </w:pPr>
                  <w:r>
                    <w:rPr>
                      <w:rFonts w:hint="eastAsia"/>
                      <w:lang w:val="en-US" w:eastAsia="zh-CN"/>
                    </w:rPr>
                    <w:t>东南</w:t>
                  </w:r>
                </w:p>
              </w:tc>
              <w:tc>
                <w:tcPr>
                  <w:tcW w:w="460" w:type="pct"/>
                  <w:noWrap w:val="0"/>
                  <w:vAlign w:val="center"/>
                </w:tcPr>
                <w:p w14:paraId="0E4F7398">
                  <w:pPr>
                    <w:pStyle w:val="23"/>
                    <w:bidi w:val="0"/>
                    <w:rPr>
                      <w:rFonts w:hint="default"/>
                    </w:rPr>
                  </w:pPr>
                  <w:r>
                    <w:rPr>
                      <w:rFonts w:hint="eastAsia"/>
                      <w:lang w:val="en-US" w:eastAsia="zh-CN"/>
                    </w:rPr>
                    <w:t>400</w:t>
                  </w:r>
                </w:p>
              </w:tc>
              <w:tc>
                <w:tcPr>
                  <w:tcW w:w="1003" w:type="pct"/>
                  <w:vMerge w:val="continue"/>
                  <w:noWrap w:val="0"/>
                  <w:vAlign w:val="center"/>
                </w:tcPr>
                <w:p w14:paraId="496E99DF">
                  <w:pPr>
                    <w:pStyle w:val="23"/>
                    <w:bidi w:val="0"/>
                  </w:pPr>
                </w:p>
              </w:tc>
            </w:tr>
            <w:tr w14:paraId="6902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15189354">
                  <w:pPr>
                    <w:pStyle w:val="23"/>
                    <w:bidi w:val="0"/>
                  </w:pPr>
                </w:p>
              </w:tc>
              <w:tc>
                <w:tcPr>
                  <w:tcW w:w="935" w:type="pct"/>
                  <w:vMerge w:val="continue"/>
                  <w:noWrap w:val="0"/>
                  <w:vAlign w:val="center"/>
                </w:tcPr>
                <w:p w14:paraId="022371A4">
                  <w:pPr>
                    <w:pStyle w:val="23"/>
                    <w:bidi w:val="0"/>
                  </w:pPr>
                </w:p>
              </w:tc>
              <w:tc>
                <w:tcPr>
                  <w:tcW w:w="1279" w:type="pct"/>
                  <w:noWrap/>
                  <w:vAlign w:val="center"/>
                </w:tcPr>
                <w:p w14:paraId="30DF4E30">
                  <w:pPr>
                    <w:pStyle w:val="23"/>
                    <w:bidi w:val="0"/>
                  </w:pPr>
                  <w:r>
                    <w:rPr>
                      <w:rFonts w:hint="eastAsia"/>
                      <w:lang w:val="en-US" w:eastAsia="zh-CN"/>
                    </w:rPr>
                    <w:t>欢欢幼稚园</w:t>
                  </w:r>
                </w:p>
              </w:tc>
              <w:tc>
                <w:tcPr>
                  <w:tcW w:w="543" w:type="pct"/>
                  <w:noWrap/>
                  <w:vAlign w:val="center"/>
                </w:tcPr>
                <w:p w14:paraId="4E7BEAED">
                  <w:pPr>
                    <w:pStyle w:val="23"/>
                    <w:bidi w:val="0"/>
                  </w:pPr>
                  <w:r>
                    <w:rPr>
                      <w:rFonts w:hint="eastAsia"/>
                      <w:lang w:val="en-US" w:eastAsia="zh-CN"/>
                    </w:rPr>
                    <w:t>东南</w:t>
                  </w:r>
                </w:p>
              </w:tc>
              <w:tc>
                <w:tcPr>
                  <w:tcW w:w="460" w:type="pct"/>
                  <w:noWrap w:val="0"/>
                  <w:vAlign w:val="center"/>
                </w:tcPr>
                <w:p w14:paraId="0EFD03E9">
                  <w:pPr>
                    <w:pStyle w:val="23"/>
                    <w:bidi w:val="0"/>
                    <w:rPr>
                      <w:rFonts w:hint="default"/>
                    </w:rPr>
                  </w:pPr>
                  <w:r>
                    <w:rPr>
                      <w:rFonts w:hint="eastAsia"/>
                      <w:lang w:val="en-US" w:eastAsia="zh-CN"/>
                    </w:rPr>
                    <w:t>200</w:t>
                  </w:r>
                </w:p>
              </w:tc>
              <w:tc>
                <w:tcPr>
                  <w:tcW w:w="1003" w:type="pct"/>
                  <w:vMerge w:val="continue"/>
                  <w:noWrap w:val="0"/>
                  <w:vAlign w:val="center"/>
                </w:tcPr>
                <w:p w14:paraId="7D037CF8">
                  <w:pPr>
                    <w:pStyle w:val="23"/>
                    <w:bidi w:val="0"/>
                  </w:pPr>
                </w:p>
              </w:tc>
            </w:tr>
            <w:tr w14:paraId="39E8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26CC5884">
                  <w:pPr>
                    <w:pStyle w:val="23"/>
                    <w:bidi w:val="0"/>
                  </w:pPr>
                </w:p>
              </w:tc>
              <w:tc>
                <w:tcPr>
                  <w:tcW w:w="935" w:type="pct"/>
                  <w:vMerge w:val="continue"/>
                  <w:noWrap w:val="0"/>
                  <w:vAlign w:val="center"/>
                </w:tcPr>
                <w:p w14:paraId="14E0C713">
                  <w:pPr>
                    <w:pStyle w:val="23"/>
                    <w:bidi w:val="0"/>
                  </w:pPr>
                </w:p>
              </w:tc>
              <w:tc>
                <w:tcPr>
                  <w:tcW w:w="1279" w:type="pct"/>
                  <w:noWrap/>
                  <w:vAlign w:val="center"/>
                </w:tcPr>
                <w:p w14:paraId="71AA52EF">
                  <w:pPr>
                    <w:pStyle w:val="23"/>
                    <w:bidi w:val="0"/>
                  </w:pPr>
                  <w:r>
                    <w:rPr>
                      <w:rFonts w:hint="eastAsia"/>
                      <w:lang w:val="en-US" w:eastAsia="zh-CN"/>
                    </w:rPr>
                    <w:t>富源路小学</w:t>
                  </w:r>
                </w:p>
              </w:tc>
              <w:tc>
                <w:tcPr>
                  <w:tcW w:w="543" w:type="pct"/>
                  <w:noWrap/>
                  <w:vAlign w:val="center"/>
                </w:tcPr>
                <w:p w14:paraId="13C85D15">
                  <w:pPr>
                    <w:pStyle w:val="23"/>
                    <w:bidi w:val="0"/>
                  </w:pPr>
                  <w:r>
                    <w:rPr>
                      <w:rFonts w:hint="eastAsia"/>
                      <w:lang w:val="en-US" w:eastAsia="zh-CN"/>
                    </w:rPr>
                    <w:t>东南</w:t>
                  </w:r>
                </w:p>
              </w:tc>
              <w:tc>
                <w:tcPr>
                  <w:tcW w:w="460" w:type="pct"/>
                  <w:noWrap w:val="0"/>
                  <w:vAlign w:val="center"/>
                </w:tcPr>
                <w:p w14:paraId="27BB0D28">
                  <w:pPr>
                    <w:pStyle w:val="23"/>
                    <w:bidi w:val="0"/>
                    <w:rPr>
                      <w:rFonts w:hint="eastAsia"/>
                    </w:rPr>
                  </w:pPr>
                  <w:r>
                    <w:rPr>
                      <w:rFonts w:hint="eastAsia"/>
                      <w:lang w:val="en-US" w:eastAsia="zh-CN"/>
                    </w:rPr>
                    <w:t>300</w:t>
                  </w:r>
                </w:p>
              </w:tc>
              <w:tc>
                <w:tcPr>
                  <w:tcW w:w="1003" w:type="pct"/>
                  <w:vMerge w:val="continue"/>
                  <w:noWrap w:val="0"/>
                  <w:vAlign w:val="center"/>
                </w:tcPr>
                <w:p w14:paraId="33F4D221">
                  <w:pPr>
                    <w:pStyle w:val="23"/>
                    <w:bidi w:val="0"/>
                  </w:pPr>
                </w:p>
              </w:tc>
            </w:tr>
            <w:tr w14:paraId="399E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405A073E">
                  <w:pPr>
                    <w:pStyle w:val="23"/>
                    <w:bidi w:val="0"/>
                  </w:pPr>
                </w:p>
              </w:tc>
              <w:tc>
                <w:tcPr>
                  <w:tcW w:w="935" w:type="pct"/>
                  <w:vMerge w:val="continue"/>
                  <w:noWrap w:val="0"/>
                  <w:vAlign w:val="center"/>
                </w:tcPr>
                <w:p w14:paraId="0B6F5F7D">
                  <w:pPr>
                    <w:pStyle w:val="23"/>
                    <w:bidi w:val="0"/>
                  </w:pPr>
                </w:p>
              </w:tc>
              <w:tc>
                <w:tcPr>
                  <w:tcW w:w="1279" w:type="pct"/>
                  <w:noWrap/>
                  <w:vAlign w:val="center"/>
                </w:tcPr>
                <w:p w14:paraId="2D3C8DEE">
                  <w:pPr>
                    <w:pStyle w:val="23"/>
                    <w:bidi w:val="0"/>
                  </w:pPr>
                  <w:r>
                    <w:rPr>
                      <w:rFonts w:hint="eastAsia"/>
                      <w:lang w:val="en-US" w:eastAsia="zh-CN"/>
                    </w:rPr>
                    <w:t>富成小区</w:t>
                  </w:r>
                </w:p>
              </w:tc>
              <w:tc>
                <w:tcPr>
                  <w:tcW w:w="543" w:type="pct"/>
                  <w:noWrap/>
                  <w:vAlign w:val="center"/>
                </w:tcPr>
                <w:p w14:paraId="6F6EA411">
                  <w:pPr>
                    <w:pStyle w:val="23"/>
                    <w:bidi w:val="0"/>
                  </w:pPr>
                  <w:r>
                    <w:rPr>
                      <w:rFonts w:hint="eastAsia"/>
                      <w:lang w:val="en-US" w:eastAsia="zh-CN"/>
                    </w:rPr>
                    <w:t>南</w:t>
                  </w:r>
                </w:p>
              </w:tc>
              <w:tc>
                <w:tcPr>
                  <w:tcW w:w="460" w:type="pct"/>
                  <w:noWrap w:val="0"/>
                  <w:vAlign w:val="center"/>
                </w:tcPr>
                <w:p w14:paraId="5CED650B">
                  <w:pPr>
                    <w:pStyle w:val="23"/>
                    <w:bidi w:val="0"/>
                  </w:pPr>
                  <w:r>
                    <w:rPr>
                      <w:rFonts w:hint="eastAsia"/>
                      <w:lang w:val="en-US" w:eastAsia="zh-CN"/>
                    </w:rPr>
                    <w:t>350</w:t>
                  </w:r>
                </w:p>
              </w:tc>
              <w:tc>
                <w:tcPr>
                  <w:tcW w:w="1003" w:type="pct"/>
                  <w:vMerge w:val="continue"/>
                  <w:noWrap w:val="0"/>
                  <w:vAlign w:val="center"/>
                </w:tcPr>
                <w:p w14:paraId="27B1A25E">
                  <w:pPr>
                    <w:pStyle w:val="23"/>
                    <w:bidi w:val="0"/>
                  </w:pPr>
                </w:p>
              </w:tc>
            </w:tr>
            <w:tr w14:paraId="1AEB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44BB6F90">
                  <w:pPr>
                    <w:pStyle w:val="23"/>
                    <w:bidi w:val="0"/>
                  </w:pPr>
                </w:p>
              </w:tc>
              <w:tc>
                <w:tcPr>
                  <w:tcW w:w="935" w:type="pct"/>
                  <w:vMerge w:val="continue"/>
                  <w:noWrap w:val="0"/>
                  <w:vAlign w:val="center"/>
                </w:tcPr>
                <w:p w14:paraId="5F41945E">
                  <w:pPr>
                    <w:pStyle w:val="23"/>
                    <w:bidi w:val="0"/>
                  </w:pPr>
                </w:p>
              </w:tc>
              <w:tc>
                <w:tcPr>
                  <w:tcW w:w="1279" w:type="pct"/>
                  <w:noWrap/>
                  <w:vAlign w:val="center"/>
                </w:tcPr>
                <w:p w14:paraId="1A8A3713">
                  <w:pPr>
                    <w:pStyle w:val="23"/>
                    <w:bidi w:val="0"/>
                  </w:pPr>
                  <w:r>
                    <w:rPr>
                      <w:rFonts w:hint="eastAsia"/>
                      <w:lang w:val="en-US" w:eastAsia="zh-CN"/>
                    </w:rPr>
                    <w:t>富源实验学校</w:t>
                  </w:r>
                </w:p>
              </w:tc>
              <w:tc>
                <w:tcPr>
                  <w:tcW w:w="543" w:type="pct"/>
                  <w:noWrap/>
                  <w:vAlign w:val="center"/>
                </w:tcPr>
                <w:p w14:paraId="47D6806B">
                  <w:pPr>
                    <w:pStyle w:val="23"/>
                    <w:bidi w:val="0"/>
                  </w:pPr>
                  <w:r>
                    <w:rPr>
                      <w:rFonts w:hint="eastAsia"/>
                      <w:lang w:val="en-US" w:eastAsia="zh-CN"/>
                    </w:rPr>
                    <w:t>南</w:t>
                  </w:r>
                </w:p>
              </w:tc>
              <w:tc>
                <w:tcPr>
                  <w:tcW w:w="460" w:type="pct"/>
                  <w:noWrap w:val="0"/>
                  <w:vAlign w:val="center"/>
                </w:tcPr>
                <w:p w14:paraId="783010C4">
                  <w:pPr>
                    <w:pStyle w:val="23"/>
                    <w:bidi w:val="0"/>
                  </w:pPr>
                  <w:r>
                    <w:rPr>
                      <w:rFonts w:hint="eastAsia"/>
                      <w:lang w:val="en-US" w:eastAsia="zh-CN"/>
                    </w:rPr>
                    <w:t>305</w:t>
                  </w:r>
                </w:p>
              </w:tc>
              <w:tc>
                <w:tcPr>
                  <w:tcW w:w="1003" w:type="pct"/>
                  <w:vMerge w:val="continue"/>
                  <w:noWrap w:val="0"/>
                  <w:vAlign w:val="center"/>
                </w:tcPr>
                <w:p w14:paraId="0DAC0E21">
                  <w:pPr>
                    <w:pStyle w:val="23"/>
                    <w:bidi w:val="0"/>
                  </w:pPr>
                </w:p>
              </w:tc>
            </w:tr>
            <w:tr w14:paraId="2F6F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5053C09B">
                  <w:pPr>
                    <w:pStyle w:val="23"/>
                    <w:bidi w:val="0"/>
                  </w:pPr>
                </w:p>
              </w:tc>
              <w:tc>
                <w:tcPr>
                  <w:tcW w:w="935" w:type="pct"/>
                  <w:vMerge w:val="continue"/>
                  <w:noWrap w:val="0"/>
                  <w:vAlign w:val="center"/>
                </w:tcPr>
                <w:p w14:paraId="7D764A43">
                  <w:pPr>
                    <w:pStyle w:val="23"/>
                    <w:bidi w:val="0"/>
                  </w:pPr>
                </w:p>
              </w:tc>
              <w:tc>
                <w:tcPr>
                  <w:tcW w:w="1279" w:type="pct"/>
                  <w:noWrap/>
                  <w:vAlign w:val="center"/>
                </w:tcPr>
                <w:p w14:paraId="665C3A4F">
                  <w:pPr>
                    <w:pStyle w:val="23"/>
                    <w:bidi w:val="0"/>
                  </w:pPr>
                  <w:r>
                    <w:rPr>
                      <w:rFonts w:hint="eastAsia"/>
                      <w:lang w:val="en-US" w:eastAsia="zh-CN"/>
                    </w:rPr>
                    <w:t>遂宁市职业技术学校</w:t>
                  </w:r>
                </w:p>
              </w:tc>
              <w:tc>
                <w:tcPr>
                  <w:tcW w:w="543" w:type="pct"/>
                  <w:noWrap/>
                  <w:vAlign w:val="center"/>
                </w:tcPr>
                <w:p w14:paraId="116EF97F">
                  <w:pPr>
                    <w:pStyle w:val="23"/>
                    <w:bidi w:val="0"/>
                  </w:pPr>
                  <w:r>
                    <w:rPr>
                      <w:rFonts w:hint="eastAsia"/>
                      <w:lang w:val="en-US" w:eastAsia="zh-CN"/>
                    </w:rPr>
                    <w:t>南</w:t>
                  </w:r>
                </w:p>
              </w:tc>
              <w:tc>
                <w:tcPr>
                  <w:tcW w:w="460" w:type="pct"/>
                  <w:noWrap w:val="0"/>
                  <w:vAlign w:val="center"/>
                </w:tcPr>
                <w:p w14:paraId="7988CFD0">
                  <w:pPr>
                    <w:pStyle w:val="23"/>
                    <w:bidi w:val="0"/>
                    <w:rPr>
                      <w:rFonts w:hint="eastAsia"/>
                    </w:rPr>
                  </w:pPr>
                  <w:r>
                    <w:rPr>
                      <w:rFonts w:hint="eastAsia"/>
                      <w:lang w:val="en-US" w:eastAsia="zh-CN"/>
                    </w:rPr>
                    <w:t>230</w:t>
                  </w:r>
                </w:p>
              </w:tc>
              <w:tc>
                <w:tcPr>
                  <w:tcW w:w="1003" w:type="pct"/>
                  <w:vMerge w:val="continue"/>
                  <w:noWrap w:val="0"/>
                  <w:vAlign w:val="center"/>
                </w:tcPr>
                <w:p w14:paraId="2FFA211B">
                  <w:pPr>
                    <w:pStyle w:val="23"/>
                    <w:bidi w:val="0"/>
                  </w:pPr>
                </w:p>
              </w:tc>
            </w:tr>
            <w:tr w14:paraId="037D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66EA64E4">
                  <w:pPr>
                    <w:pStyle w:val="23"/>
                    <w:bidi w:val="0"/>
                  </w:pPr>
                </w:p>
              </w:tc>
              <w:tc>
                <w:tcPr>
                  <w:tcW w:w="935" w:type="pct"/>
                  <w:vMerge w:val="continue"/>
                  <w:noWrap w:val="0"/>
                  <w:vAlign w:val="center"/>
                </w:tcPr>
                <w:p w14:paraId="43679E25">
                  <w:pPr>
                    <w:pStyle w:val="23"/>
                    <w:bidi w:val="0"/>
                  </w:pPr>
                </w:p>
              </w:tc>
              <w:tc>
                <w:tcPr>
                  <w:tcW w:w="1279" w:type="pct"/>
                  <w:noWrap/>
                  <w:vAlign w:val="center"/>
                </w:tcPr>
                <w:p w14:paraId="6F7B3CC3">
                  <w:pPr>
                    <w:pStyle w:val="23"/>
                    <w:bidi w:val="0"/>
                  </w:pPr>
                  <w:r>
                    <w:rPr>
                      <w:rFonts w:hint="eastAsia"/>
                      <w:lang w:val="en-US" w:eastAsia="zh-CN"/>
                    </w:rPr>
                    <w:t>南城金座</w:t>
                  </w:r>
                </w:p>
              </w:tc>
              <w:tc>
                <w:tcPr>
                  <w:tcW w:w="543" w:type="pct"/>
                  <w:noWrap/>
                  <w:vAlign w:val="center"/>
                </w:tcPr>
                <w:p w14:paraId="51BF0B0F">
                  <w:pPr>
                    <w:pStyle w:val="23"/>
                    <w:bidi w:val="0"/>
                  </w:pPr>
                  <w:r>
                    <w:rPr>
                      <w:rFonts w:hint="eastAsia"/>
                      <w:lang w:val="en-US" w:eastAsia="zh-CN"/>
                    </w:rPr>
                    <w:t>西南</w:t>
                  </w:r>
                </w:p>
              </w:tc>
              <w:tc>
                <w:tcPr>
                  <w:tcW w:w="460" w:type="pct"/>
                  <w:noWrap w:val="0"/>
                  <w:vAlign w:val="center"/>
                </w:tcPr>
                <w:p w14:paraId="02E61719">
                  <w:pPr>
                    <w:pStyle w:val="23"/>
                    <w:bidi w:val="0"/>
                  </w:pPr>
                  <w:r>
                    <w:rPr>
                      <w:rFonts w:hint="eastAsia"/>
                      <w:lang w:val="en-US" w:eastAsia="zh-CN"/>
                    </w:rPr>
                    <w:t>200</w:t>
                  </w:r>
                </w:p>
              </w:tc>
              <w:tc>
                <w:tcPr>
                  <w:tcW w:w="1003" w:type="pct"/>
                  <w:vMerge w:val="continue"/>
                  <w:noWrap w:val="0"/>
                  <w:vAlign w:val="center"/>
                </w:tcPr>
                <w:p w14:paraId="4513049E">
                  <w:pPr>
                    <w:pStyle w:val="23"/>
                    <w:bidi w:val="0"/>
                  </w:pPr>
                </w:p>
              </w:tc>
            </w:tr>
            <w:tr w14:paraId="1405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797C2288">
                  <w:pPr>
                    <w:pStyle w:val="23"/>
                    <w:bidi w:val="0"/>
                  </w:pPr>
                </w:p>
              </w:tc>
              <w:tc>
                <w:tcPr>
                  <w:tcW w:w="935" w:type="pct"/>
                  <w:vMerge w:val="continue"/>
                  <w:noWrap w:val="0"/>
                  <w:vAlign w:val="center"/>
                </w:tcPr>
                <w:p w14:paraId="7DB19C13">
                  <w:pPr>
                    <w:pStyle w:val="23"/>
                    <w:bidi w:val="0"/>
                  </w:pPr>
                </w:p>
              </w:tc>
              <w:tc>
                <w:tcPr>
                  <w:tcW w:w="1279" w:type="pct"/>
                  <w:noWrap/>
                  <w:vAlign w:val="center"/>
                </w:tcPr>
                <w:p w14:paraId="31820FD3">
                  <w:pPr>
                    <w:pStyle w:val="23"/>
                    <w:bidi w:val="0"/>
                  </w:pPr>
                  <w:r>
                    <w:rPr>
                      <w:rFonts w:hint="eastAsia"/>
                      <w:lang w:val="en-US" w:eastAsia="zh-CN"/>
                    </w:rPr>
                    <w:t>美宁·万象新天</w:t>
                  </w:r>
                </w:p>
              </w:tc>
              <w:tc>
                <w:tcPr>
                  <w:tcW w:w="543" w:type="pct"/>
                  <w:noWrap/>
                  <w:vAlign w:val="center"/>
                </w:tcPr>
                <w:p w14:paraId="4B186B51">
                  <w:pPr>
                    <w:pStyle w:val="23"/>
                    <w:bidi w:val="0"/>
                  </w:pPr>
                  <w:r>
                    <w:rPr>
                      <w:rFonts w:hint="eastAsia"/>
                      <w:lang w:val="en-US" w:eastAsia="zh-CN"/>
                    </w:rPr>
                    <w:t>南</w:t>
                  </w:r>
                </w:p>
              </w:tc>
              <w:tc>
                <w:tcPr>
                  <w:tcW w:w="460" w:type="pct"/>
                  <w:noWrap w:val="0"/>
                  <w:vAlign w:val="center"/>
                </w:tcPr>
                <w:p w14:paraId="533FECB3">
                  <w:pPr>
                    <w:pStyle w:val="23"/>
                    <w:bidi w:val="0"/>
                  </w:pPr>
                  <w:r>
                    <w:rPr>
                      <w:rFonts w:hint="eastAsia"/>
                      <w:lang w:val="en-US" w:eastAsia="zh-CN"/>
                    </w:rPr>
                    <w:t>120</w:t>
                  </w:r>
                </w:p>
              </w:tc>
              <w:tc>
                <w:tcPr>
                  <w:tcW w:w="1003" w:type="pct"/>
                  <w:vMerge w:val="continue"/>
                  <w:noWrap w:val="0"/>
                  <w:vAlign w:val="center"/>
                </w:tcPr>
                <w:p w14:paraId="292A7C59">
                  <w:pPr>
                    <w:pStyle w:val="23"/>
                    <w:bidi w:val="0"/>
                  </w:pPr>
                </w:p>
              </w:tc>
            </w:tr>
            <w:tr w14:paraId="6B62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432CC85F">
                  <w:pPr>
                    <w:pStyle w:val="23"/>
                    <w:bidi w:val="0"/>
                  </w:pPr>
                </w:p>
              </w:tc>
              <w:tc>
                <w:tcPr>
                  <w:tcW w:w="935" w:type="pct"/>
                  <w:vMerge w:val="continue"/>
                  <w:noWrap w:val="0"/>
                  <w:vAlign w:val="center"/>
                </w:tcPr>
                <w:p w14:paraId="62D84392">
                  <w:pPr>
                    <w:pStyle w:val="23"/>
                    <w:bidi w:val="0"/>
                  </w:pPr>
                </w:p>
              </w:tc>
              <w:tc>
                <w:tcPr>
                  <w:tcW w:w="1279" w:type="pct"/>
                  <w:noWrap/>
                  <w:vAlign w:val="center"/>
                </w:tcPr>
                <w:p w14:paraId="4C7B7F1C">
                  <w:pPr>
                    <w:pStyle w:val="23"/>
                    <w:bidi w:val="0"/>
                  </w:pPr>
                  <w:r>
                    <w:rPr>
                      <w:rFonts w:hint="eastAsia"/>
                      <w:lang w:val="en-US" w:eastAsia="zh-CN"/>
                    </w:rPr>
                    <w:t>学林雅苑</w:t>
                  </w:r>
                </w:p>
              </w:tc>
              <w:tc>
                <w:tcPr>
                  <w:tcW w:w="543" w:type="pct"/>
                  <w:noWrap/>
                  <w:vAlign w:val="center"/>
                </w:tcPr>
                <w:p w14:paraId="32D8A3FF">
                  <w:pPr>
                    <w:pStyle w:val="23"/>
                    <w:bidi w:val="0"/>
                  </w:pPr>
                  <w:r>
                    <w:rPr>
                      <w:rFonts w:hint="eastAsia"/>
                      <w:lang w:val="en-US" w:eastAsia="zh-CN"/>
                    </w:rPr>
                    <w:t>西南</w:t>
                  </w:r>
                </w:p>
              </w:tc>
              <w:tc>
                <w:tcPr>
                  <w:tcW w:w="460" w:type="pct"/>
                  <w:noWrap w:val="0"/>
                  <w:vAlign w:val="center"/>
                </w:tcPr>
                <w:p w14:paraId="7DF86B06">
                  <w:pPr>
                    <w:pStyle w:val="23"/>
                    <w:bidi w:val="0"/>
                  </w:pPr>
                  <w:r>
                    <w:rPr>
                      <w:rFonts w:hint="eastAsia"/>
                      <w:lang w:val="en-US" w:eastAsia="zh-CN"/>
                    </w:rPr>
                    <w:t>350</w:t>
                  </w:r>
                </w:p>
              </w:tc>
              <w:tc>
                <w:tcPr>
                  <w:tcW w:w="1003" w:type="pct"/>
                  <w:vMerge w:val="continue"/>
                  <w:noWrap w:val="0"/>
                  <w:vAlign w:val="center"/>
                </w:tcPr>
                <w:p w14:paraId="699FF0C1">
                  <w:pPr>
                    <w:pStyle w:val="23"/>
                    <w:bidi w:val="0"/>
                  </w:pPr>
                </w:p>
              </w:tc>
            </w:tr>
            <w:tr w14:paraId="40F7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2F3AC24C">
                  <w:pPr>
                    <w:pStyle w:val="23"/>
                    <w:bidi w:val="0"/>
                  </w:pPr>
                </w:p>
              </w:tc>
              <w:tc>
                <w:tcPr>
                  <w:tcW w:w="935" w:type="pct"/>
                  <w:vMerge w:val="continue"/>
                  <w:noWrap w:val="0"/>
                  <w:vAlign w:val="center"/>
                </w:tcPr>
                <w:p w14:paraId="7545998B">
                  <w:pPr>
                    <w:pStyle w:val="23"/>
                    <w:bidi w:val="0"/>
                  </w:pPr>
                </w:p>
              </w:tc>
              <w:tc>
                <w:tcPr>
                  <w:tcW w:w="1279" w:type="pct"/>
                  <w:noWrap/>
                  <w:vAlign w:val="center"/>
                </w:tcPr>
                <w:p w14:paraId="3FB80449">
                  <w:pPr>
                    <w:pStyle w:val="23"/>
                    <w:bidi w:val="0"/>
                  </w:pPr>
                  <w:r>
                    <w:rPr>
                      <w:rFonts w:hint="eastAsia"/>
                      <w:lang w:val="en-US" w:eastAsia="zh-CN"/>
                    </w:rPr>
                    <w:t>美宁小区</w:t>
                  </w:r>
                </w:p>
              </w:tc>
              <w:tc>
                <w:tcPr>
                  <w:tcW w:w="543" w:type="pct"/>
                  <w:noWrap/>
                  <w:vAlign w:val="center"/>
                </w:tcPr>
                <w:p w14:paraId="6656F241">
                  <w:pPr>
                    <w:pStyle w:val="23"/>
                    <w:bidi w:val="0"/>
                  </w:pPr>
                  <w:r>
                    <w:rPr>
                      <w:rFonts w:hint="eastAsia"/>
                      <w:lang w:val="en-US" w:eastAsia="zh-CN"/>
                    </w:rPr>
                    <w:t>西</w:t>
                  </w:r>
                </w:p>
              </w:tc>
              <w:tc>
                <w:tcPr>
                  <w:tcW w:w="460" w:type="pct"/>
                  <w:noWrap w:val="0"/>
                  <w:vAlign w:val="center"/>
                </w:tcPr>
                <w:p w14:paraId="4FC39C07">
                  <w:pPr>
                    <w:pStyle w:val="23"/>
                    <w:bidi w:val="0"/>
                  </w:pPr>
                  <w:r>
                    <w:rPr>
                      <w:rFonts w:hint="eastAsia"/>
                      <w:lang w:val="en-US" w:eastAsia="zh-CN"/>
                    </w:rPr>
                    <w:t>350</w:t>
                  </w:r>
                </w:p>
              </w:tc>
              <w:tc>
                <w:tcPr>
                  <w:tcW w:w="1003" w:type="pct"/>
                  <w:vMerge w:val="continue"/>
                  <w:noWrap w:val="0"/>
                  <w:vAlign w:val="center"/>
                </w:tcPr>
                <w:p w14:paraId="7B7B4C6A">
                  <w:pPr>
                    <w:pStyle w:val="23"/>
                    <w:bidi w:val="0"/>
                  </w:pPr>
                </w:p>
              </w:tc>
            </w:tr>
            <w:tr w14:paraId="511C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0029F0EF">
                  <w:pPr>
                    <w:pStyle w:val="23"/>
                    <w:bidi w:val="0"/>
                  </w:pPr>
                </w:p>
              </w:tc>
              <w:tc>
                <w:tcPr>
                  <w:tcW w:w="935" w:type="pct"/>
                  <w:vMerge w:val="continue"/>
                  <w:noWrap w:val="0"/>
                  <w:vAlign w:val="center"/>
                </w:tcPr>
                <w:p w14:paraId="6C929422">
                  <w:pPr>
                    <w:pStyle w:val="23"/>
                    <w:bidi w:val="0"/>
                  </w:pPr>
                </w:p>
              </w:tc>
              <w:tc>
                <w:tcPr>
                  <w:tcW w:w="1279" w:type="pct"/>
                  <w:noWrap/>
                  <w:vAlign w:val="center"/>
                </w:tcPr>
                <w:p w14:paraId="6402A67A">
                  <w:pPr>
                    <w:pStyle w:val="23"/>
                    <w:bidi w:val="0"/>
                  </w:pPr>
                  <w:r>
                    <w:rPr>
                      <w:rFonts w:hint="eastAsia"/>
                      <w:lang w:val="en-US" w:eastAsia="zh-CN"/>
                    </w:rPr>
                    <w:t>明星托育园</w:t>
                  </w:r>
                </w:p>
              </w:tc>
              <w:tc>
                <w:tcPr>
                  <w:tcW w:w="543" w:type="pct"/>
                  <w:noWrap/>
                  <w:vAlign w:val="center"/>
                </w:tcPr>
                <w:p w14:paraId="27DC2EA9">
                  <w:pPr>
                    <w:pStyle w:val="23"/>
                    <w:bidi w:val="0"/>
                  </w:pPr>
                  <w:r>
                    <w:rPr>
                      <w:rFonts w:hint="eastAsia"/>
                      <w:lang w:val="en-US" w:eastAsia="zh-CN"/>
                    </w:rPr>
                    <w:t>西南</w:t>
                  </w:r>
                </w:p>
              </w:tc>
              <w:tc>
                <w:tcPr>
                  <w:tcW w:w="460" w:type="pct"/>
                  <w:noWrap w:val="0"/>
                  <w:vAlign w:val="center"/>
                </w:tcPr>
                <w:p w14:paraId="78C84502">
                  <w:pPr>
                    <w:pStyle w:val="23"/>
                    <w:bidi w:val="0"/>
                  </w:pPr>
                  <w:r>
                    <w:rPr>
                      <w:rFonts w:hint="eastAsia"/>
                      <w:lang w:val="en-US" w:eastAsia="zh-CN"/>
                    </w:rPr>
                    <w:t>300</w:t>
                  </w:r>
                </w:p>
              </w:tc>
              <w:tc>
                <w:tcPr>
                  <w:tcW w:w="1003" w:type="pct"/>
                  <w:vMerge w:val="continue"/>
                  <w:noWrap w:val="0"/>
                  <w:vAlign w:val="center"/>
                </w:tcPr>
                <w:p w14:paraId="6C931D72">
                  <w:pPr>
                    <w:pStyle w:val="23"/>
                    <w:bidi w:val="0"/>
                  </w:pPr>
                </w:p>
              </w:tc>
            </w:tr>
            <w:tr w14:paraId="333D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6C06FF4D">
                  <w:pPr>
                    <w:pStyle w:val="23"/>
                    <w:bidi w:val="0"/>
                  </w:pPr>
                </w:p>
              </w:tc>
              <w:tc>
                <w:tcPr>
                  <w:tcW w:w="935" w:type="pct"/>
                  <w:vMerge w:val="continue"/>
                  <w:noWrap w:val="0"/>
                  <w:vAlign w:val="center"/>
                </w:tcPr>
                <w:p w14:paraId="1DD7F4FF">
                  <w:pPr>
                    <w:pStyle w:val="23"/>
                    <w:bidi w:val="0"/>
                  </w:pPr>
                </w:p>
              </w:tc>
              <w:tc>
                <w:tcPr>
                  <w:tcW w:w="1279" w:type="pct"/>
                  <w:noWrap/>
                  <w:vAlign w:val="center"/>
                </w:tcPr>
                <w:p w14:paraId="2C55357B">
                  <w:pPr>
                    <w:pStyle w:val="23"/>
                    <w:bidi w:val="0"/>
                  </w:pPr>
                  <w:r>
                    <w:rPr>
                      <w:rFonts w:hint="eastAsia"/>
                      <w:lang w:val="en-US" w:eastAsia="zh-CN"/>
                    </w:rPr>
                    <w:t>天星石油小区</w:t>
                  </w:r>
                </w:p>
              </w:tc>
              <w:tc>
                <w:tcPr>
                  <w:tcW w:w="543" w:type="pct"/>
                  <w:noWrap/>
                  <w:vAlign w:val="center"/>
                </w:tcPr>
                <w:p w14:paraId="327DDF01">
                  <w:pPr>
                    <w:pStyle w:val="23"/>
                    <w:bidi w:val="0"/>
                  </w:pPr>
                  <w:r>
                    <w:rPr>
                      <w:rFonts w:hint="eastAsia"/>
                      <w:lang w:val="en-US" w:eastAsia="zh-CN"/>
                    </w:rPr>
                    <w:t>东南</w:t>
                  </w:r>
                </w:p>
              </w:tc>
              <w:tc>
                <w:tcPr>
                  <w:tcW w:w="460" w:type="pct"/>
                  <w:noWrap w:val="0"/>
                  <w:vAlign w:val="center"/>
                </w:tcPr>
                <w:p w14:paraId="4809BD39">
                  <w:pPr>
                    <w:pStyle w:val="23"/>
                    <w:bidi w:val="0"/>
                    <w:rPr>
                      <w:rFonts w:hint="default"/>
                    </w:rPr>
                  </w:pPr>
                  <w:r>
                    <w:rPr>
                      <w:rFonts w:hint="eastAsia"/>
                      <w:lang w:val="en-US" w:eastAsia="zh-CN"/>
                    </w:rPr>
                    <w:t>220</w:t>
                  </w:r>
                </w:p>
              </w:tc>
              <w:tc>
                <w:tcPr>
                  <w:tcW w:w="1003" w:type="pct"/>
                  <w:vMerge w:val="continue"/>
                  <w:noWrap w:val="0"/>
                  <w:vAlign w:val="center"/>
                </w:tcPr>
                <w:p w14:paraId="2F3F278C">
                  <w:pPr>
                    <w:pStyle w:val="23"/>
                    <w:bidi w:val="0"/>
                  </w:pPr>
                </w:p>
              </w:tc>
            </w:tr>
            <w:tr w14:paraId="0106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76" w:type="pct"/>
                  <w:vMerge w:val="continue"/>
                  <w:noWrap w:val="0"/>
                  <w:vAlign w:val="center"/>
                </w:tcPr>
                <w:p w14:paraId="59895CCF">
                  <w:pPr>
                    <w:pStyle w:val="23"/>
                    <w:bidi w:val="0"/>
                  </w:pPr>
                </w:p>
              </w:tc>
              <w:tc>
                <w:tcPr>
                  <w:tcW w:w="935" w:type="pct"/>
                  <w:vMerge w:val="continue"/>
                  <w:noWrap w:val="0"/>
                  <w:vAlign w:val="center"/>
                </w:tcPr>
                <w:p w14:paraId="7335CE86">
                  <w:pPr>
                    <w:pStyle w:val="23"/>
                    <w:bidi w:val="0"/>
                  </w:pPr>
                </w:p>
              </w:tc>
              <w:tc>
                <w:tcPr>
                  <w:tcW w:w="1279" w:type="pct"/>
                  <w:noWrap/>
                  <w:vAlign w:val="center"/>
                </w:tcPr>
                <w:p w14:paraId="2728F278">
                  <w:pPr>
                    <w:pStyle w:val="23"/>
                    <w:bidi w:val="0"/>
                  </w:pPr>
                  <w:r>
                    <w:rPr>
                      <w:rFonts w:hint="eastAsia"/>
                      <w:lang w:val="en-US" w:eastAsia="zh-CN"/>
                    </w:rPr>
                    <w:t>宜园小区</w:t>
                  </w:r>
                </w:p>
              </w:tc>
              <w:tc>
                <w:tcPr>
                  <w:tcW w:w="543" w:type="pct"/>
                  <w:noWrap/>
                  <w:vAlign w:val="center"/>
                </w:tcPr>
                <w:p w14:paraId="67D37E89">
                  <w:pPr>
                    <w:pStyle w:val="23"/>
                    <w:bidi w:val="0"/>
                  </w:pPr>
                  <w:r>
                    <w:rPr>
                      <w:rFonts w:hint="eastAsia"/>
                      <w:lang w:val="en-US" w:eastAsia="zh-CN"/>
                    </w:rPr>
                    <w:t>东南</w:t>
                  </w:r>
                </w:p>
              </w:tc>
              <w:tc>
                <w:tcPr>
                  <w:tcW w:w="460" w:type="pct"/>
                  <w:noWrap w:val="0"/>
                  <w:vAlign w:val="center"/>
                </w:tcPr>
                <w:p w14:paraId="4EE2A775">
                  <w:pPr>
                    <w:pStyle w:val="23"/>
                    <w:bidi w:val="0"/>
                    <w:rPr>
                      <w:rFonts w:hint="default"/>
                    </w:rPr>
                  </w:pPr>
                  <w:r>
                    <w:rPr>
                      <w:rFonts w:hint="eastAsia"/>
                      <w:lang w:val="en-US" w:eastAsia="zh-CN"/>
                    </w:rPr>
                    <w:t>390</w:t>
                  </w:r>
                </w:p>
              </w:tc>
              <w:tc>
                <w:tcPr>
                  <w:tcW w:w="1003" w:type="pct"/>
                  <w:vMerge w:val="continue"/>
                  <w:noWrap w:val="0"/>
                  <w:vAlign w:val="center"/>
                </w:tcPr>
                <w:p w14:paraId="7D3A3071">
                  <w:pPr>
                    <w:pStyle w:val="23"/>
                    <w:bidi w:val="0"/>
                  </w:pPr>
                </w:p>
              </w:tc>
            </w:tr>
            <w:tr w14:paraId="0D53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776" w:type="pct"/>
                  <w:noWrap w:val="0"/>
                  <w:vAlign w:val="center"/>
                </w:tcPr>
                <w:p w14:paraId="52EF8AC4">
                  <w:pPr>
                    <w:pStyle w:val="23"/>
                    <w:bidi w:val="0"/>
                  </w:pPr>
                  <w:r>
                    <w:t>声环境</w:t>
                  </w:r>
                </w:p>
              </w:tc>
              <w:tc>
                <w:tcPr>
                  <w:tcW w:w="935" w:type="pct"/>
                  <w:noWrap w:val="0"/>
                  <w:vAlign w:val="center"/>
                </w:tcPr>
                <w:p w14:paraId="196C5AEA">
                  <w:pPr>
                    <w:pStyle w:val="23"/>
                    <w:bidi w:val="0"/>
                  </w:pPr>
                  <w:r>
                    <w:t>本项目厂界</w:t>
                  </w:r>
                  <w:r>
                    <w:rPr>
                      <w:rFonts w:hint="eastAsia"/>
                      <w:lang w:val="en-US" w:eastAsia="zh-CN"/>
                    </w:rPr>
                    <w:t>内</w:t>
                  </w:r>
                  <w:r>
                    <w:t>50m范围内声环境</w:t>
                  </w:r>
                  <w:r>
                    <w:rPr>
                      <w:rFonts w:hint="eastAsia"/>
                    </w:rPr>
                    <w:t>保护目标</w:t>
                  </w:r>
                </w:p>
              </w:tc>
              <w:tc>
                <w:tcPr>
                  <w:tcW w:w="1279" w:type="pct"/>
                  <w:noWrap/>
                  <w:vAlign w:val="center"/>
                </w:tcPr>
                <w:p w14:paraId="289B091E">
                  <w:pPr>
                    <w:pStyle w:val="23"/>
                    <w:bidi w:val="0"/>
                    <w:rPr>
                      <w:rFonts w:hint="eastAsia"/>
                      <w:lang w:eastAsia="zh-CN"/>
                    </w:rPr>
                  </w:pPr>
                  <w:r>
                    <w:rPr>
                      <w:rFonts w:hint="eastAsia"/>
                    </w:rPr>
                    <w:t>天宫石油小区</w:t>
                  </w:r>
                </w:p>
              </w:tc>
              <w:tc>
                <w:tcPr>
                  <w:tcW w:w="543" w:type="pct"/>
                  <w:noWrap w:val="0"/>
                  <w:vAlign w:val="center"/>
                </w:tcPr>
                <w:p w14:paraId="28069B67">
                  <w:pPr>
                    <w:pStyle w:val="23"/>
                    <w:bidi w:val="0"/>
                    <w:rPr>
                      <w:rFonts w:hint="eastAsia"/>
                      <w:lang w:eastAsia="zh-CN"/>
                    </w:rPr>
                  </w:pPr>
                  <w:r>
                    <w:rPr>
                      <w:rFonts w:hint="eastAsia"/>
                      <w:lang w:val="en-US" w:eastAsia="zh-CN"/>
                    </w:rPr>
                    <w:t>西北</w:t>
                  </w:r>
                </w:p>
              </w:tc>
              <w:tc>
                <w:tcPr>
                  <w:tcW w:w="460" w:type="pct"/>
                  <w:noWrap w:val="0"/>
                  <w:vAlign w:val="center"/>
                </w:tcPr>
                <w:p w14:paraId="64F0D225">
                  <w:pPr>
                    <w:pStyle w:val="23"/>
                    <w:bidi w:val="0"/>
                    <w:rPr>
                      <w:rFonts w:hint="eastAsia" w:eastAsia="宋体"/>
                      <w:lang w:val="en-US" w:eastAsia="zh-CN"/>
                    </w:rPr>
                  </w:pPr>
                  <w:r>
                    <w:rPr>
                      <w:rFonts w:hint="eastAsia"/>
                      <w:lang w:eastAsia="zh-CN"/>
                    </w:rPr>
                    <w:t>紧邻</w:t>
                  </w:r>
                </w:p>
              </w:tc>
              <w:tc>
                <w:tcPr>
                  <w:tcW w:w="1003" w:type="pct"/>
                  <w:noWrap w:val="0"/>
                  <w:vAlign w:val="center"/>
                </w:tcPr>
                <w:p w14:paraId="06C41D45">
                  <w:pPr>
                    <w:pStyle w:val="23"/>
                    <w:bidi w:val="0"/>
                    <w:rPr>
                      <w:rFonts w:hint="eastAsia"/>
                      <w:lang w:eastAsia="zh-CN"/>
                    </w:rPr>
                  </w:pPr>
                  <w:r>
                    <w:t>《声环境噪声标准》（GB3096-2008）中的2类标准</w:t>
                  </w:r>
                </w:p>
              </w:tc>
            </w:tr>
            <w:tr w14:paraId="0800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6" w:type="pct"/>
                  <w:noWrap w:val="0"/>
                  <w:vAlign w:val="center"/>
                </w:tcPr>
                <w:p w14:paraId="27D0E007">
                  <w:pPr>
                    <w:pStyle w:val="23"/>
                    <w:bidi w:val="0"/>
                  </w:pPr>
                  <w:r>
                    <w:t>地表水环境</w:t>
                  </w:r>
                </w:p>
              </w:tc>
              <w:tc>
                <w:tcPr>
                  <w:tcW w:w="2215" w:type="pct"/>
                  <w:gridSpan w:val="2"/>
                  <w:noWrap w:val="0"/>
                  <w:vAlign w:val="center"/>
                </w:tcPr>
                <w:p w14:paraId="3BD85378">
                  <w:pPr>
                    <w:pStyle w:val="23"/>
                    <w:bidi w:val="0"/>
                    <w:rPr>
                      <w:rFonts w:hint="eastAsia"/>
                    </w:rPr>
                  </w:pPr>
                  <w:r>
                    <w:rPr>
                      <w:rFonts w:hint="eastAsia"/>
                    </w:rPr>
                    <w:t>涪江</w:t>
                  </w:r>
                </w:p>
              </w:tc>
              <w:tc>
                <w:tcPr>
                  <w:tcW w:w="543" w:type="pct"/>
                  <w:noWrap w:val="0"/>
                  <w:vAlign w:val="center"/>
                </w:tcPr>
                <w:p w14:paraId="7CAE779E">
                  <w:pPr>
                    <w:pStyle w:val="23"/>
                    <w:bidi w:val="0"/>
                  </w:pPr>
                  <w:r>
                    <w:t>东</w:t>
                  </w:r>
                </w:p>
              </w:tc>
              <w:tc>
                <w:tcPr>
                  <w:tcW w:w="460" w:type="pct"/>
                  <w:noWrap w:val="0"/>
                  <w:vAlign w:val="center"/>
                </w:tcPr>
                <w:p w14:paraId="49C88503">
                  <w:pPr>
                    <w:pStyle w:val="23"/>
                    <w:bidi w:val="0"/>
                  </w:pPr>
                  <w:r>
                    <w:rPr>
                      <w:rFonts w:hint="eastAsia"/>
                    </w:rPr>
                    <w:t>1300</w:t>
                  </w:r>
                </w:p>
              </w:tc>
              <w:tc>
                <w:tcPr>
                  <w:tcW w:w="1003" w:type="pct"/>
                  <w:noWrap w:val="0"/>
                  <w:vAlign w:val="center"/>
                </w:tcPr>
                <w:p w14:paraId="30618756">
                  <w:pPr>
                    <w:pStyle w:val="23"/>
                    <w:bidi w:val="0"/>
                  </w:pPr>
                  <w:r>
                    <w:t>《地表水环境质量标准》（GB3838-2002）Ⅲ类标准</w:t>
                  </w:r>
                </w:p>
              </w:tc>
            </w:tr>
            <w:tr w14:paraId="269E4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6" w:type="pct"/>
                  <w:noWrap w:val="0"/>
                  <w:vAlign w:val="center"/>
                </w:tcPr>
                <w:p w14:paraId="72A8FA06">
                  <w:pPr>
                    <w:pStyle w:val="23"/>
                    <w:bidi w:val="0"/>
                  </w:pPr>
                  <w:r>
                    <w:t>地下水环境</w:t>
                  </w:r>
                </w:p>
              </w:tc>
              <w:tc>
                <w:tcPr>
                  <w:tcW w:w="3220" w:type="pct"/>
                  <w:gridSpan w:val="4"/>
                  <w:noWrap w:val="0"/>
                  <w:vAlign w:val="center"/>
                </w:tcPr>
                <w:p w14:paraId="6A9708BC">
                  <w:pPr>
                    <w:pStyle w:val="23"/>
                    <w:bidi w:val="0"/>
                  </w:pPr>
                  <w:r>
                    <w:t>本项目厂界外500m范围内无地下水集中式饮用水水源和热水、矿泉水、温泉等特殊地下水资源环境保护目标</w:t>
                  </w:r>
                </w:p>
              </w:tc>
              <w:tc>
                <w:tcPr>
                  <w:tcW w:w="1003" w:type="pct"/>
                  <w:noWrap w:val="0"/>
                  <w:vAlign w:val="center"/>
                </w:tcPr>
                <w:p w14:paraId="3A250779">
                  <w:pPr>
                    <w:pStyle w:val="23"/>
                    <w:bidi w:val="0"/>
                    <w:rPr>
                      <w:rFonts w:hint="eastAsia" w:eastAsia="宋体"/>
                      <w:lang w:val="en-US" w:eastAsia="zh-CN"/>
                    </w:rPr>
                  </w:pPr>
                  <w:r>
                    <w:rPr>
                      <w:rFonts w:hint="eastAsia"/>
                      <w:lang w:val="en-US" w:eastAsia="zh-CN"/>
                    </w:rPr>
                    <w:t>/</w:t>
                  </w:r>
                </w:p>
              </w:tc>
            </w:tr>
            <w:tr w14:paraId="00F5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6" w:type="pct"/>
                  <w:noWrap w:val="0"/>
                  <w:vAlign w:val="center"/>
                </w:tcPr>
                <w:p w14:paraId="0AEE04C0">
                  <w:pPr>
                    <w:pStyle w:val="23"/>
                    <w:bidi w:val="0"/>
                  </w:pPr>
                  <w:r>
                    <w:t>生态环境</w:t>
                  </w:r>
                </w:p>
              </w:tc>
              <w:tc>
                <w:tcPr>
                  <w:tcW w:w="3220" w:type="pct"/>
                  <w:gridSpan w:val="4"/>
                  <w:noWrap w:val="0"/>
                  <w:vAlign w:val="center"/>
                </w:tcPr>
                <w:p w14:paraId="4772F4AC">
                  <w:pPr>
                    <w:pStyle w:val="23"/>
                    <w:bidi w:val="0"/>
                  </w:pPr>
                  <w:r>
                    <w:t>本项目</w:t>
                  </w:r>
                  <w:r>
                    <w:rPr>
                      <w:rFonts w:hint="eastAsia"/>
                    </w:rPr>
                    <w:t>所在地</w:t>
                  </w:r>
                  <w:r>
                    <w:t>已不存在原生植被</w:t>
                  </w:r>
                </w:p>
              </w:tc>
              <w:tc>
                <w:tcPr>
                  <w:tcW w:w="1003" w:type="pct"/>
                  <w:noWrap w:val="0"/>
                  <w:vAlign w:val="center"/>
                </w:tcPr>
                <w:p w14:paraId="5A495B73">
                  <w:pPr>
                    <w:pStyle w:val="23"/>
                    <w:bidi w:val="0"/>
                    <w:rPr>
                      <w:rFonts w:hint="eastAsia" w:eastAsia="宋体"/>
                      <w:lang w:val="en-US" w:eastAsia="zh-CN"/>
                    </w:rPr>
                  </w:pPr>
                  <w:r>
                    <w:rPr>
                      <w:rFonts w:hint="eastAsia"/>
                      <w:lang w:val="en-US" w:eastAsia="zh-CN"/>
                    </w:rPr>
                    <w:t>/</w:t>
                  </w:r>
                </w:p>
              </w:tc>
            </w:tr>
          </w:tbl>
          <w:p w14:paraId="48257193">
            <w:pPr>
              <w:pageBreakBefore w:val="0"/>
              <w:wordWrap/>
              <w:bidi w:val="0"/>
              <w:adjustRightInd w:val="0"/>
              <w:snapToGrid w:val="0"/>
              <w:rPr>
                <w:rFonts w:hint="eastAsia"/>
                <w:kern w:val="0"/>
                <w:szCs w:val="21"/>
              </w:rPr>
            </w:pPr>
          </w:p>
        </w:tc>
      </w:tr>
      <w:tr w14:paraId="7DBD5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49" w:type="dxa"/>
            <w:noWrap w:val="0"/>
            <w:tcMar>
              <w:left w:w="28" w:type="dxa"/>
              <w:right w:w="28" w:type="dxa"/>
            </w:tcMar>
            <w:vAlign w:val="center"/>
          </w:tcPr>
          <w:p w14:paraId="4C3508B1">
            <w:pPr>
              <w:pageBreakBefore w:val="0"/>
              <w:wordWrap/>
              <w:bidi w:val="0"/>
              <w:adjustRightInd w:val="0"/>
              <w:snapToGrid w:val="0"/>
              <w:spacing w:line="240" w:lineRule="auto"/>
              <w:ind w:firstLine="0" w:firstLineChars="0"/>
              <w:jc w:val="center"/>
              <w:rPr>
                <w:rFonts w:hint="eastAsia" w:ascii="宋体" w:hAnsi="宋体" w:eastAsia="宋体" w:cs="宋体"/>
                <w:kern w:val="0"/>
                <w:szCs w:val="21"/>
                <w:lang w:eastAsia="zh-CN"/>
              </w:rPr>
            </w:pPr>
            <w:r>
              <w:rPr>
                <w:rFonts w:hint="eastAsia" w:ascii="Times New Roman" w:hAnsi="Times New Roman" w:cs="宋体"/>
                <w:b/>
                <w:kern w:val="0"/>
                <w:sz w:val="24"/>
                <w:szCs w:val="21"/>
              </w:rPr>
              <w:t>污染物排放控制标</w:t>
            </w:r>
            <w:r>
              <w:rPr>
                <w:rFonts w:hint="eastAsia" w:ascii="宋体" w:hAnsi="宋体" w:cs="宋体"/>
                <w:kern w:val="0"/>
                <w:szCs w:val="21"/>
                <w:lang w:eastAsia="zh-CN"/>
              </w:rPr>
              <w:t>准</w:t>
            </w:r>
          </w:p>
        </w:tc>
        <w:tc>
          <w:tcPr>
            <w:tcW w:w="8612" w:type="dxa"/>
            <w:noWrap w:val="0"/>
            <w:vAlign w:val="center"/>
          </w:tcPr>
          <w:p w14:paraId="546FA963">
            <w:pPr>
              <w:pStyle w:val="3"/>
              <w:bidi w:val="0"/>
            </w:pPr>
            <w:r>
              <w:rPr>
                <w:rFonts w:hint="eastAsia"/>
              </w:rPr>
              <w:t>污染物排放控制标</w:t>
            </w:r>
            <w:r>
              <w:rPr>
                <w:rFonts w:hint="eastAsia"/>
                <w:lang w:eastAsia="zh-CN"/>
              </w:rPr>
              <w:t>准</w:t>
            </w:r>
          </w:p>
          <w:p w14:paraId="5F004A60">
            <w:pPr>
              <w:pStyle w:val="4"/>
              <w:bidi w:val="0"/>
            </w:pPr>
            <w:r>
              <w:t>废水排放标准</w:t>
            </w:r>
          </w:p>
          <w:p w14:paraId="4306270D">
            <w:pPr>
              <w:bidi w:val="0"/>
            </w:pPr>
            <w:r>
              <w:rPr>
                <w:rFonts w:hint="eastAsia"/>
              </w:rPr>
              <w:t>本项目污水进入院区内预处理池收集处理后，进入一体化污水处理设备（采用格栅调节+接触氧化+沉淀+消毒工艺）处理达标后，通过市政污水管网进入</w:t>
            </w:r>
            <w:r>
              <w:rPr>
                <w:rFonts w:hint="eastAsia"/>
                <w:lang w:eastAsia="zh-CN"/>
              </w:rPr>
              <w:t>遂宁市城南第一污水处理厂</w:t>
            </w:r>
            <w:r>
              <w:rPr>
                <w:rFonts w:hint="eastAsia"/>
              </w:rPr>
              <w:t>处理，最终排入涪江。</w:t>
            </w:r>
            <w:r>
              <w:t>本项目</w:t>
            </w:r>
            <w:r>
              <w:rPr>
                <w:rFonts w:hint="eastAsia"/>
              </w:rPr>
              <w:t>处理后的</w:t>
            </w:r>
            <w:r>
              <w:t>废水执行</w:t>
            </w:r>
            <w:bookmarkStart w:id="18" w:name="OLE_LINK6"/>
            <w:r>
              <w:t>《医疗机构水污染物排放标准》（GB18466-2005）</w:t>
            </w:r>
            <w:bookmarkEnd w:id="18"/>
            <w:r>
              <w:t>表2中的预处理标准</w:t>
            </w:r>
            <w:r>
              <w:rPr>
                <w:rFonts w:hint="eastAsia"/>
                <w:lang w:eastAsia="zh-CN"/>
              </w:rPr>
              <w:t>，其中总磷、总氮和氨氮执行《污水排入城市下水道水质标准》（GB</w:t>
            </w:r>
            <w:r>
              <w:rPr>
                <w:rFonts w:hint="eastAsia"/>
                <w:lang w:val="en-US" w:eastAsia="zh-CN"/>
              </w:rPr>
              <w:t>/</w:t>
            </w:r>
            <w:r>
              <w:rPr>
                <w:rFonts w:hint="eastAsia"/>
                <w:lang w:eastAsia="zh-CN"/>
              </w:rPr>
              <w:t>T31962-2015）表</w:t>
            </w:r>
            <w:r>
              <w:rPr>
                <w:rFonts w:hint="eastAsia"/>
                <w:lang w:val="en-US" w:eastAsia="zh-CN"/>
              </w:rPr>
              <w:t>1中B及标准限值</w:t>
            </w:r>
            <w:r>
              <w:t>。</w:t>
            </w:r>
          </w:p>
          <w:p w14:paraId="1A75FD14">
            <w:pPr>
              <w:pStyle w:val="22"/>
              <w:bidi w:val="0"/>
              <w:rPr>
                <w:rFonts w:hint="eastAsia"/>
              </w:rPr>
            </w:pPr>
            <w:r>
              <w:rPr>
                <w:rFonts w:hint="eastAsia"/>
              </w:rPr>
              <w:t>《医疗机构水污染物排放标准》（GB18466-2005）（排放限值：日均值）</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2"/>
              <w:gridCol w:w="2180"/>
              <w:gridCol w:w="2181"/>
            </w:tblGrid>
            <w:tr w14:paraId="33BE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8" w:type="pct"/>
                  <w:noWrap w:val="0"/>
                  <w:vAlign w:val="center"/>
                </w:tcPr>
                <w:p w14:paraId="5E2FF5E8">
                  <w:pPr>
                    <w:pStyle w:val="23"/>
                    <w:bidi w:val="0"/>
                    <w:rPr>
                      <w:rFonts w:hint="eastAsia"/>
                    </w:rPr>
                  </w:pPr>
                  <w:r>
                    <w:rPr>
                      <w:rFonts w:hint="eastAsia"/>
                    </w:rPr>
                    <w:t>指标</w:t>
                  </w:r>
                </w:p>
              </w:tc>
              <w:tc>
                <w:tcPr>
                  <w:tcW w:w="1300" w:type="pct"/>
                  <w:noWrap w:val="0"/>
                  <w:vAlign w:val="center"/>
                </w:tcPr>
                <w:p w14:paraId="5223D080">
                  <w:pPr>
                    <w:pStyle w:val="23"/>
                    <w:bidi w:val="0"/>
                    <w:rPr>
                      <w:rFonts w:hint="eastAsia"/>
                    </w:rPr>
                  </w:pPr>
                  <w:r>
                    <w:rPr>
                      <w:rFonts w:hint="eastAsia"/>
                    </w:rPr>
                    <w:t>预处理标准</w:t>
                  </w:r>
                </w:p>
              </w:tc>
              <w:tc>
                <w:tcPr>
                  <w:tcW w:w="1300" w:type="pct"/>
                  <w:noWrap w:val="0"/>
                  <w:vAlign w:val="center"/>
                </w:tcPr>
                <w:p w14:paraId="33BC09C5">
                  <w:pPr>
                    <w:pStyle w:val="23"/>
                    <w:bidi w:val="0"/>
                    <w:rPr>
                      <w:rFonts w:hint="eastAsia"/>
                      <w:lang w:eastAsia="zh-CN"/>
                    </w:rPr>
                  </w:pPr>
                  <w:r>
                    <w:rPr>
                      <w:rFonts w:hint="eastAsia"/>
                      <w:lang w:eastAsia="zh-CN"/>
                    </w:rPr>
                    <w:t>标准名称</w:t>
                  </w:r>
                </w:p>
              </w:tc>
            </w:tr>
            <w:tr w14:paraId="5F60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8" w:type="pct"/>
                  <w:noWrap w:val="0"/>
                  <w:vAlign w:val="center"/>
                </w:tcPr>
                <w:p w14:paraId="3B8CD02E">
                  <w:pPr>
                    <w:pStyle w:val="23"/>
                    <w:bidi w:val="0"/>
                    <w:rPr>
                      <w:rFonts w:hint="eastAsia"/>
                    </w:rPr>
                  </w:pPr>
                  <w:r>
                    <w:t>pH</w:t>
                  </w:r>
                  <w:r>
                    <w:rPr>
                      <w:rFonts w:hint="eastAsia"/>
                    </w:rPr>
                    <w:t>（无量纲）</w:t>
                  </w:r>
                </w:p>
              </w:tc>
              <w:tc>
                <w:tcPr>
                  <w:tcW w:w="1300" w:type="pct"/>
                  <w:noWrap w:val="0"/>
                  <w:vAlign w:val="center"/>
                </w:tcPr>
                <w:p w14:paraId="0606D918">
                  <w:pPr>
                    <w:pStyle w:val="23"/>
                    <w:bidi w:val="0"/>
                    <w:rPr>
                      <w:rFonts w:hint="eastAsia"/>
                    </w:rPr>
                  </w:pPr>
                  <w:r>
                    <w:rPr>
                      <w:rFonts w:hint="eastAsia"/>
                    </w:rPr>
                    <w:t>6~9</w:t>
                  </w:r>
                </w:p>
              </w:tc>
              <w:tc>
                <w:tcPr>
                  <w:tcW w:w="1300" w:type="pct"/>
                  <w:vMerge w:val="restart"/>
                  <w:noWrap w:val="0"/>
                  <w:vAlign w:val="center"/>
                </w:tcPr>
                <w:p w14:paraId="2B1ABD18">
                  <w:pPr>
                    <w:pStyle w:val="23"/>
                    <w:bidi w:val="0"/>
                    <w:rPr>
                      <w:rFonts w:hint="eastAsia"/>
                    </w:rPr>
                  </w:pPr>
                  <w:r>
                    <w:rPr>
                      <w:rFonts w:hint="eastAsia"/>
                    </w:rPr>
                    <w:t>《医疗机构水污染物排放标准》（GB18466-2005）</w:t>
                  </w:r>
                </w:p>
              </w:tc>
            </w:tr>
            <w:tr w14:paraId="5165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8" w:type="pct"/>
                  <w:noWrap w:val="0"/>
                  <w:vAlign w:val="center"/>
                </w:tcPr>
                <w:p w14:paraId="6CC31BBC">
                  <w:pPr>
                    <w:pStyle w:val="23"/>
                    <w:bidi w:val="0"/>
                    <w:rPr>
                      <w:rFonts w:hint="eastAsia"/>
                    </w:rPr>
                  </w:pPr>
                  <w:r>
                    <w:t>COD</w:t>
                  </w:r>
                  <w:r>
                    <w:rPr>
                      <w:rFonts w:hint="eastAsia"/>
                      <w:vertAlign w:val="subscript"/>
                    </w:rPr>
                    <w:t>Cr</w:t>
                  </w:r>
                  <w:r>
                    <w:rPr>
                      <w:rFonts w:hint="eastAsia"/>
                    </w:rPr>
                    <w:t>（</w:t>
                  </w:r>
                  <w:r>
                    <w:t>mg/L</w:t>
                  </w:r>
                  <w:r>
                    <w:rPr>
                      <w:rFonts w:hint="eastAsia"/>
                    </w:rPr>
                    <w:t>）</w:t>
                  </w:r>
                </w:p>
              </w:tc>
              <w:tc>
                <w:tcPr>
                  <w:tcW w:w="1300" w:type="pct"/>
                  <w:noWrap w:val="0"/>
                  <w:vAlign w:val="center"/>
                </w:tcPr>
                <w:p w14:paraId="6D6D2BC9">
                  <w:pPr>
                    <w:pStyle w:val="23"/>
                    <w:bidi w:val="0"/>
                  </w:pPr>
                  <w:r>
                    <w:rPr>
                      <w:rFonts w:hint="eastAsia"/>
                    </w:rPr>
                    <w:t>250</w:t>
                  </w:r>
                </w:p>
              </w:tc>
              <w:tc>
                <w:tcPr>
                  <w:tcW w:w="1300" w:type="pct"/>
                  <w:vMerge w:val="continue"/>
                  <w:noWrap w:val="0"/>
                  <w:vAlign w:val="center"/>
                </w:tcPr>
                <w:p w14:paraId="158EE838">
                  <w:pPr>
                    <w:pStyle w:val="23"/>
                    <w:bidi w:val="0"/>
                    <w:rPr>
                      <w:rFonts w:hint="eastAsia"/>
                    </w:rPr>
                  </w:pPr>
                </w:p>
              </w:tc>
            </w:tr>
            <w:tr w14:paraId="025D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8" w:type="pct"/>
                  <w:noWrap w:val="0"/>
                  <w:vAlign w:val="center"/>
                </w:tcPr>
                <w:p w14:paraId="12C31595">
                  <w:pPr>
                    <w:pStyle w:val="23"/>
                    <w:bidi w:val="0"/>
                    <w:rPr>
                      <w:rFonts w:hint="eastAsia"/>
                    </w:rPr>
                  </w:pPr>
                  <w:r>
                    <w:t>BOD5</w:t>
                  </w:r>
                  <w:r>
                    <w:rPr>
                      <w:rFonts w:hint="eastAsia"/>
                    </w:rPr>
                    <w:t>（</w:t>
                  </w:r>
                  <w:r>
                    <w:t>mg/L</w:t>
                  </w:r>
                  <w:r>
                    <w:rPr>
                      <w:rFonts w:hint="eastAsia"/>
                    </w:rPr>
                    <w:t>）</w:t>
                  </w:r>
                </w:p>
              </w:tc>
              <w:tc>
                <w:tcPr>
                  <w:tcW w:w="1300" w:type="pct"/>
                  <w:noWrap w:val="0"/>
                  <w:vAlign w:val="center"/>
                </w:tcPr>
                <w:p w14:paraId="40702AB2">
                  <w:pPr>
                    <w:pStyle w:val="23"/>
                    <w:bidi w:val="0"/>
                  </w:pPr>
                  <w:r>
                    <w:rPr>
                      <w:rFonts w:hint="eastAsia"/>
                    </w:rPr>
                    <w:t>100</w:t>
                  </w:r>
                </w:p>
              </w:tc>
              <w:tc>
                <w:tcPr>
                  <w:tcW w:w="1300" w:type="pct"/>
                  <w:vMerge w:val="continue"/>
                  <w:noWrap w:val="0"/>
                  <w:vAlign w:val="center"/>
                </w:tcPr>
                <w:p w14:paraId="1985DF60">
                  <w:pPr>
                    <w:pStyle w:val="23"/>
                    <w:bidi w:val="0"/>
                    <w:rPr>
                      <w:rFonts w:hint="eastAsia"/>
                    </w:rPr>
                  </w:pPr>
                </w:p>
              </w:tc>
            </w:tr>
            <w:tr w14:paraId="0B46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8" w:type="pct"/>
                  <w:noWrap w:val="0"/>
                  <w:vAlign w:val="center"/>
                </w:tcPr>
                <w:p w14:paraId="78419511">
                  <w:pPr>
                    <w:pStyle w:val="23"/>
                    <w:bidi w:val="0"/>
                    <w:rPr>
                      <w:rFonts w:hint="eastAsia"/>
                    </w:rPr>
                  </w:pPr>
                  <w:r>
                    <w:rPr>
                      <w:rFonts w:hint="eastAsia"/>
                    </w:rPr>
                    <w:t>SS（</w:t>
                  </w:r>
                  <w:r>
                    <w:t>mg/L</w:t>
                  </w:r>
                  <w:r>
                    <w:rPr>
                      <w:rFonts w:hint="eastAsia"/>
                    </w:rPr>
                    <w:t>）</w:t>
                  </w:r>
                </w:p>
              </w:tc>
              <w:tc>
                <w:tcPr>
                  <w:tcW w:w="1300" w:type="pct"/>
                  <w:noWrap w:val="0"/>
                  <w:vAlign w:val="center"/>
                </w:tcPr>
                <w:p w14:paraId="6C5875C9">
                  <w:pPr>
                    <w:pStyle w:val="23"/>
                    <w:bidi w:val="0"/>
                  </w:pPr>
                  <w:r>
                    <w:rPr>
                      <w:rFonts w:hint="eastAsia"/>
                    </w:rPr>
                    <w:t>60</w:t>
                  </w:r>
                </w:p>
              </w:tc>
              <w:tc>
                <w:tcPr>
                  <w:tcW w:w="1300" w:type="pct"/>
                  <w:vMerge w:val="continue"/>
                  <w:noWrap w:val="0"/>
                  <w:vAlign w:val="center"/>
                </w:tcPr>
                <w:p w14:paraId="10354EF9">
                  <w:pPr>
                    <w:pStyle w:val="23"/>
                    <w:bidi w:val="0"/>
                    <w:rPr>
                      <w:rFonts w:hint="eastAsia"/>
                    </w:rPr>
                  </w:pPr>
                </w:p>
              </w:tc>
            </w:tr>
            <w:tr w14:paraId="0102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8" w:type="pct"/>
                  <w:noWrap w:val="0"/>
                  <w:vAlign w:val="center"/>
                </w:tcPr>
                <w:p w14:paraId="6A3D89C8">
                  <w:pPr>
                    <w:pStyle w:val="23"/>
                    <w:bidi w:val="0"/>
                    <w:rPr>
                      <w:rFonts w:hint="eastAsia"/>
                    </w:rPr>
                  </w:pPr>
                  <w:r>
                    <w:rPr>
                      <w:rFonts w:hint="eastAsia"/>
                    </w:rPr>
                    <w:t>粪大肠菌群数（MPN/L）</w:t>
                  </w:r>
                </w:p>
              </w:tc>
              <w:tc>
                <w:tcPr>
                  <w:tcW w:w="1300" w:type="pct"/>
                  <w:noWrap w:val="0"/>
                  <w:vAlign w:val="center"/>
                </w:tcPr>
                <w:p w14:paraId="76A84789">
                  <w:pPr>
                    <w:pStyle w:val="23"/>
                    <w:bidi w:val="0"/>
                    <w:rPr>
                      <w:rFonts w:hint="eastAsia"/>
                    </w:rPr>
                  </w:pPr>
                  <w:r>
                    <w:rPr>
                      <w:rFonts w:hint="eastAsia"/>
                    </w:rPr>
                    <w:t>5000</w:t>
                  </w:r>
                </w:p>
              </w:tc>
              <w:tc>
                <w:tcPr>
                  <w:tcW w:w="1300" w:type="pct"/>
                  <w:vMerge w:val="continue"/>
                  <w:noWrap w:val="0"/>
                  <w:vAlign w:val="center"/>
                </w:tcPr>
                <w:p w14:paraId="55AD218D">
                  <w:pPr>
                    <w:pStyle w:val="23"/>
                    <w:bidi w:val="0"/>
                    <w:rPr>
                      <w:rFonts w:hint="eastAsia"/>
                    </w:rPr>
                  </w:pPr>
                </w:p>
              </w:tc>
            </w:tr>
            <w:tr w14:paraId="7F2D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8" w:type="pct"/>
                  <w:noWrap w:val="0"/>
                  <w:vAlign w:val="center"/>
                </w:tcPr>
                <w:p w14:paraId="34CE5005">
                  <w:pPr>
                    <w:pStyle w:val="23"/>
                    <w:bidi w:val="0"/>
                    <w:rPr>
                      <w:rFonts w:hint="eastAsia"/>
                      <w:lang w:eastAsia="zh-CN"/>
                    </w:rPr>
                  </w:pPr>
                  <w:r>
                    <w:rPr>
                      <w:rFonts w:hint="eastAsia"/>
                      <w:lang w:eastAsia="zh-CN"/>
                    </w:rPr>
                    <w:t>总磷</w:t>
                  </w:r>
                </w:p>
              </w:tc>
              <w:tc>
                <w:tcPr>
                  <w:tcW w:w="1300" w:type="pct"/>
                  <w:noWrap w:val="0"/>
                  <w:vAlign w:val="center"/>
                </w:tcPr>
                <w:p w14:paraId="07A36A6A">
                  <w:pPr>
                    <w:pStyle w:val="23"/>
                    <w:bidi w:val="0"/>
                    <w:rPr>
                      <w:rFonts w:hint="eastAsia"/>
                      <w:lang w:val="en-US" w:eastAsia="zh-CN"/>
                    </w:rPr>
                  </w:pPr>
                  <w:r>
                    <w:rPr>
                      <w:rFonts w:hint="eastAsia"/>
                      <w:lang w:val="en-US" w:eastAsia="zh-CN"/>
                    </w:rPr>
                    <w:t>8</w:t>
                  </w:r>
                </w:p>
              </w:tc>
              <w:tc>
                <w:tcPr>
                  <w:tcW w:w="1300" w:type="pct"/>
                  <w:vMerge w:val="restart"/>
                  <w:noWrap w:val="0"/>
                  <w:vAlign w:val="center"/>
                </w:tcPr>
                <w:p w14:paraId="2F9D8ED2">
                  <w:pPr>
                    <w:pStyle w:val="23"/>
                    <w:bidi w:val="0"/>
                    <w:rPr>
                      <w:rFonts w:hint="eastAsia"/>
                    </w:rPr>
                  </w:pPr>
                  <w:r>
                    <w:rPr>
                      <w:rFonts w:hint="eastAsia"/>
                    </w:rPr>
                    <w:t>《污水排入城市下水道水质标准》（GB</w:t>
                  </w:r>
                  <w:r>
                    <w:rPr>
                      <w:rFonts w:hint="eastAsia"/>
                      <w:lang w:val="en-US" w:eastAsia="zh-CN"/>
                    </w:rPr>
                    <w:t>/</w:t>
                  </w:r>
                  <w:r>
                    <w:rPr>
                      <w:rFonts w:hint="eastAsia"/>
                    </w:rPr>
                    <w:t>T31962-2015）</w:t>
                  </w:r>
                </w:p>
              </w:tc>
            </w:tr>
            <w:tr w14:paraId="075B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8" w:type="pct"/>
                  <w:noWrap w:val="0"/>
                  <w:vAlign w:val="center"/>
                </w:tcPr>
                <w:p w14:paraId="7A18EFCA">
                  <w:pPr>
                    <w:pStyle w:val="23"/>
                    <w:bidi w:val="0"/>
                    <w:rPr>
                      <w:rFonts w:hint="eastAsia"/>
                      <w:lang w:eastAsia="zh-CN"/>
                    </w:rPr>
                  </w:pPr>
                  <w:r>
                    <w:rPr>
                      <w:rFonts w:hint="eastAsia"/>
                      <w:lang w:eastAsia="zh-CN"/>
                    </w:rPr>
                    <w:t>总氮</w:t>
                  </w:r>
                </w:p>
              </w:tc>
              <w:tc>
                <w:tcPr>
                  <w:tcW w:w="1300" w:type="pct"/>
                  <w:noWrap w:val="0"/>
                  <w:vAlign w:val="center"/>
                </w:tcPr>
                <w:p w14:paraId="56ABD6D6">
                  <w:pPr>
                    <w:pStyle w:val="23"/>
                    <w:bidi w:val="0"/>
                    <w:rPr>
                      <w:rFonts w:hint="default"/>
                      <w:lang w:val="en-US" w:eastAsia="zh-CN"/>
                    </w:rPr>
                  </w:pPr>
                  <w:r>
                    <w:rPr>
                      <w:rFonts w:hint="eastAsia"/>
                      <w:lang w:val="en-US" w:eastAsia="zh-CN"/>
                    </w:rPr>
                    <w:t>70</w:t>
                  </w:r>
                </w:p>
              </w:tc>
              <w:tc>
                <w:tcPr>
                  <w:tcW w:w="1300" w:type="pct"/>
                  <w:vMerge w:val="continue"/>
                  <w:noWrap w:val="0"/>
                  <w:vAlign w:val="center"/>
                </w:tcPr>
                <w:p w14:paraId="43C875CC">
                  <w:pPr>
                    <w:pStyle w:val="23"/>
                    <w:bidi w:val="0"/>
                    <w:rPr>
                      <w:rFonts w:hint="eastAsia"/>
                    </w:rPr>
                  </w:pPr>
                </w:p>
              </w:tc>
            </w:tr>
            <w:tr w14:paraId="0B6F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8" w:type="pct"/>
                  <w:noWrap w:val="0"/>
                  <w:vAlign w:val="center"/>
                </w:tcPr>
                <w:p w14:paraId="64B17D05">
                  <w:pPr>
                    <w:pStyle w:val="23"/>
                    <w:bidi w:val="0"/>
                    <w:rPr>
                      <w:rFonts w:hint="eastAsia"/>
                      <w:lang w:eastAsia="zh-CN"/>
                    </w:rPr>
                  </w:pPr>
                  <w:r>
                    <w:rPr>
                      <w:rFonts w:hint="eastAsia"/>
                      <w:lang w:eastAsia="zh-CN"/>
                    </w:rPr>
                    <w:t>氨氮</w:t>
                  </w:r>
                </w:p>
              </w:tc>
              <w:tc>
                <w:tcPr>
                  <w:tcW w:w="1300" w:type="pct"/>
                  <w:noWrap w:val="0"/>
                  <w:vAlign w:val="center"/>
                </w:tcPr>
                <w:p w14:paraId="35FF7606">
                  <w:pPr>
                    <w:pStyle w:val="23"/>
                    <w:bidi w:val="0"/>
                    <w:rPr>
                      <w:rFonts w:hint="default"/>
                      <w:lang w:val="en-US" w:eastAsia="zh-CN"/>
                    </w:rPr>
                  </w:pPr>
                  <w:r>
                    <w:rPr>
                      <w:rFonts w:hint="eastAsia"/>
                      <w:lang w:val="en-US" w:eastAsia="zh-CN"/>
                    </w:rPr>
                    <w:t>45</w:t>
                  </w:r>
                </w:p>
              </w:tc>
              <w:tc>
                <w:tcPr>
                  <w:tcW w:w="1300" w:type="pct"/>
                  <w:vMerge w:val="continue"/>
                  <w:noWrap w:val="0"/>
                  <w:vAlign w:val="center"/>
                </w:tcPr>
                <w:p w14:paraId="6802C927">
                  <w:pPr>
                    <w:pStyle w:val="23"/>
                    <w:bidi w:val="0"/>
                    <w:rPr>
                      <w:rFonts w:hint="eastAsia"/>
                    </w:rPr>
                  </w:pPr>
                </w:p>
              </w:tc>
            </w:tr>
          </w:tbl>
          <w:p w14:paraId="7771734D">
            <w:pPr>
              <w:pStyle w:val="4"/>
              <w:bidi w:val="0"/>
            </w:pPr>
            <w:r>
              <w:rPr>
                <w:rFonts w:hint="eastAsia"/>
              </w:rPr>
              <w:t>大气污染物排放标准</w:t>
            </w:r>
          </w:p>
          <w:p w14:paraId="3602AC84">
            <w:pPr>
              <w:bidi w:val="0"/>
            </w:pPr>
            <w:r>
              <w:rPr>
                <w:rFonts w:hint="eastAsia"/>
              </w:rPr>
              <w:t>营运期：本项目营运期产生的</w:t>
            </w:r>
            <w:r>
              <w:t>污水</w:t>
            </w:r>
            <w:r>
              <w:rPr>
                <w:rFonts w:hint="eastAsia"/>
                <w:lang w:val="en-US" w:eastAsia="zh-CN"/>
              </w:rPr>
              <w:t>由</w:t>
            </w:r>
            <w:r>
              <w:rPr>
                <w:rFonts w:hint="eastAsia"/>
              </w:rPr>
              <w:t>院区已建污水处理站处理，污水处理站废气排放标准执行《</w:t>
            </w:r>
            <w:r>
              <w:t>医疗机构水污染排放标准</w:t>
            </w:r>
            <w:r>
              <w:rPr>
                <w:rFonts w:hint="eastAsia"/>
              </w:rPr>
              <w:t>》（GB18466-2005）中关于废气排放要求的规定，柴油发电机废气执行《大气污染物综合排放标准》（GB16297-1996）中表2各污染物最高允许排放浓度。</w:t>
            </w:r>
          </w:p>
          <w:p w14:paraId="6947E160">
            <w:pPr>
              <w:pStyle w:val="22"/>
              <w:bidi w:val="0"/>
              <w:rPr>
                <w:rFonts w:hint="eastAsia"/>
                <w:lang w:eastAsia="zh-CN"/>
              </w:rPr>
            </w:pPr>
            <w:r>
              <w:rPr>
                <w:rFonts w:hint="eastAsia"/>
              </w:rPr>
              <w:t>污水处理站</w:t>
            </w:r>
            <w:r>
              <w:rPr>
                <w:rFonts w:hint="eastAsia"/>
                <w:lang w:eastAsia="zh-CN"/>
              </w:rPr>
              <w:t>周边</w:t>
            </w:r>
            <w:r>
              <w:rPr>
                <w:rFonts w:hint="eastAsia"/>
              </w:rPr>
              <w:t>大气污染物</w:t>
            </w:r>
            <w:r>
              <w:rPr>
                <w:rFonts w:hint="eastAsia"/>
                <w:lang w:eastAsia="zh-CN"/>
              </w:rPr>
              <w:t>最高允许浓度</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5087"/>
              <w:gridCol w:w="2300"/>
            </w:tblGrid>
            <w:tr w14:paraId="6289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noWrap w:val="0"/>
                  <w:vAlign w:val="center"/>
                </w:tcPr>
                <w:p w14:paraId="462384EB">
                  <w:pPr>
                    <w:pStyle w:val="23"/>
                    <w:bidi w:val="0"/>
                    <w:rPr>
                      <w:rFonts w:hint="eastAsia"/>
                    </w:rPr>
                  </w:pPr>
                  <w:r>
                    <w:rPr>
                      <w:rFonts w:hint="eastAsia"/>
                    </w:rPr>
                    <w:t>序号</w:t>
                  </w:r>
                </w:p>
              </w:tc>
              <w:tc>
                <w:tcPr>
                  <w:tcW w:w="3033" w:type="pct"/>
                  <w:noWrap w:val="0"/>
                  <w:vAlign w:val="center"/>
                </w:tcPr>
                <w:p w14:paraId="4975F980">
                  <w:pPr>
                    <w:pStyle w:val="23"/>
                    <w:bidi w:val="0"/>
                  </w:pPr>
                  <w:r>
                    <w:t>控制项目</w:t>
                  </w:r>
                </w:p>
              </w:tc>
              <w:tc>
                <w:tcPr>
                  <w:tcW w:w="1372" w:type="pct"/>
                  <w:noWrap w:val="0"/>
                  <w:vAlign w:val="center"/>
                </w:tcPr>
                <w:p w14:paraId="163DC481">
                  <w:pPr>
                    <w:pStyle w:val="23"/>
                    <w:bidi w:val="0"/>
                  </w:pPr>
                  <w:r>
                    <w:t>标准值</w:t>
                  </w:r>
                </w:p>
              </w:tc>
            </w:tr>
            <w:tr w14:paraId="4CA3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594" w:type="pct"/>
                  <w:noWrap w:val="0"/>
                  <w:vAlign w:val="center"/>
                </w:tcPr>
                <w:p w14:paraId="2E0ADE98">
                  <w:pPr>
                    <w:pStyle w:val="23"/>
                    <w:bidi w:val="0"/>
                  </w:pPr>
                  <w:r>
                    <w:t>1</w:t>
                  </w:r>
                </w:p>
              </w:tc>
              <w:tc>
                <w:tcPr>
                  <w:tcW w:w="3033" w:type="pct"/>
                  <w:noWrap w:val="0"/>
                  <w:vAlign w:val="center"/>
                </w:tcPr>
                <w:p w14:paraId="3267F7FD">
                  <w:pPr>
                    <w:pStyle w:val="23"/>
                    <w:bidi w:val="0"/>
                  </w:pPr>
                  <w:r>
                    <w:t>氨（mg/m</w:t>
                  </w:r>
                  <w:r>
                    <w:rPr>
                      <w:vertAlign w:val="superscript"/>
                    </w:rPr>
                    <w:t>3</w:t>
                  </w:r>
                  <w:r>
                    <w:t>）</w:t>
                  </w:r>
                </w:p>
              </w:tc>
              <w:tc>
                <w:tcPr>
                  <w:tcW w:w="1372" w:type="pct"/>
                  <w:noWrap w:val="0"/>
                  <w:vAlign w:val="center"/>
                </w:tcPr>
                <w:p w14:paraId="369FA3AE">
                  <w:pPr>
                    <w:pStyle w:val="23"/>
                    <w:bidi w:val="0"/>
                  </w:pPr>
                  <w:r>
                    <w:t>1.0</w:t>
                  </w:r>
                </w:p>
              </w:tc>
            </w:tr>
            <w:tr w14:paraId="3277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594" w:type="pct"/>
                  <w:noWrap w:val="0"/>
                  <w:vAlign w:val="center"/>
                </w:tcPr>
                <w:p w14:paraId="108000FC">
                  <w:pPr>
                    <w:pStyle w:val="23"/>
                    <w:bidi w:val="0"/>
                  </w:pPr>
                  <w:r>
                    <w:t>2</w:t>
                  </w:r>
                </w:p>
              </w:tc>
              <w:tc>
                <w:tcPr>
                  <w:tcW w:w="3033" w:type="pct"/>
                  <w:noWrap w:val="0"/>
                  <w:vAlign w:val="center"/>
                </w:tcPr>
                <w:p w14:paraId="240EAA42">
                  <w:pPr>
                    <w:pStyle w:val="23"/>
                    <w:bidi w:val="0"/>
                  </w:pPr>
                  <w:r>
                    <w:t>硫化氢（mg/m</w:t>
                  </w:r>
                  <w:r>
                    <w:rPr>
                      <w:vertAlign w:val="superscript"/>
                    </w:rPr>
                    <w:t>3</w:t>
                  </w:r>
                  <w:r>
                    <w:t>）</w:t>
                  </w:r>
                </w:p>
              </w:tc>
              <w:tc>
                <w:tcPr>
                  <w:tcW w:w="1372" w:type="pct"/>
                  <w:noWrap w:val="0"/>
                  <w:vAlign w:val="center"/>
                </w:tcPr>
                <w:p w14:paraId="0332F2C6">
                  <w:pPr>
                    <w:pStyle w:val="23"/>
                    <w:bidi w:val="0"/>
                  </w:pPr>
                  <w:r>
                    <w:t>0.03</w:t>
                  </w:r>
                </w:p>
              </w:tc>
            </w:tr>
            <w:tr w14:paraId="4E62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594" w:type="pct"/>
                  <w:noWrap w:val="0"/>
                  <w:vAlign w:val="center"/>
                </w:tcPr>
                <w:p w14:paraId="00B2B899">
                  <w:pPr>
                    <w:pStyle w:val="23"/>
                    <w:bidi w:val="0"/>
                  </w:pPr>
                  <w:r>
                    <w:t>3</w:t>
                  </w:r>
                </w:p>
              </w:tc>
              <w:tc>
                <w:tcPr>
                  <w:tcW w:w="3033" w:type="pct"/>
                  <w:noWrap w:val="0"/>
                  <w:vAlign w:val="center"/>
                </w:tcPr>
                <w:p w14:paraId="6250CF88">
                  <w:pPr>
                    <w:pStyle w:val="23"/>
                    <w:bidi w:val="0"/>
                  </w:pPr>
                  <w:r>
                    <w:t>臭气浓度（无量纲）</w:t>
                  </w:r>
                </w:p>
              </w:tc>
              <w:tc>
                <w:tcPr>
                  <w:tcW w:w="1372" w:type="pct"/>
                  <w:noWrap w:val="0"/>
                  <w:vAlign w:val="center"/>
                </w:tcPr>
                <w:p w14:paraId="4097AECD">
                  <w:pPr>
                    <w:pStyle w:val="23"/>
                    <w:bidi w:val="0"/>
                  </w:pPr>
                  <w:r>
                    <w:t>10</w:t>
                  </w:r>
                </w:p>
              </w:tc>
            </w:tr>
            <w:tr w14:paraId="20AE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594" w:type="pct"/>
                  <w:noWrap w:val="0"/>
                  <w:vAlign w:val="center"/>
                </w:tcPr>
                <w:p w14:paraId="33D812B6">
                  <w:pPr>
                    <w:pStyle w:val="23"/>
                    <w:bidi w:val="0"/>
                  </w:pPr>
                  <w:r>
                    <w:t>4</w:t>
                  </w:r>
                </w:p>
              </w:tc>
              <w:tc>
                <w:tcPr>
                  <w:tcW w:w="3033" w:type="pct"/>
                  <w:noWrap w:val="0"/>
                  <w:vAlign w:val="center"/>
                </w:tcPr>
                <w:p w14:paraId="0E1A393E">
                  <w:pPr>
                    <w:pStyle w:val="23"/>
                    <w:bidi w:val="0"/>
                  </w:pPr>
                  <w:r>
                    <w:t>氯气（mg/m</w:t>
                  </w:r>
                  <w:r>
                    <w:rPr>
                      <w:vertAlign w:val="superscript"/>
                    </w:rPr>
                    <w:t>3</w:t>
                  </w:r>
                  <w:r>
                    <w:t>）</w:t>
                  </w:r>
                </w:p>
              </w:tc>
              <w:tc>
                <w:tcPr>
                  <w:tcW w:w="1372" w:type="pct"/>
                  <w:noWrap w:val="0"/>
                  <w:vAlign w:val="center"/>
                </w:tcPr>
                <w:p w14:paraId="1BD25628">
                  <w:pPr>
                    <w:pStyle w:val="23"/>
                    <w:bidi w:val="0"/>
                  </w:pPr>
                  <w:r>
                    <w:t>0.1</w:t>
                  </w:r>
                </w:p>
              </w:tc>
            </w:tr>
            <w:tr w14:paraId="1CAA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594" w:type="pct"/>
                  <w:noWrap w:val="0"/>
                  <w:vAlign w:val="center"/>
                </w:tcPr>
                <w:p w14:paraId="6C826A03">
                  <w:pPr>
                    <w:pStyle w:val="23"/>
                    <w:bidi w:val="0"/>
                  </w:pPr>
                  <w:r>
                    <w:t>5</w:t>
                  </w:r>
                </w:p>
              </w:tc>
              <w:tc>
                <w:tcPr>
                  <w:tcW w:w="3033" w:type="pct"/>
                  <w:noWrap w:val="0"/>
                  <w:vAlign w:val="center"/>
                </w:tcPr>
                <w:p w14:paraId="6E3CFE94">
                  <w:pPr>
                    <w:pStyle w:val="23"/>
                    <w:bidi w:val="0"/>
                  </w:pPr>
                  <w:r>
                    <w:t>甲烷（指处理站内最高体积百分数%）</w:t>
                  </w:r>
                </w:p>
              </w:tc>
              <w:tc>
                <w:tcPr>
                  <w:tcW w:w="1372" w:type="pct"/>
                  <w:noWrap w:val="0"/>
                  <w:vAlign w:val="center"/>
                </w:tcPr>
                <w:p w14:paraId="2130B904">
                  <w:pPr>
                    <w:pStyle w:val="23"/>
                    <w:bidi w:val="0"/>
                  </w:pPr>
                  <w:r>
                    <w:t>1%</w:t>
                  </w:r>
                </w:p>
              </w:tc>
            </w:tr>
          </w:tbl>
          <w:p w14:paraId="5721A24A">
            <w:pPr>
              <w:pStyle w:val="22"/>
              <w:numPr>
                <w:ilvl w:val="3"/>
                <w:numId w:val="7"/>
              </w:numPr>
              <w:tabs>
                <w:tab w:val="clear" w:pos="0"/>
              </w:tabs>
              <w:bidi w:val="0"/>
              <w:ind w:left="0" w:leftChars="0" w:firstLine="0" w:firstLineChars="0"/>
              <w:rPr>
                <w:rFonts w:hint="eastAsia"/>
              </w:rPr>
            </w:pPr>
            <w:r>
              <w:rPr>
                <w:rFonts w:hint="eastAsia"/>
              </w:rPr>
              <w:t>柴油发电机废气</w:t>
            </w:r>
            <w:r>
              <w:t>排放标准</w:t>
            </w:r>
            <w:r>
              <w:rPr>
                <w:rFonts w:hint="eastAsia"/>
              </w:rPr>
              <w:t>限值</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5087"/>
              <w:gridCol w:w="2300"/>
            </w:tblGrid>
            <w:tr w14:paraId="408C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594" w:type="pct"/>
                  <w:noWrap w:val="0"/>
                  <w:vAlign w:val="center"/>
                </w:tcPr>
                <w:p w14:paraId="64C3B788">
                  <w:pPr>
                    <w:pStyle w:val="23"/>
                    <w:bidi w:val="0"/>
                    <w:rPr>
                      <w:rFonts w:hint="eastAsia"/>
                    </w:rPr>
                  </w:pPr>
                  <w:r>
                    <w:rPr>
                      <w:rFonts w:hint="eastAsia"/>
                    </w:rPr>
                    <w:t>序号</w:t>
                  </w:r>
                </w:p>
              </w:tc>
              <w:tc>
                <w:tcPr>
                  <w:tcW w:w="3033" w:type="pct"/>
                  <w:noWrap w:val="0"/>
                  <w:vAlign w:val="center"/>
                </w:tcPr>
                <w:p w14:paraId="69C43F81">
                  <w:pPr>
                    <w:pStyle w:val="23"/>
                    <w:bidi w:val="0"/>
                  </w:pPr>
                  <w:r>
                    <w:t>控制项目</w:t>
                  </w:r>
                </w:p>
              </w:tc>
              <w:tc>
                <w:tcPr>
                  <w:tcW w:w="1372" w:type="pct"/>
                  <w:noWrap w:val="0"/>
                  <w:vAlign w:val="center"/>
                </w:tcPr>
                <w:p w14:paraId="4BD39E95">
                  <w:pPr>
                    <w:pStyle w:val="23"/>
                    <w:bidi w:val="0"/>
                  </w:pPr>
                  <w:r>
                    <w:t>标准值</w:t>
                  </w:r>
                </w:p>
              </w:tc>
            </w:tr>
            <w:tr w14:paraId="49CA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594" w:type="pct"/>
                  <w:noWrap w:val="0"/>
                  <w:vAlign w:val="center"/>
                </w:tcPr>
                <w:p w14:paraId="7745E60C">
                  <w:pPr>
                    <w:pStyle w:val="23"/>
                    <w:bidi w:val="0"/>
                  </w:pPr>
                  <w:r>
                    <w:t>1</w:t>
                  </w:r>
                </w:p>
              </w:tc>
              <w:tc>
                <w:tcPr>
                  <w:tcW w:w="3033" w:type="pct"/>
                  <w:noWrap w:val="0"/>
                  <w:vAlign w:val="center"/>
                </w:tcPr>
                <w:p w14:paraId="05FFB1F8">
                  <w:pPr>
                    <w:pStyle w:val="23"/>
                    <w:bidi w:val="0"/>
                  </w:pPr>
                  <w:r>
                    <w:rPr>
                      <w:rFonts w:hint="eastAsia"/>
                    </w:rPr>
                    <w:t>二氧化硫</w:t>
                  </w:r>
                  <w:r>
                    <w:t>（mg/m</w:t>
                  </w:r>
                  <w:r>
                    <w:rPr>
                      <w:vertAlign w:val="superscript"/>
                    </w:rPr>
                    <w:t>3</w:t>
                  </w:r>
                  <w:r>
                    <w:t>）</w:t>
                  </w:r>
                </w:p>
              </w:tc>
              <w:tc>
                <w:tcPr>
                  <w:tcW w:w="1372" w:type="pct"/>
                  <w:noWrap w:val="0"/>
                  <w:vAlign w:val="center"/>
                </w:tcPr>
                <w:p w14:paraId="3EDF4DA9">
                  <w:pPr>
                    <w:pStyle w:val="23"/>
                    <w:bidi w:val="0"/>
                  </w:pPr>
                  <w:r>
                    <w:t>55</w:t>
                  </w:r>
                  <w:r>
                    <w:rPr>
                      <w:rFonts w:hint="eastAsia"/>
                    </w:rPr>
                    <w:t>0</w:t>
                  </w:r>
                </w:p>
              </w:tc>
            </w:tr>
            <w:tr w14:paraId="7157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594" w:type="pct"/>
                  <w:noWrap w:val="0"/>
                  <w:vAlign w:val="center"/>
                </w:tcPr>
                <w:p w14:paraId="5A491D61">
                  <w:pPr>
                    <w:pStyle w:val="23"/>
                    <w:bidi w:val="0"/>
                  </w:pPr>
                  <w:r>
                    <w:t>2</w:t>
                  </w:r>
                </w:p>
              </w:tc>
              <w:tc>
                <w:tcPr>
                  <w:tcW w:w="3033" w:type="pct"/>
                  <w:noWrap w:val="0"/>
                  <w:vAlign w:val="center"/>
                </w:tcPr>
                <w:p w14:paraId="77C36038">
                  <w:pPr>
                    <w:pStyle w:val="23"/>
                    <w:bidi w:val="0"/>
                  </w:pPr>
                  <w:r>
                    <w:rPr>
                      <w:rFonts w:hint="eastAsia"/>
                    </w:rPr>
                    <w:t>氮氧化物</w:t>
                  </w:r>
                  <w:r>
                    <w:t>（mg/m</w:t>
                  </w:r>
                  <w:r>
                    <w:rPr>
                      <w:vertAlign w:val="superscript"/>
                    </w:rPr>
                    <w:t>3</w:t>
                  </w:r>
                  <w:r>
                    <w:t>）</w:t>
                  </w:r>
                </w:p>
              </w:tc>
              <w:tc>
                <w:tcPr>
                  <w:tcW w:w="1372" w:type="pct"/>
                  <w:noWrap w:val="0"/>
                  <w:vAlign w:val="center"/>
                </w:tcPr>
                <w:p w14:paraId="5257377B">
                  <w:pPr>
                    <w:pStyle w:val="23"/>
                    <w:bidi w:val="0"/>
                  </w:pPr>
                  <w:r>
                    <w:rPr>
                      <w:rFonts w:hint="eastAsia"/>
                    </w:rPr>
                    <w:t>240</w:t>
                  </w:r>
                </w:p>
              </w:tc>
            </w:tr>
            <w:tr w14:paraId="1507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594" w:type="pct"/>
                  <w:noWrap w:val="0"/>
                  <w:vAlign w:val="center"/>
                </w:tcPr>
                <w:p w14:paraId="46EC6E49">
                  <w:pPr>
                    <w:pStyle w:val="23"/>
                    <w:bidi w:val="0"/>
                  </w:pPr>
                  <w:r>
                    <w:t>3</w:t>
                  </w:r>
                </w:p>
              </w:tc>
              <w:tc>
                <w:tcPr>
                  <w:tcW w:w="3033" w:type="pct"/>
                  <w:noWrap w:val="0"/>
                  <w:vAlign w:val="center"/>
                </w:tcPr>
                <w:p w14:paraId="6711389E">
                  <w:pPr>
                    <w:pStyle w:val="23"/>
                    <w:bidi w:val="0"/>
                  </w:pPr>
                  <w:r>
                    <w:rPr>
                      <w:rFonts w:hint="eastAsia"/>
                    </w:rPr>
                    <w:t>颗粒物</w:t>
                  </w:r>
                  <w:r>
                    <w:t>（mg/m</w:t>
                  </w:r>
                  <w:r>
                    <w:rPr>
                      <w:vertAlign w:val="superscript"/>
                    </w:rPr>
                    <w:t>3</w:t>
                  </w:r>
                  <w:r>
                    <w:t>）</w:t>
                  </w:r>
                </w:p>
              </w:tc>
              <w:tc>
                <w:tcPr>
                  <w:tcW w:w="1372" w:type="pct"/>
                  <w:noWrap w:val="0"/>
                  <w:vAlign w:val="center"/>
                </w:tcPr>
                <w:p w14:paraId="50355EC6">
                  <w:pPr>
                    <w:pStyle w:val="23"/>
                    <w:bidi w:val="0"/>
                  </w:pPr>
                  <w:r>
                    <w:rPr>
                      <w:rFonts w:hint="eastAsia"/>
                    </w:rPr>
                    <w:t>120</w:t>
                  </w:r>
                </w:p>
              </w:tc>
            </w:tr>
          </w:tbl>
          <w:p w14:paraId="702B7EBB">
            <w:pPr>
              <w:pStyle w:val="4"/>
              <w:bidi w:val="0"/>
            </w:pPr>
            <w:r>
              <w:t>噪声排放标准</w:t>
            </w:r>
          </w:p>
          <w:p w14:paraId="3A46EB85">
            <w:pPr>
              <w:bidi w:val="0"/>
            </w:pPr>
            <w:r>
              <w:rPr>
                <w:rFonts w:hint="eastAsia"/>
                <w:lang w:eastAsia="zh-CN"/>
              </w:rPr>
              <w:t>项目</w:t>
            </w:r>
            <w:r>
              <w:rPr>
                <w:rFonts w:hint="eastAsia"/>
                <w:lang w:val="en-US" w:eastAsia="zh-CN"/>
              </w:rPr>
              <w:t>位于四川省遂宁市船山区开善东路327号，</w:t>
            </w:r>
            <w:r>
              <w:rPr>
                <w:rFonts w:hint="eastAsia"/>
                <w:lang w:eastAsia="zh-CN"/>
              </w:rPr>
              <w:t>根据</w:t>
            </w:r>
            <w:r>
              <w:rPr>
                <w:rFonts w:hint="eastAsia"/>
                <w:lang w:val="en-US" w:eastAsia="zh-CN"/>
              </w:rPr>
              <w:t>遂宁市生态环境局印发的关于《遂宁市中心城区声环境功能区划分方案》，执行</w:t>
            </w:r>
            <w:r>
              <w:rPr>
                <w:rFonts w:hint="default"/>
              </w:rPr>
              <w:t>《工业企业厂界环境噪声排放标准》（GB12348-2008）中3类标准</w:t>
            </w:r>
            <w:r>
              <w:rPr>
                <w:rFonts w:hint="eastAsia"/>
                <w:lang w:eastAsia="zh-CN"/>
              </w:rPr>
              <w:t>，详见附图</w:t>
            </w:r>
            <w:r>
              <w:rPr>
                <w:rFonts w:hint="eastAsia"/>
                <w:lang w:val="en-US" w:eastAsia="zh-CN"/>
              </w:rPr>
              <w:t>6，项目南侧开善东路属于主干路，东侧天宫北路属于次干路，</w:t>
            </w:r>
            <w:r>
              <w:rPr>
                <w:rFonts w:hint="default"/>
                <w:lang w:eastAsia="zh-CN"/>
              </w:rPr>
              <w:t>交通干线边界线外</w:t>
            </w:r>
            <w:r>
              <w:rPr>
                <w:rFonts w:hint="eastAsia"/>
                <w:lang w:val="en-US" w:eastAsia="zh-CN"/>
              </w:rPr>
              <w:t>35</w:t>
            </w:r>
            <w:r>
              <w:rPr>
                <w:rFonts w:hint="default"/>
                <w:lang w:val="en-US" w:eastAsia="zh-CN"/>
              </w:rPr>
              <w:t>m范围内划分为4a类声环境功能区，</w:t>
            </w:r>
            <w:r>
              <w:rPr>
                <w:rFonts w:hint="eastAsia"/>
                <w:lang w:val="en-US" w:eastAsia="zh-CN"/>
              </w:rPr>
              <w:t>本项目面向开善东路和天宫北路一侧至开善东路和天宫北路</w:t>
            </w:r>
            <w:r>
              <w:rPr>
                <w:rFonts w:hint="default"/>
                <w:lang w:val="en-US" w:eastAsia="zh-CN"/>
              </w:rPr>
              <w:t>边界线</w:t>
            </w:r>
            <w:r>
              <w:rPr>
                <w:rFonts w:hint="default"/>
              </w:rPr>
              <w:t>执行《工业企业厂界环境噪声排放标准》（GB12348-2008）中</w:t>
            </w:r>
            <w:r>
              <w:rPr>
                <w:rFonts w:hint="default"/>
                <w:lang w:val="en-US" w:eastAsia="zh-CN"/>
              </w:rPr>
              <w:t>4</w:t>
            </w:r>
            <w:r>
              <w:rPr>
                <w:rFonts w:hint="default"/>
              </w:rPr>
              <w:t>类标准。</w:t>
            </w:r>
            <w:r>
              <w:rPr>
                <w:rFonts w:hint="eastAsia"/>
                <w:lang w:eastAsia="zh-CN"/>
              </w:rPr>
              <w:t>西侧和北侧执</w:t>
            </w:r>
            <w:r>
              <w:t>行国家《工业企业厂界环境噪声排放标准》（GB12348-2008）中</w:t>
            </w:r>
            <w:r>
              <w:rPr>
                <w:rFonts w:hint="eastAsia"/>
              </w:rPr>
              <w:t>2</w:t>
            </w:r>
            <w:r>
              <w:t>类标准。标准限值见下表：</w:t>
            </w:r>
          </w:p>
          <w:p w14:paraId="4C98DBC9">
            <w:pPr>
              <w:pStyle w:val="22"/>
              <w:bidi w:val="0"/>
            </w:pPr>
            <w:r>
              <w:rPr>
                <w:rFonts w:hint="eastAsia"/>
              </w:rPr>
              <w:t xml:space="preserve">工业企业厂界环境噪声排放标准值 </w:t>
            </w:r>
            <w:r>
              <w:rPr>
                <w:rFonts w:hint="eastAsia"/>
                <w:lang w:val="en-US" w:eastAsia="zh-CN"/>
              </w:rPr>
              <w:t xml:space="preserve">    </w:t>
            </w:r>
            <w:r>
              <w:t>LAeq:dB</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62"/>
              <w:gridCol w:w="3033"/>
              <w:gridCol w:w="2599"/>
            </w:tblGrid>
            <w:tr w14:paraId="5CB73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5" w:type="pct"/>
                  <w:tcBorders>
                    <w:top w:val="single" w:color="auto" w:sz="4" w:space="0"/>
                    <w:left w:val="single" w:color="auto" w:sz="0" w:space="0"/>
                  </w:tcBorders>
                  <w:noWrap w:val="0"/>
                  <w:vAlign w:val="center"/>
                </w:tcPr>
                <w:p w14:paraId="104367EA">
                  <w:pPr>
                    <w:pStyle w:val="23"/>
                    <w:bidi w:val="0"/>
                  </w:pPr>
                  <w:r>
                    <w:t>类别</w:t>
                  </w:r>
                </w:p>
              </w:tc>
              <w:tc>
                <w:tcPr>
                  <w:tcW w:w="1806" w:type="pct"/>
                  <w:tcBorders>
                    <w:top w:val="single" w:color="auto" w:sz="4" w:space="0"/>
                  </w:tcBorders>
                  <w:noWrap w:val="0"/>
                  <w:vAlign w:val="center"/>
                </w:tcPr>
                <w:p w14:paraId="448AEB04">
                  <w:pPr>
                    <w:pStyle w:val="23"/>
                    <w:bidi w:val="0"/>
                  </w:pPr>
                  <w:r>
                    <w:t>昼间</w:t>
                  </w:r>
                </w:p>
              </w:tc>
              <w:tc>
                <w:tcPr>
                  <w:tcW w:w="1548" w:type="pct"/>
                  <w:tcBorders>
                    <w:top w:val="single" w:color="auto" w:sz="4" w:space="0"/>
                    <w:right w:val="single" w:color="auto" w:sz="4" w:space="0"/>
                  </w:tcBorders>
                  <w:noWrap w:val="0"/>
                  <w:vAlign w:val="center"/>
                </w:tcPr>
                <w:p w14:paraId="66405DEE">
                  <w:pPr>
                    <w:pStyle w:val="23"/>
                    <w:bidi w:val="0"/>
                  </w:pPr>
                  <w:r>
                    <w:t>夜间</w:t>
                  </w:r>
                </w:p>
              </w:tc>
            </w:tr>
            <w:tr w14:paraId="5070A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5" w:type="pct"/>
                  <w:tcBorders>
                    <w:left w:val="single" w:color="auto" w:sz="4" w:space="0"/>
                  </w:tcBorders>
                  <w:shd w:val="clear" w:color="auto" w:fill="auto"/>
                  <w:noWrap w:val="0"/>
                  <w:vAlign w:val="center"/>
                </w:tcPr>
                <w:p w14:paraId="0559D823">
                  <w:pPr>
                    <w:pStyle w:val="23"/>
                    <w:bidi w:val="0"/>
                    <w:rPr>
                      <w:rFonts w:hint="eastAsia"/>
                      <w:lang w:val="en-US" w:eastAsia="zh-CN"/>
                    </w:rPr>
                  </w:pPr>
                  <w:r>
                    <w:rPr>
                      <w:rFonts w:hint="eastAsia"/>
                      <w:lang w:val="en-US" w:eastAsia="zh-CN"/>
                    </w:rPr>
                    <w:t>2</w:t>
                  </w:r>
                  <w:r>
                    <w:t>类</w:t>
                  </w:r>
                </w:p>
              </w:tc>
              <w:tc>
                <w:tcPr>
                  <w:tcW w:w="1806" w:type="pct"/>
                  <w:shd w:val="clear" w:color="auto" w:fill="auto"/>
                  <w:noWrap w:val="0"/>
                  <w:vAlign w:val="center"/>
                </w:tcPr>
                <w:p w14:paraId="2C4B868C">
                  <w:pPr>
                    <w:pStyle w:val="23"/>
                    <w:bidi w:val="0"/>
                    <w:rPr>
                      <w:rFonts w:hint="default"/>
                      <w:lang w:val="en-US" w:eastAsia="zh-CN"/>
                    </w:rPr>
                  </w:pPr>
                  <w:r>
                    <w:rPr>
                      <w:rFonts w:hint="eastAsia"/>
                      <w:lang w:val="en-US" w:eastAsia="zh-CN"/>
                    </w:rPr>
                    <w:t>60</w:t>
                  </w:r>
                </w:p>
              </w:tc>
              <w:tc>
                <w:tcPr>
                  <w:tcW w:w="1548" w:type="pct"/>
                  <w:tcBorders>
                    <w:right w:val="single" w:color="auto" w:sz="4" w:space="0"/>
                  </w:tcBorders>
                  <w:shd w:val="clear" w:color="auto" w:fill="auto"/>
                  <w:noWrap w:val="0"/>
                  <w:vAlign w:val="center"/>
                </w:tcPr>
                <w:p w14:paraId="026EDF2C">
                  <w:pPr>
                    <w:pStyle w:val="23"/>
                    <w:bidi w:val="0"/>
                    <w:rPr>
                      <w:rFonts w:hint="default"/>
                      <w:lang w:val="en-US" w:eastAsia="zh-CN"/>
                    </w:rPr>
                  </w:pPr>
                  <w:r>
                    <w:rPr>
                      <w:rFonts w:hint="eastAsia"/>
                      <w:lang w:val="en-US" w:eastAsia="zh-CN"/>
                    </w:rPr>
                    <w:t>50</w:t>
                  </w:r>
                </w:p>
              </w:tc>
            </w:tr>
            <w:tr w14:paraId="14887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45" w:type="pct"/>
                  <w:tcBorders>
                    <w:left w:val="single" w:color="auto" w:sz="4" w:space="0"/>
                    <w:bottom w:val="single" w:color="auto" w:sz="4" w:space="0"/>
                  </w:tcBorders>
                  <w:shd w:val="clear" w:color="auto" w:fill="auto"/>
                  <w:noWrap w:val="0"/>
                  <w:vAlign w:val="center"/>
                </w:tcPr>
                <w:p w14:paraId="2E17F3B2">
                  <w:pPr>
                    <w:pStyle w:val="23"/>
                    <w:bidi w:val="0"/>
                    <w:rPr>
                      <w:rFonts w:hint="eastAsia"/>
                      <w:lang w:val="en-US" w:eastAsia="zh-CN"/>
                    </w:rPr>
                  </w:pPr>
                  <w:r>
                    <w:rPr>
                      <w:rFonts w:hint="eastAsia"/>
                      <w:lang w:val="en-US" w:eastAsia="zh-CN"/>
                    </w:rPr>
                    <w:t>4</w:t>
                  </w:r>
                  <w:r>
                    <w:t>类</w:t>
                  </w:r>
                </w:p>
              </w:tc>
              <w:tc>
                <w:tcPr>
                  <w:tcW w:w="1806" w:type="pct"/>
                  <w:tcBorders>
                    <w:bottom w:val="single" w:color="auto" w:sz="4" w:space="0"/>
                  </w:tcBorders>
                  <w:shd w:val="clear" w:color="auto" w:fill="auto"/>
                  <w:noWrap w:val="0"/>
                  <w:vAlign w:val="center"/>
                </w:tcPr>
                <w:p w14:paraId="48C32360">
                  <w:pPr>
                    <w:pStyle w:val="23"/>
                    <w:bidi w:val="0"/>
                    <w:rPr>
                      <w:rFonts w:hint="default"/>
                      <w:lang w:val="en-US" w:eastAsia="zh-CN"/>
                    </w:rPr>
                  </w:pPr>
                  <w:r>
                    <w:rPr>
                      <w:rFonts w:hint="eastAsia"/>
                      <w:lang w:val="en-US" w:eastAsia="zh-CN"/>
                    </w:rPr>
                    <w:t>7</w:t>
                  </w:r>
                  <w:r>
                    <w:rPr>
                      <w:rFonts w:hint="eastAsia"/>
                    </w:rPr>
                    <w:t>0</w:t>
                  </w:r>
                </w:p>
              </w:tc>
              <w:tc>
                <w:tcPr>
                  <w:tcW w:w="1548" w:type="pct"/>
                  <w:tcBorders>
                    <w:bottom w:val="single" w:color="auto" w:sz="4" w:space="0"/>
                    <w:right w:val="single" w:color="auto" w:sz="4" w:space="0"/>
                  </w:tcBorders>
                  <w:shd w:val="clear" w:color="auto" w:fill="auto"/>
                  <w:noWrap w:val="0"/>
                  <w:vAlign w:val="center"/>
                </w:tcPr>
                <w:p w14:paraId="57548F86">
                  <w:pPr>
                    <w:pStyle w:val="23"/>
                    <w:bidi w:val="0"/>
                    <w:rPr>
                      <w:rFonts w:hint="default"/>
                      <w:lang w:val="en-US" w:eastAsia="zh-CN"/>
                    </w:rPr>
                  </w:pPr>
                  <w:r>
                    <w:rPr>
                      <w:rFonts w:hint="eastAsia"/>
                      <w:lang w:val="en-US" w:eastAsia="zh-CN"/>
                    </w:rPr>
                    <w:t>55</w:t>
                  </w:r>
                </w:p>
              </w:tc>
            </w:tr>
          </w:tbl>
          <w:p w14:paraId="293809D1">
            <w:pPr>
              <w:pStyle w:val="4"/>
              <w:bidi w:val="0"/>
            </w:pPr>
            <w:r>
              <w:t>固体废物控制标准</w:t>
            </w:r>
          </w:p>
          <w:p w14:paraId="07F1145C">
            <w:pPr>
              <w:bidi w:val="0"/>
              <w:rPr>
                <w:b/>
                <w:bCs/>
                <w:szCs w:val="21"/>
              </w:rPr>
            </w:pPr>
            <w:r>
              <w:rPr>
                <w:rFonts w:hint="default"/>
              </w:rPr>
              <w:t>一般工业固体废物暂存过程应满足相应防渗漏、防雨淋、防扬尘等环境保护要求，固体废物的处置应明确，不得形成二次污染</w:t>
            </w:r>
            <w:r>
              <w:rPr>
                <w:rFonts w:hint="eastAsia"/>
              </w:rPr>
              <w:t>。</w:t>
            </w:r>
            <w:r>
              <w:t>危险废物执行《危险废物贮存污染控制标准》（</w:t>
            </w:r>
            <w:r>
              <w:rPr>
                <w:rFonts w:hint="eastAsia"/>
              </w:rPr>
              <w:t>GB18597-2023</w:t>
            </w:r>
            <w:r>
              <w:t>）中相应标准。</w:t>
            </w:r>
            <w:r>
              <w:rPr>
                <w:rFonts w:hint="eastAsia"/>
              </w:rPr>
              <w:t>医疗废物消毒处理设施执行《医疗废物处理处置污染控制标准》（GB39707-2020）中相应标准。本项目运营期产生的</w:t>
            </w:r>
            <w:r>
              <w:rPr>
                <w:rFonts w:hint="eastAsia"/>
                <w:lang w:eastAsia="zh-CN"/>
              </w:rPr>
              <w:t>污水处理站</w:t>
            </w:r>
            <w:r>
              <w:rPr>
                <w:rFonts w:hint="eastAsia"/>
              </w:rPr>
              <w:t>污泥执行</w:t>
            </w:r>
            <w:r>
              <w:t>《医疗机构水污染物排放标准》（GB18466-2005）表</w:t>
            </w:r>
            <w:r>
              <w:rPr>
                <w:rFonts w:hint="eastAsia"/>
              </w:rPr>
              <w:t>4医疗机构污泥控制标准</w:t>
            </w:r>
            <w:r>
              <w:t>中</w:t>
            </w:r>
            <w:r>
              <w:rPr>
                <w:rFonts w:hint="eastAsia"/>
              </w:rPr>
              <w:t>综合医疗机构和其他医疗机构</w:t>
            </w:r>
            <w:r>
              <w:t>的</w:t>
            </w:r>
            <w:r>
              <w:rPr>
                <w:rFonts w:hint="eastAsia"/>
              </w:rPr>
              <w:t>排放</w:t>
            </w:r>
            <w:r>
              <w:t>标准</w:t>
            </w:r>
            <w:r>
              <w:rPr>
                <w:rFonts w:hint="eastAsia"/>
              </w:rPr>
              <w:t>。</w:t>
            </w:r>
          </w:p>
          <w:p w14:paraId="684145BB">
            <w:pPr>
              <w:pStyle w:val="22"/>
              <w:bidi w:val="0"/>
              <w:rPr>
                <w:rFonts w:hint="default"/>
                <w:lang w:val="en-US"/>
              </w:rPr>
            </w:pPr>
            <w:r>
              <w:rPr>
                <w:rFonts w:hint="eastAsia"/>
                <w:lang w:val="en-US" w:eastAsia="zh-CN"/>
              </w:rPr>
              <w:t>医疗机构污泥控制标准</w:t>
            </w:r>
          </w:p>
          <w:tbl>
            <w:tblPr>
              <w:tblStyle w:val="1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2658"/>
              <w:gridCol w:w="2658"/>
            </w:tblGrid>
            <w:tr w14:paraId="49F5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noWrap w:val="0"/>
                  <w:vAlign w:val="top"/>
                </w:tcPr>
                <w:p w14:paraId="6DC0E745">
                  <w:pPr>
                    <w:pStyle w:val="23"/>
                    <w:bidi w:val="0"/>
                  </w:pPr>
                  <w:r>
                    <w:t>序号</w:t>
                  </w:r>
                </w:p>
              </w:tc>
              <w:tc>
                <w:tcPr>
                  <w:tcW w:w="2658" w:type="dxa"/>
                  <w:noWrap w:val="0"/>
                  <w:vAlign w:val="top"/>
                </w:tcPr>
                <w:p w14:paraId="23B32B87">
                  <w:pPr>
                    <w:pStyle w:val="23"/>
                    <w:bidi w:val="0"/>
                  </w:pPr>
                  <w:r>
                    <w:t>污染物项目</w:t>
                  </w:r>
                </w:p>
              </w:tc>
              <w:tc>
                <w:tcPr>
                  <w:tcW w:w="2658" w:type="dxa"/>
                  <w:noWrap w:val="0"/>
                  <w:vAlign w:val="top"/>
                </w:tcPr>
                <w:p w14:paraId="214218F4">
                  <w:pPr>
                    <w:pStyle w:val="23"/>
                    <w:bidi w:val="0"/>
                  </w:pPr>
                  <w:r>
                    <w:t>限值</w:t>
                  </w:r>
                </w:p>
              </w:tc>
            </w:tr>
            <w:tr w14:paraId="05FB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noWrap w:val="0"/>
                  <w:vAlign w:val="top"/>
                </w:tcPr>
                <w:p w14:paraId="4F31E945">
                  <w:pPr>
                    <w:pStyle w:val="23"/>
                    <w:bidi w:val="0"/>
                    <w:rPr>
                      <w:rFonts w:hint="eastAsia"/>
                      <w:lang w:val="en-US" w:eastAsia="zh-CN"/>
                    </w:rPr>
                  </w:pPr>
                  <w:r>
                    <w:rPr>
                      <w:rFonts w:hint="eastAsia"/>
                      <w:lang w:val="en-US" w:eastAsia="zh-CN"/>
                    </w:rPr>
                    <w:t>1</w:t>
                  </w:r>
                </w:p>
              </w:tc>
              <w:tc>
                <w:tcPr>
                  <w:tcW w:w="2658" w:type="dxa"/>
                  <w:noWrap w:val="0"/>
                  <w:vAlign w:val="top"/>
                </w:tcPr>
                <w:p w14:paraId="56416C56">
                  <w:pPr>
                    <w:pStyle w:val="23"/>
                    <w:bidi w:val="0"/>
                    <w:rPr>
                      <w:rFonts w:hint="default"/>
                      <w:lang w:val="en-US" w:eastAsia="zh-CN"/>
                    </w:rPr>
                  </w:pPr>
                  <w:r>
                    <w:rPr>
                      <w:rFonts w:hint="eastAsia"/>
                      <w:lang w:val="en-US" w:eastAsia="zh-CN"/>
                    </w:rPr>
                    <w:t>粪大肠菌群数/（MPN/g）</w:t>
                  </w:r>
                </w:p>
              </w:tc>
              <w:tc>
                <w:tcPr>
                  <w:tcW w:w="2658" w:type="dxa"/>
                  <w:noWrap w:val="0"/>
                  <w:vAlign w:val="top"/>
                </w:tcPr>
                <w:p w14:paraId="399111E8">
                  <w:pPr>
                    <w:pStyle w:val="23"/>
                    <w:bidi w:val="0"/>
                    <w:rPr>
                      <w:rFonts w:hint="default"/>
                      <w:lang w:val="en-US" w:eastAsia="zh-CN"/>
                    </w:rPr>
                  </w:pPr>
                  <w:r>
                    <w:rPr>
                      <w:rFonts w:hint="eastAsia"/>
                      <w:lang w:val="en-US" w:eastAsia="zh-CN"/>
                    </w:rPr>
                    <w:t>≤100</w:t>
                  </w:r>
                </w:p>
              </w:tc>
            </w:tr>
            <w:tr w14:paraId="36AC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noWrap w:val="0"/>
                  <w:vAlign w:val="top"/>
                </w:tcPr>
                <w:p w14:paraId="0008A2B7">
                  <w:pPr>
                    <w:pStyle w:val="23"/>
                    <w:bidi w:val="0"/>
                    <w:rPr>
                      <w:rFonts w:hint="default"/>
                      <w:lang w:val="en-US" w:eastAsia="zh-CN"/>
                    </w:rPr>
                  </w:pPr>
                  <w:r>
                    <w:rPr>
                      <w:rFonts w:hint="eastAsia"/>
                      <w:lang w:val="en-US" w:eastAsia="zh-CN"/>
                    </w:rPr>
                    <w:t>2</w:t>
                  </w:r>
                </w:p>
              </w:tc>
              <w:tc>
                <w:tcPr>
                  <w:tcW w:w="2658" w:type="dxa"/>
                  <w:noWrap w:val="0"/>
                  <w:vAlign w:val="top"/>
                </w:tcPr>
                <w:p w14:paraId="39542A0D">
                  <w:pPr>
                    <w:pStyle w:val="23"/>
                    <w:bidi w:val="0"/>
                    <w:rPr>
                      <w:rFonts w:hint="default"/>
                      <w:lang w:val="en-US" w:eastAsia="zh-CN"/>
                    </w:rPr>
                  </w:pPr>
                  <w:r>
                    <w:rPr>
                      <w:rFonts w:hint="eastAsia"/>
                      <w:lang w:val="en-US" w:eastAsia="zh-CN"/>
                    </w:rPr>
                    <w:t>蛔虫卵死亡率/％</w:t>
                  </w:r>
                </w:p>
              </w:tc>
              <w:tc>
                <w:tcPr>
                  <w:tcW w:w="2658" w:type="dxa"/>
                  <w:noWrap w:val="0"/>
                  <w:vAlign w:val="top"/>
                </w:tcPr>
                <w:p w14:paraId="475AC2D7">
                  <w:pPr>
                    <w:pStyle w:val="23"/>
                    <w:bidi w:val="0"/>
                    <w:rPr>
                      <w:rFonts w:hint="default"/>
                      <w:lang w:val="en-US" w:eastAsia="zh-CN"/>
                    </w:rPr>
                  </w:pPr>
                  <w:r>
                    <w:rPr>
                      <w:rFonts w:hint="eastAsia"/>
                      <w:lang w:val="en-US" w:eastAsia="zh-CN"/>
                    </w:rPr>
                    <w:t>＞95</w:t>
                  </w:r>
                </w:p>
              </w:tc>
            </w:tr>
          </w:tbl>
          <w:p w14:paraId="57510E46">
            <w:pPr>
              <w:pageBreakBefore w:val="0"/>
              <w:wordWrap/>
              <w:bidi w:val="0"/>
              <w:adjustRightInd w:val="0"/>
              <w:snapToGrid w:val="0"/>
              <w:spacing w:line="360" w:lineRule="auto"/>
              <w:ind w:firstLine="480" w:firstLineChars="200"/>
              <w:rPr>
                <w:rFonts w:hint="eastAsia" w:ascii="宋体" w:hAnsi="宋体" w:cs="宋体"/>
                <w:kern w:val="0"/>
                <w:szCs w:val="21"/>
              </w:rPr>
            </w:pPr>
          </w:p>
        </w:tc>
      </w:tr>
      <w:tr w14:paraId="266AA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49" w:type="dxa"/>
            <w:noWrap w:val="0"/>
            <w:vAlign w:val="center"/>
          </w:tcPr>
          <w:p w14:paraId="71F4F4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kern w:val="0"/>
                <w:szCs w:val="21"/>
              </w:rPr>
            </w:pPr>
            <w:r>
              <w:rPr>
                <w:rFonts w:hint="eastAsia" w:ascii="Times New Roman" w:hAnsi="Times New Roman" w:cs="宋体"/>
                <w:b/>
                <w:kern w:val="0"/>
                <w:sz w:val="24"/>
                <w:szCs w:val="21"/>
              </w:rPr>
              <w:t>总量控制指标</w:t>
            </w:r>
          </w:p>
        </w:tc>
        <w:tc>
          <w:tcPr>
            <w:tcW w:w="8612" w:type="dxa"/>
            <w:noWrap w:val="0"/>
            <w:vAlign w:val="top"/>
          </w:tcPr>
          <w:p w14:paraId="538D627D">
            <w:pPr>
              <w:pStyle w:val="3"/>
              <w:bidi w:val="0"/>
              <w:rPr>
                <w:rFonts w:hint="default"/>
                <w:lang w:eastAsia="zh-CN"/>
              </w:rPr>
            </w:pPr>
            <w:r>
              <w:rPr>
                <w:rFonts w:hint="default"/>
                <w:lang w:eastAsia="zh-CN"/>
              </w:rPr>
              <w:t>总量控制指标</w:t>
            </w:r>
          </w:p>
          <w:p w14:paraId="1608B517">
            <w:pPr>
              <w:bidi w:val="0"/>
              <w:rPr>
                <w:rFonts w:hint="default"/>
                <w:lang w:val="en-US" w:eastAsia="zh-CN"/>
              </w:rPr>
            </w:pPr>
            <w:r>
              <w:rPr>
                <w:rFonts w:hint="default"/>
                <w:lang w:eastAsia="zh-CN"/>
              </w:rPr>
              <w:t>根据《国务院关于印发“十四五”节能减排综合工作方案的通知》（国发[2021]33号）、《四川省“十四五”生态环境保护规划》、《</w:t>
            </w:r>
            <w:r>
              <w:rPr>
                <w:rFonts w:hint="eastAsia"/>
                <w:lang w:eastAsia="zh-CN"/>
              </w:rPr>
              <w:t>遂宁</w:t>
            </w:r>
            <w:r>
              <w:rPr>
                <w:rFonts w:hint="default"/>
                <w:lang w:eastAsia="zh-CN"/>
              </w:rPr>
              <w:t>市“十四五”生态环境保护规划》，结合项目污染物排放特点，本次评价确定的</w:t>
            </w:r>
            <w:r>
              <w:rPr>
                <w:rFonts w:hint="default"/>
              </w:rPr>
              <w:t>污染物排放总量控制因子为</w:t>
            </w:r>
            <w:r>
              <w:rPr>
                <w:rFonts w:hint="default"/>
                <w:lang w:eastAsia="zh-CN"/>
              </w:rPr>
              <w:t>：</w:t>
            </w:r>
            <w:r>
              <w:rPr>
                <w:rFonts w:hint="default"/>
              </w:rPr>
              <w:t>COD、NH</w:t>
            </w:r>
            <w:r>
              <w:rPr>
                <w:rFonts w:hint="default"/>
                <w:vertAlign w:val="subscript"/>
              </w:rPr>
              <w:t>3</w:t>
            </w:r>
            <w:r>
              <w:rPr>
                <w:rFonts w:hint="default"/>
              </w:rPr>
              <w:t>-N</w:t>
            </w:r>
            <w:r>
              <w:rPr>
                <w:rFonts w:hint="default"/>
                <w:lang w:val="en-US" w:eastAsia="zh-CN"/>
              </w:rPr>
              <w:t>。</w:t>
            </w:r>
          </w:p>
          <w:p w14:paraId="6146A127">
            <w:pPr>
              <w:bidi w:val="0"/>
              <w:rPr>
                <w:rFonts w:hint="default"/>
              </w:rPr>
            </w:pPr>
            <w:r>
              <w:rPr>
                <w:rFonts w:hint="default"/>
                <w:lang w:eastAsia="zh-CN"/>
              </w:rPr>
              <w:t>根据</w:t>
            </w:r>
            <w:r>
              <w:rPr>
                <w:rFonts w:hint="default"/>
              </w:rPr>
              <w:t>四川省环境保护厅办公室关于贯彻落实《建设项目主要污染物排放总量指标审核及管理暂行办法》的通知（川环办发</w:t>
            </w:r>
            <w:r>
              <w:rPr>
                <w:rFonts w:hint="default"/>
                <w:lang w:eastAsia="zh-CN"/>
              </w:rPr>
              <w:t>[</w:t>
            </w:r>
            <w:r>
              <w:rPr>
                <w:rFonts w:hint="default"/>
              </w:rPr>
              <w:t>2015</w:t>
            </w:r>
            <w:r>
              <w:rPr>
                <w:rFonts w:hint="default"/>
                <w:lang w:eastAsia="zh-CN"/>
              </w:rPr>
              <w:t>]</w:t>
            </w:r>
            <w:r>
              <w:rPr>
                <w:rFonts w:hint="default"/>
              </w:rPr>
              <w:t>333号）</w:t>
            </w:r>
            <w:r>
              <w:rPr>
                <w:rFonts w:hint="default"/>
                <w:lang w:eastAsia="zh-CN"/>
              </w:rPr>
              <w:t>，确定总量控制指标计算方式。根据</w:t>
            </w:r>
            <w:r>
              <w:rPr>
                <w:rFonts w:hint="default"/>
              </w:rPr>
              <w:t>（川环办发</w:t>
            </w:r>
            <w:r>
              <w:rPr>
                <w:rFonts w:hint="default"/>
                <w:lang w:eastAsia="zh-CN"/>
              </w:rPr>
              <w:t>[</w:t>
            </w:r>
            <w:r>
              <w:rPr>
                <w:rFonts w:hint="default"/>
              </w:rPr>
              <w:t>2015</w:t>
            </w:r>
            <w:r>
              <w:rPr>
                <w:rFonts w:hint="default"/>
                <w:lang w:eastAsia="zh-CN"/>
              </w:rPr>
              <w:t>]</w:t>
            </w:r>
            <w:r>
              <w:rPr>
                <w:rFonts w:hint="default"/>
              </w:rPr>
              <w:t>333号）</w:t>
            </w:r>
            <w:r>
              <w:rPr>
                <w:rFonts w:hint="default"/>
                <w:lang w:eastAsia="zh-CN"/>
              </w:rPr>
              <w:t>：</w:t>
            </w:r>
            <w:r>
              <w:rPr>
                <w:rFonts w:hint="default"/>
              </w:rPr>
              <w:t>其他行业依照国家或地方污染物排放标准及单位产品基准排放量（行业最高允许排水量）、烟气量等予以核定，排放标准中未予明确的，按环评预测废水、废气排放量予以核定</w:t>
            </w:r>
            <w:r>
              <w:rPr>
                <w:rFonts w:hint="default"/>
                <w:lang w:val="en-US" w:eastAsia="zh-CN"/>
              </w:rPr>
              <w:t>......</w:t>
            </w:r>
            <w:r>
              <w:rPr>
                <w:rFonts w:hint="default"/>
              </w:rPr>
              <w:t>废水排入集中式工业污水处理厂的建设项目按污水处理厂排放标准计算水污染物总量指标；废水排入城镇式生活污水处理设施的建设项目按纳管标准计算水污染物总量指标。</w:t>
            </w:r>
          </w:p>
          <w:p w14:paraId="2C4754EF">
            <w:pPr>
              <w:pStyle w:val="4"/>
              <w:bidi w:val="0"/>
              <w:rPr>
                <w:rFonts w:hint="default"/>
              </w:rPr>
            </w:pPr>
            <w:r>
              <w:rPr>
                <w:rFonts w:hint="default"/>
              </w:rPr>
              <w:t>废水</w:t>
            </w:r>
          </w:p>
          <w:p w14:paraId="169F0E69">
            <w:pPr>
              <w:bidi w:val="0"/>
              <w:rPr>
                <w:rFonts w:hint="default"/>
                <w:lang w:eastAsia="zh-CN"/>
              </w:rPr>
            </w:pPr>
            <w:r>
              <w:rPr>
                <w:rFonts w:hint="eastAsia"/>
                <w:lang w:val="en-US" w:eastAsia="zh-CN"/>
              </w:rPr>
              <w:t>经核算，本项目年废水排放量为2702.825t/a</w:t>
            </w:r>
            <w:r>
              <w:rPr>
                <w:rFonts w:hint="default"/>
                <w:lang w:val="en-US" w:eastAsia="zh-CN"/>
              </w:rPr>
              <w:t>，经市政污水管网排入</w:t>
            </w:r>
            <w:r>
              <w:rPr>
                <w:rFonts w:hint="eastAsia"/>
                <w:lang w:val="en-US" w:eastAsia="zh-CN"/>
              </w:rPr>
              <w:t>遂宁市城南第一污水处理厂</w:t>
            </w:r>
            <w:r>
              <w:rPr>
                <w:rFonts w:hint="default"/>
                <w:lang w:val="en-US" w:eastAsia="zh-CN"/>
              </w:rPr>
              <w:t>，最终排入</w:t>
            </w:r>
            <w:r>
              <w:rPr>
                <w:rFonts w:hint="eastAsia"/>
                <w:lang w:val="en-US" w:eastAsia="zh-CN"/>
              </w:rPr>
              <w:t>涪江</w:t>
            </w:r>
            <w:r>
              <w:rPr>
                <w:rFonts w:hint="default"/>
                <w:lang w:val="en-US" w:eastAsia="zh-CN"/>
              </w:rPr>
              <w:t>。本次评价</w:t>
            </w:r>
            <w:r>
              <w:rPr>
                <w:rFonts w:hint="default"/>
              </w:rPr>
              <w:t>水污染物排放总量控制</w:t>
            </w:r>
            <w:r>
              <w:rPr>
                <w:rFonts w:hint="default"/>
                <w:lang w:eastAsia="zh-CN"/>
              </w:rPr>
              <w:t>指标为</w:t>
            </w:r>
            <w:r>
              <w:rPr>
                <w:rFonts w:hint="default"/>
                <w:lang w:val="en-US" w:eastAsia="zh-CN"/>
              </w:rPr>
              <w:t>COD、NH</w:t>
            </w:r>
            <w:r>
              <w:rPr>
                <w:rFonts w:hint="default"/>
                <w:vertAlign w:val="subscript"/>
                <w:lang w:val="en-US" w:eastAsia="zh-CN"/>
              </w:rPr>
              <w:t>3</w:t>
            </w:r>
            <w:r>
              <w:rPr>
                <w:rFonts w:hint="default"/>
                <w:lang w:val="en-US" w:eastAsia="zh-CN"/>
              </w:rPr>
              <w:t>-N</w:t>
            </w:r>
            <w:r>
              <w:rPr>
                <w:rFonts w:hint="default"/>
                <w:lang w:eastAsia="zh-CN"/>
              </w:rPr>
              <w:t>。</w:t>
            </w:r>
          </w:p>
          <w:p w14:paraId="4D0AD3B8">
            <w:pPr>
              <w:bidi w:val="0"/>
              <w:rPr>
                <w:rFonts w:hint="default"/>
              </w:rPr>
            </w:pPr>
            <w:r>
              <w:rPr>
                <w:rFonts w:hint="eastAsia"/>
                <w:lang w:eastAsia="zh-CN"/>
              </w:rPr>
              <w:t>项目废水</w:t>
            </w:r>
            <w:r>
              <w:rPr>
                <w:rFonts w:hint="default"/>
              </w:rPr>
              <w:t>排口COD</w:t>
            </w:r>
            <w:r>
              <w:rPr>
                <w:rFonts w:hint="eastAsia"/>
                <w:lang w:eastAsia="zh-CN"/>
              </w:rPr>
              <w:t>执行《医疗机构水污染物排放标准》（GB18466-2005）和</w:t>
            </w:r>
            <w:r>
              <w:rPr>
                <w:rFonts w:hint="default"/>
              </w:rPr>
              <w:t>NH</w:t>
            </w:r>
            <w:r>
              <w:rPr>
                <w:rFonts w:hint="default"/>
                <w:vertAlign w:val="subscript"/>
              </w:rPr>
              <w:t>3</w:t>
            </w:r>
            <w:r>
              <w:rPr>
                <w:rFonts w:hint="default"/>
              </w:rPr>
              <w:t>-N</w:t>
            </w:r>
            <w:r>
              <w:rPr>
                <w:rFonts w:hint="default"/>
                <w:lang w:eastAsia="zh-CN"/>
              </w:rPr>
              <w:t>执行《污水排入城镇下水道水质标准》（GB/T31962-2015）对应标准限值，分别为</w:t>
            </w:r>
            <w:r>
              <w:rPr>
                <w:rFonts w:hint="eastAsia"/>
                <w:lang w:val="en-US" w:eastAsia="zh-CN"/>
              </w:rPr>
              <w:t>250</w:t>
            </w:r>
            <w:r>
              <w:rPr>
                <w:rFonts w:hint="default"/>
              </w:rPr>
              <w:t>mg/L、</w:t>
            </w:r>
            <w:r>
              <w:rPr>
                <w:rFonts w:hint="eastAsia"/>
                <w:lang w:val="en-US" w:eastAsia="zh-CN"/>
              </w:rPr>
              <w:t>45</w:t>
            </w:r>
            <w:r>
              <w:rPr>
                <w:rFonts w:hint="default"/>
              </w:rPr>
              <w:t>mg/L</w:t>
            </w:r>
            <w:r>
              <w:rPr>
                <w:rFonts w:hint="default"/>
                <w:lang w:eastAsia="zh-CN"/>
              </w:rPr>
              <w:t>。</w:t>
            </w:r>
            <w:r>
              <w:rPr>
                <w:rFonts w:hint="default"/>
              </w:rPr>
              <w:t>污水处理厂排口按照《</w:t>
            </w:r>
            <w:r>
              <w:rPr>
                <w:rFonts w:hint="eastAsia"/>
                <w:lang w:val="en-US" w:eastAsia="zh-CN"/>
              </w:rPr>
              <w:t>城镇污水处理厂污染物排放标准</w:t>
            </w:r>
            <w:r>
              <w:rPr>
                <w:rFonts w:hint="default"/>
              </w:rPr>
              <w:t>》（</w:t>
            </w:r>
            <w:r>
              <w:t>GB18918—2002</w:t>
            </w:r>
            <w:r>
              <w:rPr>
                <w:rFonts w:hint="default"/>
              </w:rPr>
              <w:t>）</w:t>
            </w:r>
            <w:r>
              <w:rPr>
                <w:rFonts w:hint="eastAsia"/>
                <w:lang w:val="en-US" w:eastAsia="zh-CN"/>
              </w:rPr>
              <w:t>中的一级标准A标</w:t>
            </w:r>
            <w:r>
              <w:rPr>
                <w:rFonts w:hint="default"/>
              </w:rPr>
              <w:t>，</w:t>
            </w:r>
            <w:r>
              <w:rPr>
                <w:rFonts w:hint="eastAsia"/>
                <w:lang w:eastAsia="zh-CN"/>
              </w:rPr>
              <w:t>分别为</w:t>
            </w:r>
            <w:r>
              <w:rPr>
                <w:rFonts w:hint="eastAsia"/>
                <w:lang w:val="en-US" w:eastAsia="zh-CN"/>
              </w:rPr>
              <w:t>50</w:t>
            </w:r>
            <w:r>
              <w:rPr>
                <w:rFonts w:hint="default"/>
              </w:rPr>
              <w:t>mg/L，</w:t>
            </w:r>
            <w:r>
              <w:rPr>
                <w:rFonts w:hint="eastAsia"/>
                <w:lang w:val="en-US" w:eastAsia="zh-CN"/>
              </w:rPr>
              <w:t>5（8）</w:t>
            </w:r>
            <w:r>
              <w:rPr>
                <w:rFonts w:hint="default"/>
              </w:rPr>
              <w:t>mg/L。</w:t>
            </w:r>
          </w:p>
          <w:p w14:paraId="0A244632">
            <w:pPr>
              <w:bidi w:val="0"/>
              <w:rPr>
                <w:rFonts w:hint="default"/>
              </w:rPr>
            </w:pPr>
            <w:r>
              <w:rPr>
                <w:rFonts w:hint="default"/>
              </w:rPr>
              <w:t>本环评建议的废水污染物排放总量控制指标如下，评价仅就本项目进入污水管网的水污染物量给出统计数据，废水污染物总量计入</w:t>
            </w:r>
            <w:r>
              <w:rPr>
                <w:rFonts w:hint="default"/>
                <w:lang w:eastAsia="zh-CN"/>
              </w:rPr>
              <w:t>污水处理厂</w:t>
            </w:r>
            <w:r>
              <w:rPr>
                <w:rFonts w:hint="default"/>
              </w:rPr>
              <w:t>总量中：</w:t>
            </w:r>
          </w:p>
          <w:p w14:paraId="0ECBA034">
            <w:pPr>
              <w:bidi w:val="0"/>
              <w:rPr>
                <w:rFonts w:hint="eastAsia"/>
                <w:b/>
                <w:bCs/>
                <w:lang w:val="en-US" w:eastAsia="zh-CN"/>
              </w:rPr>
            </w:pPr>
            <w:r>
              <w:rPr>
                <w:rFonts w:hint="eastAsia"/>
                <w:b/>
                <w:bCs/>
                <w:lang w:val="en-US" w:eastAsia="zh-CN"/>
              </w:rPr>
              <w:t>（1）项目排口</w:t>
            </w:r>
          </w:p>
          <w:p w14:paraId="0A0F4748">
            <w:pPr>
              <w:bidi w:val="0"/>
              <w:rPr>
                <w:b/>
                <w:bCs/>
              </w:rPr>
            </w:pPr>
            <w:r>
              <w:rPr>
                <w:b/>
                <w:bCs/>
              </w:rPr>
              <w:t>COD</w:t>
            </w:r>
            <w:r>
              <w:rPr>
                <w:rFonts w:hint="eastAsia"/>
                <w:b/>
                <w:bCs/>
                <w:vertAlign w:val="subscript"/>
                <w:lang w:val="en-US" w:eastAsia="zh-CN"/>
              </w:rPr>
              <w:t>C</w:t>
            </w:r>
            <w:r>
              <w:rPr>
                <w:b/>
                <w:bCs/>
                <w:vertAlign w:val="subscript"/>
              </w:rPr>
              <w:t>r</w:t>
            </w:r>
            <w:r>
              <w:rPr>
                <w:rFonts w:hint="eastAsia"/>
                <w:b/>
                <w:bCs/>
              </w:rPr>
              <w:t>：</w:t>
            </w:r>
            <w:r>
              <w:rPr>
                <w:rFonts w:hint="eastAsia"/>
                <w:b/>
                <w:bCs/>
                <w:lang w:val="en-US" w:eastAsia="zh-CN"/>
              </w:rPr>
              <w:t>2702.825t</w:t>
            </w:r>
            <w:r>
              <w:rPr>
                <w:rFonts w:hint="eastAsia"/>
                <w:b/>
                <w:bCs/>
              </w:rPr>
              <w:t>/a×</w:t>
            </w:r>
            <w:r>
              <w:rPr>
                <w:rFonts w:hint="eastAsia"/>
                <w:b/>
                <w:bCs/>
                <w:lang w:val="en-US" w:eastAsia="zh-CN"/>
              </w:rPr>
              <w:t>250</w:t>
            </w:r>
            <w:r>
              <w:rPr>
                <w:rFonts w:hint="eastAsia"/>
                <w:b/>
                <w:bCs/>
              </w:rPr>
              <w:t>mg/L</w:t>
            </w:r>
            <w:r>
              <w:rPr>
                <w:b/>
                <w:bCs/>
              </w:rPr>
              <w:t>×10</w:t>
            </w:r>
            <w:r>
              <w:rPr>
                <w:b/>
                <w:bCs/>
                <w:vertAlign w:val="superscript"/>
              </w:rPr>
              <w:t>-6</w:t>
            </w:r>
            <w:r>
              <w:rPr>
                <w:rFonts w:hint="eastAsia"/>
                <w:b/>
                <w:bCs/>
              </w:rPr>
              <w:t>=</w:t>
            </w:r>
            <w:r>
              <w:rPr>
                <w:rFonts w:hint="eastAsia"/>
                <w:b/>
                <w:bCs/>
                <w:lang w:val="en-US" w:eastAsia="zh-CN"/>
              </w:rPr>
              <w:t>0.676</w:t>
            </w:r>
            <w:r>
              <w:rPr>
                <w:rFonts w:hint="eastAsia"/>
                <w:b/>
                <w:bCs/>
              </w:rPr>
              <w:t>t/a</w:t>
            </w:r>
          </w:p>
          <w:p w14:paraId="76DD83BE">
            <w:pPr>
              <w:bidi w:val="0"/>
              <w:rPr>
                <w:rFonts w:hint="eastAsia"/>
                <w:b/>
                <w:bCs/>
              </w:rPr>
            </w:pPr>
            <w:r>
              <w:rPr>
                <w:rFonts w:hint="eastAsia"/>
                <w:b/>
                <w:bCs/>
              </w:rPr>
              <w:t>N</w:t>
            </w:r>
            <w:r>
              <w:rPr>
                <w:b/>
                <w:bCs/>
              </w:rPr>
              <w:t>H</w:t>
            </w:r>
            <w:r>
              <w:rPr>
                <w:b/>
                <w:bCs/>
                <w:vertAlign w:val="subscript"/>
              </w:rPr>
              <w:t>3</w:t>
            </w:r>
            <w:r>
              <w:rPr>
                <w:b/>
                <w:bCs/>
              </w:rPr>
              <w:t>-N</w:t>
            </w:r>
            <w:r>
              <w:rPr>
                <w:rFonts w:hint="eastAsia"/>
                <w:b/>
                <w:bCs/>
              </w:rPr>
              <w:t>：</w:t>
            </w:r>
            <w:r>
              <w:rPr>
                <w:rFonts w:hint="eastAsia"/>
                <w:b/>
                <w:bCs/>
                <w:lang w:val="en-US" w:eastAsia="zh-CN"/>
              </w:rPr>
              <w:t>2702.825</w:t>
            </w:r>
            <w:r>
              <w:rPr>
                <w:rFonts w:hint="eastAsia"/>
                <w:b/>
                <w:bCs/>
              </w:rPr>
              <w:t>t/a</w:t>
            </w:r>
            <w:r>
              <w:rPr>
                <w:b/>
                <w:bCs/>
              </w:rPr>
              <w:t>×</w:t>
            </w:r>
            <w:r>
              <w:rPr>
                <w:rFonts w:hint="eastAsia"/>
                <w:b/>
                <w:bCs/>
                <w:lang w:val="en-US" w:eastAsia="zh-CN"/>
              </w:rPr>
              <w:t>45</w:t>
            </w:r>
            <w:r>
              <w:rPr>
                <w:b/>
                <w:bCs/>
              </w:rPr>
              <w:t>mg/L×10</w:t>
            </w:r>
            <w:r>
              <w:rPr>
                <w:b/>
                <w:bCs/>
                <w:vertAlign w:val="superscript"/>
              </w:rPr>
              <w:t>-6</w:t>
            </w:r>
            <w:r>
              <w:rPr>
                <w:rFonts w:hint="eastAsia"/>
                <w:b/>
                <w:bCs/>
              </w:rPr>
              <w:t>=0.</w:t>
            </w:r>
            <w:r>
              <w:rPr>
                <w:rFonts w:hint="eastAsia"/>
                <w:b/>
                <w:bCs/>
                <w:lang w:val="en-US" w:eastAsia="zh-CN"/>
              </w:rPr>
              <w:t>122</w:t>
            </w:r>
            <w:r>
              <w:rPr>
                <w:rFonts w:hint="eastAsia"/>
                <w:b/>
                <w:bCs/>
              </w:rPr>
              <w:t>t/a</w:t>
            </w:r>
          </w:p>
          <w:p w14:paraId="0ACFC4F9">
            <w:pPr>
              <w:bidi w:val="0"/>
              <w:rPr>
                <w:rFonts w:hint="eastAsia"/>
                <w:b/>
                <w:bCs/>
                <w:lang w:val="en-US" w:eastAsia="zh-CN"/>
              </w:rPr>
            </w:pPr>
            <w:r>
              <w:rPr>
                <w:rFonts w:hint="eastAsia"/>
                <w:b/>
                <w:bCs/>
                <w:lang w:val="en-US" w:eastAsia="zh-CN"/>
              </w:rPr>
              <w:t>（2）污水处理厂排口</w:t>
            </w:r>
          </w:p>
          <w:p w14:paraId="40BBEA67">
            <w:pPr>
              <w:bidi w:val="0"/>
              <w:rPr>
                <w:b/>
                <w:bCs/>
              </w:rPr>
            </w:pPr>
            <w:r>
              <w:rPr>
                <w:b/>
                <w:bCs/>
              </w:rPr>
              <w:t>COD</w:t>
            </w:r>
            <w:r>
              <w:rPr>
                <w:rFonts w:hint="eastAsia"/>
                <w:b/>
                <w:bCs/>
                <w:vertAlign w:val="subscript"/>
                <w:lang w:val="en-US" w:eastAsia="zh-CN"/>
              </w:rPr>
              <w:t>C</w:t>
            </w:r>
            <w:r>
              <w:rPr>
                <w:b/>
                <w:bCs/>
                <w:vertAlign w:val="subscript"/>
              </w:rPr>
              <w:t>r</w:t>
            </w:r>
            <w:r>
              <w:rPr>
                <w:rFonts w:hint="eastAsia"/>
                <w:b/>
                <w:bCs/>
              </w:rPr>
              <w:t>：</w:t>
            </w:r>
            <w:r>
              <w:rPr>
                <w:rFonts w:hint="eastAsia"/>
                <w:b/>
                <w:bCs/>
                <w:lang w:val="en-US" w:eastAsia="zh-CN"/>
              </w:rPr>
              <w:t>2702.825</w:t>
            </w:r>
            <w:r>
              <w:rPr>
                <w:rFonts w:hint="eastAsia"/>
                <w:b/>
                <w:bCs/>
              </w:rPr>
              <w:t>/a×</w:t>
            </w:r>
            <w:r>
              <w:rPr>
                <w:rFonts w:hint="eastAsia"/>
                <w:b/>
                <w:bCs/>
                <w:lang w:val="en-US" w:eastAsia="zh-CN"/>
              </w:rPr>
              <w:t>50</w:t>
            </w:r>
            <w:r>
              <w:rPr>
                <w:rFonts w:hint="eastAsia"/>
                <w:b/>
                <w:bCs/>
              </w:rPr>
              <w:t>mg/L</w:t>
            </w:r>
            <w:r>
              <w:rPr>
                <w:b/>
                <w:bCs/>
              </w:rPr>
              <w:t>×10</w:t>
            </w:r>
            <w:r>
              <w:rPr>
                <w:b/>
                <w:bCs/>
                <w:vertAlign w:val="superscript"/>
              </w:rPr>
              <w:t>-6</w:t>
            </w:r>
            <w:r>
              <w:rPr>
                <w:rFonts w:hint="eastAsia"/>
                <w:b/>
                <w:bCs/>
              </w:rPr>
              <w:t>=0.</w:t>
            </w:r>
            <w:r>
              <w:rPr>
                <w:rFonts w:hint="eastAsia"/>
                <w:b/>
                <w:bCs/>
                <w:lang w:val="en-US" w:eastAsia="zh-CN"/>
              </w:rPr>
              <w:t>135</w:t>
            </w:r>
            <w:r>
              <w:rPr>
                <w:rFonts w:hint="eastAsia"/>
                <w:b/>
                <w:bCs/>
              </w:rPr>
              <w:t>t/a</w:t>
            </w:r>
          </w:p>
          <w:p w14:paraId="4C468DC4">
            <w:pPr>
              <w:bidi w:val="0"/>
              <w:rPr>
                <w:rFonts w:hint="eastAsia"/>
                <w:b/>
                <w:bCs/>
              </w:rPr>
            </w:pPr>
            <w:r>
              <w:rPr>
                <w:rFonts w:hint="eastAsia"/>
                <w:b/>
                <w:bCs/>
              </w:rPr>
              <w:t>N</w:t>
            </w:r>
            <w:r>
              <w:rPr>
                <w:b/>
                <w:bCs/>
              </w:rPr>
              <w:t>H</w:t>
            </w:r>
            <w:r>
              <w:rPr>
                <w:b/>
                <w:bCs/>
                <w:vertAlign w:val="subscript"/>
              </w:rPr>
              <w:t>3</w:t>
            </w:r>
            <w:r>
              <w:rPr>
                <w:b/>
                <w:bCs/>
              </w:rPr>
              <w:t>-N</w:t>
            </w:r>
            <w:r>
              <w:rPr>
                <w:rFonts w:hint="eastAsia"/>
                <w:b/>
                <w:bCs/>
              </w:rPr>
              <w:t>：</w:t>
            </w:r>
            <w:r>
              <w:rPr>
                <w:rFonts w:hint="eastAsia"/>
                <w:b/>
                <w:bCs/>
                <w:lang w:val="en-US" w:eastAsia="zh-CN"/>
              </w:rPr>
              <w:t>2702.825</w:t>
            </w:r>
            <w:r>
              <w:rPr>
                <w:rFonts w:hint="eastAsia"/>
                <w:b/>
                <w:bCs/>
              </w:rPr>
              <w:t>t/a</w:t>
            </w:r>
            <w:r>
              <w:rPr>
                <w:b/>
                <w:bCs/>
              </w:rPr>
              <w:t>×</w:t>
            </w:r>
            <w:r>
              <w:rPr>
                <w:rFonts w:hint="eastAsia"/>
                <w:b/>
                <w:bCs/>
                <w:lang w:val="en-US" w:eastAsia="zh-CN"/>
              </w:rPr>
              <w:t>5（8）</w:t>
            </w:r>
            <w:r>
              <w:rPr>
                <w:b/>
                <w:bCs/>
              </w:rPr>
              <w:t>mg/L×10</w:t>
            </w:r>
            <w:r>
              <w:rPr>
                <w:b/>
                <w:bCs/>
                <w:vertAlign w:val="superscript"/>
              </w:rPr>
              <w:t>-6</w:t>
            </w:r>
            <w:r>
              <w:rPr>
                <w:rFonts w:hint="eastAsia"/>
                <w:b/>
                <w:bCs/>
              </w:rPr>
              <w:t>=0.0</w:t>
            </w:r>
            <w:r>
              <w:rPr>
                <w:rFonts w:hint="eastAsia"/>
                <w:b/>
                <w:bCs/>
                <w:lang w:val="en-US" w:eastAsia="zh-CN"/>
              </w:rPr>
              <w:t>14（0.022）</w:t>
            </w:r>
            <w:r>
              <w:rPr>
                <w:rFonts w:hint="eastAsia"/>
                <w:b/>
                <w:bCs/>
              </w:rPr>
              <w:t>t/a</w:t>
            </w:r>
          </w:p>
          <w:p w14:paraId="5236420A">
            <w:pPr>
              <w:bidi w:val="0"/>
              <w:rPr>
                <w:b/>
                <w:bCs/>
              </w:rPr>
            </w:pPr>
            <w:r>
              <w:rPr>
                <w:b/>
                <w:bCs/>
              </w:rPr>
              <w:t>经核算</w:t>
            </w:r>
            <w:r>
              <w:rPr>
                <w:rFonts w:hint="eastAsia"/>
                <w:b/>
                <w:bCs/>
              </w:rPr>
              <w:t>，现有工程废水</w:t>
            </w:r>
            <w:r>
              <w:rPr>
                <w:b/>
                <w:bCs/>
              </w:rPr>
              <w:t>污染排放量见下表</w:t>
            </w:r>
            <w:r>
              <w:rPr>
                <w:rFonts w:hint="eastAsia"/>
                <w:b/>
                <w:bCs/>
              </w:rPr>
              <w:t>。</w:t>
            </w:r>
          </w:p>
          <w:p w14:paraId="11273231">
            <w:pPr>
              <w:pStyle w:val="22"/>
              <w:bidi w:val="0"/>
              <w:rPr>
                <w:rFonts w:hint="default"/>
              </w:rPr>
            </w:pPr>
            <w:r>
              <w:rPr>
                <w:rFonts w:hint="default"/>
              </w:rPr>
              <w:t>本项目废水总量指标</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81"/>
              <w:gridCol w:w="828"/>
              <w:gridCol w:w="2722"/>
              <w:gridCol w:w="3247"/>
            </w:tblGrid>
            <w:tr w14:paraId="3353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3" w:hRule="atLeast"/>
                <w:jc w:val="center"/>
              </w:trPr>
              <w:tc>
                <w:tcPr>
                  <w:tcW w:w="943" w:type="pct"/>
                  <w:vMerge w:val="restart"/>
                  <w:tcBorders>
                    <w:bottom w:val="single" w:color="auto" w:sz="4" w:space="0"/>
                    <w:right w:val="single" w:color="auto" w:sz="4" w:space="0"/>
                  </w:tcBorders>
                  <w:noWrap w:val="0"/>
                  <w:vAlign w:val="center"/>
                </w:tcPr>
                <w:p w14:paraId="40931D4C">
                  <w:pPr>
                    <w:pStyle w:val="23"/>
                    <w:bidi w:val="0"/>
                    <w:rPr>
                      <w:rFonts w:hint="default"/>
                    </w:rPr>
                  </w:pPr>
                  <w:r>
                    <w:rPr>
                      <w:rFonts w:hint="default"/>
                    </w:rPr>
                    <w:t>污染物名称</w:t>
                  </w:r>
                </w:p>
              </w:tc>
              <w:tc>
                <w:tcPr>
                  <w:tcW w:w="494" w:type="pct"/>
                  <w:vMerge w:val="restart"/>
                  <w:tcBorders>
                    <w:left w:val="single" w:color="auto" w:sz="4" w:space="0"/>
                    <w:bottom w:val="single" w:color="auto" w:sz="4" w:space="0"/>
                    <w:right w:val="single" w:color="auto" w:sz="4" w:space="0"/>
                  </w:tcBorders>
                  <w:noWrap w:val="0"/>
                  <w:vAlign w:val="center"/>
                </w:tcPr>
                <w:p w14:paraId="4B62FCF0">
                  <w:pPr>
                    <w:pStyle w:val="23"/>
                    <w:bidi w:val="0"/>
                    <w:rPr>
                      <w:rFonts w:hint="default"/>
                    </w:rPr>
                  </w:pPr>
                  <w:r>
                    <w:rPr>
                      <w:rFonts w:hint="default"/>
                    </w:rPr>
                    <w:t>单位</w:t>
                  </w:r>
                </w:p>
              </w:tc>
              <w:tc>
                <w:tcPr>
                  <w:tcW w:w="3561" w:type="pct"/>
                  <w:gridSpan w:val="2"/>
                  <w:tcBorders>
                    <w:left w:val="single" w:color="auto" w:sz="4" w:space="0"/>
                    <w:bottom w:val="single" w:color="auto" w:sz="4" w:space="0"/>
                  </w:tcBorders>
                  <w:noWrap w:val="0"/>
                  <w:vAlign w:val="center"/>
                </w:tcPr>
                <w:p w14:paraId="7FAAB530">
                  <w:pPr>
                    <w:pStyle w:val="23"/>
                    <w:bidi w:val="0"/>
                    <w:rPr>
                      <w:rFonts w:hint="default"/>
                    </w:rPr>
                  </w:pPr>
                  <w:r>
                    <w:rPr>
                      <w:rFonts w:hint="default"/>
                    </w:rPr>
                    <w:t>本项目总量控制指标</w:t>
                  </w:r>
                </w:p>
              </w:tc>
            </w:tr>
            <w:tr w14:paraId="6E11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03" w:hRule="atLeast"/>
                <w:jc w:val="center"/>
              </w:trPr>
              <w:tc>
                <w:tcPr>
                  <w:tcW w:w="943" w:type="pct"/>
                  <w:vMerge w:val="continue"/>
                  <w:tcBorders>
                    <w:top w:val="single" w:color="auto" w:sz="4" w:space="0"/>
                    <w:bottom w:val="single" w:color="auto" w:sz="4" w:space="0"/>
                    <w:right w:val="single" w:color="auto" w:sz="4" w:space="0"/>
                  </w:tcBorders>
                  <w:noWrap w:val="0"/>
                  <w:vAlign w:val="center"/>
                </w:tcPr>
                <w:p w14:paraId="26A9B8E0">
                  <w:pPr>
                    <w:pStyle w:val="23"/>
                    <w:bidi w:val="0"/>
                    <w:rPr>
                      <w:rFonts w:hint="default"/>
                    </w:rPr>
                  </w:pPr>
                </w:p>
              </w:tc>
              <w:tc>
                <w:tcPr>
                  <w:tcW w:w="494" w:type="pct"/>
                  <w:vMerge w:val="continue"/>
                  <w:tcBorders>
                    <w:top w:val="single" w:color="auto" w:sz="4" w:space="0"/>
                    <w:left w:val="single" w:color="auto" w:sz="4" w:space="0"/>
                    <w:bottom w:val="single" w:color="auto" w:sz="4" w:space="0"/>
                    <w:right w:val="single" w:color="auto" w:sz="4" w:space="0"/>
                  </w:tcBorders>
                  <w:noWrap w:val="0"/>
                  <w:vAlign w:val="center"/>
                </w:tcPr>
                <w:p w14:paraId="60B6BF95">
                  <w:pPr>
                    <w:pStyle w:val="23"/>
                    <w:bidi w:val="0"/>
                    <w:rPr>
                      <w:rFonts w:hint="default"/>
                    </w:rPr>
                  </w:pPr>
                </w:p>
              </w:tc>
              <w:tc>
                <w:tcPr>
                  <w:tcW w:w="1624" w:type="pct"/>
                  <w:tcBorders>
                    <w:top w:val="single" w:color="auto" w:sz="4" w:space="0"/>
                    <w:left w:val="single" w:color="auto" w:sz="4" w:space="0"/>
                    <w:bottom w:val="single" w:color="auto" w:sz="4" w:space="0"/>
                    <w:right w:val="single" w:color="auto" w:sz="4" w:space="0"/>
                  </w:tcBorders>
                  <w:noWrap w:val="0"/>
                  <w:vAlign w:val="center"/>
                </w:tcPr>
                <w:p w14:paraId="356E8326">
                  <w:pPr>
                    <w:pStyle w:val="23"/>
                    <w:bidi w:val="0"/>
                    <w:rPr>
                      <w:rFonts w:hint="default"/>
                    </w:rPr>
                  </w:pPr>
                  <w:r>
                    <w:rPr>
                      <w:rFonts w:hint="eastAsia"/>
                      <w:lang w:eastAsia="zh-CN"/>
                    </w:rPr>
                    <w:t>项目</w:t>
                  </w:r>
                  <w:r>
                    <w:rPr>
                      <w:rFonts w:hint="default"/>
                    </w:rPr>
                    <w:t>排口</w:t>
                  </w:r>
                </w:p>
              </w:tc>
              <w:tc>
                <w:tcPr>
                  <w:tcW w:w="1937" w:type="pct"/>
                  <w:tcBorders>
                    <w:top w:val="single" w:color="auto" w:sz="4" w:space="0"/>
                    <w:left w:val="single" w:color="auto" w:sz="4" w:space="0"/>
                    <w:bottom w:val="single" w:color="auto" w:sz="4" w:space="0"/>
                  </w:tcBorders>
                  <w:noWrap w:val="0"/>
                  <w:vAlign w:val="center"/>
                </w:tcPr>
                <w:p w14:paraId="26E67F7D">
                  <w:pPr>
                    <w:pStyle w:val="23"/>
                    <w:bidi w:val="0"/>
                    <w:rPr>
                      <w:rFonts w:hint="default"/>
                      <w:lang w:val="en-US"/>
                    </w:rPr>
                  </w:pPr>
                  <w:r>
                    <w:rPr>
                      <w:rFonts w:hint="eastAsia"/>
                      <w:lang w:val="en-US" w:eastAsia="zh-CN"/>
                    </w:rPr>
                    <w:t>遂宁市城南第一污水处理厂</w:t>
                  </w:r>
                </w:p>
              </w:tc>
            </w:tr>
            <w:tr w14:paraId="5240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6" w:hRule="atLeast"/>
                <w:jc w:val="center"/>
              </w:trPr>
              <w:tc>
                <w:tcPr>
                  <w:tcW w:w="943" w:type="pct"/>
                  <w:tcBorders>
                    <w:top w:val="single" w:color="auto" w:sz="4" w:space="0"/>
                    <w:bottom w:val="single" w:color="auto" w:sz="4" w:space="0"/>
                    <w:right w:val="single" w:color="auto" w:sz="4" w:space="0"/>
                  </w:tcBorders>
                  <w:noWrap w:val="0"/>
                  <w:vAlign w:val="center"/>
                </w:tcPr>
                <w:p w14:paraId="4F6EACA9">
                  <w:pPr>
                    <w:pStyle w:val="23"/>
                    <w:bidi w:val="0"/>
                    <w:rPr>
                      <w:rFonts w:hint="default" w:eastAsia="宋体"/>
                      <w:lang w:val="en-US" w:eastAsia="zh-CN"/>
                    </w:rPr>
                  </w:pPr>
                  <w:r>
                    <w:rPr>
                      <w:rFonts w:hint="default"/>
                    </w:rPr>
                    <w:t>COD</w:t>
                  </w:r>
                  <w:r>
                    <w:rPr>
                      <w:rFonts w:hint="eastAsia"/>
                      <w:vertAlign w:val="subscript"/>
                      <w:lang w:val="en-US" w:eastAsia="zh-CN"/>
                    </w:rPr>
                    <w:t>Cr</w:t>
                  </w:r>
                </w:p>
              </w:tc>
              <w:tc>
                <w:tcPr>
                  <w:tcW w:w="494" w:type="pct"/>
                  <w:tcBorders>
                    <w:top w:val="single" w:color="auto" w:sz="4" w:space="0"/>
                    <w:left w:val="single" w:color="auto" w:sz="4" w:space="0"/>
                    <w:bottom w:val="single" w:color="auto" w:sz="4" w:space="0"/>
                    <w:right w:val="single" w:color="auto" w:sz="4" w:space="0"/>
                  </w:tcBorders>
                  <w:noWrap w:val="0"/>
                  <w:vAlign w:val="center"/>
                </w:tcPr>
                <w:p w14:paraId="6EC46C14">
                  <w:pPr>
                    <w:pStyle w:val="23"/>
                    <w:bidi w:val="0"/>
                    <w:rPr>
                      <w:rFonts w:hint="default"/>
                    </w:rPr>
                  </w:pPr>
                  <w:r>
                    <w:rPr>
                      <w:rFonts w:hint="default"/>
                    </w:rPr>
                    <w:t>t/a</w:t>
                  </w:r>
                </w:p>
              </w:tc>
              <w:tc>
                <w:tcPr>
                  <w:tcW w:w="2603" w:type="dxa"/>
                  <w:tcBorders>
                    <w:top w:val="single" w:color="auto" w:sz="4" w:space="0"/>
                    <w:left w:val="single" w:color="auto" w:sz="4" w:space="0"/>
                    <w:bottom w:val="single" w:color="auto" w:sz="4" w:space="0"/>
                    <w:right w:val="single" w:color="auto" w:sz="4" w:space="0"/>
                  </w:tcBorders>
                  <w:noWrap w:val="0"/>
                  <w:vAlign w:val="center"/>
                </w:tcPr>
                <w:p w14:paraId="352D2A1D">
                  <w:pPr>
                    <w:pStyle w:val="23"/>
                    <w:bidi w:val="0"/>
                    <w:rPr>
                      <w:rFonts w:hint="default"/>
                      <w:lang w:val="en-US" w:eastAsia="zh-CN"/>
                    </w:rPr>
                  </w:pPr>
                  <w:r>
                    <w:rPr>
                      <w:rFonts w:hint="eastAsia"/>
                      <w:lang w:val="en-US" w:eastAsia="zh-CN"/>
                    </w:rPr>
                    <w:t>0.676</w:t>
                  </w:r>
                </w:p>
              </w:tc>
              <w:tc>
                <w:tcPr>
                  <w:tcW w:w="3104" w:type="dxa"/>
                  <w:tcBorders>
                    <w:top w:val="single" w:color="auto" w:sz="4" w:space="0"/>
                    <w:left w:val="single" w:color="auto" w:sz="4" w:space="0"/>
                    <w:bottom w:val="single" w:color="auto" w:sz="4" w:space="0"/>
                  </w:tcBorders>
                  <w:noWrap w:val="0"/>
                  <w:vAlign w:val="center"/>
                </w:tcPr>
                <w:p w14:paraId="5EBAADFF">
                  <w:pPr>
                    <w:pStyle w:val="23"/>
                    <w:bidi w:val="0"/>
                    <w:rPr>
                      <w:rFonts w:hint="default"/>
                      <w:lang w:val="en-US"/>
                    </w:rPr>
                  </w:pPr>
                  <w:r>
                    <w:rPr>
                      <w:rFonts w:hint="default"/>
                      <w:lang w:val="en-US" w:eastAsia="zh-CN"/>
                    </w:rPr>
                    <w:t>0.</w:t>
                  </w:r>
                  <w:r>
                    <w:rPr>
                      <w:rFonts w:hint="eastAsia"/>
                      <w:lang w:val="en-US" w:eastAsia="zh-CN"/>
                    </w:rPr>
                    <w:t>135</w:t>
                  </w:r>
                </w:p>
              </w:tc>
            </w:tr>
            <w:tr w14:paraId="3826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6" w:hRule="atLeast"/>
                <w:jc w:val="center"/>
              </w:trPr>
              <w:tc>
                <w:tcPr>
                  <w:tcW w:w="943" w:type="pct"/>
                  <w:tcBorders>
                    <w:top w:val="single" w:color="auto" w:sz="4" w:space="0"/>
                    <w:right w:val="single" w:color="auto" w:sz="4" w:space="0"/>
                  </w:tcBorders>
                  <w:noWrap w:val="0"/>
                  <w:vAlign w:val="center"/>
                </w:tcPr>
                <w:p w14:paraId="5D2A766D">
                  <w:pPr>
                    <w:pStyle w:val="23"/>
                    <w:bidi w:val="0"/>
                    <w:rPr>
                      <w:rFonts w:hint="default"/>
                    </w:rPr>
                  </w:pPr>
                  <w:r>
                    <w:rPr>
                      <w:rFonts w:hint="default"/>
                    </w:rPr>
                    <w:t>NH</w:t>
                  </w:r>
                  <w:r>
                    <w:rPr>
                      <w:rFonts w:hint="default"/>
                      <w:vertAlign w:val="subscript"/>
                    </w:rPr>
                    <w:t>3</w:t>
                  </w:r>
                  <w:r>
                    <w:rPr>
                      <w:rFonts w:hint="default"/>
                    </w:rPr>
                    <w:t>-N</w:t>
                  </w:r>
                </w:p>
              </w:tc>
              <w:tc>
                <w:tcPr>
                  <w:tcW w:w="494" w:type="pct"/>
                  <w:tcBorders>
                    <w:top w:val="single" w:color="auto" w:sz="4" w:space="0"/>
                    <w:left w:val="single" w:color="auto" w:sz="4" w:space="0"/>
                    <w:right w:val="single" w:color="auto" w:sz="4" w:space="0"/>
                  </w:tcBorders>
                  <w:noWrap w:val="0"/>
                  <w:vAlign w:val="center"/>
                </w:tcPr>
                <w:p w14:paraId="1AECE000">
                  <w:pPr>
                    <w:pStyle w:val="23"/>
                    <w:bidi w:val="0"/>
                    <w:rPr>
                      <w:rFonts w:hint="default"/>
                    </w:rPr>
                  </w:pPr>
                  <w:r>
                    <w:rPr>
                      <w:rFonts w:hint="default"/>
                    </w:rPr>
                    <w:t>t/a</w:t>
                  </w:r>
                </w:p>
              </w:tc>
              <w:tc>
                <w:tcPr>
                  <w:tcW w:w="2603" w:type="dxa"/>
                  <w:tcBorders>
                    <w:top w:val="single" w:color="auto" w:sz="4" w:space="0"/>
                    <w:left w:val="single" w:color="auto" w:sz="4" w:space="0"/>
                    <w:right w:val="single" w:color="auto" w:sz="4" w:space="0"/>
                  </w:tcBorders>
                  <w:noWrap w:val="0"/>
                  <w:vAlign w:val="center"/>
                </w:tcPr>
                <w:p w14:paraId="702BDDD8">
                  <w:pPr>
                    <w:pStyle w:val="23"/>
                    <w:bidi w:val="0"/>
                    <w:rPr>
                      <w:rFonts w:hint="default"/>
                      <w:lang w:val="en-US" w:eastAsia="zh-CN"/>
                    </w:rPr>
                  </w:pPr>
                  <w:r>
                    <w:rPr>
                      <w:rFonts w:hint="eastAsia"/>
                      <w:lang w:val="en-US" w:eastAsia="zh-CN"/>
                    </w:rPr>
                    <w:t>0.122</w:t>
                  </w:r>
                </w:p>
              </w:tc>
              <w:tc>
                <w:tcPr>
                  <w:tcW w:w="3104" w:type="dxa"/>
                  <w:tcBorders>
                    <w:top w:val="single" w:color="auto" w:sz="4" w:space="0"/>
                    <w:left w:val="single" w:color="auto" w:sz="4" w:space="0"/>
                  </w:tcBorders>
                  <w:noWrap w:val="0"/>
                  <w:vAlign w:val="center"/>
                </w:tcPr>
                <w:p w14:paraId="5EB7639F">
                  <w:pPr>
                    <w:pStyle w:val="23"/>
                    <w:bidi w:val="0"/>
                    <w:rPr>
                      <w:rFonts w:hint="default"/>
                      <w:lang w:val="en-US" w:eastAsia="zh-CN"/>
                    </w:rPr>
                  </w:pPr>
                  <w:r>
                    <w:rPr>
                      <w:rFonts w:hint="eastAsia"/>
                      <w:lang w:val="en-US" w:eastAsia="zh-CN"/>
                    </w:rPr>
                    <w:t>0.014（0.022）</w:t>
                  </w:r>
                </w:p>
              </w:tc>
            </w:tr>
          </w:tbl>
          <w:p w14:paraId="126203BC">
            <w:pPr>
              <w:pStyle w:val="4"/>
              <w:bidi w:val="0"/>
              <w:rPr>
                <w:rFonts w:hint="default"/>
              </w:rPr>
            </w:pPr>
            <w:r>
              <w:rPr>
                <w:rFonts w:hint="default"/>
              </w:rPr>
              <w:t>废气</w:t>
            </w:r>
          </w:p>
          <w:p w14:paraId="54D7ED83">
            <w:pPr>
              <w:bidi w:val="0"/>
              <w:rPr>
                <w:rFonts w:hint="eastAsia" w:ascii="宋体" w:hAnsi="宋体" w:cs="宋体"/>
                <w:kern w:val="0"/>
                <w:szCs w:val="21"/>
              </w:rPr>
            </w:pPr>
            <w:r>
              <w:rPr>
                <w:rFonts w:hint="default"/>
                <w:lang w:val="en-US" w:eastAsia="zh-CN"/>
              </w:rPr>
              <w:t>本项目</w:t>
            </w:r>
            <w:r>
              <w:rPr>
                <w:rFonts w:hint="eastAsia"/>
                <w:lang w:val="en-US" w:eastAsia="zh-CN"/>
              </w:rPr>
              <w:t>不涉及NOx和</w:t>
            </w:r>
            <w:r>
              <w:rPr>
                <w:rFonts w:hint="default"/>
                <w:lang w:val="en-US" w:eastAsia="zh-CN"/>
              </w:rPr>
              <w:t>VOCs</w:t>
            </w:r>
            <w:r>
              <w:rPr>
                <w:rFonts w:hint="eastAsia"/>
                <w:lang w:val="en-US" w:eastAsia="zh-CN"/>
              </w:rPr>
              <w:t>，不涉及总量控制指标</w:t>
            </w:r>
            <w:r>
              <w:rPr>
                <w:rFonts w:hint="default"/>
                <w:lang w:val="en-US" w:eastAsia="zh-CN"/>
              </w:rPr>
              <w:t>。</w:t>
            </w:r>
          </w:p>
        </w:tc>
      </w:tr>
    </w:tbl>
    <w:p w14:paraId="0D68F634">
      <w:pPr>
        <w:pageBreakBefore w:val="0"/>
        <w:wordWrap/>
        <w:bidi w:val="0"/>
        <w:adjustRightInd w:val="0"/>
        <w:snapToGrid w:val="0"/>
        <w:jc w:val="center"/>
        <w:outlineLvl w:val="0"/>
        <w:rPr>
          <w:rFonts w:hint="eastAsia" w:ascii="黑体" w:hAnsi="黑体" w:eastAsia="黑体"/>
          <w:snapToGrid w:val="0"/>
          <w:sz w:val="30"/>
          <w:szCs w:val="30"/>
        </w:rPr>
        <w:sectPr>
          <w:pgSz w:w="11907" w:h="16840"/>
          <w:pgMar w:top="1701" w:right="1531" w:bottom="2127" w:left="1531" w:header="1361" w:footer="1757" w:gutter="0"/>
          <w:pgBorders>
            <w:top w:val="none" w:sz="0" w:space="0"/>
            <w:left w:val="none" w:sz="0" w:space="0"/>
            <w:bottom w:val="none" w:sz="0" w:space="0"/>
            <w:right w:val="none" w:sz="0" w:space="0"/>
          </w:pgBorders>
          <w:pgNumType w:fmt="decimal"/>
          <w:cols w:space="720" w:num="1"/>
          <w:docGrid w:linePitch="312" w:charSpace="0"/>
        </w:sectPr>
      </w:pPr>
      <w:bookmarkStart w:id="19" w:name="_Toc23234"/>
      <w:bookmarkStart w:id="20" w:name="_Toc32029"/>
    </w:p>
    <w:p w14:paraId="3EB726D4">
      <w:pPr>
        <w:pStyle w:val="2"/>
        <w:bidi w:val="0"/>
        <w:rPr>
          <w:rFonts w:hint="eastAsia"/>
        </w:rPr>
      </w:pPr>
      <w:r>
        <w:rPr>
          <w:rFonts w:hint="eastAsia"/>
        </w:rPr>
        <w:t>主要环境影响和保护措施</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8533"/>
      </w:tblGrid>
      <w:tr w14:paraId="01D0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shd w:val="clear" w:color="auto" w:fill="auto"/>
            <w:vAlign w:val="center"/>
          </w:tcPr>
          <w:p w14:paraId="4D21FD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b/>
                <w:sz w:val="24"/>
                <w:lang w:val="en-US" w:eastAsia="zh-CN"/>
              </w:rPr>
            </w:pPr>
            <w:r>
              <w:rPr>
                <w:rStyle w:val="17"/>
                <w:rFonts w:hint="eastAsia"/>
                <w:b/>
                <w:sz w:val="24"/>
                <w:lang w:eastAsia="zh-CN"/>
              </w:rPr>
              <w:t>施工期环境保护措施</w:t>
            </w:r>
          </w:p>
        </w:tc>
        <w:tc>
          <w:tcPr>
            <w:tcW w:w="8533" w:type="dxa"/>
            <w:shd w:val="clear" w:color="auto" w:fill="auto"/>
            <w:vAlign w:val="top"/>
          </w:tcPr>
          <w:p w14:paraId="773CB8D6">
            <w:pPr>
              <w:pStyle w:val="3"/>
              <w:bidi w:val="0"/>
              <w:rPr>
                <w:rFonts w:hint="eastAsia"/>
                <w:lang w:val="en-US" w:eastAsia="zh-CN"/>
              </w:rPr>
            </w:pPr>
            <w:r>
              <w:rPr>
                <w:rFonts w:hint="eastAsia"/>
                <w:lang w:val="en-US" w:eastAsia="zh-CN"/>
              </w:rPr>
              <w:t>施工期污染物产生、治理及排放</w:t>
            </w:r>
          </w:p>
          <w:p w14:paraId="0F5989C3">
            <w:pPr>
              <w:bidi w:val="0"/>
              <w:rPr>
                <w:rFonts w:hint="eastAsia" w:ascii="Times New Roman" w:hAnsi="Times New Roman" w:eastAsia="宋体" w:cs="Times New Roman"/>
                <w:kern w:val="2"/>
                <w:sz w:val="21"/>
                <w:szCs w:val="24"/>
                <w:lang w:val="en-US" w:eastAsia="zh-CN" w:bidi="ar-SA"/>
              </w:rPr>
            </w:pPr>
            <w:r>
              <w:rPr>
                <w:rFonts w:hint="default"/>
                <w:lang w:val="en-US" w:eastAsia="zh-CN"/>
              </w:rPr>
              <w:t>由于该项目已建成，</w:t>
            </w:r>
            <w:r>
              <w:rPr>
                <w:rFonts w:hint="eastAsia"/>
                <w:lang w:val="en-US" w:eastAsia="zh-CN"/>
              </w:rPr>
              <w:t>施工期环境影响已消除，因此不再对施工期做环境影响评价。</w:t>
            </w:r>
          </w:p>
        </w:tc>
      </w:tr>
      <w:tr w14:paraId="6FD4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14:paraId="7E2BE9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b/>
                <w:sz w:val="24"/>
              </w:rPr>
            </w:pPr>
            <w:r>
              <w:rPr>
                <w:rStyle w:val="17"/>
                <w:rFonts w:hint="eastAsia"/>
                <w:b/>
                <w:sz w:val="24"/>
              </w:rPr>
              <w:t>运营</w:t>
            </w:r>
          </w:p>
          <w:p w14:paraId="5FF48E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b/>
                <w:sz w:val="24"/>
              </w:rPr>
            </w:pPr>
            <w:r>
              <w:rPr>
                <w:rStyle w:val="17"/>
                <w:rFonts w:hint="eastAsia"/>
                <w:b/>
                <w:sz w:val="24"/>
              </w:rPr>
              <w:t>期环</w:t>
            </w:r>
          </w:p>
          <w:p w14:paraId="2EC714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b/>
                <w:sz w:val="24"/>
              </w:rPr>
            </w:pPr>
            <w:r>
              <w:rPr>
                <w:rStyle w:val="17"/>
                <w:rFonts w:hint="eastAsia"/>
                <w:b/>
                <w:sz w:val="24"/>
              </w:rPr>
              <w:t>境影</w:t>
            </w:r>
          </w:p>
          <w:p w14:paraId="393F0C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b/>
                <w:sz w:val="24"/>
              </w:rPr>
            </w:pPr>
            <w:r>
              <w:rPr>
                <w:rStyle w:val="17"/>
                <w:rFonts w:hint="eastAsia"/>
                <w:b/>
                <w:sz w:val="24"/>
              </w:rPr>
              <w:t>响和</w:t>
            </w:r>
          </w:p>
          <w:p w14:paraId="515923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b/>
                <w:sz w:val="24"/>
              </w:rPr>
            </w:pPr>
            <w:r>
              <w:rPr>
                <w:rStyle w:val="17"/>
                <w:rFonts w:hint="eastAsia"/>
                <w:b/>
                <w:sz w:val="24"/>
              </w:rPr>
              <w:t>保护</w:t>
            </w:r>
          </w:p>
          <w:p w14:paraId="030CFD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b/>
                <w:sz w:val="24"/>
              </w:rPr>
            </w:pPr>
            <w:r>
              <w:rPr>
                <w:rStyle w:val="17"/>
                <w:rFonts w:hint="eastAsia"/>
                <w:b/>
                <w:sz w:val="24"/>
              </w:rPr>
              <w:t>措施</w:t>
            </w:r>
          </w:p>
        </w:tc>
        <w:tc>
          <w:tcPr>
            <w:tcW w:w="8533" w:type="dxa"/>
            <w:vAlign w:val="center"/>
          </w:tcPr>
          <w:p w14:paraId="53177B07">
            <w:pPr>
              <w:pStyle w:val="3"/>
              <w:bidi w:val="0"/>
            </w:pPr>
            <w:r>
              <w:t>营运期污染物产生、治理及排放</w:t>
            </w:r>
          </w:p>
          <w:p w14:paraId="023E72B8">
            <w:pPr>
              <w:pStyle w:val="4"/>
              <w:bidi w:val="0"/>
            </w:pPr>
            <w:r>
              <w:t>废气环境影响及治理措施</w:t>
            </w:r>
          </w:p>
          <w:p w14:paraId="64B0498B">
            <w:pPr>
              <w:bidi w:val="0"/>
            </w:pPr>
            <w:r>
              <w:t>本项目不设锅炉房、食堂，因此，废气主要来源于废物暂存间臭气、医院浑浊空气、污水处理站</w:t>
            </w:r>
            <w:r>
              <w:rPr>
                <w:rFonts w:hint="eastAsia"/>
                <w:lang w:eastAsia="zh-CN"/>
              </w:rPr>
              <w:t>臭气</w:t>
            </w:r>
            <w:r>
              <w:t>和备用柴油发电机废气。</w:t>
            </w:r>
          </w:p>
          <w:p w14:paraId="31B1F88C">
            <w:pPr>
              <w:bidi w:val="0"/>
            </w:pPr>
            <w:r>
              <w:t>（1）污水处理站臭气</w:t>
            </w:r>
          </w:p>
          <w:p w14:paraId="47761C29">
            <w:pPr>
              <w:bidi w:val="0"/>
            </w:pPr>
            <w:r>
              <w:t>本项目产生的医疗废水</w:t>
            </w:r>
            <w:r>
              <w:rPr>
                <w:rFonts w:hint="eastAsia"/>
                <w:lang w:val="en-US" w:eastAsia="zh-CN"/>
              </w:rPr>
              <w:t>由</w:t>
            </w:r>
            <w:r>
              <w:t>院区内已建污水处理站</w:t>
            </w:r>
            <w:r>
              <w:rPr>
                <w:rFonts w:hint="eastAsia"/>
                <w:lang w:eastAsia="zh-CN"/>
              </w:rPr>
              <w:t>处理</w:t>
            </w:r>
            <w:r>
              <w:t>。本项目污水中含有大量有机物，在污水生化处理过程中将产生氨、硫化氢等物质，从而形成恶臭。</w:t>
            </w:r>
            <w:r>
              <w:rPr>
                <w:rFonts w:hint="eastAsia"/>
              </w:rPr>
              <w:t>由于本项目</w:t>
            </w:r>
            <w:r>
              <w:rPr>
                <w:rFonts w:hint="eastAsia"/>
                <w:lang w:val="en-US" w:eastAsia="zh-CN"/>
              </w:rPr>
              <w:t>所用的一体化污水处理设备处理量小，污水停留时间短，所以只有少量臭气产生</w:t>
            </w:r>
            <w:r>
              <w:rPr>
                <w:rFonts w:hint="eastAsia"/>
              </w:rPr>
              <w:t>，</w:t>
            </w:r>
            <w:r>
              <w:rPr>
                <w:rFonts w:hint="eastAsia"/>
                <w:lang w:eastAsia="zh-CN"/>
              </w:rPr>
              <w:t>并</w:t>
            </w:r>
            <w:r>
              <w:rPr>
                <w:rFonts w:hint="default"/>
              </w:rPr>
              <w:t>定期对污水处理站区域喷洒除臭剂</w:t>
            </w:r>
            <w:r>
              <w:rPr>
                <w:rFonts w:hint="eastAsia"/>
                <w:lang w:eastAsia="zh-CN"/>
              </w:rPr>
              <w:t>，</w:t>
            </w:r>
            <w:r>
              <w:t>因此，</w:t>
            </w:r>
            <w:r>
              <w:rPr>
                <w:rFonts w:hint="eastAsia"/>
              </w:rPr>
              <w:t>污水处理站产生的</w:t>
            </w:r>
            <w:r>
              <w:t>废气不会对周围环境产生明显影响。</w:t>
            </w:r>
          </w:p>
          <w:p w14:paraId="5F45B0D2">
            <w:pPr>
              <w:bidi w:val="0"/>
            </w:pPr>
            <w:r>
              <w:t>（2）医疗暂存间臭气</w:t>
            </w:r>
          </w:p>
          <w:p w14:paraId="4F0EBD76">
            <w:pPr>
              <w:bidi w:val="0"/>
            </w:pPr>
            <w:r>
              <w:t>本项目在</w:t>
            </w:r>
            <w:r>
              <w:rPr>
                <w:rFonts w:hint="eastAsia"/>
              </w:rPr>
              <w:t>一层</w:t>
            </w:r>
            <w:r>
              <w:t>设置医疗废物暂存间，暂存医疗废物期间会产生</w:t>
            </w:r>
            <w:r>
              <w:rPr>
                <w:rFonts w:hint="eastAsia"/>
              </w:rPr>
              <w:t>少量</w:t>
            </w:r>
            <w:r>
              <w:t>恶臭气体。</w:t>
            </w:r>
          </w:p>
          <w:p w14:paraId="78249659">
            <w:pPr>
              <w:bidi w:val="0"/>
            </w:pPr>
            <w:r>
              <w:rPr>
                <w:rFonts w:hint="eastAsia"/>
                <w:lang w:eastAsia="zh-CN"/>
              </w:rPr>
              <w:t>已</w:t>
            </w:r>
            <w:r>
              <w:t>采取治理措施：本项目医疗废物暂存间为单独密闭房间，在一般处于关闭状态。医疗废物经专用医疗废物桶密闭收集贮存。医院设专人负责清理和喷洒消毒药水，医废暂存时间最多不超过2天，及时由医疗废物处置单位处置，做到定期清理。</w:t>
            </w:r>
          </w:p>
          <w:p w14:paraId="7F673B3A">
            <w:pPr>
              <w:bidi w:val="0"/>
              <w:rPr>
                <w:rFonts w:hint="default"/>
                <w:lang w:val="en-US"/>
              </w:rPr>
            </w:pPr>
            <w:r>
              <w:t>（3）</w:t>
            </w:r>
            <w:r>
              <w:rPr>
                <w:rFonts w:hint="eastAsia"/>
                <w:lang w:val="en-US" w:eastAsia="zh-CN"/>
              </w:rPr>
              <w:t>医院浑浊空气</w:t>
            </w:r>
          </w:p>
          <w:p w14:paraId="4E5C9270">
            <w:pPr>
              <w:bidi w:val="0"/>
            </w:pPr>
            <w:r>
              <w:t>医院不同于其它的公共场所，由于来往病人较多，病人会带</w:t>
            </w:r>
            <w:r>
              <w:rPr>
                <w:rFonts w:hint="eastAsia"/>
                <w:lang w:eastAsia="zh-CN"/>
              </w:rPr>
              <w:t>入</w:t>
            </w:r>
            <w:r>
              <w:t>不同的细菌和病毒，若通风措施不好，使医院内部的空气经常被污染，对病人及医护人员存在较大的染病风险。</w:t>
            </w:r>
          </w:p>
          <w:p w14:paraId="5F750DF1">
            <w:pPr>
              <w:bidi w:val="0"/>
            </w:pPr>
            <w:r>
              <w:rPr>
                <w:rFonts w:hint="eastAsia"/>
                <w:lang w:eastAsia="zh-CN"/>
              </w:rPr>
              <w:t>已</w:t>
            </w:r>
            <w:r>
              <w:t>采取治理措施：要求医院按照《医院空气净化管理规范》（WS/T368-2012）和《医疗机构消毒技术规范》（WS/T367-2012）的要求，严格管理，对室内定期进行紫外消毒灭菌（每日至少一次）以降低空气中含菌量；同时加强室内通风，靠窗办公室及病房采用自然通风，其他区域拟采用机械通风，利用空调系统送风，排风口均置于本项目所在大楼屋顶平台。</w:t>
            </w:r>
          </w:p>
          <w:p w14:paraId="1F9CEFE5">
            <w:pPr>
              <w:bidi w:val="0"/>
              <w:rPr>
                <w:lang w:val="en-US" w:eastAsia="zh-CN"/>
              </w:rPr>
            </w:pPr>
            <w:r>
              <w:rPr>
                <w:lang w:val="en-US" w:eastAsia="zh-CN"/>
              </w:rPr>
              <w:t>（4）备用柴油发电机废气</w:t>
            </w:r>
          </w:p>
          <w:p w14:paraId="518AD5E7">
            <w:pPr>
              <w:bidi w:val="0"/>
            </w:pPr>
            <w:r>
              <w:t>项目拟在</w:t>
            </w:r>
            <w:r>
              <w:rPr>
                <w:rFonts w:hint="eastAsia"/>
                <w:lang w:eastAsia="zh-CN"/>
              </w:rPr>
              <w:t>一</w:t>
            </w:r>
            <w:r>
              <w:rPr>
                <w:rFonts w:hint="eastAsia"/>
              </w:rPr>
              <w:t>层</w:t>
            </w:r>
            <w:r>
              <w:t>设置一处柴油发电机房，内设一台50KW的备用柴油发电机，当城市电网断电时，备用柴油发电机将投入运行，为医院提供必要的照明和动力短时供电。柴油发电机产生的烟气主要为柴油燃烧后产生的NOx、CO、TSP 和未完全燃烧的碳氢化合物。</w:t>
            </w:r>
          </w:p>
          <w:p w14:paraId="2186300F">
            <w:pPr>
              <w:bidi w:val="0"/>
            </w:pPr>
            <w:r>
              <w:rPr>
                <w:rFonts w:hint="eastAsia"/>
                <w:lang w:eastAsia="zh-CN"/>
              </w:rPr>
              <w:t>已采取</w:t>
            </w:r>
            <w:r>
              <w:t>治理措施：经过发电机自带的消烟除尘装置处理后，由专用排烟道引至</w:t>
            </w:r>
            <w:r>
              <w:rPr>
                <w:rFonts w:hint="eastAsia"/>
                <w:lang w:val="en-US" w:eastAsia="zh-CN"/>
              </w:rPr>
              <w:t>楼外</w:t>
            </w:r>
            <w:r>
              <w:t>排放。另外，加之项目所在区域电力供应充足，其柴油发电机的使用频率很小。因此，柴油发电机废气不会对周围环境产生明显影响。</w:t>
            </w:r>
          </w:p>
          <w:p w14:paraId="24A79A0A">
            <w:pPr>
              <w:pStyle w:val="4"/>
              <w:bidi w:val="0"/>
            </w:pPr>
            <w:r>
              <w:t>废水产生及治理措施</w:t>
            </w:r>
          </w:p>
          <w:p w14:paraId="5B6E9C94">
            <w:pPr>
              <w:bidi w:val="0"/>
              <w:rPr>
                <w:rFonts w:hint="eastAsia"/>
              </w:rPr>
            </w:pPr>
            <w:r>
              <w:t>本项目废水主要为住院病人、门诊活动医疗废水</w:t>
            </w:r>
            <w:r>
              <w:rPr>
                <w:rFonts w:hint="eastAsia"/>
                <w:lang w:eastAsia="zh-CN"/>
              </w:rPr>
              <w:t>和</w:t>
            </w:r>
            <w:r>
              <w:t>办公生活污水</w:t>
            </w:r>
            <w:r>
              <w:rPr>
                <w:rFonts w:hint="eastAsia"/>
              </w:rPr>
              <w:t>。</w:t>
            </w:r>
          </w:p>
          <w:p w14:paraId="64AEC5AC">
            <w:pPr>
              <w:bidi w:val="0"/>
            </w:pPr>
            <w:r>
              <w:t>（1）废水产生情况分析</w:t>
            </w:r>
          </w:p>
          <w:p w14:paraId="050788B4">
            <w:pPr>
              <w:bidi w:val="0"/>
            </w:pPr>
            <w:r>
              <w:t>①</w:t>
            </w:r>
            <w:r>
              <w:rPr>
                <w:rFonts w:hint="eastAsia"/>
                <w:lang w:val="en-US" w:eastAsia="zh-CN"/>
              </w:rPr>
              <w:t>住院病人及门诊活动</w:t>
            </w:r>
            <w:r>
              <w:t>废水</w:t>
            </w:r>
          </w:p>
          <w:p w14:paraId="68F7A002">
            <w:pPr>
              <w:bidi w:val="0"/>
            </w:pPr>
            <w:r>
              <w:t>一般医疗废水来源于住院病人和门诊活动，一般医疗废水的产生量为</w:t>
            </w:r>
            <w:r>
              <w:rPr>
                <w:rFonts w:hint="eastAsia"/>
                <w:lang w:val="en-US" w:eastAsia="zh-CN"/>
              </w:rPr>
              <w:t>5.15t</w:t>
            </w:r>
            <w:r>
              <w:t>/d，</w:t>
            </w:r>
            <w:r>
              <w:rPr>
                <w:rFonts w:hint="eastAsia"/>
                <w:lang w:val="en-US" w:eastAsia="zh-CN"/>
              </w:rPr>
              <w:t>1879.75t</w:t>
            </w:r>
            <w:r>
              <w:t>/a。该废水中除含致病病菌和病毒外，水质与生活污水相似，污染物以COD、SS、NH</w:t>
            </w:r>
            <w:r>
              <w:rPr>
                <w:vertAlign w:val="subscript"/>
              </w:rPr>
              <w:t>3</w:t>
            </w:r>
            <w:r>
              <w:t>-N、BOD</w:t>
            </w:r>
            <w:r>
              <w:rPr>
                <w:vertAlign w:val="subscript"/>
              </w:rPr>
              <w:t>5</w:t>
            </w:r>
            <w:r>
              <w:t>、粪大肠菌群为主。</w:t>
            </w:r>
          </w:p>
          <w:p w14:paraId="33912055">
            <w:pPr>
              <w:bidi w:val="0"/>
            </w:pPr>
            <w:r>
              <w:t>②特殊医疗废水</w:t>
            </w:r>
          </w:p>
          <w:p w14:paraId="1A4F1641">
            <w:pPr>
              <w:bidi w:val="0"/>
            </w:pPr>
            <w:r>
              <w:t>本项目不设传染病房及传染病门诊科室、检验科，若发现传热病毒携带者，立即进行隔离，由专用救护车送至市属</w:t>
            </w:r>
            <w:r>
              <w:rPr>
                <w:rFonts w:hint="eastAsia"/>
              </w:rPr>
              <w:t>综合医院</w:t>
            </w:r>
            <w:r>
              <w:t>诊治；放射科采用数码成像。因此本项目不产生含传染病菌废水、不产生含汞等重金属废水、不产生废显影液，无特殊医疗废水。</w:t>
            </w:r>
          </w:p>
          <w:p w14:paraId="6F27ACBF">
            <w:pPr>
              <w:bidi w:val="0"/>
              <w:rPr>
                <w:rFonts w:hint="eastAsia"/>
                <w:lang w:eastAsia="zh-CN"/>
              </w:rPr>
            </w:pPr>
            <w:r>
              <w:t>③</w:t>
            </w:r>
            <w:r>
              <w:rPr>
                <w:rFonts w:hint="eastAsia"/>
                <w:lang w:eastAsia="zh-CN"/>
              </w:rPr>
              <w:t>办公生活污水</w:t>
            </w:r>
          </w:p>
          <w:p w14:paraId="6F2EC1D0">
            <w:pPr>
              <w:bidi w:val="0"/>
            </w:pPr>
            <w:r>
              <w:rPr>
                <w:rFonts w:hint="eastAsia"/>
                <w:lang w:eastAsia="zh-CN"/>
              </w:rPr>
              <w:t>办公生活污水</w:t>
            </w:r>
            <w:r>
              <w:t>来源于行政管理人员、医务人员及后勤人员办公生活产生的废水，产生量为</w:t>
            </w:r>
            <w:r>
              <w:rPr>
                <w:rFonts w:hint="eastAsia"/>
                <w:lang w:val="en-US" w:eastAsia="zh-CN"/>
              </w:rPr>
              <w:t>3.561t</w:t>
            </w:r>
            <w:r>
              <w:t>/d，</w:t>
            </w:r>
            <w:r>
              <w:rPr>
                <w:rFonts w:hint="eastAsia"/>
                <w:lang w:val="en-US" w:eastAsia="zh-CN"/>
              </w:rPr>
              <w:t>1299.75t</w:t>
            </w:r>
            <w:r>
              <w:t>/a。污染因子主要为COD、SS、NH</w:t>
            </w:r>
            <w:r>
              <w:rPr>
                <w:vertAlign w:val="subscript"/>
              </w:rPr>
              <w:t>3</w:t>
            </w:r>
            <w:r>
              <w:t>-N、BOD</w:t>
            </w:r>
            <w:r>
              <w:rPr>
                <w:vertAlign w:val="subscript"/>
              </w:rPr>
              <w:t>5</w:t>
            </w:r>
            <w:r>
              <w:t>、粪大肠菌群。</w:t>
            </w:r>
          </w:p>
          <w:p w14:paraId="10A3C987">
            <w:pPr>
              <w:bidi w:val="0"/>
            </w:pPr>
            <w:r>
              <w:t>（2）废水治理措施及污染物排放情况</w:t>
            </w:r>
          </w:p>
          <w:p w14:paraId="78A49D11">
            <w:pPr>
              <w:bidi w:val="0"/>
            </w:pPr>
            <w:r>
              <w:t>本项目废水产生量为</w:t>
            </w:r>
            <w:r>
              <w:rPr>
                <w:rFonts w:hint="eastAsia"/>
                <w:lang w:val="en-US" w:eastAsia="zh-CN"/>
              </w:rPr>
              <w:t>7.405t</w:t>
            </w:r>
            <w:r>
              <w:t>/d，</w:t>
            </w:r>
            <w:r>
              <w:rPr>
                <w:rFonts w:hint="eastAsia"/>
                <w:lang w:val="en-US" w:eastAsia="zh-CN"/>
              </w:rPr>
              <w:t>2702.825t</w:t>
            </w:r>
            <w:r>
              <w:t>/a，</w:t>
            </w:r>
            <w:r>
              <w:rPr>
                <w:rFonts w:hint="eastAsia"/>
                <w:lang w:val="en-US" w:eastAsia="zh-CN"/>
              </w:rPr>
              <w:t>废水</w:t>
            </w:r>
            <w:r>
              <w:rPr>
                <w:rFonts w:hint="eastAsia"/>
              </w:rPr>
              <w:t>进入院区内预处理池收集处理后，进入一体化污水处理设备（采用格栅调节+接触氧化+沉淀+消毒工艺）处理，达标后，通过市政污水管网进入</w:t>
            </w:r>
            <w:r>
              <w:rPr>
                <w:rFonts w:hint="eastAsia"/>
                <w:lang w:eastAsia="zh-CN"/>
              </w:rPr>
              <w:t>遂宁市城南第一污水处理厂</w:t>
            </w:r>
            <w:r>
              <w:rPr>
                <w:rFonts w:hint="eastAsia"/>
              </w:rPr>
              <w:t>处理</w:t>
            </w:r>
            <w:r>
              <w:rPr>
                <w:rFonts w:hint="eastAsia"/>
                <w:lang w:eastAsia="zh-CN"/>
              </w:rPr>
              <w:t>达到</w:t>
            </w:r>
            <w:r>
              <w:rPr>
                <w:rFonts w:hint="eastAsia"/>
              </w:rPr>
              <w:t>《城镇污水处理厂污染物排放标准》（GB 18918-2002）</w:t>
            </w:r>
            <w:r>
              <w:rPr>
                <w:rFonts w:hint="eastAsia"/>
                <w:lang w:eastAsia="zh-CN"/>
              </w:rPr>
              <w:t>中</w:t>
            </w:r>
            <w:r>
              <w:rPr>
                <w:rFonts w:hint="eastAsia"/>
              </w:rPr>
              <w:t>一级A</w:t>
            </w:r>
            <w:r>
              <w:rPr>
                <w:rFonts w:hint="eastAsia"/>
                <w:lang w:eastAsia="zh-CN"/>
              </w:rPr>
              <w:t>标准后</w:t>
            </w:r>
            <w:r>
              <w:rPr>
                <w:rFonts w:hint="eastAsia"/>
              </w:rPr>
              <w:t>，最终排入涪江</w:t>
            </w:r>
            <w:r>
              <w:t>。</w:t>
            </w:r>
          </w:p>
          <w:p w14:paraId="7293A9E9">
            <w:pPr>
              <w:bidi w:val="0"/>
            </w:pPr>
            <w:r>
              <w:t>项目排水采用</w:t>
            </w:r>
            <w:r>
              <w:rPr>
                <w:rFonts w:hint="eastAsia"/>
                <w:lang w:eastAsia="zh-CN"/>
              </w:rPr>
              <w:t>“</w:t>
            </w:r>
            <w:r>
              <w:t>雨污分流</w:t>
            </w:r>
            <w:r>
              <w:rPr>
                <w:rFonts w:hint="eastAsia"/>
                <w:lang w:eastAsia="zh-CN"/>
              </w:rPr>
              <w:t>”</w:t>
            </w:r>
            <w:r>
              <w:t>制，雨水经雨水管道收集后，排至项目东侧</w:t>
            </w:r>
            <w:r>
              <w:rPr>
                <w:rFonts w:hint="eastAsia"/>
              </w:rPr>
              <w:t>涪</w:t>
            </w:r>
            <w:r>
              <w:t>江。</w:t>
            </w:r>
          </w:p>
          <w:p w14:paraId="0F1AC95F">
            <w:pPr>
              <w:bidi w:val="0"/>
            </w:pPr>
            <w:r>
              <w:rPr>
                <w:rFonts w:hint="eastAsia"/>
              </w:rPr>
              <w:t>根据《医院污水处理工程技术规范》（HJ2029-2013），医院污水水质为COD</w:t>
            </w:r>
            <w:r>
              <w:rPr>
                <w:rFonts w:hint="eastAsia"/>
                <w:vertAlign w:val="subscript"/>
                <w:lang w:val="en-US" w:eastAsia="zh-CN"/>
              </w:rPr>
              <w:t>Cr</w:t>
            </w:r>
            <w:r>
              <w:rPr>
                <w:rFonts w:hint="eastAsia"/>
              </w:rPr>
              <w:t>：150～300mg/L、BOD</w:t>
            </w:r>
            <w:r>
              <w:rPr>
                <w:rFonts w:hint="eastAsia"/>
                <w:vertAlign w:val="subscript"/>
              </w:rPr>
              <w:t>5</w:t>
            </w:r>
            <w:r>
              <w:rPr>
                <w:rFonts w:hint="eastAsia"/>
              </w:rPr>
              <w:t>：80～150mg/L、SS：40～120mg/L、NH3-N：10～50mg/L、粪大肠菌群</w:t>
            </w:r>
            <w:r>
              <w:rPr>
                <w:rFonts w:hint="eastAsia"/>
                <w:lang w:eastAsia="zh-CN"/>
              </w:rPr>
              <w:t>：</w:t>
            </w:r>
            <w:r>
              <w:rPr>
                <w:rFonts w:hint="eastAsia"/>
              </w:rPr>
              <w:t>1.0×106～3.0×108mg/L</w:t>
            </w:r>
            <w:r>
              <w:t>。本项目废水各污染物产生总量及排放情况如下表所示：</w:t>
            </w:r>
          </w:p>
          <w:p w14:paraId="337B4FF5">
            <w:pPr>
              <w:pStyle w:val="22"/>
              <w:bidi w:val="0"/>
              <w:rPr>
                <w:lang w:val="en-US" w:eastAsia="zh-CN" w:bidi="ar-SA"/>
              </w:rPr>
            </w:pPr>
            <w:r>
              <w:rPr>
                <w:lang w:val="en-US" w:eastAsia="zh-CN" w:bidi="ar-SA"/>
              </w:rPr>
              <w:t>项目废水污染物产生、治理及排放情况</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58"/>
              <w:gridCol w:w="697"/>
              <w:gridCol w:w="953"/>
              <w:gridCol w:w="609"/>
              <w:gridCol w:w="759"/>
              <w:gridCol w:w="636"/>
              <w:gridCol w:w="504"/>
              <w:gridCol w:w="903"/>
              <w:gridCol w:w="1681"/>
            </w:tblGrid>
            <w:tr w14:paraId="1F92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1381" w:type="pct"/>
                  <w:gridSpan w:val="2"/>
                  <w:noWrap w:val="0"/>
                  <w:vAlign w:val="center"/>
                </w:tcPr>
                <w:p w14:paraId="398AADA6">
                  <w:pPr>
                    <w:pStyle w:val="23"/>
                    <w:bidi w:val="0"/>
                  </w:pPr>
                  <w:r>
                    <w:t>项目</w:t>
                  </w:r>
                </w:p>
              </w:tc>
              <w:tc>
                <w:tcPr>
                  <w:tcW w:w="585" w:type="pct"/>
                  <w:noWrap w:val="0"/>
                  <w:vAlign w:val="center"/>
                </w:tcPr>
                <w:p w14:paraId="327EC4AA">
                  <w:pPr>
                    <w:pStyle w:val="23"/>
                    <w:bidi w:val="0"/>
                  </w:pPr>
                  <w:r>
                    <w:t>废水量</w:t>
                  </w:r>
                </w:p>
              </w:tc>
              <w:tc>
                <w:tcPr>
                  <w:tcW w:w="378" w:type="pct"/>
                  <w:noWrap w:val="0"/>
                  <w:vAlign w:val="center"/>
                </w:tcPr>
                <w:p w14:paraId="5C64B6E8">
                  <w:pPr>
                    <w:pStyle w:val="23"/>
                    <w:bidi w:val="0"/>
                  </w:pPr>
                  <w:r>
                    <w:t>单位</w:t>
                  </w:r>
                </w:p>
              </w:tc>
              <w:tc>
                <w:tcPr>
                  <w:tcW w:w="468" w:type="pct"/>
                  <w:noWrap w:val="0"/>
                  <w:vAlign w:val="center"/>
                </w:tcPr>
                <w:p w14:paraId="58216E0D">
                  <w:pPr>
                    <w:pStyle w:val="23"/>
                    <w:bidi w:val="0"/>
                  </w:pPr>
                  <w:r>
                    <w:t>COD</w:t>
                  </w:r>
                  <w:r>
                    <w:rPr>
                      <w:rFonts w:hint="eastAsia"/>
                      <w:vertAlign w:val="subscript"/>
                      <w:lang w:val="en-US" w:eastAsia="zh-CN"/>
                    </w:rPr>
                    <w:t>C</w:t>
                  </w:r>
                  <w:r>
                    <w:rPr>
                      <w:vertAlign w:val="subscript"/>
                    </w:rPr>
                    <w:t>r</w:t>
                  </w:r>
                </w:p>
              </w:tc>
              <w:tc>
                <w:tcPr>
                  <w:tcW w:w="394" w:type="pct"/>
                  <w:noWrap w:val="0"/>
                  <w:vAlign w:val="center"/>
                </w:tcPr>
                <w:p w14:paraId="5BEDC3EB">
                  <w:pPr>
                    <w:pStyle w:val="23"/>
                    <w:bidi w:val="0"/>
                  </w:pPr>
                  <w:r>
                    <w:t>BOD</w:t>
                  </w:r>
                  <w:r>
                    <w:rPr>
                      <w:vertAlign w:val="subscript"/>
                    </w:rPr>
                    <w:t>5</w:t>
                  </w:r>
                </w:p>
              </w:tc>
              <w:tc>
                <w:tcPr>
                  <w:tcW w:w="315" w:type="pct"/>
                  <w:noWrap w:val="0"/>
                  <w:vAlign w:val="center"/>
                </w:tcPr>
                <w:p w14:paraId="1C62EBA7">
                  <w:pPr>
                    <w:pStyle w:val="23"/>
                    <w:bidi w:val="0"/>
                  </w:pPr>
                  <w:r>
                    <w:t>SS</w:t>
                  </w:r>
                </w:p>
              </w:tc>
              <w:tc>
                <w:tcPr>
                  <w:tcW w:w="452" w:type="pct"/>
                  <w:noWrap w:val="0"/>
                  <w:vAlign w:val="center"/>
                </w:tcPr>
                <w:p w14:paraId="150C2C3A">
                  <w:pPr>
                    <w:pStyle w:val="23"/>
                    <w:bidi w:val="0"/>
                  </w:pPr>
                  <w:r>
                    <w:t>NH</w:t>
                  </w:r>
                  <w:r>
                    <w:rPr>
                      <w:vertAlign w:val="subscript"/>
                    </w:rPr>
                    <w:t>3</w:t>
                  </w:r>
                  <w:r>
                    <w:t>-N</w:t>
                  </w:r>
                </w:p>
              </w:tc>
              <w:tc>
                <w:tcPr>
                  <w:tcW w:w="1023" w:type="pct"/>
                  <w:noWrap w:val="0"/>
                  <w:vAlign w:val="center"/>
                </w:tcPr>
                <w:p w14:paraId="21A95CDE">
                  <w:pPr>
                    <w:pStyle w:val="23"/>
                    <w:bidi w:val="0"/>
                  </w:pPr>
                  <w:r>
                    <w:t>粪大肠菌群（个/L）</w:t>
                  </w:r>
                </w:p>
              </w:tc>
            </w:tr>
            <w:tr w14:paraId="2FE1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950" w:type="pct"/>
                  <w:vMerge w:val="restart"/>
                  <w:noWrap w:val="0"/>
                  <w:vAlign w:val="center"/>
                </w:tcPr>
                <w:p w14:paraId="55B26122">
                  <w:pPr>
                    <w:pStyle w:val="23"/>
                    <w:bidi w:val="0"/>
                    <w:rPr>
                      <w:rFonts w:hint="eastAsia"/>
                      <w:lang w:eastAsia="zh-CN"/>
                    </w:rPr>
                  </w:pPr>
                  <w:r>
                    <w:rPr>
                      <w:rFonts w:hint="eastAsia"/>
                      <w:lang w:eastAsia="zh-CN"/>
                    </w:rPr>
                    <w:t>处理前</w:t>
                  </w:r>
                </w:p>
              </w:tc>
              <w:tc>
                <w:tcPr>
                  <w:tcW w:w="431" w:type="pct"/>
                  <w:noWrap w:val="0"/>
                  <w:vAlign w:val="center"/>
                </w:tcPr>
                <w:p w14:paraId="1729858B">
                  <w:pPr>
                    <w:pStyle w:val="23"/>
                    <w:bidi w:val="0"/>
                    <w:rPr>
                      <w:rFonts w:hint="eastAsia"/>
                      <w:lang w:eastAsia="zh-CN"/>
                    </w:rPr>
                  </w:pPr>
                  <w:r>
                    <w:rPr>
                      <w:rFonts w:hint="eastAsia"/>
                      <w:lang w:eastAsia="zh-CN"/>
                    </w:rPr>
                    <w:t>浓度</w:t>
                  </w:r>
                </w:p>
              </w:tc>
              <w:tc>
                <w:tcPr>
                  <w:tcW w:w="585" w:type="pct"/>
                  <w:vMerge w:val="restart"/>
                  <w:noWrap w:val="0"/>
                  <w:vAlign w:val="center"/>
                </w:tcPr>
                <w:p w14:paraId="70FD0AB7">
                  <w:pPr>
                    <w:pStyle w:val="23"/>
                    <w:bidi w:val="0"/>
                    <w:rPr>
                      <w:rFonts w:hint="eastAsia"/>
                      <w:lang w:val="en-US" w:eastAsia="zh-CN"/>
                    </w:rPr>
                  </w:pPr>
                  <w:r>
                    <w:rPr>
                      <w:rFonts w:hint="eastAsia"/>
                      <w:lang w:val="en-US" w:eastAsia="zh-CN"/>
                    </w:rPr>
                    <w:t>2702.825</w:t>
                  </w:r>
                </w:p>
                <w:p w14:paraId="69CABA39">
                  <w:pPr>
                    <w:pStyle w:val="23"/>
                    <w:bidi w:val="0"/>
                  </w:pPr>
                  <w:r>
                    <w:t>m3/a</w:t>
                  </w:r>
                </w:p>
              </w:tc>
              <w:tc>
                <w:tcPr>
                  <w:tcW w:w="378" w:type="pct"/>
                  <w:noWrap w:val="0"/>
                  <w:vAlign w:val="center"/>
                </w:tcPr>
                <w:p w14:paraId="585B5CBC">
                  <w:pPr>
                    <w:pStyle w:val="23"/>
                    <w:bidi w:val="0"/>
                  </w:pPr>
                  <w:r>
                    <w:t>mg/L</w:t>
                  </w:r>
                </w:p>
              </w:tc>
              <w:tc>
                <w:tcPr>
                  <w:tcW w:w="468" w:type="pct"/>
                  <w:noWrap w:val="0"/>
                  <w:vAlign w:val="center"/>
                </w:tcPr>
                <w:p w14:paraId="58C24971">
                  <w:pPr>
                    <w:pStyle w:val="23"/>
                    <w:bidi w:val="0"/>
                    <w:rPr>
                      <w:rFonts w:hint="default"/>
                      <w:lang w:val="en-US" w:eastAsia="zh-CN"/>
                    </w:rPr>
                  </w:pPr>
                  <w:r>
                    <w:rPr>
                      <w:rFonts w:hint="eastAsia"/>
                      <w:lang w:val="en-US" w:eastAsia="zh-CN"/>
                    </w:rPr>
                    <w:t>300</w:t>
                  </w:r>
                </w:p>
              </w:tc>
              <w:tc>
                <w:tcPr>
                  <w:tcW w:w="394" w:type="pct"/>
                  <w:noWrap w:val="0"/>
                  <w:vAlign w:val="center"/>
                </w:tcPr>
                <w:p w14:paraId="742D956D">
                  <w:pPr>
                    <w:pStyle w:val="23"/>
                    <w:bidi w:val="0"/>
                    <w:rPr>
                      <w:rFonts w:hint="default"/>
                      <w:lang w:val="en-US" w:eastAsia="zh-CN"/>
                    </w:rPr>
                  </w:pPr>
                  <w:r>
                    <w:rPr>
                      <w:rFonts w:hint="eastAsia"/>
                      <w:lang w:val="en-US" w:eastAsia="zh-CN"/>
                    </w:rPr>
                    <w:t>150</w:t>
                  </w:r>
                </w:p>
              </w:tc>
              <w:tc>
                <w:tcPr>
                  <w:tcW w:w="315" w:type="pct"/>
                  <w:noWrap w:val="0"/>
                  <w:vAlign w:val="center"/>
                </w:tcPr>
                <w:p w14:paraId="03ADD03D">
                  <w:pPr>
                    <w:pStyle w:val="23"/>
                    <w:bidi w:val="0"/>
                    <w:rPr>
                      <w:rFonts w:hint="default"/>
                      <w:lang w:val="en-US" w:eastAsia="zh-CN"/>
                    </w:rPr>
                  </w:pPr>
                  <w:r>
                    <w:rPr>
                      <w:rFonts w:hint="eastAsia"/>
                      <w:lang w:val="en-US" w:eastAsia="zh-CN"/>
                    </w:rPr>
                    <w:t>120</w:t>
                  </w:r>
                </w:p>
              </w:tc>
              <w:tc>
                <w:tcPr>
                  <w:tcW w:w="452" w:type="pct"/>
                  <w:noWrap w:val="0"/>
                  <w:vAlign w:val="center"/>
                </w:tcPr>
                <w:p w14:paraId="55FB997E">
                  <w:pPr>
                    <w:pStyle w:val="23"/>
                    <w:bidi w:val="0"/>
                    <w:rPr>
                      <w:rFonts w:hint="default"/>
                      <w:lang w:val="en-US" w:eastAsia="zh-CN"/>
                    </w:rPr>
                  </w:pPr>
                  <w:r>
                    <w:rPr>
                      <w:rFonts w:hint="eastAsia"/>
                      <w:lang w:val="en-US" w:eastAsia="zh-CN"/>
                    </w:rPr>
                    <w:t>50</w:t>
                  </w:r>
                </w:p>
              </w:tc>
              <w:tc>
                <w:tcPr>
                  <w:tcW w:w="1023" w:type="pct"/>
                  <w:noWrap w:val="0"/>
                  <w:vAlign w:val="center"/>
                </w:tcPr>
                <w:p w14:paraId="163B79BD">
                  <w:pPr>
                    <w:pStyle w:val="23"/>
                    <w:bidi w:val="0"/>
                    <w:rPr>
                      <w:rFonts w:hint="default"/>
                      <w:lang w:val="en-US" w:eastAsia="zh-CN"/>
                    </w:rPr>
                  </w:pPr>
                  <w:r>
                    <w:rPr>
                      <w:rFonts w:hint="eastAsia"/>
                      <w:lang w:val="en-US" w:eastAsia="zh-CN"/>
                    </w:rPr>
                    <w:t>3.0×108</w:t>
                  </w:r>
                </w:p>
              </w:tc>
            </w:tr>
            <w:tr w14:paraId="44C0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950" w:type="pct"/>
                  <w:vMerge w:val="continue"/>
                  <w:noWrap w:val="0"/>
                  <w:vAlign w:val="center"/>
                </w:tcPr>
                <w:p w14:paraId="73F20F92">
                  <w:pPr>
                    <w:pStyle w:val="23"/>
                    <w:bidi w:val="0"/>
                  </w:pPr>
                </w:p>
              </w:tc>
              <w:tc>
                <w:tcPr>
                  <w:tcW w:w="431" w:type="pct"/>
                  <w:noWrap w:val="0"/>
                  <w:vAlign w:val="center"/>
                </w:tcPr>
                <w:p w14:paraId="0AE5F364">
                  <w:pPr>
                    <w:pStyle w:val="23"/>
                    <w:bidi w:val="0"/>
                    <w:rPr>
                      <w:rFonts w:hint="eastAsia"/>
                      <w:lang w:eastAsia="zh-CN"/>
                    </w:rPr>
                  </w:pPr>
                  <w:r>
                    <w:rPr>
                      <w:rFonts w:hint="eastAsia"/>
                      <w:lang w:eastAsia="zh-CN"/>
                    </w:rPr>
                    <w:t>排放量</w:t>
                  </w:r>
                </w:p>
              </w:tc>
              <w:tc>
                <w:tcPr>
                  <w:tcW w:w="585" w:type="pct"/>
                  <w:vMerge w:val="continue"/>
                  <w:noWrap w:val="0"/>
                  <w:vAlign w:val="center"/>
                </w:tcPr>
                <w:p w14:paraId="0B99CA42">
                  <w:pPr>
                    <w:pStyle w:val="23"/>
                    <w:bidi w:val="0"/>
                    <w:rPr>
                      <w:rFonts w:hint="eastAsia"/>
                      <w:lang w:val="en-US" w:eastAsia="zh-CN"/>
                    </w:rPr>
                  </w:pPr>
                </w:p>
              </w:tc>
              <w:tc>
                <w:tcPr>
                  <w:tcW w:w="378" w:type="pct"/>
                  <w:noWrap w:val="0"/>
                  <w:vAlign w:val="center"/>
                </w:tcPr>
                <w:p w14:paraId="55FBF831">
                  <w:pPr>
                    <w:pStyle w:val="23"/>
                    <w:bidi w:val="0"/>
                  </w:pPr>
                  <w:r>
                    <w:t>t/a</w:t>
                  </w:r>
                </w:p>
              </w:tc>
              <w:tc>
                <w:tcPr>
                  <w:tcW w:w="778" w:type="dxa"/>
                  <w:noWrap w:val="0"/>
                  <w:vAlign w:val="center"/>
                </w:tcPr>
                <w:p w14:paraId="2C57E173">
                  <w:pPr>
                    <w:pStyle w:val="23"/>
                    <w:bidi w:val="0"/>
                    <w:rPr>
                      <w:rFonts w:hint="eastAsia"/>
                    </w:rPr>
                  </w:pPr>
                  <w:r>
                    <w:rPr>
                      <w:rFonts w:hint="eastAsia"/>
                      <w:lang w:val="en-US" w:eastAsia="zh-CN"/>
                    </w:rPr>
                    <w:t>0.811</w:t>
                  </w:r>
                </w:p>
              </w:tc>
              <w:tc>
                <w:tcPr>
                  <w:tcW w:w="655" w:type="dxa"/>
                  <w:noWrap w:val="0"/>
                  <w:vAlign w:val="center"/>
                </w:tcPr>
                <w:p w14:paraId="7E8FD513">
                  <w:pPr>
                    <w:pStyle w:val="23"/>
                    <w:bidi w:val="0"/>
                    <w:rPr>
                      <w:rFonts w:hint="eastAsia"/>
                    </w:rPr>
                  </w:pPr>
                  <w:r>
                    <w:rPr>
                      <w:rFonts w:hint="eastAsia"/>
                      <w:lang w:val="en-US" w:eastAsia="zh-CN"/>
                    </w:rPr>
                    <w:t>0.405</w:t>
                  </w:r>
                </w:p>
              </w:tc>
              <w:tc>
                <w:tcPr>
                  <w:tcW w:w="524" w:type="dxa"/>
                  <w:noWrap w:val="0"/>
                  <w:vAlign w:val="center"/>
                </w:tcPr>
                <w:p w14:paraId="02E7FD3A">
                  <w:pPr>
                    <w:pStyle w:val="23"/>
                    <w:bidi w:val="0"/>
                    <w:rPr>
                      <w:rFonts w:hint="eastAsia"/>
                    </w:rPr>
                  </w:pPr>
                  <w:r>
                    <w:rPr>
                      <w:rFonts w:hint="eastAsia"/>
                      <w:lang w:val="en-US" w:eastAsia="zh-CN"/>
                    </w:rPr>
                    <w:t>0.324</w:t>
                  </w:r>
                </w:p>
              </w:tc>
              <w:tc>
                <w:tcPr>
                  <w:tcW w:w="752" w:type="dxa"/>
                  <w:noWrap w:val="0"/>
                  <w:vAlign w:val="center"/>
                </w:tcPr>
                <w:p w14:paraId="00EB23DA">
                  <w:pPr>
                    <w:pStyle w:val="23"/>
                    <w:bidi w:val="0"/>
                    <w:rPr>
                      <w:rFonts w:hint="eastAsia"/>
                    </w:rPr>
                  </w:pPr>
                  <w:r>
                    <w:rPr>
                      <w:rFonts w:hint="eastAsia"/>
                      <w:lang w:val="en-US" w:eastAsia="zh-CN"/>
                    </w:rPr>
                    <w:t>0.135</w:t>
                  </w:r>
                </w:p>
              </w:tc>
              <w:tc>
                <w:tcPr>
                  <w:tcW w:w="1702" w:type="dxa"/>
                  <w:noWrap w:val="0"/>
                  <w:vAlign w:val="center"/>
                </w:tcPr>
                <w:p w14:paraId="40451912">
                  <w:pPr>
                    <w:pStyle w:val="23"/>
                    <w:bidi w:val="0"/>
                    <w:rPr>
                      <w:rFonts w:hint="eastAsia"/>
                    </w:rPr>
                  </w:pPr>
                  <w:r>
                    <w:rPr>
                      <w:rFonts w:hint="eastAsia"/>
                      <w:lang w:val="en-US" w:eastAsia="zh-CN"/>
                    </w:rPr>
                    <w:t>8.1×1014</w:t>
                  </w:r>
                </w:p>
              </w:tc>
            </w:tr>
            <w:tr w14:paraId="253B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950" w:type="pct"/>
                  <w:vMerge w:val="restart"/>
                  <w:noWrap w:val="0"/>
                  <w:vAlign w:val="center"/>
                </w:tcPr>
                <w:p w14:paraId="383F6C9B">
                  <w:pPr>
                    <w:pStyle w:val="23"/>
                    <w:bidi w:val="0"/>
                  </w:pPr>
                  <w:r>
                    <w:t>经污水处理站处理后</w:t>
                  </w:r>
                </w:p>
              </w:tc>
              <w:tc>
                <w:tcPr>
                  <w:tcW w:w="431" w:type="pct"/>
                  <w:noWrap w:val="0"/>
                  <w:vAlign w:val="center"/>
                </w:tcPr>
                <w:p w14:paraId="1AED5F79">
                  <w:pPr>
                    <w:pStyle w:val="23"/>
                    <w:bidi w:val="0"/>
                  </w:pPr>
                  <w:r>
                    <w:t>浓度</w:t>
                  </w:r>
                </w:p>
              </w:tc>
              <w:tc>
                <w:tcPr>
                  <w:tcW w:w="585" w:type="pct"/>
                  <w:vMerge w:val="continue"/>
                  <w:noWrap w:val="0"/>
                  <w:vAlign w:val="center"/>
                </w:tcPr>
                <w:p w14:paraId="7FE46EAB">
                  <w:pPr>
                    <w:pStyle w:val="23"/>
                    <w:bidi w:val="0"/>
                  </w:pPr>
                </w:p>
              </w:tc>
              <w:tc>
                <w:tcPr>
                  <w:tcW w:w="378" w:type="pct"/>
                  <w:noWrap w:val="0"/>
                  <w:vAlign w:val="center"/>
                </w:tcPr>
                <w:p w14:paraId="2434805F">
                  <w:pPr>
                    <w:pStyle w:val="23"/>
                    <w:bidi w:val="0"/>
                  </w:pPr>
                  <w:r>
                    <w:t>mg/L</w:t>
                  </w:r>
                </w:p>
              </w:tc>
              <w:tc>
                <w:tcPr>
                  <w:tcW w:w="468" w:type="pct"/>
                  <w:noWrap w:val="0"/>
                  <w:vAlign w:val="center"/>
                </w:tcPr>
                <w:p w14:paraId="4CCBB6A0">
                  <w:pPr>
                    <w:pStyle w:val="23"/>
                    <w:bidi w:val="0"/>
                    <w:rPr>
                      <w:rFonts w:hint="default"/>
                      <w:lang w:val="en-US" w:eastAsia="zh-CN"/>
                    </w:rPr>
                  </w:pPr>
                  <w:r>
                    <w:rPr>
                      <w:rFonts w:hint="eastAsia"/>
                      <w:lang w:val="en-US" w:eastAsia="zh-CN"/>
                    </w:rPr>
                    <w:t>250</w:t>
                  </w:r>
                </w:p>
              </w:tc>
              <w:tc>
                <w:tcPr>
                  <w:tcW w:w="394" w:type="pct"/>
                  <w:noWrap w:val="0"/>
                  <w:vAlign w:val="center"/>
                </w:tcPr>
                <w:p w14:paraId="09371FF2">
                  <w:pPr>
                    <w:pStyle w:val="23"/>
                    <w:bidi w:val="0"/>
                    <w:rPr>
                      <w:rFonts w:hint="default"/>
                      <w:lang w:val="en-US" w:eastAsia="zh-CN"/>
                    </w:rPr>
                  </w:pPr>
                  <w:r>
                    <w:rPr>
                      <w:rFonts w:hint="eastAsia"/>
                      <w:lang w:val="en-US" w:eastAsia="zh-CN"/>
                    </w:rPr>
                    <w:t>100</w:t>
                  </w:r>
                </w:p>
              </w:tc>
              <w:tc>
                <w:tcPr>
                  <w:tcW w:w="315" w:type="pct"/>
                  <w:noWrap w:val="0"/>
                  <w:vAlign w:val="center"/>
                </w:tcPr>
                <w:p w14:paraId="387E0C1E">
                  <w:pPr>
                    <w:pStyle w:val="23"/>
                    <w:bidi w:val="0"/>
                    <w:rPr>
                      <w:rFonts w:hint="default"/>
                      <w:lang w:val="en-US" w:eastAsia="zh-CN"/>
                    </w:rPr>
                  </w:pPr>
                  <w:r>
                    <w:rPr>
                      <w:rFonts w:hint="eastAsia"/>
                      <w:lang w:val="en-US" w:eastAsia="zh-CN"/>
                    </w:rPr>
                    <w:t>60</w:t>
                  </w:r>
                </w:p>
              </w:tc>
              <w:tc>
                <w:tcPr>
                  <w:tcW w:w="452" w:type="pct"/>
                  <w:noWrap w:val="0"/>
                  <w:vAlign w:val="center"/>
                </w:tcPr>
                <w:p w14:paraId="575F9D6E">
                  <w:pPr>
                    <w:pStyle w:val="23"/>
                    <w:bidi w:val="0"/>
                    <w:rPr>
                      <w:rFonts w:hint="default"/>
                      <w:lang w:val="en-US" w:eastAsia="zh-CN"/>
                    </w:rPr>
                  </w:pPr>
                  <w:r>
                    <w:rPr>
                      <w:rFonts w:hint="eastAsia"/>
                      <w:lang w:val="en-US" w:eastAsia="zh-CN"/>
                    </w:rPr>
                    <w:t>45</w:t>
                  </w:r>
                </w:p>
              </w:tc>
              <w:tc>
                <w:tcPr>
                  <w:tcW w:w="1023" w:type="pct"/>
                  <w:noWrap w:val="0"/>
                  <w:vAlign w:val="center"/>
                </w:tcPr>
                <w:p w14:paraId="654E1F7B">
                  <w:pPr>
                    <w:pStyle w:val="23"/>
                    <w:bidi w:val="0"/>
                    <w:rPr>
                      <w:rFonts w:hint="default"/>
                      <w:lang w:val="en-US" w:eastAsia="zh-CN"/>
                    </w:rPr>
                  </w:pPr>
                  <w:r>
                    <w:rPr>
                      <w:rFonts w:hint="eastAsia"/>
                      <w:lang w:val="en-US" w:eastAsia="zh-CN"/>
                    </w:rPr>
                    <w:t>5000</w:t>
                  </w:r>
                </w:p>
              </w:tc>
            </w:tr>
            <w:tr w14:paraId="3E63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950" w:type="pct"/>
                  <w:vMerge w:val="continue"/>
                  <w:noWrap w:val="0"/>
                  <w:vAlign w:val="center"/>
                </w:tcPr>
                <w:p w14:paraId="0AC30909">
                  <w:pPr>
                    <w:pStyle w:val="23"/>
                    <w:bidi w:val="0"/>
                  </w:pPr>
                </w:p>
              </w:tc>
              <w:tc>
                <w:tcPr>
                  <w:tcW w:w="431" w:type="pct"/>
                  <w:noWrap w:val="0"/>
                  <w:vAlign w:val="center"/>
                </w:tcPr>
                <w:p w14:paraId="63CFAE0E">
                  <w:pPr>
                    <w:pStyle w:val="23"/>
                    <w:bidi w:val="0"/>
                  </w:pPr>
                  <w:r>
                    <w:t>排放量</w:t>
                  </w:r>
                </w:p>
              </w:tc>
              <w:tc>
                <w:tcPr>
                  <w:tcW w:w="585" w:type="pct"/>
                  <w:vMerge w:val="continue"/>
                  <w:noWrap w:val="0"/>
                  <w:vAlign w:val="center"/>
                </w:tcPr>
                <w:p w14:paraId="58DD82C6">
                  <w:pPr>
                    <w:pStyle w:val="23"/>
                    <w:bidi w:val="0"/>
                  </w:pPr>
                </w:p>
              </w:tc>
              <w:tc>
                <w:tcPr>
                  <w:tcW w:w="378" w:type="pct"/>
                  <w:noWrap w:val="0"/>
                  <w:vAlign w:val="center"/>
                </w:tcPr>
                <w:p w14:paraId="7F819FFB">
                  <w:pPr>
                    <w:pStyle w:val="23"/>
                    <w:bidi w:val="0"/>
                  </w:pPr>
                  <w:r>
                    <w:t>t/a</w:t>
                  </w:r>
                </w:p>
              </w:tc>
              <w:tc>
                <w:tcPr>
                  <w:tcW w:w="778" w:type="dxa"/>
                  <w:noWrap w:val="0"/>
                  <w:vAlign w:val="center"/>
                </w:tcPr>
                <w:p w14:paraId="51C8B263">
                  <w:pPr>
                    <w:pStyle w:val="23"/>
                    <w:bidi w:val="0"/>
                    <w:rPr>
                      <w:rFonts w:hint="default"/>
                      <w:lang w:val="en-US" w:eastAsia="zh-CN"/>
                    </w:rPr>
                  </w:pPr>
                  <w:r>
                    <w:rPr>
                      <w:rFonts w:hint="default"/>
                      <w:lang w:val="en-US" w:eastAsia="zh-CN"/>
                    </w:rPr>
                    <w:t>0.676</w:t>
                  </w:r>
                </w:p>
              </w:tc>
              <w:tc>
                <w:tcPr>
                  <w:tcW w:w="655" w:type="dxa"/>
                  <w:noWrap w:val="0"/>
                  <w:vAlign w:val="center"/>
                </w:tcPr>
                <w:p w14:paraId="6CC2E6B3">
                  <w:pPr>
                    <w:pStyle w:val="23"/>
                    <w:bidi w:val="0"/>
                    <w:rPr>
                      <w:rFonts w:hint="default"/>
                      <w:lang w:val="en-US" w:eastAsia="zh-CN"/>
                    </w:rPr>
                  </w:pPr>
                  <w:r>
                    <w:rPr>
                      <w:rFonts w:hint="default"/>
                      <w:lang w:val="en-US" w:eastAsia="zh-CN"/>
                    </w:rPr>
                    <w:t>0.270</w:t>
                  </w:r>
                </w:p>
              </w:tc>
              <w:tc>
                <w:tcPr>
                  <w:tcW w:w="524" w:type="dxa"/>
                  <w:noWrap w:val="0"/>
                  <w:vAlign w:val="center"/>
                </w:tcPr>
                <w:p w14:paraId="7E1732D0">
                  <w:pPr>
                    <w:pStyle w:val="23"/>
                    <w:bidi w:val="0"/>
                    <w:rPr>
                      <w:rFonts w:hint="eastAsia"/>
                      <w:lang w:eastAsia="zh-CN"/>
                    </w:rPr>
                  </w:pPr>
                  <w:r>
                    <w:rPr>
                      <w:rFonts w:hint="default"/>
                      <w:lang w:val="en-US" w:eastAsia="zh-CN"/>
                    </w:rPr>
                    <w:t>0.162</w:t>
                  </w:r>
                </w:p>
              </w:tc>
              <w:tc>
                <w:tcPr>
                  <w:tcW w:w="752" w:type="dxa"/>
                  <w:noWrap w:val="0"/>
                  <w:vAlign w:val="center"/>
                </w:tcPr>
                <w:p w14:paraId="05AA2962">
                  <w:pPr>
                    <w:pStyle w:val="23"/>
                    <w:bidi w:val="0"/>
                  </w:pPr>
                  <w:r>
                    <w:rPr>
                      <w:rFonts w:hint="default"/>
                      <w:lang w:val="en-US" w:eastAsia="zh-CN"/>
                    </w:rPr>
                    <w:t>0.122</w:t>
                  </w:r>
                </w:p>
              </w:tc>
              <w:tc>
                <w:tcPr>
                  <w:tcW w:w="1702" w:type="dxa"/>
                  <w:noWrap w:val="0"/>
                  <w:vAlign w:val="center"/>
                </w:tcPr>
                <w:p w14:paraId="3AB79F17">
                  <w:pPr>
                    <w:pStyle w:val="23"/>
                    <w:bidi w:val="0"/>
                  </w:pPr>
                  <w:r>
                    <w:rPr>
                      <w:rFonts w:hint="default"/>
                      <w:lang w:val="en-US" w:eastAsia="zh-CN"/>
                    </w:rPr>
                    <w:t>1.4</w:t>
                  </w:r>
                  <w:r>
                    <w:rPr>
                      <w:rFonts w:hint="eastAsia"/>
                      <w:lang w:val="en-US" w:eastAsia="zh-CN"/>
                    </w:rPr>
                    <w:t>×10</w:t>
                  </w:r>
                  <w:r>
                    <w:rPr>
                      <w:rFonts w:hint="default"/>
                      <w:lang w:val="en-US" w:eastAsia="zh-CN"/>
                    </w:rPr>
                    <w:t>10</w:t>
                  </w:r>
                </w:p>
              </w:tc>
            </w:tr>
            <w:tr w14:paraId="1DAA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950" w:type="pct"/>
                  <w:vMerge w:val="restart"/>
                  <w:noWrap w:val="0"/>
                  <w:vAlign w:val="center"/>
                </w:tcPr>
                <w:p w14:paraId="566C9F98">
                  <w:pPr>
                    <w:pStyle w:val="23"/>
                    <w:bidi w:val="0"/>
                  </w:pPr>
                  <w:r>
                    <w:rPr>
                      <w:rFonts w:hint="eastAsia"/>
                      <w:lang w:eastAsia="zh-CN"/>
                    </w:rPr>
                    <w:t>遂宁市城南第一污水处理厂</w:t>
                  </w:r>
                  <w:r>
                    <w:t>排放量</w:t>
                  </w:r>
                </w:p>
              </w:tc>
              <w:tc>
                <w:tcPr>
                  <w:tcW w:w="431" w:type="pct"/>
                  <w:noWrap w:val="0"/>
                  <w:vAlign w:val="center"/>
                </w:tcPr>
                <w:p w14:paraId="4200EB82">
                  <w:pPr>
                    <w:pStyle w:val="23"/>
                    <w:bidi w:val="0"/>
                  </w:pPr>
                  <w:r>
                    <w:t>浓度</w:t>
                  </w:r>
                </w:p>
              </w:tc>
              <w:tc>
                <w:tcPr>
                  <w:tcW w:w="585" w:type="pct"/>
                  <w:vMerge w:val="continue"/>
                  <w:noWrap w:val="0"/>
                  <w:vAlign w:val="center"/>
                </w:tcPr>
                <w:p w14:paraId="334D24D0">
                  <w:pPr>
                    <w:pStyle w:val="23"/>
                    <w:bidi w:val="0"/>
                  </w:pPr>
                </w:p>
              </w:tc>
              <w:tc>
                <w:tcPr>
                  <w:tcW w:w="378" w:type="pct"/>
                  <w:noWrap w:val="0"/>
                  <w:vAlign w:val="center"/>
                </w:tcPr>
                <w:p w14:paraId="448FE645">
                  <w:pPr>
                    <w:pStyle w:val="23"/>
                    <w:bidi w:val="0"/>
                  </w:pPr>
                  <w:r>
                    <w:t>mg/L</w:t>
                  </w:r>
                </w:p>
              </w:tc>
              <w:tc>
                <w:tcPr>
                  <w:tcW w:w="468" w:type="pct"/>
                  <w:noWrap w:val="0"/>
                  <w:vAlign w:val="center"/>
                </w:tcPr>
                <w:p w14:paraId="193BFAD7">
                  <w:pPr>
                    <w:pStyle w:val="23"/>
                    <w:bidi w:val="0"/>
                    <w:rPr>
                      <w:rFonts w:hint="default"/>
                      <w:lang w:val="en-US" w:eastAsia="zh-CN"/>
                    </w:rPr>
                  </w:pPr>
                  <w:r>
                    <w:rPr>
                      <w:rFonts w:hint="eastAsia"/>
                      <w:lang w:val="en-US" w:eastAsia="zh-CN"/>
                    </w:rPr>
                    <w:t>50</w:t>
                  </w:r>
                </w:p>
              </w:tc>
              <w:tc>
                <w:tcPr>
                  <w:tcW w:w="394" w:type="pct"/>
                  <w:noWrap w:val="0"/>
                  <w:vAlign w:val="center"/>
                </w:tcPr>
                <w:p w14:paraId="643765D4">
                  <w:pPr>
                    <w:pStyle w:val="23"/>
                    <w:bidi w:val="0"/>
                    <w:rPr>
                      <w:rFonts w:hint="default"/>
                      <w:lang w:val="en-US" w:eastAsia="zh-CN"/>
                    </w:rPr>
                  </w:pPr>
                  <w:r>
                    <w:rPr>
                      <w:rFonts w:hint="eastAsia"/>
                      <w:lang w:val="en-US" w:eastAsia="zh-CN"/>
                    </w:rPr>
                    <w:t>10</w:t>
                  </w:r>
                </w:p>
              </w:tc>
              <w:tc>
                <w:tcPr>
                  <w:tcW w:w="315" w:type="pct"/>
                  <w:noWrap w:val="0"/>
                  <w:vAlign w:val="center"/>
                </w:tcPr>
                <w:p w14:paraId="6C29EBA2">
                  <w:pPr>
                    <w:pStyle w:val="23"/>
                    <w:bidi w:val="0"/>
                    <w:rPr>
                      <w:rFonts w:hint="default"/>
                      <w:lang w:val="en-US" w:eastAsia="zh-CN"/>
                    </w:rPr>
                  </w:pPr>
                  <w:r>
                    <w:rPr>
                      <w:rFonts w:hint="eastAsia"/>
                      <w:lang w:val="en-US" w:eastAsia="zh-CN"/>
                    </w:rPr>
                    <w:t>10</w:t>
                  </w:r>
                </w:p>
              </w:tc>
              <w:tc>
                <w:tcPr>
                  <w:tcW w:w="452" w:type="pct"/>
                  <w:noWrap w:val="0"/>
                  <w:vAlign w:val="center"/>
                </w:tcPr>
                <w:p w14:paraId="1E673615">
                  <w:pPr>
                    <w:pStyle w:val="23"/>
                    <w:bidi w:val="0"/>
                    <w:rPr>
                      <w:rFonts w:hint="eastAsia"/>
                      <w:lang w:val="en-US" w:eastAsia="zh-CN"/>
                    </w:rPr>
                  </w:pPr>
                  <w:r>
                    <w:rPr>
                      <w:rFonts w:hint="eastAsia"/>
                      <w:lang w:val="en-US" w:eastAsia="zh-CN"/>
                    </w:rPr>
                    <w:t>5（8）</w:t>
                  </w:r>
                </w:p>
              </w:tc>
              <w:tc>
                <w:tcPr>
                  <w:tcW w:w="1023" w:type="pct"/>
                  <w:noWrap w:val="0"/>
                  <w:vAlign w:val="center"/>
                </w:tcPr>
                <w:p w14:paraId="003D7B14">
                  <w:pPr>
                    <w:pStyle w:val="23"/>
                    <w:bidi w:val="0"/>
                    <w:rPr>
                      <w:rFonts w:hint="default"/>
                      <w:lang w:val="en-US"/>
                    </w:rPr>
                  </w:pPr>
                  <w:r>
                    <w:rPr>
                      <w:rFonts w:hint="eastAsia"/>
                      <w:lang w:val="en-US" w:eastAsia="zh-CN"/>
                    </w:rPr>
                    <w:t>1000</w:t>
                  </w:r>
                </w:p>
              </w:tc>
            </w:tr>
            <w:tr w14:paraId="7B59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950" w:type="pct"/>
                  <w:vMerge w:val="continue"/>
                  <w:noWrap w:val="0"/>
                  <w:vAlign w:val="center"/>
                </w:tcPr>
                <w:p w14:paraId="21D7D71E">
                  <w:pPr>
                    <w:pStyle w:val="23"/>
                    <w:bidi w:val="0"/>
                  </w:pPr>
                </w:p>
              </w:tc>
              <w:tc>
                <w:tcPr>
                  <w:tcW w:w="431" w:type="pct"/>
                  <w:noWrap w:val="0"/>
                  <w:vAlign w:val="center"/>
                </w:tcPr>
                <w:p w14:paraId="0659D035">
                  <w:pPr>
                    <w:pStyle w:val="23"/>
                    <w:bidi w:val="0"/>
                  </w:pPr>
                  <w:r>
                    <w:t>排放量</w:t>
                  </w:r>
                </w:p>
              </w:tc>
              <w:tc>
                <w:tcPr>
                  <w:tcW w:w="585" w:type="pct"/>
                  <w:vMerge w:val="continue"/>
                  <w:noWrap w:val="0"/>
                  <w:vAlign w:val="center"/>
                </w:tcPr>
                <w:p w14:paraId="38CF1101">
                  <w:pPr>
                    <w:pStyle w:val="23"/>
                    <w:bidi w:val="0"/>
                  </w:pPr>
                </w:p>
              </w:tc>
              <w:tc>
                <w:tcPr>
                  <w:tcW w:w="378" w:type="pct"/>
                  <w:noWrap w:val="0"/>
                  <w:vAlign w:val="center"/>
                </w:tcPr>
                <w:p w14:paraId="131FB4DF">
                  <w:pPr>
                    <w:pStyle w:val="23"/>
                    <w:bidi w:val="0"/>
                  </w:pPr>
                  <w:r>
                    <w:t>t/a</w:t>
                  </w:r>
                </w:p>
              </w:tc>
              <w:tc>
                <w:tcPr>
                  <w:tcW w:w="778" w:type="dxa"/>
                  <w:noWrap w:val="0"/>
                  <w:vAlign w:val="center"/>
                </w:tcPr>
                <w:p w14:paraId="08308970">
                  <w:pPr>
                    <w:pStyle w:val="23"/>
                    <w:bidi w:val="0"/>
                    <w:rPr>
                      <w:rFonts w:hint="eastAsia"/>
                      <w:lang w:eastAsia="zh-CN"/>
                    </w:rPr>
                  </w:pPr>
                  <w:r>
                    <w:rPr>
                      <w:rFonts w:hint="eastAsia"/>
                      <w:lang w:val="en-US" w:eastAsia="zh-CN"/>
                    </w:rPr>
                    <w:t>0.135</w:t>
                  </w:r>
                </w:p>
              </w:tc>
              <w:tc>
                <w:tcPr>
                  <w:tcW w:w="655" w:type="dxa"/>
                  <w:noWrap w:val="0"/>
                  <w:vAlign w:val="center"/>
                </w:tcPr>
                <w:p w14:paraId="1F6B3863">
                  <w:pPr>
                    <w:pStyle w:val="23"/>
                    <w:bidi w:val="0"/>
                  </w:pPr>
                  <w:r>
                    <w:rPr>
                      <w:rFonts w:hint="eastAsia"/>
                      <w:lang w:val="en-US" w:eastAsia="zh-CN"/>
                    </w:rPr>
                    <w:t>0.027</w:t>
                  </w:r>
                </w:p>
              </w:tc>
              <w:tc>
                <w:tcPr>
                  <w:tcW w:w="524" w:type="dxa"/>
                  <w:noWrap w:val="0"/>
                  <w:vAlign w:val="center"/>
                </w:tcPr>
                <w:p w14:paraId="1590D5B4">
                  <w:pPr>
                    <w:pStyle w:val="23"/>
                    <w:bidi w:val="0"/>
                  </w:pPr>
                  <w:r>
                    <w:rPr>
                      <w:rFonts w:hint="eastAsia"/>
                      <w:lang w:val="en-US" w:eastAsia="zh-CN"/>
                    </w:rPr>
                    <w:t>0.027</w:t>
                  </w:r>
                </w:p>
              </w:tc>
              <w:tc>
                <w:tcPr>
                  <w:tcW w:w="752" w:type="dxa"/>
                  <w:noWrap w:val="0"/>
                  <w:vAlign w:val="center"/>
                </w:tcPr>
                <w:p w14:paraId="41858E99">
                  <w:pPr>
                    <w:pStyle w:val="23"/>
                    <w:bidi w:val="0"/>
                  </w:pPr>
                  <w:r>
                    <w:rPr>
                      <w:rFonts w:hint="eastAsia"/>
                      <w:lang w:val="en-US" w:eastAsia="zh-CN"/>
                    </w:rPr>
                    <w:t>0.014（0.022）</w:t>
                  </w:r>
                </w:p>
              </w:tc>
              <w:tc>
                <w:tcPr>
                  <w:tcW w:w="1702" w:type="dxa"/>
                  <w:noWrap w:val="0"/>
                  <w:vAlign w:val="center"/>
                </w:tcPr>
                <w:p w14:paraId="6ECF6636">
                  <w:pPr>
                    <w:pStyle w:val="23"/>
                    <w:bidi w:val="0"/>
                  </w:pPr>
                  <w:r>
                    <w:rPr>
                      <w:rFonts w:hint="eastAsia"/>
                      <w:lang w:val="en-US" w:eastAsia="zh-CN"/>
                    </w:rPr>
                    <w:t>2.7×109</w:t>
                  </w:r>
                </w:p>
              </w:tc>
            </w:tr>
          </w:tbl>
          <w:p w14:paraId="6F295D57">
            <w:pPr>
              <w:pStyle w:val="28"/>
              <w:bidi w:val="0"/>
              <w:rPr>
                <w:rFonts w:hint="eastAsia"/>
                <w:lang w:eastAsia="zh-CN"/>
              </w:rPr>
            </w:pPr>
            <w:r>
              <w:rPr>
                <w:rFonts w:hint="eastAsia"/>
                <w:lang w:eastAsia="zh-CN"/>
              </w:rPr>
              <w:t>注：</w:t>
            </w:r>
            <w:r>
              <w:rPr>
                <w:rFonts w:hint="eastAsia"/>
              </w:rPr>
              <w:t>括号外数值为水温&gt;12℃时的控制指标，括号内数值为水温≤12℃时的控制指标</w:t>
            </w:r>
            <w:r>
              <w:rPr>
                <w:rFonts w:hint="eastAsia"/>
                <w:lang w:eastAsia="zh-CN"/>
              </w:rPr>
              <w:t>。</w:t>
            </w:r>
          </w:p>
          <w:p w14:paraId="38CC81E0">
            <w:pPr>
              <w:pStyle w:val="25"/>
              <w:bidi w:val="0"/>
              <w:rPr>
                <w:color w:val="auto"/>
              </w:rPr>
            </w:pPr>
            <w:r>
              <w:t>本项目污水</w:t>
            </w:r>
            <w:r>
              <w:rPr>
                <w:rFonts w:hint="eastAsia"/>
                <w:lang w:val="en-US" w:eastAsia="zh-CN"/>
              </w:rPr>
              <w:t>由</w:t>
            </w:r>
            <w:r>
              <w:rPr>
                <w:rFonts w:hint="eastAsia"/>
              </w:rPr>
              <w:t>遂宁益民医院</w:t>
            </w:r>
            <w:r>
              <w:t>预处理池及污水处理站，污水经预处理池预处理后进入污水处理站处理（</w:t>
            </w:r>
            <w:r>
              <w:rPr>
                <w:rFonts w:hint="eastAsia"/>
                <w:lang w:val="en-US" w:eastAsia="zh-CN"/>
              </w:rPr>
              <w:t>格栅调节+接触氧化+沉淀+消毒</w:t>
            </w:r>
            <w:r>
              <w:t>）达到《医疗机构水污染物排放标准》（GB18466-2005）表2的预处理标准后，通过市政污水管网排入</w:t>
            </w:r>
            <w:r>
              <w:rPr>
                <w:rFonts w:hint="eastAsia"/>
                <w:lang w:eastAsia="zh-CN"/>
              </w:rPr>
              <w:t>遂宁市城南第一污水处理厂</w:t>
            </w:r>
            <w:r>
              <w:t>（A</w:t>
            </w:r>
            <w:r>
              <w:rPr>
                <w:vertAlign w:val="superscript"/>
              </w:rPr>
              <w:t>2</w:t>
            </w:r>
            <w:r>
              <w:t>/O工艺+二沉池+高效沉淀池+反硝化滤池）处理达到标准后，排入</w:t>
            </w:r>
            <w:r>
              <w:rPr>
                <w:rFonts w:hint="eastAsia"/>
                <w:lang w:val="en-US" w:eastAsia="zh-CN"/>
              </w:rPr>
              <w:t>涪江</w:t>
            </w:r>
            <w:r>
              <w:t>。</w:t>
            </w:r>
          </w:p>
          <w:p w14:paraId="01C5D11E">
            <w:pPr>
              <w:bidi w:val="0"/>
            </w:pPr>
            <w:r>
              <w:t>（3）</w:t>
            </w:r>
            <w:r>
              <w:rPr>
                <w:rFonts w:hint="eastAsia"/>
                <w:lang w:val="en-US" w:eastAsia="zh-CN"/>
              </w:rPr>
              <w:t>污水处理站的</w:t>
            </w:r>
            <w:r>
              <w:t>可行性分析</w:t>
            </w:r>
          </w:p>
          <w:p w14:paraId="4DDCAAE6">
            <w:pPr>
              <w:bidi w:val="0"/>
            </w:pPr>
            <w:r>
              <w:rPr>
                <w:rFonts w:hint="eastAsia"/>
              </w:rPr>
              <w:t>遂宁益民医院</w:t>
            </w:r>
            <w:r>
              <w:t>现有污水处理站日处理能力为</w:t>
            </w:r>
            <w:r>
              <w:rPr>
                <w:rFonts w:hint="eastAsia"/>
                <w:lang w:val="en-US" w:eastAsia="zh-CN"/>
              </w:rPr>
              <w:t>10</w:t>
            </w:r>
            <w:r>
              <w:t>m</w:t>
            </w:r>
            <w:r>
              <w:rPr>
                <w:vertAlign w:val="superscript"/>
              </w:rPr>
              <w:t>3</w:t>
            </w:r>
            <w:r>
              <w:t>，据调查，</w:t>
            </w:r>
            <w:r>
              <w:rPr>
                <w:rFonts w:hint="eastAsia"/>
              </w:rPr>
              <w:t>遂宁益民医院</w:t>
            </w:r>
            <w:r>
              <w:t>的废水主要为医疗废水及生活废水，现有院区废水日排放量共</w:t>
            </w:r>
            <w:r>
              <w:rPr>
                <w:rFonts w:hint="eastAsia"/>
                <w:lang w:val="en-US" w:eastAsia="zh-CN"/>
              </w:rPr>
              <w:t>7.405</w:t>
            </w:r>
            <w:r>
              <w:t>m</w:t>
            </w:r>
            <w:r>
              <w:rPr>
                <w:vertAlign w:val="superscript"/>
              </w:rPr>
              <w:t>3</w:t>
            </w:r>
            <w:r>
              <w:t>，污水处理站仍余</w:t>
            </w:r>
            <w:r>
              <w:rPr>
                <w:rFonts w:hint="eastAsia"/>
                <w:lang w:val="en-US" w:eastAsia="zh-CN"/>
              </w:rPr>
              <w:t>2.595</w:t>
            </w:r>
            <w:r>
              <w:t>m</w:t>
            </w:r>
            <w:r>
              <w:rPr>
                <w:vertAlign w:val="superscript"/>
              </w:rPr>
              <w:t>3</w:t>
            </w:r>
            <w:r>
              <w:t>/d的处理量，</w:t>
            </w:r>
            <w:r>
              <w:rPr>
                <w:rFonts w:hint="eastAsia"/>
                <w:lang w:val="en-US" w:eastAsia="zh-CN"/>
              </w:rPr>
              <w:t>通过控制废水进入一体化处理设备的速率</w:t>
            </w:r>
            <w:r>
              <w:t>满足《医院污水处理工程技术规范》（HJ 2029—2013）关于医院污水处理设施设计裕量10%-20%的要求。因此，本项目污水处理</w:t>
            </w:r>
            <w:r>
              <w:rPr>
                <w:rFonts w:hint="eastAsia"/>
                <w:lang w:val="en-US" w:eastAsia="zh-CN"/>
              </w:rPr>
              <w:t>由</w:t>
            </w:r>
            <w:r>
              <w:rPr>
                <w:rFonts w:hint="eastAsia"/>
              </w:rPr>
              <w:t>遂宁益民医院</w:t>
            </w:r>
            <w:r>
              <w:t>现有污水处理站可行。</w:t>
            </w:r>
          </w:p>
          <w:p w14:paraId="45F97039">
            <w:pPr>
              <w:bidi w:val="0"/>
            </w:pPr>
            <w:r>
              <w:rPr>
                <w:rFonts w:hint="eastAsia"/>
              </w:rPr>
              <w:t>遂宁益民医院</w:t>
            </w:r>
            <w:r>
              <w:t>污水处理站采用</w:t>
            </w:r>
            <w:r>
              <w:rPr>
                <w:rFonts w:hint="eastAsia"/>
                <w:lang w:val="en-US" w:eastAsia="zh-CN"/>
              </w:rPr>
              <w:t>格栅调节+接触氧化+沉淀+消毒</w:t>
            </w:r>
            <w:r>
              <w:t>工艺，通过混凝沉淀（过滤）去除携带病毒、病菌的颗粒物，提高消毒效果并降低消毒剂（</w:t>
            </w:r>
            <w:r>
              <w:rPr>
                <w:rFonts w:hint="eastAsia"/>
              </w:rPr>
              <w:t>单过硫酸氢钾复合盐</w:t>
            </w:r>
            <w:r>
              <w:t>）的用量，从而避免消毒剂用量过大对环境产生的不良影响。污水处理工艺见下图。</w:t>
            </w:r>
          </w:p>
          <w:p w14:paraId="36F72E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Cs w:val="21"/>
              </w:rPr>
            </w:pPr>
            <w:r>
              <w:drawing>
                <wp:inline distT="0" distB="0" distL="114300" distR="114300">
                  <wp:extent cx="3458210" cy="4142105"/>
                  <wp:effectExtent l="9525" t="9525" r="18415" b="20320"/>
                  <wp:docPr id="1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5"/>
                          <pic:cNvPicPr>
                            <a:picLocks noChangeAspect="1"/>
                          </pic:cNvPicPr>
                        </pic:nvPicPr>
                        <pic:blipFill>
                          <a:blip r:embed="rId14"/>
                          <a:stretch>
                            <a:fillRect/>
                          </a:stretch>
                        </pic:blipFill>
                        <pic:spPr>
                          <a:xfrm>
                            <a:off x="0" y="0"/>
                            <a:ext cx="3458210" cy="414210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60F7F147">
            <w:pPr>
              <w:pStyle w:val="27"/>
              <w:bidi w:val="0"/>
            </w:pPr>
            <w:r>
              <w:rPr>
                <w:rFonts w:hint="eastAsia"/>
              </w:rPr>
              <w:t>遂宁益民医院</w:t>
            </w:r>
            <w:r>
              <w:t>污水处理工艺流程</w:t>
            </w:r>
          </w:p>
          <w:p w14:paraId="303E27FE">
            <w:pPr>
              <w:bidi w:val="0"/>
            </w:pPr>
            <w:r>
              <w:t>（4）废水污染治理设施可行性分析</w:t>
            </w:r>
          </w:p>
          <w:p w14:paraId="11BD3B88">
            <w:pPr>
              <w:bidi w:val="0"/>
            </w:pPr>
            <w:r>
              <w:t>1）废水处理工艺合理性分析</w:t>
            </w:r>
          </w:p>
          <w:p w14:paraId="064A9AD9">
            <w:pPr>
              <w:bidi w:val="0"/>
            </w:pPr>
            <w:r>
              <w:rPr>
                <w:rFonts w:hint="eastAsia"/>
              </w:rPr>
              <w:t>遂宁益民医院</w:t>
            </w:r>
            <w:r>
              <w:t>污水处理采用“</w:t>
            </w:r>
            <w:r>
              <w:rPr>
                <w:rFonts w:hint="eastAsia"/>
                <w:lang w:val="en-US" w:eastAsia="zh-CN"/>
              </w:rPr>
              <w:t>格栅调节+接触氧化+沉淀+消毒</w:t>
            </w:r>
            <w:r>
              <w:t>”的工艺，该工艺属于《排污许可证申请与核发技术规范 医疗机构》（HJ1105—2020）中排入城镇污水处理厂的污水治理可行技术。同时本项目采取的污水处理工艺已广泛应用于各类医院，运行情况良好，项目出水能达到《医疗机构水污染物排放标准》（GB18466-2005）中表2预处理标准，且满足《医疗机构水污染物排放标准》中“综合医疗机构污水排放执行排放标准时，采用</w:t>
            </w:r>
            <w:r>
              <w:rPr>
                <w:rFonts w:hint="eastAsia"/>
                <w:lang w:val="en-US" w:eastAsia="zh-CN"/>
              </w:rPr>
              <w:t>格栅调节+接触氧化+沉淀+消毒</w:t>
            </w:r>
            <w:r>
              <w:t>”的要求。本项目采取上述废水处理工艺可行。</w:t>
            </w:r>
          </w:p>
          <w:p w14:paraId="405CAA8C">
            <w:pPr>
              <w:bidi w:val="0"/>
            </w:pPr>
            <w:r>
              <w:t>2）</w:t>
            </w:r>
            <w:r>
              <w:rPr>
                <w:rFonts w:hint="eastAsia"/>
                <w:lang w:eastAsia="zh-CN"/>
              </w:rPr>
              <w:t>依托遂宁市城南第一污水处理厂可行性</w:t>
            </w:r>
            <w:r>
              <w:t>分析</w:t>
            </w:r>
          </w:p>
          <w:p w14:paraId="73197C19">
            <w:pPr>
              <w:bidi w:val="0"/>
            </w:pPr>
            <w:r>
              <w:rPr>
                <w:rFonts w:hint="eastAsia"/>
                <w:lang w:eastAsia="zh-CN"/>
              </w:rPr>
              <w:t>遂宁市城南第一污水处理厂</w:t>
            </w:r>
            <w:r>
              <w:t>位于遂宁市创新工业园区花溪路，工程设计处理规模</w:t>
            </w:r>
            <w:r>
              <w:rPr>
                <w:rFonts w:hint="eastAsia"/>
              </w:rPr>
              <w:t>6</w:t>
            </w:r>
            <w:r>
              <w:t>万吨/日，服务范围为</w:t>
            </w:r>
            <w:r>
              <w:rPr>
                <w:rFonts w:hint="eastAsia"/>
              </w:rPr>
              <w:t>遂宁市</w:t>
            </w:r>
            <w:r>
              <w:t>老城区、肖坝片区、竹公溪部分片区、城北、城西以及全部岷江东岸片区。污水处理厂采用“粗格栅+CASS池为主体的二级处理工艺、紫外线消毒、重力浓缩+离心脱水机污泥处理”工艺，处理后排水水质执行《城镇污水处理厂污染物排放标准》（GB18918—2002）中的一级标准</w:t>
            </w:r>
            <w:r>
              <w:rPr>
                <w:rFonts w:hint="eastAsia"/>
              </w:rPr>
              <w:t>A</w:t>
            </w:r>
            <w:r>
              <w:t>标准，受纳水体为</w:t>
            </w:r>
            <w:r>
              <w:rPr>
                <w:rFonts w:hint="eastAsia"/>
              </w:rPr>
              <w:t>涪江</w:t>
            </w:r>
            <w:r>
              <w:t>。</w:t>
            </w:r>
          </w:p>
          <w:p w14:paraId="61DE7A40">
            <w:pPr>
              <w:bidi w:val="0"/>
            </w:pPr>
            <w:r>
              <w:t>本项目污水日排放量为</w:t>
            </w:r>
            <w:r>
              <w:rPr>
                <w:rFonts w:hint="eastAsia"/>
                <w:lang w:val="en-US" w:eastAsia="zh-CN"/>
              </w:rPr>
              <w:t>7.405</w:t>
            </w:r>
            <w:r>
              <w:t>m</w:t>
            </w:r>
            <w:r>
              <w:rPr>
                <w:vertAlign w:val="superscript"/>
              </w:rPr>
              <w:t>3</w:t>
            </w:r>
            <w:r>
              <w:t>，占</w:t>
            </w:r>
            <w:r>
              <w:rPr>
                <w:rFonts w:hint="eastAsia"/>
                <w:lang w:eastAsia="zh-CN"/>
              </w:rPr>
              <w:t>遂宁市城南第一污水处理厂</w:t>
            </w:r>
            <w:r>
              <w:t>剩余处理量较小，根据现场</w:t>
            </w:r>
            <w:r>
              <w:rPr>
                <w:rFonts w:hint="eastAsia"/>
                <w:lang w:eastAsia="zh-CN"/>
              </w:rPr>
              <w:t>踏勘</w:t>
            </w:r>
            <w:r>
              <w:t>，</w:t>
            </w:r>
            <w:r>
              <w:rPr>
                <w:rFonts w:hint="eastAsia"/>
              </w:rPr>
              <w:t>项目所在</w:t>
            </w:r>
            <w:r>
              <w:t>地污水管网已建成贯通，且本项目位于</w:t>
            </w:r>
            <w:r>
              <w:rPr>
                <w:rFonts w:hint="eastAsia"/>
              </w:rPr>
              <w:t>遂宁市</w:t>
            </w:r>
            <w:r>
              <w:t>污水处理厂服务范围内，同时，本项目废水符合</w:t>
            </w:r>
            <w:r>
              <w:rPr>
                <w:rFonts w:hint="eastAsia"/>
                <w:lang w:eastAsia="zh-CN"/>
              </w:rPr>
              <w:t>遂宁市城南第一污水处理厂</w:t>
            </w:r>
            <w:r>
              <w:t>进水水质标准要求，因此，本项目废水排入</w:t>
            </w:r>
            <w:r>
              <w:rPr>
                <w:rFonts w:hint="eastAsia"/>
                <w:lang w:eastAsia="zh-CN"/>
              </w:rPr>
              <w:t>遂宁市城南第一污水处理厂</w:t>
            </w:r>
            <w:r>
              <w:t>不会对其处理工艺造成冲击。</w:t>
            </w:r>
          </w:p>
          <w:p w14:paraId="1D4215A1">
            <w:pPr>
              <w:bidi w:val="0"/>
            </w:pPr>
            <w:r>
              <w:t>综上，本项目废水处理</w:t>
            </w:r>
            <w:r>
              <w:rPr>
                <w:rFonts w:hint="eastAsia"/>
                <w:lang w:val="en-US" w:eastAsia="zh-CN"/>
              </w:rPr>
              <w:t>由</w:t>
            </w:r>
            <w:r>
              <w:rPr>
                <w:rFonts w:hint="eastAsia"/>
              </w:rPr>
              <w:t>遂宁益民医院</w:t>
            </w:r>
            <w:r>
              <w:t>污水处理站可行，处理后的废水经市政管网进入</w:t>
            </w:r>
            <w:r>
              <w:rPr>
                <w:rFonts w:hint="eastAsia"/>
                <w:lang w:eastAsia="zh-CN"/>
              </w:rPr>
              <w:t>遂宁市城南第一污水处理厂</w:t>
            </w:r>
            <w:r>
              <w:t>可行，废水经处理后能够做到达标排放，不会对地表水环境产生明显影响。</w:t>
            </w:r>
          </w:p>
          <w:p w14:paraId="3AE8CD49">
            <w:pPr>
              <w:bidi w:val="0"/>
            </w:pPr>
            <w:r>
              <w:rPr>
                <w:rFonts w:hint="eastAsia"/>
              </w:rPr>
              <w:t>（5）</w:t>
            </w:r>
            <w:r>
              <w:t>跟踪监测计划</w:t>
            </w:r>
          </w:p>
          <w:p w14:paraId="32AC9CFA">
            <w:pPr>
              <w:bidi w:val="0"/>
            </w:pPr>
            <w:r>
              <w:t>根据《固定污染源排污许可分类管理名录》，项目实行排污登记管理。参照《排污单位自行监测指南—总则》（HJ819-2017）和《排污许可证申请与核发技术规范 医疗机构》（HJ 1105—2020），环评提出运行期每年应对项目废水污染进行监测，本项目监测计划见下表。</w:t>
            </w:r>
          </w:p>
          <w:p w14:paraId="4347E423">
            <w:pPr>
              <w:pStyle w:val="22"/>
              <w:bidi w:val="0"/>
              <w:rPr>
                <w:lang w:val="en-US" w:eastAsia="zh-CN" w:bidi="ar-SA"/>
              </w:rPr>
            </w:pPr>
            <w:r>
              <w:rPr>
                <w:rFonts w:hint="eastAsia"/>
                <w:lang w:val="en-US" w:eastAsia="zh-CN" w:bidi="ar-SA"/>
              </w:rPr>
              <w:t>废水跟踪监测计划表</w:t>
            </w:r>
          </w:p>
          <w:tbl>
            <w:tblPr>
              <w:tblStyle w:val="15"/>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646"/>
              <w:gridCol w:w="4379"/>
              <w:gridCol w:w="1541"/>
            </w:tblGrid>
            <w:tr w14:paraId="7FD3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noWrap w:val="0"/>
                  <w:vAlign w:val="center"/>
                </w:tcPr>
                <w:p w14:paraId="7426E564">
                  <w:pPr>
                    <w:pStyle w:val="23"/>
                    <w:bidi w:val="0"/>
                  </w:pPr>
                  <w:r>
                    <w:rPr>
                      <w:rFonts w:hint="eastAsia"/>
                    </w:rPr>
                    <w:t>类型</w:t>
                  </w:r>
                </w:p>
              </w:tc>
              <w:tc>
                <w:tcPr>
                  <w:tcW w:w="991" w:type="pct"/>
                  <w:noWrap w:val="0"/>
                  <w:vAlign w:val="center"/>
                </w:tcPr>
                <w:p w14:paraId="36722390">
                  <w:pPr>
                    <w:pStyle w:val="23"/>
                    <w:bidi w:val="0"/>
                  </w:pPr>
                  <w:r>
                    <w:rPr>
                      <w:rFonts w:hint="eastAsia"/>
                    </w:rPr>
                    <w:t>监测点位</w:t>
                  </w:r>
                </w:p>
              </w:tc>
              <w:tc>
                <w:tcPr>
                  <w:tcW w:w="2636" w:type="pct"/>
                  <w:noWrap w:val="0"/>
                  <w:vAlign w:val="center"/>
                </w:tcPr>
                <w:p w14:paraId="5F40DC18">
                  <w:pPr>
                    <w:pStyle w:val="23"/>
                    <w:bidi w:val="0"/>
                    <w:rPr>
                      <w:rFonts w:hint="eastAsia"/>
                      <w:lang w:val="en-US" w:eastAsia="zh-CN"/>
                    </w:rPr>
                  </w:pPr>
                  <w:r>
                    <w:rPr>
                      <w:rFonts w:hint="eastAsia"/>
                    </w:rPr>
                    <w:t>监测指标</w:t>
                  </w:r>
                  <w:r>
                    <w:rPr>
                      <w:rFonts w:hint="eastAsia"/>
                      <w:lang w:val="en-US" w:eastAsia="zh-CN"/>
                    </w:rPr>
                    <w:t>a</w:t>
                  </w:r>
                </w:p>
              </w:tc>
              <w:tc>
                <w:tcPr>
                  <w:tcW w:w="925" w:type="pct"/>
                  <w:noWrap w:val="0"/>
                  <w:vAlign w:val="center"/>
                </w:tcPr>
                <w:p w14:paraId="3A7777B0">
                  <w:pPr>
                    <w:pStyle w:val="23"/>
                    <w:bidi w:val="0"/>
                  </w:pPr>
                  <w:r>
                    <w:rPr>
                      <w:rFonts w:hint="eastAsia"/>
                    </w:rPr>
                    <w:t>监测频次</w:t>
                  </w:r>
                </w:p>
              </w:tc>
            </w:tr>
            <w:tr w14:paraId="3384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restart"/>
                  <w:noWrap w:val="0"/>
                  <w:vAlign w:val="center"/>
                </w:tcPr>
                <w:p w14:paraId="6C19381A">
                  <w:pPr>
                    <w:pStyle w:val="23"/>
                    <w:bidi w:val="0"/>
                  </w:pPr>
                  <w:r>
                    <w:rPr>
                      <w:rFonts w:hint="eastAsia"/>
                    </w:rPr>
                    <w:t>废水</w:t>
                  </w:r>
                </w:p>
              </w:tc>
              <w:tc>
                <w:tcPr>
                  <w:tcW w:w="991" w:type="pct"/>
                  <w:vMerge w:val="restart"/>
                  <w:noWrap w:val="0"/>
                  <w:vAlign w:val="center"/>
                </w:tcPr>
                <w:p w14:paraId="7C7224E4">
                  <w:pPr>
                    <w:pStyle w:val="23"/>
                    <w:bidi w:val="0"/>
                    <w:rPr>
                      <w:rFonts w:hint="eastAsia"/>
                      <w:lang w:eastAsia="zh-CN"/>
                    </w:rPr>
                  </w:pPr>
                  <w:r>
                    <w:rPr>
                      <w:rFonts w:hint="eastAsia"/>
                      <w:lang w:val="en-US" w:eastAsia="zh-CN"/>
                    </w:rPr>
                    <w:t>污水总排放口</w:t>
                  </w:r>
                </w:p>
              </w:tc>
              <w:tc>
                <w:tcPr>
                  <w:tcW w:w="2636" w:type="pct"/>
                  <w:noWrap w:val="0"/>
                  <w:vAlign w:val="center"/>
                </w:tcPr>
                <w:p w14:paraId="7B23ED21">
                  <w:pPr>
                    <w:pStyle w:val="23"/>
                    <w:bidi w:val="0"/>
                  </w:pPr>
                  <w:r>
                    <w:rPr>
                      <w:rFonts w:hint="eastAsia"/>
                      <w:lang w:val="en-US" w:eastAsia="zh-CN"/>
                    </w:rPr>
                    <w:t>流量</w:t>
                  </w:r>
                </w:p>
              </w:tc>
              <w:tc>
                <w:tcPr>
                  <w:tcW w:w="925" w:type="pct"/>
                  <w:noWrap w:val="0"/>
                  <w:vAlign w:val="center"/>
                </w:tcPr>
                <w:p w14:paraId="175A9C24">
                  <w:pPr>
                    <w:pStyle w:val="23"/>
                    <w:bidi w:val="0"/>
                    <w:rPr>
                      <w:rFonts w:hint="default"/>
                      <w:lang w:val="en-US" w:eastAsia="zh-CN"/>
                    </w:rPr>
                  </w:pPr>
                  <w:r>
                    <w:rPr>
                      <w:rFonts w:hint="eastAsia"/>
                      <w:lang w:val="en-US" w:eastAsia="zh-CN"/>
                    </w:rPr>
                    <w:t>自动监测</w:t>
                  </w:r>
                </w:p>
              </w:tc>
            </w:tr>
            <w:tr w14:paraId="4754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continue"/>
                  <w:noWrap w:val="0"/>
                  <w:vAlign w:val="center"/>
                </w:tcPr>
                <w:p w14:paraId="580938A7">
                  <w:pPr>
                    <w:pStyle w:val="23"/>
                    <w:bidi w:val="0"/>
                    <w:rPr>
                      <w:rFonts w:hint="eastAsia"/>
                    </w:rPr>
                  </w:pPr>
                </w:p>
              </w:tc>
              <w:tc>
                <w:tcPr>
                  <w:tcW w:w="991" w:type="pct"/>
                  <w:vMerge w:val="continue"/>
                  <w:noWrap w:val="0"/>
                  <w:vAlign w:val="center"/>
                </w:tcPr>
                <w:p w14:paraId="15512FF4">
                  <w:pPr>
                    <w:pStyle w:val="23"/>
                    <w:bidi w:val="0"/>
                    <w:rPr>
                      <w:rFonts w:hint="eastAsia"/>
                    </w:rPr>
                  </w:pPr>
                </w:p>
              </w:tc>
              <w:tc>
                <w:tcPr>
                  <w:tcW w:w="2636" w:type="pct"/>
                  <w:noWrap w:val="0"/>
                  <w:vAlign w:val="center"/>
                </w:tcPr>
                <w:p w14:paraId="2FA6F645">
                  <w:pPr>
                    <w:pStyle w:val="23"/>
                    <w:bidi w:val="0"/>
                    <w:rPr>
                      <w:rFonts w:hint="default"/>
                      <w:lang w:val="en-US" w:eastAsia="zh-CN"/>
                    </w:rPr>
                  </w:pPr>
                  <w:r>
                    <w:rPr>
                      <w:rFonts w:hint="eastAsia"/>
                      <w:lang w:val="en-US" w:eastAsia="zh-CN"/>
                    </w:rPr>
                    <w:t>pH值</w:t>
                  </w:r>
                </w:p>
              </w:tc>
              <w:tc>
                <w:tcPr>
                  <w:tcW w:w="925" w:type="pct"/>
                  <w:noWrap w:val="0"/>
                  <w:vAlign w:val="center"/>
                </w:tcPr>
                <w:p w14:paraId="1B5E397C">
                  <w:pPr>
                    <w:pStyle w:val="23"/>
                    <w:bidi w:val="0"/>
                    <w:rPr>
                      <w:rFonts w:hint="default"/>
                      <w:lang w:val="en-US" w:eastAsia="zh-CN"/>
                    </w:rPr>
                  </w:pPr>
                  <w:r>
                    <w:rPr>
                      <w:rFonts w:hint="eastAsia"/>
                      <w:lang w:val="en-US" w:eastAsia="zh-CN"/>
                    </w:rPr>
                    <w:t>12小时</w:t>
                  </w:r>
                </w:p>
              </w:tc>
            </w:tr>
            <w:tr w14:paraId="6EA7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continue"/>
                  <w:noWrap w:val="0"/>
                  <w:vAlign w:val="center"/>
                </w:tcPr>
                <w:p w14:paraId="72028854">
                  <w:pPr>
                    <w:pStyle w:val="23"/>
                    <w:bidi w:val="0"/>
                    <w:rPr>
                      <w:rFonts w:hint="eastAsia"/>
                    </w:rPr>
                  </w:pPr>
                </w:p>
              </w:tc>
              <w:tc>
                <w:tcPr>
                  <w:tcW w:w="991" w:type="pct"/>
                  <w:vMerge w:val="continue"/>
                  <w:noWrap w:val="0"/>
                  <w:vAlign w:val="center"/>
                </w:tcPr>
                <w:p w14:paraId="7463293C">
                  <w:pPr>
                    <w:pStyle w:val="23"/>
                    <w:bidi w:val="0"/>
                    <w:rPr>
                      <w:rFonts w:hint="eastAsia"/>
                    </w:rPr>
                  </w:pPr>
                </w:p>
              </w:tc>
              <w:tc>
                <w:tcPr>
                  <w:tcW w:w="2636" w:type="pct"/>
                  <w:noWrap w:val="0"/>
                  <w:vAlign w:val="center"/>
                </w:tcPr>
                <w:p w14:paraId="508C57AD">
                  <w:pPr>
                    <w:pStyle w:val="23"/>
                    <w:bidi w:val="0"/>
                    <w:rPr>
                      <w:rFonts w:hint="default"/>
                      <w:lang w:val="en-US" w:eastAsia="zh-CN"/>
                    </w:rPr>
                  </w:pPr>
                  <w:r>
                    <w:rPr>
                      <w:rFonts w:hint="eastAsia"/>
                      <w:lang w:val="en-US" w:eastAsia="zh-CN"/>
                    </w:rPr>
                    <w:t>化学需氧量b、悬浮物</w:t>
                  </w:r>
                </w:p>
              </w:tc>
              <w:tc>
                <w:tcPr>
                  <w:tcW w:w="925" w:type="pct"/>
                  <w:noWrap w:val="0"/>
                  <w:vAlign w:val="center"/>
                </w:tcPr>
                <w:p w14:paraId="0BD85298">
                  <w:pPr>
                    <w:pStyle w:val="23"/>
                    <w:bidi w:val="0"/>
                    <w:rPr>
                      <w:rFonts w:hint="eastAsia"/>
                      <w:lang w:val="en-US" w:eastAsia="zh-CN"/>
                    </w:rPr>
                  </w:pPr>
                  <w:r>
                    <w:rPr>
                      <w:rFonts w:hint="eastAsia"/>
                      <w:lang w:val="en-US" w:eastAsia="zh-CN"/>
                    </w:rPr>
                    <w:t>周</w:t>
                  </w:r>
                </w:p>
              </w:tc>
            </w:tr>
            <w:tr w14:paraId="5F24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continue"/>
                  <w:noWrap w:val="0"/>
                  <w:vAlign w:val="center"/>
                </w:tcPr>
                <w:p w14:paraId="40EED6A0">
                  <w:pPr>
                    <w:pStyle w:val="23"/>
                    <w:bidi w:val="0"/>
                    <w:rPr>
                      <w:rFonts w:hint="eastAsia"/>
                    </w:rPr>
                  </w:pPr>
                </w:p>
              </w:tc>
              <w:tc>
                <w:tcPr>
                  <w:tcW w:w="991" w:type="pct"/>
                  <w:vMerge w:val="continue"/>
                  <w:noWrap w:val="0"/>
                  <w:vAlign w:val="center"/>
                </w:tcPr>
                <w:p w14:paraId="77034601">
                  <w:pPr>
                    <w:pStyle w:val="23"/>
                    <w:bidi w:val="0"/>
                    <w:rPr>
                      <w:rFonts w:hint="eastAsia"/>
                    </w:rPr>
                  </w:pPr>
                </w:p>
              </w:tc>
              <w:tc>
                <w:tcPr>
                  <w:tcW w:w="2636" w:type="pct"/>
                  <w:noWrap w:val="0"/>
                  <w:vAlign w:val="center"/>
                </w:tcPr>
                <w:p w14:paraId="63246BED">
                  <w:pPr>
                    <w:pStyle w:val="23"/>
                    <w:bidi w:val="0"/>
                    <w:rPr>
                      <w:rFonts w:hint="default"/>
                      <w:lang w:val="en-US" w:eastAsia="zh-CN"/>
                    </w:rPr>
                  </w:pPr>
                  <w:r>
                    <w:rPr>
                      <w:rFonts w:hint="eastAsia"/>
                      <w:lang w:val="en-US" w:eastAsia="zh-CN"/>
                    </w:rPr>
                    <w:t>粪大肠菌群数</w:t>
                  </w:r>
                </w:p>
              </w:tc>
              <w:tc>
                <w:tcPr>
                  <w:tcW w:w="925" w:type="pct"/>
                  <w:noWrap w:val="0"/>
                  <w:vAlign w:val="center"/>
                </w:tcPr>
                <w:p w14:paraId="5475F73C">
                  <w:pPr>
                    <w:pStyle w:val="23"/>
                    <w:bidi w:val="0"/>
                    <w:rPr>
                      <w:rFonts w:hint="eastAsia"/>
                      <w:lang w:val="en-US" w:eastAsia="zh-CN"/>
                    </w:rPr>
                  </w:pPr>
                  <w:r>
                    <w:rPr>
                      <w:rFonts w:hint="eastAsia"/>
                      <w:lang w:val="en-US" w:eastAsia="zh-CN"/>
                    </w:rPr>
                    <w:t>月</w:t>
                  </w:r>
                </w:p>
              </w:tc>
            </w:tr>
            <w:tr w14:paraId="2CC6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continue"/>
                  <w:noWrap w:val="0"/>
                  <w:vAlign w:val="center"/>
                </w:tcPr>
                <w:p w14:paraId="30FBB33E">
                  <w:pPr>
                    <w:pStyle w:val="23"/>
                    <w:bidi w:val="0"/>
                    <w:rPr>
                      <w:rFonts w:hint="eastAsia"/>
                    </w:rPr>
                  </w:pPr>
                </w:p>
              </w:tc>
              <w:tc>
                <w:tcPr>
                  <w:tcW w:w="991" w:type="pct"/>
                  <w:vMerge w:val="continue"/>
                  <w:noWrap w:val="0"/>
                  <w:vAlign w:val="center"/>
                </w:tcPr>
                <w:p w14:paraId="68D3C14D">
                  <w:pPr>
                    <w:pStyle w:val="23"/>
                    <w:bidi w:val="0"/>
                    <w:rPr>
                      <w:rFonts w:hint="eastAsia"/>
                    </w:rPr>
                  </w:pPr>
                </w:p>
              </w:tc>
              <w:tc>
                <w:tcPr>
                  <w:tcW w:w="2636" w:type="pct"/>
                  <w:noWrap w:val="0"/>
                  <w:vAlign w:val="center"/>
                </w:tcPr>
                <w:p w14:paraId="57A15649">
                  <w:pPr>
                    <w:pStyle w:val="23"/>
                    <w:bidi w:val="0"/>
                    <w:rPr>
                      <w:rFonts w:hint="default"/>
                      <w:lang w:val="en-US" w:eastAsia="zh-CN"/>
                    </w:rPr>
                  </w:pPr>
                  <w:r>
                    <w:rPr>
                      <w:rFonts w:hint="eastAsia"/>
                      <w:lang w:val="en-US" w:eastAsia="zh-CN"/>
                    </w:rPr>
                    <w:t>五日生化需氧量、石油类、挥发酚、动植物油、阴离子表面活性剂、总氰化物</w:t>
                  </w:r>
                </w:p>
              </w:tc>
              <w:tc>
                <w:tcPr>
                  <w:tcW w:w="925" w:type="pct"/>
                  <w:noWrap w:val="0"/>
                  <w:vAlign w:val="center"/>
                </w:tcPr>
                <w:p w14:paraId="27D6544E">
                  <w:pPr>
                    <w:pStyle w:val="23"/>
                    <w:bidi w:val="0"/>
                    <w:rPr>
                      <w:rFonts w:hint="eastAsia"/>
                      <w:lang w:val="en-US" w:eastAsia="zh-CN"/>
                    </w:rPr>
                  </w:pPr>
                  <w:r>
                    <w:rPr>
                      <w:rFonts w:hint="eastAsia"/>
                      <w:lang w:val="en-US" w:eastAsia="zh-CN"/>
                    </w:rPr>
                    <w:t>季度</w:t>
                  </w:r>
                </w:p>
              </w:tc>
            </w:tr>
            <w:tr w14:paraId="13BD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14:paraId="0A571544">
                  <w:pPr>
                    <w:pStyle w:val="23"/>
                    <w:bidi w:val="0"/>
                    <w:rPr>
                      <w:rFonts w:hint="eastAsia"/>
                      <w:lang w:eastAsia="zh-CN"/>
                    </w:rPr>
                  </w:pPr>
                  <w:r>
                    <w:rPr>
                      <w:rFonts w:hint="eastAsia"/>
                    </w:rPr>
                    <w:t>注:a根据医院科室设置、污水类别和实际排污情况，确定具体的污染物监测指标</w:t>
                  </w:r>
                  <w:r>
                    <w:rPr>
                      <w:rFonts w:hint="eastAsia"/>
                      <w:lang w:eastAsia="zh-CN"/>
                    </w:rPr>
                    <w:t>；</w:t>
                  </w:r>
                </w:p>
                <w:p w14:paraId="0291973F">
                  <w:pPr>
                    <w:pStyle w:val="23"/>
                    <w:bidi w:val="0"/>
                  </w:pPr>
                  <w:r>
                    <w:rPr>
                      <w:rFonts w:hint="eastAsia"/>
                      <w:lang w:val="en-US" w:eastAsia="zh-CN"/>
                    </w:rPr>
                    <w:t>b</w:t>
                  </w:r>
                  <w:r>
                    <w:rPr>
                      <w:rFonts w:hint="eastAsia"/>
                    </w:rPr>
                    <w:t>设区的市级及以上生态环境主管部门明确要求安装在线监测设备的，须采取在线监测</w:t>
                  </w:r>
                </w:p>
              </w:tc>
            </w:tr>
          </w:tbl>
          <w:p w14:paraId="06EE3A07">
            <w:pPr>
              <w:pStyle w:val="4"/>
              <w:bidi w:val="0"/>
            </w:pPr>
            <w:r>
              <w:t>噪声产生及治理措施</w:t>
            </w:r>
          </w:p>
          <w:p w14:paraId="5C812148">
            <w:pPr>
              <w:bidi w:val="0"/>
            </w:pPr>
            <w:r>
              <w:rPr>
                <w:rFonts w:hint="eastAsia"/>
                <w:lang w:val="en-US" w:eastAsia="zh-CN"/>
              </w:rPr>
              <w:t>（1）</w:t>
            </w:r>
            <w:r>
              <w:rPr>
                <w:rFonts w:hint="eastAsia"/>
              </w:rPr>
              <w:t>源强分析</w:t>
            </w:r>
          </w:p>
          <w:p w14:paraId="35467355">
            <w:pPr>
              <w:bidi w:val="0"/>
              <w:rPr>
                <w:rFonts w:hint="default"/>
                <w:lang w:val="en-US" w:eastAsia="zh-CN"/>
              </w:rPr>
            </w:pPr>
            <w:r>
              <w:rPr>
                <w:rFonts w:hint="eastAsia"/>
                <w:lang w:val="en-US" w:eastAsia="zh-CN"/>
              </w:rPr>
              <w:t>本项目不设置中央空调。项目产生的噪声主要来自分体空调、医疗设备运行时产生的设备噪声，病人陪护人员及医务人员产生的社会生活噪声，以及来往车辆产生的交通噪声。其噪声值在50~90dB（A）。本项目室内</w:t>
            </w:r>
            <w:r>
              <w:rPr>
                <w:rFonts w:hint="default"/>
                <w:lang w:val="en-US" w:eastAsia="zh-CN"/>
              </w:rPr>
              <w:t>声源源强及排放参数见表</w:t>
            </w:r>
            <w:r>
              <w:rPr>
                <w:rFonts w:hint="eastAsia"/>
                <w:lang w:val="en-US" w:eastAsia="zh-CN"/>
              </w:rPr>
              <w:t>4-9，室外</w:t>
            </w:r>
            <w:r>
              <w:rPr>
                <w:rFonts w:hint="default"/>
                <w:lang w:val="en-US" w:eastAsia="zh-CN"/>
              </w:rPr>
              <w:t>设备声源源强及排放参数见表</w:t>
            </w:r>
            <w:r>
              <w:rPr>
                <w:rFonts w:hint="eastAsia"/>
                <w:lang w:val="en-US" w:eastAsia="zh-CN"/>
              </w:rPr>
              <w:t>4-10</w:t>
            </w:r>
            <w:r>
              <w:rPr>
                <w:rFonts w:hint="default"/>
                <w:lang w:val="en-US" w:eastAsia="zh-CN"/>
              </w:rPr>
              <w:t>。</w:t>
            </w:r>
          </w:p>
          <w:p w14:paraId="6737B8CE">
            <w:pPr>
              <w:pStyle w:val="22"/>
              <w:bidi w:val="0"/>
              <w:rPr>
                <w:rFonts w:hint="default"/>
                <w:lang w:val="en-US" w:eastAsia="zh-CN" w:bidi="ar-SA"/>
              </w:rPr>
            </w:pPr>
            <w:r>
              <w:rPr>
                <w:rFonts w:hint="default"/>
                <w:lang w:val="en-US" w:eastAsia="zh-CN" w:bidi="ar-SA"/>
              </w:rPr>
              <w:t>主要噪声源强调查清单（室内声源）</w:t>
            </w:r>
          </w:p>
          <w:tbl>
            <w:tblPr>
              <w:tblStyle w:val="15"/>
              <w:tblW w:w="822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69"/>
              <w:gridCol w:w="1514"/>
              <w:gridCol w:w="1442"/>
              <w:gridCol w:w="754"/>
              <w:gridCol w:w="527"/>
              <w:gridCol w:w="527"/>
              <w:gridCol w:w="533"/>
              <w:gridCol w:w="1234"/>
              <w:gridCol w:w="1021"/>
            </w:tblGrid>
            <w:tr w14:paraId="788B3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70" w:hRule="atLeast"/>
                <w:jc w:val="center"/>
              </w:trPr>
              <w:tc>
                <w:tcPr>
                  <w:tcW w:w="411" w:type="pct"/>
                  <w:vMerge w:val="restart"/>
                  <w:noWrap w:val="0"/>
                  <w:vAlign w:val="center"/>
                </w:tcPr>
                <w:p w14:paraId="6034F5EA">
                  <w:pPr>
                    <w:pStyle w:val="23"/>
                    <w:bidi w:val="0"/>
                    <w:rPr>
                      <w:rFonts w:hint="eastAsia"/>
                    </w:rPr>
                  </w:pPr>
                  <w:r>
                    <w:rPr>
                      <w:rFonts w:hint="eastAsia"/>
                      <w:lang w:val="en-US" w:eastAsia="zh-CN"/>
                    </w:rPr>
                    <w:t>建筑物</w:t>
                  </w:r>
                </w:p>
              </w:tc>
              <w:tc>
                <w:tcPr>
                  <w:tcW w:w="925" w:type="pct"/>
                  <w:vMerge w:val="restart"/>
                  <w:noWrap w:val="0"/>
                  <w:vAlign w:val="center"/>
                </w:tcPr>
                <w:p w14:paraId="2BAEFA0B">
                  <w:pPr>
                    <w:pStyle w:val="23"/>
                    <w:bidi w:val="0"/>
                    <w:rPr>
                      <w:rFonts w:hint="eastAsia"/>
                    </w:rPr>
                  </w:pPr>
                  <w:r>
                    <w:rPr>
                      <w:rFonts w:hint="eastAsia"/>
                      <w:lang w:val="en-US" w:eastAsia="zh-CN"/>
                    </w:rPr>
                    <w:t>噪声源</w:t>
                  </w:r>
                </w:p>
              </w:tc>
              <w:tc>
                <w:tcPr>
                  <w:tcW w:w="881" w:type="pct"/>
                  <w:vMerge w:val="restart"/>
                  <w:noWrap w:val="0"/>
                  <w:vAlign w:val="center"/>
                </w:tcPr>
                <w:p w14:paraId="61AB579B">
                  <w:pPr>
                    <w:pStyle w:val="23"/>
                    <w:bidi w:val="0"/>
                    <w:rPr>
                      <w:rFonts w:hint="eastAsia"/>
                    </w:rPr>
                  </w:pPr>
                  <w:r>
                    <w:rPr>
                      <w:rFonts w:hint="eastAsia"/>
                      <w:lang w:val="en-US" w:eastAsia="zh-CN"/>
                    </w:rPr>
                    <w:t>声源声功率级/dB(A)</w:t>
                  </w:r>
                </w:p>
              </w:tc>
              <w:tc>
                <w:tcPr>
                  <w:tcW w:w="462" w:type="pct"/>
                  <w:vMerge w:val="restart"/>
                  <w:noWrap w:val="0"/>
                  <w:vAlign w:val="center"/>
                </w:tcPr>
                <w:p w14:paraId="1D9D5E54">
                  <w:pPr>
                    <w:pStyle w:val="23"/>
                    <w:bidi w:val="0"/>
                    <w:rPr>
                      <w:rFonts w:hint="eastAsia"/>
                    </w:rPr>
                  </w:pPr>
                  <w:r>
                    <w:rPr>
                      <w:rFonts w:hint="eastAsia"/>
                      <w:lang w:val="en-US" w:eastAsia="zh-CN"/>
                    </w:rPr>
                    <w:t>声源控制</w:t>
                  </w:r>
                </w:p>
              </w:tc>
              <w:tc>
                <w:tcPr>
                  <w:tcW w:w="976" w:type="pct"/>
                  <w:gridSpan w:val="3"/>
                  <w:noWrap w:val="0"/>
                  <w:vAlign w:val="center"/>
                </w:tcPr>
                <w:p w14:paraId="1B76F3BB">
                  <w:pPr>
                    <w:pStyle w:val="23"/>
                    <w:bidi w:val="0"/>
                    <w:rPr>
                      <w:rFonts w:hint="eastAsia"/>
                    </w:rPr>
                  </w:pPr>
                  <w:r>
                    <w:rPr>
                      <w:rFonts w:hint="eastAsia"/>
                      <w:lang w:val="en-US" w:eastAsia="zh-CN"/>
                    </w:rPr>
                    <w:t>空间相对位置/m</w:t>
                  </w:r>
                  <w:r>
                    <w:rPr>
                      <w:rFonts w:hint="default"/>
                    </w:rPr>
                    <w:t>①</w:t>
                  </w:r>
                </w:p>
              </w:tc>
              <w:tc>
                <w:tcPr>
                  <w:tcW w:w="754" w:type="pct"/>
                  <w:vMerge w:val="restart"/>
                  <w:noWrap w:val="0"/>
                  <w:vAlign w:val="center"/>
                </w:tcPr>
                <w:p w14:paraId="10F5417B">
                  <w:pPr>
                    <w:pStyle w:val="23"/>
                    <w:bidi w:val="0"/>
                    <w:rPr>
                      <w:rFonts w:hint="eastAsia"/>
                    </w:rPr>
                  </w:pPr>
                  <w:r>
                    <w:rPr>
                      <w:rFonts w:hint="eastAsia"/>
                      <w:lang w:val="en-US" w:eastAsia="zh-CN"/>
                    </w:rPr>
                    <w:t>运行时段</w:t>
                  </w:r>
                </w:p>
              </w:tc>
              <w:tc>
                <w:tcPr>
                  <w:tcW w:w="588" w:type="pct"/>
                  <w:vMerge w:val="restart"/>
                  <w:noWrap w:val="0"/>
                  <w:vAlign w:val="center"/>
                </w:tcPr>
                <w:p w14:paraId="4431EEF4">
                  <w:pPr>
                    <w:pStyle w:val="23"/>
                    <w:bidi w:val="0"/>
                    <w:rPr>
                      <w:rFonts w:hint="eastAsia"/>
                    </w:rPr>
                  </w:pPr>
                  <w:r>
                    <w:rPr>
                      <w:rFonts w:hint="eastAsia"/>
                      <w:lang w:val="en-US" w:eastAsia="zh-CN"/>
                    </w:rPr>
                    <w:t>建筑物插入损失②/dB(A)</w:t>
                  </w:r>
                </w:p>
              </w:tc>
            </w:tr>
            <w:tr w14:paraId="626AA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411" w:type="pct"/>
                  <w:vMerge w:val="continue"/>
                  <w:noWrap w:val="0"/>
                  <w:vAlign w:val="center"/>
                </w:tcPr>
                <w:p w14:paraId="7ACC8AC0">
                  <w:pPr>
                    <w:pStyle w:val="23"/>
                    <w:bidi w:val="0"/>
                    <w:rPr>
                      <w:rFonts w:hint="eastAsia"/>
                    </w:rPr>
                  </w:pPr>
                </w:p>
              </w:tc>
              <w:tc>
                <w:tcPr>
                  <w:tcW w:w="925" w:type="pct"/>
                  <w:vMerge w:val="continue"/>
                  <w:noWrap/>
                  <w:vAlign w:val="center"/>
                </w:tcPr>
                <w:p w14:paraId="1BBCD76F">
                  <w:pPr>
                    <w:pStyle w:val="23"/>
                    <w:bidi w:val="0"/>
                    <w:rPr>
                      <w:rFonts w:hint="eastAsia"/>
                    </w:rPr>
                  </w:pPr>
                </w:p>
              </w:tc>
              <w:tc>
                <w:tcPr>
                  <w:tcW w:w="881" w:type="pct"/>
                  <w:vMerge w:val="continue"/>
                  <w:noWrap w:val="0"/>
                  <w:vAlign w:val="center"/>
                </w:tcPr>
                <w:p w14:paraId="37B8AB5E">
                  <w:pPr>
                    <w:pStyle w:val="23"/>
                    <w:bidi w:val="0"/>
                    <w:rPr>
                      <w:rFonts w:hint="eastAsia"/>
                    </w:rPr>
                  </w:pPr>
                </w:p>
              </w:tc>
              <w:tc>
                <w:tcPr>
                  <w:tcW w:w="462" w:type="pct"/>
                  <w:vMerge w:val="continue"/>
                  <w:noWrap w:val="0"/>
                  <w:vAlign w:val="center"/>
                </w:tcPr>
                <w:p w14:paraId="49FBFBFB">
                  <w:pPr>
                    <w:pStyle w:val="23"/>
                    <w:bidi w:val="0"/>
                    <w:rPr>
                      <w:rFonts w:hint="eastAsia"/>
                    </w:rPr>
                  </w:pPr>
                </w:p>
              </w:tc>
              <w:tc>
                <w:tcPr>
                  <w:tcW w:w="324" w:type="pct"/>
                  <w:noWrap w:val="0"/>
                  <w:vAlign w:val="center"/>
                </w:tcPr>
                <w:p w14:paraId="109E7AB8">
                  <w:pPr>
                    <w:pStyle w:val="23"/>
                    <w:bidi w:val="0"/>
                    <w:rPr>
                      <w:rFonts w:hint="eastAsia"/>
                    </w:rPr>
                  </w:pPr>
                  <w:r>
                    <w:rPr>
                      <w:rFonts w:hint="eastAsia"/>
                      <w:lang w:val="en-US" w:eastAsia="zh-CN"/>
                    </w:rPr>
                    <w:t>X</w:t>
                  </w:r>
                </w:p>
              </w:tc>
              <w:tc>
                <w:tcPr>
                  <w:tcW w:w="324" w:type="pct"/>
                  <w:noWrap w:val="0"/>
                  <w:vAlign w:val="center"/>
                </w:tcPr>
                <w:p w14:paraId="0C5E8727">
                  <w:pPr>
                    <w:pStyle w:val="23"/>
                    <w:bidi w:val="0"/>
                    <w:rPr>
                      <w:rFonts w:hint="eastAsia"/>
                    </w:rPr>
                  </w:pPr>
                  <w:r>
                    <w:rPr>
                      <w:rFonts w:hint="eastAsia"/>
                      <w:lang w:val="en-US" w:eastAsia="zh-CN"/>
                    </w:rPr>
                    <w:t>Y</w:t>
                  </w:r>
                </w:p>
              </w:tc>
              <w:tc>
                <w:tcPr>
                  <w:tcW w:w="327" w:type="pct"/>
                  <w:noWrap w:val="0"/>
                  <w:vAlign w:val="center"/>
                </w:tcPr>
                <w:p w14:paraId="225FE1DF">
                  <w:pPr>
                    <w:pStyle w:val="23"/>
                    <w:bidi w:val="0"/>
                    <w:rPr>
                      <w:rFonts w:hint="eastAsia"/>
                    </w:rPr>
                  </w:pPr>
                  <w:r>
                    <w:rPr>
                      <w:rFonts w:hint="eastAsia"/>
                      <w:lang w:val="en-US" w:eastAsia="zh-CN"/>
                    </w:rPr>
                    <w:t>Z</w:t>
                  </w:r>
                </w:p>
              </w:tc>
              <w:tc>
                <w:tcPr>
                  <w:tcW w:w="754" w:type="pct"/>
                  <w:vMerge w:val="continue"/>
                  <w:noWrap w:val="0"/>
                  <w:vAlign w:val="center"/>
                </w:tcPr>
                <w:p w14:paraId="4FC33FE5">
                  <w:pPr>
                    <w:pStyle w:val="23"/>
                    <w:bidi w:val="0"/>
                    <w:rPr>
                      <w:rFonts w:hint="eastAsia"/>
                    </w:rPr>
                  </w:pPr>
                </w:p>
              </w:tc>
              <w:tc>
                <w:tcPr>
                  <w:tcW w:w="588" w:type="pct"/>
                  <w:vMerge w:val="continue"/>
                  <w:noWrap w:val="0"/>
                  <w:vAlign w:val="center"/>
                </w:tcPr>
                <w:p w14:paraId="7EE9F702">
                  <w:pPr>
                    <w:pStyle w:val="23"/>
                    <w:bidi w:val="0"/>
                    <w:rPr>
                      <w:rFonts w:hint="eastAsia"/>
                    </w:rPr>
                  </w:pPr>
                </w:p>
              </w:tc>
            </w:tr>
            <w:tr w14:paraId="0E812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411" w:type="pct"/>
                  <w:vMerge w:val="restart"/>
                  <w:noWrap w:val="0"/>
                  <w:vAlign w:val="center"/>
                </w:tcPr>
                <w:p w14:paraId="3AEFDCA5">
                  <w:pPr>
                    <w:pStyle w:val="23"/>
                    <w:bidi w:val="0"/>
                    <w:rPr>
                      <w:rFonts w:hint="eastAsia"/>
                    </w:rPr>
                  </w:pPr>
                  <w:r>
                    <w:rPr>
                      <w:rFonts w:hint="eastAsia"/>
                      <w:lang w:val="en-US" w:eastAsia="zh-CN"/>
                    </w:rPr>
                    <w:t>室内</w:t>
                  </w:r>
                </w:p>
              </w:tc>
              <w:tc>
                <w:tcPr>
                  <w:tcW w:w="925" w:type="pct"/>
                  <w:noWrap w:val="0"/>
                  <w:vAlign w:val="center"/>
                </w:tcPr>
                <w:p w14:paraId="40CCD1C5">
                  <w:pPr>
                    <w:pStyle w:val="23"/>
                    <w:bidi w:val="0"/>
                    <w:rPr>
                      <w:rFonts w:hint="eastAsia"/>
                      <w:lang w:val="en-US" w:eastAsia="zh-CN"/>
                    </w:rPr>
                  </w:pPr>
                  <w:r>
                    <w:t>医疗设备</w:t>
                  </w:r>
                </w:p>
              </w:tc>
              <w:tc>
                <w:tcPr>
                  <w:tcW w:w="881" w:type="pct"/>
                  <w:noWrap w:val="0"/>
                  <w:vAlign w:val="center"/>
                </w:tcPr>
                <w:p w14:paraId="2BF00D16">
                  <w:pPr>
                    <w:pStyle w:val="23"/>
                    <w:bidi w:val="0"/>
                    <w:rPr>
                      <w:rFonts w:hint="default"/>
                      <w:lang w:val="en-US" w:eastAsia="zh-CN"/>
                    </w:rPr>
                  </w:pPr>
                  <w:r>
                    <w:rPr>
                      <w:rFonts w:hint="eastAsia"/>
                      <w:lang w:val="en-US" w:eastAsia="zh-CN"/>
                    </w:rPr>
                    <w:t>70</w:t>
                  </w:r>
                </w:p>
              </w:tc>
              <w:tc>
                <w:tcPr>
                  <w:tcW w:w="462" w:type="pct"/>
                  <w:vMerge w:val="restart"/>
                  <w:noWrap w:val="0"/>
                  <w:vAlign w:val="center"/>
                </w:tcPr>
                <w:p w14:paraId="7147DF16">
                  <w:pPr>
                    <w:pStyle w:val="23"/>
                    <w:bidi w:val="0"/>
                    <w:rPr>
                      <w:rFonts w:hint="default"/>
                      <w:lang w:val="en-US"/>
                    </w:rPr>
                  </w:pPr>
                  <w:r>
                    <w:rPr>
                      <w:rFonts w:hint="eastAsia"/>
                      <w:lang w:val="en-US" w:eastAsia="zh-CN"/>
                    </w:rPr>
                    <w:t>减振、墙体阻隔</w:t>
                  </w:r>
                </w:p>
              </w:tc>
              <w:tc>
                <w:tcPr>
                  <w:tcW w:w="324" w:type="pct"/>
                  <w:noWrap w:val="0"/>
                  <w:vAlign w:val="center"/>
                </w:tcPr>
                <w:p w14:paraId="657AD723">
                  <w:pPr>
                    <w:pStyle w:val="23"/>
                    <w:bidi w:val="0"/>
                    <w:rPr>
                      <w:rFonts w:hint="default"/>
                      <w:lang w:val="en-US" w:eastAsia="zh-CN"/>
                    </w:rPr>
                  </w:pPr>
                  <w:r>
                    <w:rPr>
                      <w:rFonts w:hint="eastAsia"/>
                      <w:lang w:val="en-US" w:eastAsia="zh-CN"/>
                    </w:rPr>
                    <w:t>5</w:t>
                  </w:r>
                </w:p>
              </w:tc>
              <w:tc>
                <w:tcPr>
                  <w:tcW w:w="324" w:type="pct"/>
                  <w:noWrap w:val="0"/>
                  <w:vAlign w:val="center"/>
                </w:tcPr>
                <w:p w14:paraId="34BED867">
                  <w:pPr>
                    <w:pStyle w:val="23"/>
                    <w:bidi w:val="0"/>
                    <w:rPr>
                      <w:rFonts w:hint="default"/>
                      <w:lang w:val="en-US" w:eastAsia="zh-CN"/>
                    </w:rPr>
                  </w:pPr>
                  <w:r>
                    <w:rPr>
                      <w:rFonts w:hint="eastAsia"/>
                      <w:lang w:val="en-US" w:eastAsia="zh-CN"/>
                    </w:rPr>
                    <w:t>10</w:t>
                  </w:r>
                </w:p>
              </w:tc>
              <w:tc>
                <w:tcPr>
                  <w:tcW w:w="327" w:type="pct"/>
                  <w:noWrap w:val="0"/>
                  <w:vAlign w:val="center"/>
                </w:tcPr>
                <w:p w14:paraId="677D40E8">
                  <w:pPr>
                    <w:pStyle w:val="23"/>
                    <w:bidi w:val="0"/>
                    <w:rPr>
                      <w:rFonts w:hint="eastAsia"/>
                      <w:lang w:val="en-US" w:eastAsia="zh-CN"/>
                    </w:rPr>
                  </w:pPr>
                  <w:r>
                    <w:rPr>
                      <w:rFonts w:hint="eastAsia"/>
                      <w:lang w:val="en-US" w:eastAsia="zh-CN"/>
                    </w:rPr>
                    <w:t>1</w:t>
                  </w:r>
                </w:p>
              </w:tc>
              <w:tc>
                <w:tcPr>
                  <w:tcW w:w="754" w:type="pct"/>
                  <w:vMerge w:val="restart"/>
                  <w:noWrap w:val="0"/>
                  <w:vAlign w:val="center"/>
                </w:tcPr>
                <w:p w14:paraId="439CA5D1">
                  <w:pPr>
                    <w:pStyle w:val="23"/>
                    <w:bidi w:val="0"/>
                    <w:rPr>
                      <w:rFonts w:hint="eastAsia"/>
                    </w:rPr>
                  </w:pPr>
                  <w:r>
                    <w:rPr>
                      <w:rFonts w:hint="eastAsia"/>
                      <w:lang w:val="en-US" w:eastAsia="zh-CN"/>
                    </w:rPr>
                    <w:t>全天</w:t>
                  </w:r>
                </w:p>
              </w:tc>
              <w:tc>
                <w:tcPr>
                  <w:tcW w:w="588" w:type="pct"/>
                  <w:noWrap w:val="0"/>
                  <w:vAlign w:val="center"/>
                </w:tcPr>
                <w:p w14:paraId="4C69E5E8">
                  <w:pPr>
                    <w:pStyle w:val="23"/>
                    <w:bidi w:val="0"/>
                    <w:rPr>
                      <w:rFonts w:hint="default"/>
                      <w:lang w:val="en-US" w:eastAsia="zh-CN"/>
                    </w:rPr>
                  </w:pPr>
                  <w:r>
                    <w:rPr>
                      <w:rFonts w:hint="eastAsia"/>
                      <w:lang w:val="en-US" w:eastAsia="zh-CN"/>
                    </w:rPr>
                    <w:t>21</w:t>
                  </w:r>
                </w:p>
              </w:tc>
            </w:tr>
            <w:tr w14:paraId="73D4A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411" w:type="pct"/>
                  <w:vMerge w:val="continue"/>
                  <w:noWrap w:val="0"/>
                  <w:vAlign w:val="center"/>
                </w:tcPr>
                <w:p w14:paraId="58193BAC">
                  <w:pPr>
                    <w:pStyle w:val="23"/>
                    <w:bidi w:val="0"/>
                    <w:rPr>
                      <w:rFonts w:hint="eastAsia"/>
                    </w:rPr>
                  </w:pPr>
                </w:p>
              </w:tc>
              <w:tc>
                <w:tcPr>
                  <w:tcW w:w="925" w:type="pct"/>
                  <w:noWrap w:val="0"/>
                  <w:vAlign w:val="center"/>
                </w:tcPr>
                <w:p w14:paraId="5D2A41F2">
                  <w:pPr>
                    <w:pStyle w:val="23"/>
                    <w:bidi w:val="0"/>
                    <w:rPr>
                      <w:rFonts w:hint="eastAsia"/>
                      <w:lang w:val="en-US" w:eastAsia="zh-CN"/>
                    </w:rPr>
                  </w:pPr>
                  <w:r>
                    <w:t>空气能热水器系统</w:t>
                  </w:r>
                </w:p>
              </w:tc>
              <w:tc>
                <w:tcPr>
                  <w:tcW w:w="881" w:type="pct"/>
                  <w:noWrap w:val="0"/>
                  <w:vAlign w:val="center"/>
                </w:tcPr>
                <w:p w14:paraId="25F16F39">
                  <w:pPr>
                    <w:pStyle w:val="23"/>
                    <w:bidi w:val="0"/>
                    <w:rPr>
                      <w:rFonts w:hint="default"/>
                      <w:lang w:val="en-US" w:eastAsia="zh-CN"/>
                    </w:rPr>
                  </w:pPr>
                  <w:r>
                    <w:rPr>
                      <w:rFonts w:hint="eastAsia"/>
                      <w:lang w:val="en-US" w:eastAsia="zh-CN"/>
                    </w:rPr>
                    <w:t>70</w:t>
                  </w:r>
                </w:p>
              </w:tc>
              <w:tc>
                <w:tcPr>
                  <w:tcW w:w="462" w:type="pct"/>
                  <w:vMerge w:val="continue"/>
                  <w:noWrap w:val="0"/>
                  <w:vAlign w:val="center"/>
                </w:tcPr>
                <w:p w14:paraId="53FC3071">
                  <w:pPr>
                    <w:pStyle w:val="23"/>
                    <w:bidi w:val="0"/>
                    <w:rPr>
                      <w:rFonts w:hint="eastAsia"/>
                    </w:rPr>
                  </w:pPr>
                </w:p>
              </w:tc>
              <w:tc>
                <w:tcPr>
                  <w:tcW w:w="324" w:type="pct"/>
                  <w:noWrap w:val="0"/>
                  <w:vAlign w:val="center"/>
                </w:tcPr>
                <w:p w14:paraId="7B767402">
                  <w:pPr>
                    <w:pStyle w:val="23"/>
                    <w:bidi w:val="0"/>
                    <w:rPr>
                      <w:rFonts w:hint="eastAsia"/>
                      <w:lang w:val="en-US" w:eastAsia="zh-CN"/>
                    </w:rPr>
                  </w:pPr>
                  <w:r>
                    <w:rPr>
                      <w:rFonts w:hint="eastAsia"/>
                      <w:lang w:val="en-US" w:eastAsia="zh-CN"/>
                    </w:rPr>
                    <w:t>7</w:t>
                  </w:r>
                </w:p>
              </w:tc>
              <w:tc>
                <w:tcPr>
                  <w:tcW w:w="324" w:type="pct"/>
                  <w:noWrap w:val="0"/>
                  <w:vAlign w:val="center"/>
                </w:tcPr>
                <w:p w14:paraId="7457D5FB">
                  <w:pPr>
                    <w:pStyle w:val="23"/>
                    <w:bidi w:val="0"/>
                    <w:rPr>
                      <w:rFonts w:hint="default"/>
                      <w:lang w:val="en-US" w:eastAsia="zh-CN"/>
                    </w:rPr>
                  </w:pPr>
                  <w:r>
                    <w:rPr>
                      <w:rFonts w:hint="eastAsia"/>
                      <w:lang w:val="en-US" w:eastAsia="zh-CN"/>
                    </w:rPr>
                    <w:t>10</w:t>
                  </w:r>
                </w:p>
              </w:tc>
              <w:tc>
                <w:tcPr>
                  <w:tcW w:w="327" w:type="pct"/>
                  <w:noWrap w:val="0"/>
                  <w:vAlign w:val="center"/>
                </w:tcPr>
                <w:p w14:paraId="132D0BDD">
                  <w:pPr>
                    <w:pStyle w:val="23"/>
                    <w:bidi w:val="0"/>
                    <w:rPr>
                      <w:rFonts w:hint="eastAsia"/>
                      <w:lang w:val="en-US" w:eastAsia="zh-CN"/>
                    </w:rPr>
                  </w:pPr>
                  <w:r>
                    <w:rPr>
                      <w:rFonts w:hint="eastAsia"/>
                      <w:lang w:val="en-US" w:eastAsia="zh-CN"/>
                    </w:rPr>
                    <w:t>4</w:t>
                  </w:r>
                </w:p>
              </w:tc>
              <w:tc>
                <w:tcPr>
                  <w:tcW w:w="754" w:type="pct"/>
                  <w:vMerge w:val="continue"/>
                  <w:noWrap w:val="0"/>
                  <w:vAlign w:val="center"/>
                </w:tcPr>
                <w:p w14:paraId="42C0AD3A">
                  <w:pPr>
                    <w:pStyle w:val="23"/>
                    <w:bidi w:val="0"/>
                    <w:rPr>
                      <w:rFonts w:hint="eastAsia"/>
                    </w:rPr>
                  </w:pPr>
                </w:p>
              </w:tc>
              <w:tc>
                <w:tcPr>
                  <w:tcW w:w="588" w:type="pct"/>
                  <w:noWrap w:val="0"/>
                  <w:vAlign w:val="center"/>
                </w:tcPr>
                <w:p w14:paraId="4644534D">
                  <w:pPr>
                    <w:pStyle w:val="23"/>
                    <w:bidi w:val="0"/>
                    <w:rPr>
                      <w:rFonts w:hint="default"/>
                      <w:lang w:val="en-US" w:eastAsia="zh-CN"/>
                    </w:rPr>
                  </w:pPr>
                  <w:r>
                    <w:rPr>
                      <w:rFonts w:hint="eastAsia"/>
                      <w:lang w:val="en-US" w:eastAsia="zh-CN"/>
                    </w:rPr>
                    <w:t>21</w:t>
                  </w:r>
                </w:p>
              </w:tc>
            </w:tr>
            <w:tr w14:paraId="66FE4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411" w:type="pct"/>
                  <w:vMerge w:val="continue"/>
                  <w:noWrap w:val="0"/>
                  <w:vAlign w:val="center"/>
                </w:tcPr>
                <w:p w14:paraId="393E3A6C">
                  <w:pPr>
                    <w:pStyle w:val="23"/>
                    <w:bidi w:val="0"/>
                    <w:rPr>
                      <w:rFonts w:hint="eastAsia"/>
                    </w:rPr>
                  </w:pPr>
                </w:p>
              </w:tc>
              <w:tc>
                <w:tcPr>
                  <w:tcW w:w="925" w:type="pct"/>
                  <w:noWrap w:val="0"/>
                  <w:vAlign w:val="center"/>
                </w:tcPr>
                <w:p w14:paraId="016ACC9B">
                  <w:pPr>
                    <w:pStyle w:val="23"/>
                    <w:bidi w:val="0"/>
                    <w:rPr>
                      <w:rFonts w:hint="eastAsia"/>
                      <w:lang w:val="en-US" w:eastAsia="zh-CN"/>
                    </w:rPr>
                  </w:pPr>
                  <w:r>
                    <w:t>备用发电机</w:t>
                  </w:r>
                </w:p>
              </w:tc>
              <w:tc>
                <w:tcPr>
                  <w:tcW w:w="881" w:type="pct"/>
                  <w:noWrap w:val="0"/>
                  <w:vAlign w:val="center"/>
                </w:tcPr>
                <w:p w14:paraId="026DD78F">
                  <w:pPr>
                    <w:pStyle w:val="23"/>
                    <w:bidi w:val="0"/>
                    <w:rPr>
                      <w:rFonts w:hint="default"/>
                      <w:lang w:val="en-US" w:eastAsia="zh-CN"/>
                    </w:rPr>
                  </w:pPr>
                  <w:r>
                    <w:rPr>
                      <w:rFonts w:hint="eastAsia"/>
                      <w:lang w:val="en-US" w:eastAsia="zh-CN"/>
                    </w:rPr>
                    <w:t>90</w:t>
                  </w:r>
                </w:p>
              </w:tc>
              <w:tc>
                <w:tcPr>
                  <w:tcW w:w="462" w:type="pct"/>
                  <w:vMerge w:val="continue"/>
                  <w:noWrap w:val="0"/>
                  <w:vAlign w:val="center"/>
                </w:tcPr>
                <w:p w14:paraId="6A6A9BBC">
                  <w:pPr>
                    <w:pStyle w:val="23"/>
                    <w:bidi w:val="0"/>
                    <w:rPr>
                      <w:rFonts w:hint="eastAsia"/>
                    </w:rPr>
                  </w:pPr>
                </w:p>
              </w:tc>
              <w:tc>
                <w:tcPr>
                  <w:tcW w:w="324" w:type="pct"/>
                  <w:noWrap w:val="0"/>
                  <w:vAlign w:val="center"/>
                </w:tcPr>
                <w:p w14:paraId="3268E6CB">
                  <w:pPr>
                    <w:pStyle w:val="23"/>
                    <w:bidi w:val="0"/>
                    <w:rPr>
                      <w:rFonts w:hint="default"/>
                      <w:lang w:val="en-US" w:eastAsia="zh-CN"/>
                    </w:rPr>
                  </w:pPr>
                  <w:r>
                    <w:rPr>
                      <w:rFonts w:hint="eastAsia"/>
                      <w:lang w:val="en-US" w:eastAsia="zh-CN"/>
                    </w:rPr>
                    <w:t>8</w:t>
                  </w:r>
                </w:p>
              </w:tc>
              <w:tc>
                <w:tcPr>
                  <w:tcW w:w="324" w:type="pct"/>
                  <w:noWrap w:val="0"/>
                  <w:vAlign w:val="center"/>
                </w:tcPr>
                <w:p w14:paraId="2B0FDE8C">
                  <w:pPr>
                    <w:pStyle w:val="23"/>
                    <w:bidi w:val="0"/>
                    <w:rPr>
                      <w:rFonts w:hint="default"/>
                      <w:lang w:val="en-US" w:eastAsia="zh-CN"/>
                    </w:rPr>
                  </w:pPr>
                  <w:r>
                    <w:rPr>
                      <w:rFonts w:hint="eastAsia"/>
                      <w:lang w:val="en-US" w:eastAsia="zh-CN"/>
                    </w:rPr>
                    <w:t>15</w:t>
                  </w:r>
                </w:p>
              </w:tc>
              <w:tc>
                <w:tcPr>
                  <w:tcW w:w="327" w:type="pct"/>
                  <w:noWrap w:val="0"/>
                  <w:vAlign w:val="center"/>
                </w:tcPr>
                <w:p w14:paraId="512545FE">
                  <w:pPr>
                    <w:pStyle w:val="23"/>
                    <w:bidi w:val="0"/>
                    <w:rPr>
                      <w:rFonts w:hint="default"/>
                      <w:lang w:val="en-US" w:eastAsia="zh-CN"/>
                    </w:rPr>
                  </w:pPr>
                  <w:r>
                    <w:rPr>
                      <w:rFonts w:hint="eastAsia"/>
                      <w:lang w:val="en-US" w:eastAsia="zh-CN"/>
                    </w:rPr>
                    <w:t>1</w:t>
                  </w:r>
                </w:p>
              </w:tc>
              <w:tc>
                <w:tcPr>
                  <w:tcW w:w="754" w:type="pct"/>
                  <w:noWrap w:val="0"/>
                  <w:vAlign w:val="center"/>
                </w:tcPr>
                <w:p w14:paraId="6E8FA966">
                  <w:pPr>
                    <w:pStyle w:val="23"/>
                    <w:bidi w:val="0"/>
                    <w:rPr>
                      <w:rFonts w:hint="default"/>
                      <w:lang w:val="en-US" w:eastAsia="zh-CN"/>
                    </w:rPr>
                  </w:pPr>
                  <w:r>
                    <w:rPr>
                      <w:rFonts w:hint="eastAsia"/>
                      <w:lang w:val="en-US" w:eastAsia="zh-CN"/>
                    </w:rPr>
                    <w:t>/</w:t>
                  </w:r>
                </w:p>
              </w:tc>
              <w:tc>
                <w:tcPr>
                  <w:tcW w:w="588" w:type="pct"/>
                  <w:noWrap w:val="0"/>
                  <w:vAlign w:val="center"/>
                </w:tcPr>
                <w:p w14:paraId="28315784">
                  <w:pPr>
                    <w:pStyle w:val="23"/>
                    <w:bidi w:val="0"/>
                    <w:rPr>
                      <w:rFonts w:hint="default"/>
                      <w:lang w:val="en-US" w:eastAsia="zh-CN"/>
                    </w:rPr>
                  </w:pPr>
                  <w:r>
                    <w:rPr>
                      <w:rFonts w:hint="eastAsia"/>
                      <w:lang w:val="en-US" w:eastAsia="zh-CN"/>
                    </w:rPr>
                    <w:t>21</w:t>
                  </w:r>
                </w:p>
              </w:tc>
            </w:tr>
            <w:tr w14:paraId="57AA8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5000" w:type="pct"/>
                  <w:gridSpan w:val="9"/>
                  <w:noWrap w:val="0"/>
                  <w:vAlign w:val="center"/>
                </w:tcPr>
                <w:p w14:paraId="64A85DDC">
                  <w:pPr>
                    <w:pStyle w:val="23"/>
                    <w:bidi w:val="0"/>
                    <w:jc w:val="both"/>
                    <w:rPr>
                      <w:rFonts w:hint="default"/>
                    </w:rPr>
                  </w:pPr>
                  <w:r>
                    <w:rPr>
                      <w:rFonts w:hint="default"/>
                      <w:lang w:val="en-US" w:eastAsia="zh-CN"/>
                    </w:rPr>
                    <w:t>注：</w:t>
                  </w:r>
                  <w:r>
                    <w:rPr>
                      <w:rFonts w:hint="default"/>
                    </w:rPr>
                    <w:t>①空间相对位置以</w:t>
                  </w:r>
                  <w:r>
                    <w:rPr>
                      <w:rFonts w:hint="eastAsia"/>
                      <w:lang w:val="en-US" w:eastAsia="zh-CN"/>
                    </w:rPr>
                    <w:t>院区西南侧角</w:t>
                  </w:r>
                  <w:r>
                    <w:rPr>
                      <w:rFonts w:hint="default"/>
                    </w:rPr>
                    <w:t>为原点，东为X轴正方向，北为Y轴正方向计。</w:t>
                  </w:r>
                </w:p>
                <w:p w14:paraId="4017A572">
                  <w:pPr>
                    <w:pStyle w:val="23"/>
                    <w:bidi w:val="0"/>
                    <w:jc w:val="both"/>
                    <w:rPr>
                      <w:rFonts w:hint="default"/>
                      <w:lang w:val="en-US" w:eastAsia="zh-CN"/>
                    </w:rPr>
                  </w:pPr>
                  <w:r>
                    <w:rPr>
                      <w:rFonts w:hint="eastAsia"/>
                      <w:lang w:val="en-US" w:eastAsia="zh-CN"/>
                    </w:rPr>
                    <w:t>②车间隔声量按15dB(A)计算，插入损失为21dB(A)。</w:t>
                  </w:r>
                </w:p>
              </w:tc>
            </w:tr>
          </w:tbl>
          <w:p w14:paraId="66379D45">
            <w:pPr>
              <w:pStyle w:val="22"/>
              <w:bidi w:val="0"/>
              <w:rPr>
                <w:rFonts w:hint="default"/>
                <w:lang w:val="en-US" w:eastAsia="zh-CN" w:bidi="ar-SA"/>
              </w:rPr>
            </w:pPr>
            <w:r>
              <w:rPr>
                <w:rFonts w:hint="default"/>
                <w:lang w:val="en-US" w:eastAsia="zh-CN" w:bidi="ar-SA"/>
              </w:rPr>
              <w:t>室外噪声源强调查</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1633"/>
              <w:gridCol w:w="829"/>
              <w:gridCol w:w="829"/>
              <w:gridCol w:w="829"/>
              <w:gridCol w:w="2183"/>
              <w:gridCol w:w="1413"/>
            </w:tblGrid>
            <w:tr w14:paraId="7873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54" w:type="pct"/>
                  <w:vMerge w:val="restart"/>
                  <w:noWrap w:val="0"/>
                  <w:vAlign w:val="center"/>
                </w:tcPr>
                <w:p w14:paraId="03F152E5">
                  <w:pPr>
                    <w:pStyle w:val="23"/>
                    <w:bidi w:val="0"/>
                    <w:rPr>
                      <w:rFonts w:hint="default"/>
                      <w:lang w:val="en-US" w:eastAsia="zh-CN" w:bidi="ar-SA"/>
                    </w:rPr>
                  </w:pPr>
                  <w:r>
                    <w:rPr>
                      <w:rFonts w:hint="default"/>
                      <w:lang w:val="en-US" w:eastAsia="zh-CN" w:bidi="ar-SA"/>
                    </w:rPr>
                    <w:t>序号</w:t>
                  </w:r>
                </w:p>
              </w:tc>
              <w:tc>
                <w:tcPr>
                  <w:tcW w:w="983" w:type="pct"/>
                  <w:vMerge w:val="restart"/>
                  <w:noWrap w:val="0"/>
                  <w:vAlign w:val="center"/>
                </w:tcPr>
                <w:p w14:paraId="41EF6376">
                  <w:pPr>
                    <w:pStyle w:val="23"/>
                    <w:bidi w:val="0"/>
                    <w:rPr>
                      <w:rFonts w:hint="default"/>
                      <w:lang w:val="en-US" w:eastAsia="zh-CN" w:bidi="ar-SA"/>
                    </w:rPr>
                  </w:pPr>
                  <w:r>
                    <w:rPr>
                      <w:rFonts w:hint="default"/>
                      <w:lang w:val="en-US" w:eastAsia="zh-CN" w:bidi="ar-SA"/>
                    </w:rPr>
                    <w:t>声源名称</w:t>
                  </w:r>
                </w:p>
              </w:tc>
              <w:tc>
                <w:tcPr>
                  <w:tcW w:w="1497" w:type="pct"/>
                  <w:gridSpan w:val="3"/>
                  <w:noWrap w:val="0"/>
                  <w:vAlign w:val="center"/>
                </w:tcPr>
                <w:p w14:paraId="2F357389">
                  <w:pPr>
                    <w:pStyle w:val="23"/>
                    <w:bidi w:val="0"/>
                    <w:rPr>
                      <w:rFonts w:hint="default"/>
                      <w:lang w:val="en-US" w:eastAsia="zh-CN" w:bidi="ar-SA"/>
                    </w:rPr>
                  </w:pPr>
                  <w:r>
                    <w:rPr>
                      <w:rFonts w:hint="default"/>
                      <w:lang w:val="en-US" w:eastAsia="zh-CN" w:bidi="ar-SA"/>
                    </w:rPr>
                    <w:t>空间相对位置/m①</w:t>
                  </w:r>
                </w:p>
              </w:tc>
              <w:tc>
                <w:tcPr>
                  <w:tcW w:w="1314" w:type="pct"/>
                  <w:noWrap w:val="0"/>
                  <w:vAlign w:val="center"/>
                </w:tcPr>
                <w:p w14:paraId="61BEF7B9">
                  <w:pPr>
                    <w:pStyle w:val="23"/>
                    <w:bidi w:val="0"/>
                    <w:rPr>
                      <w:rFonts w:hint="default"/>
                      <w:lang w:val="en-US" w:eastAsia="zh-CN" w:bidi="ar-SA"/>
                    </w:rPr>
                  </w:pPr>
                  <w:r>
                    <w:rPr>
                      <w:rFonts w:hint="default"/>
                      <w:lang w:val="en-US" w:eastAsia="zh-CN" w:bidi="ar-SA"/>
                    </w:rPr>
                    <w:t>声源源强</w:t>
                  </w:r>
                </w:p>
              </w:tc>
              <w:tc>
                <w:tcPr>
                  <w:tcW w:w="850" w:type="pct"/>
                  <w:vMerge w:val="restart"/>
                  <w:noWrap w:val="0"/>
                  <w:vAlign w:val="center"/>
                </w:tcPr>
                <w:p w14:paraId="504C4F73">
                  <w:pPr>
                    <w:pStyle w:val="23"/>
                    <w:bidi w:val="0"/>
                    <w:rPr>
                      <w:rFonts w:hint="default"/>
                      <w:lang w:val="en-US" w:eastAsia="zh-CN" w:bidi="ar-SA"/>
                    </w:rPr>
                  </w:pPr>
                  <w:r>
                    <w:rPr>
                      <w:rFonts w:hint="default"/>
                      <w:lang w:val="en-US" w:eastAsia="zh-CN" w:bidi="ar-SA"/>
                    </w:rPr>
                    <w:t>声源控制</w:t>
                  </w:r>
                </w:p>
                <w:p w14:paraId="5651018B">
                  <w:pPr>
                    <w:pStyle w:val="23"/>
                    <w:bidi w:val="0"/>
                    <w:rPr>
                      <w:rFonts w:hint="default"/>
                      <w:lang w:val="en-US" w:eastAsia="zh-CN" w:bidi="ar-SA"/>
                    </w:rPr>
                  </w:pPr>
                  <w:r>
                    <w:rPr>
                      <w:rFonts w:hint="default"/>
                      <w:lang w:val="en-US" w:eastAsia="zh-CN" w:bidi="ar-SA"/>
                    </w:rPr>
                    <w:t>措施</w:t>
                  </w:r>
                </w:p>
              </w:tc>
            </w:tr>
            <w:tr w14:paraId="43C5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54" w:type="pct"/>
                  <w:vMerge w:val="continue"/>
                  <w:noWrap w:val="0"/>
                  <w:vAlign w:val="center"/>
                </w:tcPr>
                <w:p w14:paraId="690E6757">
                  <w:pPr>
                    <w:pStyle w:val="23"/>
                    <w:bidi w:val="0"/>
                    <w:rPr>
                      <w:rFonts w:hint="default"/>
                      <w:lang w:val="en-US" w:eastAsia="zh-CN" w:bidi="ar-SA"/>
                    </w:rPr>
                  </w:pPr>
                </w:p>
              </w:tc>
              <w:tc>
                <w:tcPr>
                  <w:tcW w:w="983" w:type="pct"/>
                  <w:vMerge w:val="continue"/>
                  <w:noWrap w:val="0"/>
                  <w:vAlign w:val="center"/>
                </w:tcPr>
                <w:p w14:paraId="1E21B7D3">
                  <w:pPr>
                    <w:pStyle w:val="23"/>
                    <w:bidi w:val="0"/>
                    <w:rPr>
                      <w:rFonts w:hint="default"/>
                      <w:lang w:val="en-US" w:eastAsia="zh-CN" w:bidi="ar-SA"/>
                    </w:rPr>
                  </w:pPr>
                </w:p>
              </w:tc>
              <w:tc>
                <w:tcPr>
                  <w:tcW w:w="499" w:type="pct"/>
                  <w:noWrap w:val="0"/>
                  <w:vAlign w:val="center"/>
                </w:tcPr>
                <w:p w14:paraId="6CAFCE82">
                  <w:pPr>
                    <w:pStyle w:val="23"/>
                    <w:bidi w:val="0"/>
                    <w:rPr>
                      <w:rFonts w:hint="default"/>
                      <w:lang w:val="en-US" w:eastAsia="zh-CN" w:bidi="ar-SA"/>
                    </w:rPr>
                  </w:pPr>
                  <w:r>
                    <w:rPr>
                      <w:rFonts w:hint="default"/>
                      <w:lang w:val="en-US" w:eastAsia="zh-CN" w:bidi="ar-SA"/>
                    </w:rPr>
                    <w:t>X</w:t>
                  </w:r>
                </w:p>
              </w:tc>
              <w:tc>
                <w:tcPr>
                  <w:tcW w:w="499" w:type="pct"/>
                  <w:noWrap w:val="0"/>
                  <w:vAlign w:val="center"/>
                </w:tcPr>
                <w:p w14:paraId="05F1DE6F">
                  <w:pPr>
                    <w:pStyle w:val="23"/>
                    <w:bidi w:val="0"/>
                    <w:rPr>
                      <w:rFonts w:hint="default"/>
                      <w:lang w:val="en-US" w:eastAsia="zh-CN" w:bidi="ar-SA"/>
                    </w:rPr>
                  </w:pPr>
                  <w:r>
                    <w:rPr>
                      <w:rFonts w:hint="default"/>
                      <w:lang w:val="en-US" w:eastAsia="zh-CN" w:bidi="ar-SA"/>
                    </w:rPr>
                    <w:t>Y</w:t>
                  </w:r>
                </w:p>
              </w:tc>
              <w:tc>
                <w:tcPr>
                  <w:tcW w:w="499" w:type="pct"/>
                  <w:noWrap w:val="0"/>
                  <w:vAlign w:val="center"/>
                </w:tcPr>
                <w:p w14:paraId="7C3A0885">
                  <w:pPr>
                    <w:pStyle w:val="23"/>
                    <w:bidi w:val="0"/>
                    <w:rPr>
                      <w:rFonts w:hint="default"/>
                      <w:lang w:val="en-US" w:eastAsia="zh-CN" w:bidi="ar-SA"/>
                    </w:rPr>
                  </w:pPr>
                  <w:r>
                    <w:rPr>
                      <w:rFonts w:hint="default"/>
                      <w:lang w:val="en-US" w:eastAsia="zh-CN" w:bidi="ar-SA"/>
                    </w:rPr>
                    <w:t>Z</w:t>
                  </w:r>
                </w:p>
              </w:tc>
              <w:tc>
                <w:tcPr>
                  <w:tcW w:w="1314" w:type="pct"/>
                  <w:noWrap w:val="0"/>
                  <w:vAlign w:val="center"/>
                </w:tcPr>
                <w:p w14:paraId="1D4E61F5">
                  <w:pPr>
                    <w:pStyle w:val="23"/>
                    <w:bidi w:val="0"/>
                    <w:rPr>
                      <w:rFonts w:hint="default"/>
                      <w:lang w:val="en-US" w:eastAsia="zh-CN" w:bidi="ar-SA"/>
                    </w:rPr>
                  </w:pPr>
                  <w:r>
                    <w:rPr>
                      <w:rFonts w:hint="default"/>
                      <w:lang w:val="en-US" w:eastAsia="zh-CN" w:bidi="ar-SA"/>
                    </w:rPr>
                    <w:t>声压级/距声源距离</w:t>
                  </w:r>
                </w:p>
              </w:tc>
              <w:tc>
                <w:tcPr>
                  <w:tcW w:w="850" w:type="pct"/>
                  <w:vMerge w:val="continue"/>
                  <w:noWrap w:val="0"/>
                  <w:vAlign w:val="center"/>
                </w:tcPr>
                <w:p w14:paraId="47028C38">
                  <w:pPr>
                    <w:pStyle w:val="23"/>
                    <w:bidi w:val="0"/>
                    <w:rPr>
                      <w:rFonts w:hint="default"/>
                      <w:lang w:val="en-US" w:eastAsia="zh-CN" w:bidi="ar-SA"/>
                    </w:rPr>
                  </w:pPr>
                </w:p>
              </w:tc>
            </w:tr>
            <w:tr w14:paraId="7D63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54" w:type="pct"/>
                  <w:noWrap w:val="0"/>
                  <w:vAlign w:val="center"/>
                </w:tcPr>
                <w:p w14:paraId="26A2C38D">
                  <w:pPr>
                    <w:pStyle w:val="23"/>
                    <w:bidi w:val="0"/>
                    <w:rPr>
                      <w:rFonts w:hint="default"/>
                      <w:lang w:val="en-US" w:eastAsia="zh-CN" w:bidi="ar-SA"/>
                    </w:rPr>
                  </w:pPr>
                  <w:r>
                    <w:rPr>
                      <w:rFonts w:hint="default"/>
                      <w:lang w:val="en-US" w:eastAsia="zh-CN" w:bidi="ar-SA"/>
                    </w:rPr>
                    <w:t>1</w:t>
                  </w:r>
                </w:p>
              </w:tc>
              <w:tc>
                <w:tcPr>
                  <w:tcW w:w="983" w:type="pct"/>
                  <w:noWrap w:val="0"/>
                  <w:vAlign w:val="center"/>
                </w:tcPr>
                <w:p w14:paraId="4415D710">
                  <w:pPr>
                    <w:pStyle w:val="23"/>
                    <w:bidi w:val="0"/>
                    <w:rPr>
                      <w:rFonts w:hint="default"/>
                      <w:lang w:val="en-US" w:eastAsia="zh-CN" w:bidi="ar-SA"/>
                    </w:rPr>
                  </w:pPr>
                  <w:r>
                    <w:rPr>
                      <w:rFonts w:hint="eastAsia"/>
                      <w:lang w:val="en-US" w:eastAsia="zh-CN" w:bidi="ar-SA"/>
                    </w:rPr>
                    <w:t>空调外机</w:t>
                  </w:r>
                </w:p>
              </w:tc>
              <w:tc>
                <w:tcPr>
                  <w:tcW w:w="499" w:type="pct"/>
                  <w:noWrap w:val="0"/>
                  <w:vAlign w:val="center"/>
                </w:tcPr>
                <w:p w14:paraId="50591253">
                  <w:pPr>
                    <w:pStyle w:val="23"/>
                    <w:bidi w:val="0"/>
                    <w:rPr>
                      <w:rFonts w:hint="default"/>
                      <w:lang w:val="en-US" w:eastAsia="zh-CN" w:bidi="ar-SA"/>
                    </w:rPr>
                  </w:pPr>
                  <w:r>
                    <w:rPr>
                      <w:rFonts w:hint="eastAsia"/>
                      <w:lang w:val="en-US" w:eastAsia="zh-CN" w:bidi="ar-SA"/>
                    </w:rPr>
                    <w:t>6</w:t>
                  </w:r>
                </w:p>
              </w:tc>
              <w:tc>
                <w:tcPr>
                  <w:tcW w:w="499" w:type="pct"/>
                  <w:noWrap w:val="0"/>
                  <w:vAlign w:val="center"/>
                </w:tcPr>
                <w:p w14:paraId="46C6A5F4">
                  <w:pPr>
                    <w:pStyle w:val="23"/>
                    <w:bidi w:val="0"/>
                    <w:rPr>
                      <w:rFonts w:hint="default"/>
                      <w:lang w:val="en-US" w:eastAsia="zh-CN" w:bidi="ar-SA"/>
                    </w:rPr>
                  </w:pPr>
                  <w:r>
                    <w:rPr>
                      <w:rFonts w:hint="eastAsia"/>
                      <w:lang w:val="en-US" w:eastAsia="zh-CN" w:bidi="ar-SA"/>
                    </w:rPr>
                    <w:t>2.5</w:t>
                  </w:r>
                </w:p>
              </w:tc>
              <w:tc>
                <w:tcPr>
                  <w:tcW w:w="499" w:type="pct"/>
                  <w:noWrap w:val="0"/>
                  <w:vAlign w:val="center"/>
                </w:tcPr>
                <w:p w14:paraId="200EACD3">
                  <w:pPr>
                    <w:pStyle w:val="23"/>
                    <w:bidi w:val="0"/>
                    <w:rPr>
                      <w:rFonts w:hint="default"/>
                      <w:lang w:val="en-US" w:eastAsia="zh-CN" w:bidi="ar-SA"/>
                    </w:rPr>
                  </w:pPr>
                  <w:r>
                    <w:rPr>
                      <w:rFonts w:hint="eastAsia"/>
                      <w:lang w:val="en-US" w:eastAsia="zh-CN" w:bidi="ar-SA"/>
                    </w:rPr>
                    <w:t>1</w:t>
                  </w:r>
                </w:p>
              </w:tc>
              <w:tc>
                <w:tcPr>
                  <w:tcW w:w="1314" w:type="pct"/>
                  <w:noWrap w:val="0"/>
                  <w:vAlign w:val="center"/>
                </w:tcPr>
                <w:p w14:paraId="040C729C">
                  <w:pPr>
                    <w:pStyle w:val="23"/>
                    <w:bidi w:val="0"/>
                    <w:rPr>
                      <w:rFonts w:hint="default"/>
                      <w:lang w:val="en-US" w:eastAsia="zh-CN" w:bidi="ar-SA"/>
                    </w:rPr>
                  </w:pPr>
                  <w:r>
                    <w:rPr>
                      <w:rFonts w:hint="eastAsia"/>
                      <w:lang w:val="en-US" w:eastAsia="zh-CN" w:bidi="ar-SA"/>
                    </w:rPr>
                    <w:t>65</w:t>
                  </w:r>
                  <w:r>
                    <w:rPr>
                      <w:rFonts w:hint="default"/>
                      <w:lang w:val="en-US" w:eastAsia="zh-CN" w:bidi="ar-SA"/>
                    </w:rPr>
                    <w:t>dB(A)/1m</w:t>
                  </w:r>
                </w:p>
              </w:tc>
              <w:tc>
                <w:tcPr>
                  <w:tcW w:w="850" w:type="pct"/>
                  <w:vMerge w:val="restart"/>
                  <w:noWrap w:val="0"/>
                  <w:vAlign w:val="center"/>
                </w:tcPr>
                <w:p w14:paraId="29EA411E">
                  <w:pPr>
                    <w:pStyle w:val="23"/>
                    <w:bidi w:val="0"/>
                    <w:rPr>
                      <w:rFonts w:hint="default"/>
                      <w:lang w:val="en-US" w:eastAsia="zh-CN" w:bidi="ar-SA"/>
                    </w:rPr>
                  </w:pPr>
                  <w:r>
                    <w:rPr>
                      <w:rFonts w:hint="default"/>
                      <w:lang w:val="en-US" w:eastAsia="zh-CN" w:bidi="ar-SA"/>
                    </w:rPr>
                    <w:t>隔声</w:t>
                  </w:r>
                  <w:r>
                    <w:rPr>
                      <w:rFonts w:hint="eastAsia"/>
                      <w:lang w:val="en-US" w:eastAsia="zh-CN" w:bidi="ar-SA"/>
                    </w:rPr>
                    <w:t>、</w:t>
                  </w:r>
                  <w:r>
                    <w:rPr>
                      <w:rFonts w:hint="default"/>
                      <w:lang w:val="en-US" w:eastAsia="zh-CN" w:bidi="ar-SA"/>
                    </w:rPr>
                    <w:t>减振</w:t>
                  </w:r>
                  <w:r>
                    <w:rPr>
                      <w:rFonts w:hint="eastAsia"/>
                      <w:lang w:val="en-US" w:eastAsia="zh-CN" w:bidi="ar-SA"/>
                    </w:rPr>
                    <w:t>、消声</w:t>
                  </w:r>
                </w:p>
              </w:tc>
            </w:tr>
            <w:tr w14:paraId="5124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54" w:type="pct"/>
                  <w:noWrap w:val="0"/>
                  <w:vAlign w:val="center"/>
                </w:tcPr>
                <w:p w14:paraId="54EA313A">
                  <w:pPr>
                    <w:pStyle w:val="23"/>
                    <w:bidi w:val="0"/>
                    <w:rPr>
                      <w:rFonts w:hint="default"/>
                      <w:lang w:val="en-US" w:eastAsia="zh-CN" w:bidi="ar-SA"/>
                    </w:rPr>
                  </w:pPr>
                  <w:r>
                    <w:rPr>
                      <w:rFonts w:hint="eastAsia"/>
                      <w:lang w:val="en-US" w:eastAsia="zh-CN" w:bidi="ar-SA"/>
                    </w:rPr>
                    <w:t>2</w:t>
                  </w:r>
                </w:p>
              </w:tc>
              <w:tc>
                <w:tcPr>
                  <w:tcW w:w="983" w:type="pct"/>
                  <w:noWrap w:val="0"/>
                  <w:vAlign w:val="center"/>
                </w:tcPr>
                <w:p w14:paraId="07C98A30">
                  <w:pPr>
                    <w:pStyle w:val="23"/>
                    <w:bidi w:val="0"/>
                    <w:rPr>
                      <w:rFonts w:hint="eastAsia"/>
                      <w:lang w:val="en-US" w:eastAsia="zh-CN" w:bidi="ar-SA"/>
                    </w:rPr>
                  </w:pPr>
                  <w:r>
                    <w:rPr>
                      <w:rFonts w:hint="eastAsia"/>
                      <w:lang w:val="en-US" w:eastAsia="zh-CN" w:bidi="ar-SA"/>
                    </w:rPr>
                    <w:t>污水处理</w:t>
                  </w:r>
                </w:p>
                <w:p w14:paraId="3F44F6F5">
                  <w:pPr>
                    <w:pStyle w:val="23"/>
                    <w:bidi w:val="0"/>
                    <w:rPr>
                      <w:rFonts w:hint="eastAsia"/>
                      <w:lang w:val="en-US" w:eastAsia="zh-CN" w:bidi="ar-SA"/>
                    </w:rPr>
                  </w:pPr>
                  <w:r>
                    <w:rPr>
                      <w:rFonts w:hint="eastAsia"/>
                      <w:lang w:val="en-US" w:eastAsia="zh-CN" w:bidi="ar-SA"/>
                    </w:rPr>
                    <w:t>站水泵</w:t>
                  </w:r>
                </w:p>
              </w:tc>
              <w:tc>
                <w:tcPr>
                  <w:tcW w:w="499" w:type="pct"/>
                  <w:noWrap w:val="0"/>
                  <w:vAlign w:val="center"/>
                </w:tcPr>
                <w:p w14:paraId="31C73119">
                  <w:pPr>
                    <w:pStyle w:val="23"/>
                    <w:bidi w:val="0"/>
                    <w:rPr>
                      <w:rFonts w:hint="default"/>
                      <w:lang w:val="en-US" w:eastAsia="zh-CN" w:bidi="ar-SA"/>
                    </w:rPr>
                  </w:pPr>
                  <w:r>
                    <w:rPr>
                      <w:rFonts w:hint="eastAsia"/>
                      <w:lang w:val="en-US" w:eastAsia="zh-CN" w:bidi="ar-SA"/>
                    </w:rPr>
                    <w:t>8</w:t>
                  </w:r>
                </w:p>
              </w:tc>
              <w:tc>
                <w:tcPr>
                  <w:tcW w:w="499" w:type="pct"/>
                  <w:noWrap w:val="0"/>
                  <w:vAlign w:val="center"/>
                </w:tcPr>
                <w:p w14:paraId="0B85518C">
                  <w:pPr>
                    <w:pStyle w:val="23"/>
                    <w:bidi w:val="0"/>
                    <w:rPr>
                      <w:rFonts w:hint="default"/>
                      <w:lang w:val="en-US" w:eastAsia="zh-CN" w:bidi="ar-SA"/>
                    </w:rPr>
                  </w:pPr>
                  <w:r>
                    <w:rPr>
                      <w:rFonts w:hint="eastAsia"/>
                      <w:lang w:val="en-US" w:eastAsia="zh-CN" w:bidi="ar-SA"/>
                    </w:rPr>
                    <w:t>16</w:t>
                  </w:r>
                </w:p>
              </w:tc>
              <w:tc>
                <w:tcPr>
                  <w:tcW w:w="499" w:type="pct"/>
                  <w:noWrap w:val="0"/>
                  <w:vAlign w:val="center"/>
                </w:tcPr>
                <w:p w14:paraId="48436284">
                  <w:pPr>
                    <w:pStyle w:val="23"/>
                    <w:bidi w:val="0"/>
                    <w:rPr>
                      <w:rFonts w:hint="default"/>
                      <w:lang w:val="en-US" w:eastAsia="zh-CN" w:bidi="ar-SA"/>
                    </w:rPr>
                  </w:pPr>
                  <w:r>
                    <w:rPr>
                      <w:rFonts w:hint="eastAsia"/>
                      <w:lang w:val="en-US" w:eastAsia="zh-CN" w:bidi="ar-SA"/>
                    </w:rPr>
                    <w:t>1</w:t>
                  </w:r>
                </w:p>
              </w:tc>
              <w:tc>
                <w:tcPr>
                  <w:tcW w:w="1314" w:type="pct"/>
                  <w:noWrap w:val="0"/>
                  <w:vAlign w:val="center"/>
                </w:tcPr>
                <w:p w14:paraId="270D3E9E">
                  <w:pPr>
                    <w:pStyle w:val="23"/>
                    <w:bidi w:val="0"/>
                    <w:rPr>
                      <w:rFonts w:hint="eastAsia"/>
                      <w:lang w:val="en-US" w:eastAsia="zh-CN" w:bidi="ar-SA"/>
                    </w:rPr>
                  </w:pPr>
                  <w:r>
                    <w:rPr>
                      <w:rFonts w:hint="eastAsia"/>
                      <w:lang w:val="en-US" w:eastAsia="zh-CN" w:bidi="ar-SA"/>
                    </w:rPr>
                    <w:t>85</w:t>
                  </w:r>
                  <w:r>
                    <w:rPr>
                      <w:rFonts w:hint="default"/>
                      <w:lang w:val="en-US" w:eastAsia="zh-CN" w:bidi="ar-SA"/>
                    </w:rPr>
                    <w:t>dB(A)/1m</w:t>
                  </w:r>
                </w:p>
              </w:tc>
              <w:tc>
                <w:tcPr>
                  <w:tcW w:w="850" w:type="pct"/>
                  <w:vMerge w:val="continue"/>
                  <w:noWrap w:val="0"/>
                  <w:vAlign w:val="center"/>
                </w:tcPr>
                <w:p w14:paraId="274D3887">
                  <w:pPr>
                    <w:pStyle w:val="23"/>
                    <w:bidi w:val="0"/>
                    <w:rPr>
                      <w:rFonts w:hint="default"/>
                      <w:lang w:val="en-US" w:eastAsia="zh-CN" w:bidi="ar-SA"/>
                    </w:rPr>
                  </w:pPr>
                </w:p>
              </w:tc>
            </w:tr>
          </w:tbl>
          <w:p w14:paraId="32F3347A">
            <w:pPr>
              <w:pStyle w:val="25"/>
              <w:bidi w:val="0"/>
            </w:pPr>
            <w:r>
              <w:t>（2）治理措施</w:t>
            </w:r>
          </w:p>
          <w:p w14:paraId="4550AC84">
            <w:pPr>
              <w:bidi w:val="0"/>
            </w:pPr>
            <w:r>
              <w:t>为减小噪声对环境、周边敏感点的影响。环评要求做到如下措施：</w:t>
            </w:r>
          </w:p>
          <w:p w14:paraId="43433497">
            <w:pPr>
              <w:bidi w:val="0"/>
            </w:pPr>
            <w:r>
              <w:t>1）产噪设备合理布局，</w:t>
            </w:r>
            <w:r>
              <w:rPr>
                <w:rFonts w:hint="eastAsia"/>
                <w:lang w:eastAsia="zh-CN"/>
              </w:rPr>
              <w:t>污水处理站水泵</w:t>
            </w:r>
            <w:r>
              <w:rPr>
                <w:rFonts w:hint="eastAsia"/>
              </w:rPr>
              <w:t>设备通过选用低噪声设备，墙体隔声</w:t>
            </w:r>
            <w:r>
              <w:t>、医疗设备置于室内，充分利用墙体隔声。备用发电机单独设置于封闭备用发电机房内，对设备做减振处理。</w:t>
            </w:r>
          </w:p>
          <w:p w14:paraId="6F3D2273">
            <w:pPr>
              <w:bidi w:val="0"/>
            </w:pPr>
            <w:r>
              <w:t>2）对于病人、陪护人员以及医务人员产生的社会生活噪声，应通过加强管理，张贴禁止喧哗的告示等方式进行处理。</w:t>
            </w:r>
          </w:p>
          <w:p w14:paraId="0746545C">
            <w:pPr>
              <w:bidi w:val="0"/>
            </w:pPr>
            <w:r>
              <w:t>3）对于产生的交通噪声，采取限速、禁止鸣笛等方式进行处理。</w:t>
            </w:r>
          </w:p>
          <w:p w14:paraId="2077DCCB">
            <w:pPr>
              <w:bidi w:val="0"/>
            </w:pPr>
            <w:r>
              <w:t>4）本项目厂界</w:t>
            </w:r>
            <w:r>
              <w:rPr>
                <w:rFonts w:hint="eastAsia"/>
                <w:lang w:val="en-US" w:eastAsia="zh-CN"/>
              </w:rPr>
              <w:t>南侧及东侧</w:t>
            </w:r>
            <w:r>
              <w:t>紧邻城市干道，行驶车辆产生的交通噪声对本项目存在一定的影响。为减小交通噪声对本项目产生影响，本项目采取在医院</w:t>
            </w:r>
            <w:r>
              <w:rPr>
                <w:rFonts w:hint="eastAsia"/>
              </w:rPr>
              <w:t>南</w:t>
            </w:r>
            <w:r>
              <w:t>侧</w:t>
            </w:r>
            <w:r>
              <w:rPr>
                <w:rFonts w:hint="eastAsia"/>
                <w:lang w:val="en-US" w:eastAsia="zh-CN"/>
              </w:rPr>
              <w:t>及东侧</w:t>
            </w:r>
            <w:r>
              <w:t>临街一面窗户设置双层隔音玻璃等降噪措施，将外环境对本项目噪声影响控制在可控范围内。</w:t>
            </w:r>
          </w:p>
          <w:p w14:paraId="4006267E">
            <w:pPr>
              <w:bidi w:val="0"/>
              <w:rPr>
                <w:rFonts w:hint="default"/>
                <w:lang w:val="en-US" w:eastAsia="zh-CN"/>
              </w:rPr>
            </w:pPr>
            <w:r>
              <w:rPr>
                <w:rFonts w:hint="eastAsia"/>
                <w:lang w:val="en-US" w:eastAsia="zh-CN"/>
              </w:rPr>
              <w:t>（3）</w:t>
            </w:r>
            <w:r>
              <w:rPr>
                <w:rFonts w:hint="default"/>
                <w:lang w:val="en-US" w:eastAsia="zh-CN"/>
              </w:rPr>
              <w:t>达标分析</w:t>
            </w:r>
          </w:p>
          <w:p w14:paraId="20CF6BE5">
            <w:pPr>
              <w:bidi w:val="0"/>
              <w:rPr>
                <w:rFonts w:hint="default"/>
                <w:lang w:val="en-US" w:eastAsia="zh-CN"/>
              </w:rPr>
            </w:pPr>
            <w:r>
              <w:rPr>
                <w:rFonts w:hint="eastAsia"/>
                <w:lang w:val="en-US" w:eastAsia="zh-CN"/>
              </w:rPr>
              <w:t>（1）预测模型</w:t>
            </w:r>
          </w:p>
          <w:p w14:paraId="6F27ECF7">
            <w:pPr>
              <w:bidi w:val="0"/>
              <w:rPr>
                <w:rFonts w:hint="default"/>
                <w:lang w:val="en-US" w:eastAsia="zh-CN"/>
              </w:rPr>
            </w:pPr>
            <w:r>
              <w:rPr>
                <w:rFonts w:hint="default"/>
                <w:lang w:val="en-US" w:eastAsia="zh-CN"/>
              </w:rPr>
              <w:t>本</w:t>
            </w:r>
            <w:r>
              <w:rPr>
                <w:rFonts w:hint="eastAsia"/>
                <w:lang w:val="en-US" w:eastAsia="zh-CN"/>
              </w:rPr>
              <w:t>次</w:t>
            </w:r>
            <w:r>
              <w:rPr>
                <w:rFonts w:hint="default"/>
                <w:lang w:val="en-US" w:eastAsia="zh-CN"/>
              </w:rPr>
              <w:t>环评采用</w:t>
            </w:r>
            <w:r>
              <w:rPr>
                <w:rFonts w:hint="default"/>
              </w:rPr>
              <w:t>《环境影响评价技术导则 声环境》（HJ2.4-2021）</w:t>
            </w:r>
            <w:r>
              <w:rPr>
                <w:rFonts w:hint="default"/>
                <w:lang w:val="en-US" w:eastAsia="zh-CN"/>
              </w:rPr>
              <w:t>中推荐的预测模式：</w:t>
            </w:r>
          </w:p>
          <w:p w14:paraId="4562BBCF">
            <w:pPr>
              <w:bidi w:val="0"/>
              <w:rPr>
                <w:rFonts w:hint="default"/>
                <w:lang w:val="en-US" w:eastAsia="zh-CN"/>
              </w:rPr>
            </w:pPr>
            <w:r>
              <w:rPr>
                <w:rFonts w:hint="default"/>
                <w:lang w:val="en-US" w:eastAsia="zh-CN"/>
              </w:rPr>
              <w:t>①室外声源</w:t>
            </w:r>
          </w:p>
          <w:p w14:paraId="765EEA83">
            <w:pPr>
              <w:bidi w:val="0"/>
              <w:rPr>
                <w:rFonts w:hint="eastAsia"/>
                <w:lang w:eastAsia="zh-CN"/>
              </w:rPr>
            </w:pPr>
            <w:r>
              <w:rPr>
                <w:rFonts w:hint="eastAsia" w:ascii="Times New Roman" w:hAnsi="Times New Roman" w:eastAsia="宋体" w:cs="Times New Roman"/>
                <w:b w:val="0"/>
                <w:bCs/>
                <w:color w:val="auto"/>
                <w:position w:val="-14"/>
                <w:szCs w:val="24"/>
                <w:lang w:eastAsia="zh-CN"/>
              </w:rPr>
              <w:object>
                <v:shape id="_x0000_i1025" o:spt="75" type="#_x0000_t75" style="height:19pt;width:234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p>
          <w:p w14:paraId="5C6BC505">
            <w:pPr>
              <w:bidi w:val="0"/>
              <w:rPr>
                <w:rFonts w:hint="eastAsia"/>
                <w:lang w:eastAsia="zh-CN"/>
              </w:rPr>
            </w:pPr>
            <w:r>
              <w:rPr>
                <w:rFonts w:hint="eastAsia"/>
                <w:lang w:eastAsia="zh-CN"/>
              </w:rPr>
              <w:t>式中：</w:t>
            </w:r>
          </w:p>
          <w:p w14:paraId="763F0FA0">
            <w:pPr>
              <w:bidi w:val="0"/>
              <w:rPr>
                <w:rFonts w:hint="default"/>
              </w:rPr>
            </w:pPr>
            <w:r>
              <w:rPr>
                <w:rFonts w:hint="default" w:ascii="Times New Roman" w:hAnsi="Times New Roman" w:eastAsia="宋体" w:cs="Times New Roman"/>
                <w:b w:val="0"/>
                <w:bCs/>
                <w:color w:val="auto"/>
                <w:position w:val="-14"/>
                <w:szCs w:val="21"/>
              </w:rPr>
              <w:object>
                <v:shape id="_x0000_i1026" o:spt="75" type="#_x0000_t75" style="height:19pt;width:30pt;" o:ole="t" filled="f" o:preferrelative="t" stroked="f" coordsize="21600,21600">
                  <v:path/>
                  <v:fill on="f" focussize="0,0"/>
                  <v:stroke on="f"/>
                  <v:imagedata r:id="rId18" o:title=""/>
                  <o:lock v:ext="edit" aspectratio="t"/>
                  <w10:wrap type="none"/>
                  <w10:anchorlock/>
                </v:shape>
                <o:OLEObject Type="Embed" ProgID="Equation.KSEE3" ShapeID="_x0000_i1026" DrawAspect="Content" ObjectID="_1468075726" r:id="rId17">
                  <o:LockedField>false</o:LockedField>
                </o:OLEObject>
              </w:object>
            </w:r>
            <w:r>
              <w:rPr>
                <w:rFonts w:hint="default"/>
              </w:rPr>
              <w:t>——预测点处声压级，dB；</w:t>
            </w:r>
          </w:p>
          <w:p w14:paraId="6DF6344A">
            <w:pPr>
              <w:bidi w:val="0"/>
              <w:rPr>
                <w:rFonts w:hint="default"/>
              </w:rPr>
            </w:pPr>
            <w:r>
              <w:rPr>
                <w:rFonts w:hint="default" w:ascii="Times New Roman" w:hAnsi="Times New Roman" w:eastAsia="宋体" w:cs="Times New Roman"/>
                <w:b w:val="0"/>
                <w:bCs/>
                <w:color w:val="auto"/>
                <w:position w:val="-12"/>
                <w:szCs w:val="21"/>
              </w:rPr>
              <w:object>
                <v:shape id="_x0000_i1027" o:spt="75" type="#_x0000_t75" style="height:18pt;width:15pt;" o:ole="t" filled="f" o:preferrelative="t" stroked="f" coordsize="21600,21600">
                  <v:path/>
                  <v:fill on="f" focussize="0,0"/>
                  <v:stroke on="f"/>
                  <v:imagedata r:id="rId20" o:title=""/>
                  <o:lock v:ext="edit" aspectratio="t"/>
                  <w10:wrap type="none"/>
                  <w10:anchorlock/>
                </v:shape>
                <o:OLEObject Type="Embed" ProgID="Equation.KSEE3" ShapeID="_x0000_i1027" DrawAspect="Content" ObjectID="_1468075727" r:id="rId19">
                  <o:LockedField>false</o:LockedField>
                </o:OLEObject>
              </w:object>
            </w:r>
            <w:r>
              <w:rPr>
                <w:rFonts w:hint="default"/>
              </w:rPr>
              <w:t>——由点声源产生的声功率级（A计权或倍频带），dB；</w:t>
            </w:r>
          </w:p>
          <w:p w14:paraId="1F64E678">
            <w:pPr>
              <w:bidi w:val="0"/>
              <w:rPr>
                <w:rFonts w:hint="default"/>
              </w:rPr>
            </w:pPr>
            <w:r>
              <w:rPr>
                <w:rFonts w:hint="default" w:ascii="Times New Roman" w:hAnsi="Times New Roman" w:eastAsia="宋体" w:cs="Times New Roman"/>
                <w:b w:val="0"/>
                <w:bCs/>
                <w:color w:val="auto"/>
                <w:position w:val="-12"/>
                <w:szCs w:val="21"/>
              </w:rPr>
              <w:object>
                <v:shape id="_x0000_i1028" o:spt="75" type="#_x0000_t75" style="height:18pt;width:16pt;" o:ole="t" filled="f" o:preferrelative="t" stroked="f" coordsize="21600,21600">
                  <v:path/>
                  <v:fill on="f" focussize="0,0"/>
                  <v:stroke on="f"/>
                  <v:imagedata r:id="rId22" o:title=""/>
                  <o:lock v:ext="edit" aspectratio="t"/>
                  <w10:wrap type="none"/>
                  <w10:anchorlock/>
                </v:shape>
                <o:OLEObject Type="Embed" ProgID="Equation.KSEE3" ShapeID="_x0000_i1028" DrawAspect="Content" ObjectID="_1468075728" r:id="rId21">
                  <o:LockedField>false</o:LockedField>
                </o:OLEObject>
              </w:object>
            </w:r>
            <w:r>
              <w:rPr>
                <w:rFonts w:hint="default"/>
              </w:rPr>
              <w:t>——指向性校正，它描述点声源的等效连续声压级与产生声功率级</w:t>
            </w:r>
            <w:r>
              <w:rPr>
                <w:rFonts w:hint="default" w:ascii="Times New Roman" w:hAnsi="Times New Roman" w:eastAsia="宋体" w:cs="Times New Roman"/>
                <w:b w:val="0"/>
                <w:bCs/>
                <w:color w:val="auto"/>
                <w:position w:val="-12"/>
                <w:szCs w:val="21"/>
              </w:rPr>
              <w:object>
                <v:shape id="_x0000_i1029" o:spt="75" type="#_x0000_t75" style="height:18pt;width:15pt;" o:ole="t" filled="f" o:preferrelative="t" stroked="f" coordsize="21600,21600">
                  <v:path/>
                  <v:fill on="f" focussize="0,0"/>
                  <v:stroke on="f"/>
                  <v:imagedata r:id="rId20" o:title=""/>
                  <o:lock v:ext="edit" aspectratio="t"/>
                  <w10:wrap type="none"/>
                  <w10:anchorlock/>
                </v:shape>
                <o:OLEObject Type="Embed" ProgID="Equation.KSEE3" ShapeID="_x0000_i1029" DrawAspect="Content" ObjectID="_1468075729" r:id="rId23">
                  <o:LockedField>false</o:LockedField>
                </o:OLEObject>
              </w:object>
            </w:r>
            <w:r>
              <w:rPr>
                <w:rFonts w:hint="default"/>
              </w:rPr>
              <w:t>的全向点声源在规定方向的声级的偏差程度，dB；</w:t>
            </w:r>
          </w:p>
          <w:p w14:paraId="1C2E4B12">
            <w:pPr>
              <w:bidi w:val="0"/>
              <w:rPr>
                <w:rFonts w:hint="default"/>
              </w:rPr>
            </w:pPr>
            <w:r>
              <w:rPr>
                <w:rFonts w:hint="default" w:ascii="Times New Roman" w:hAnsi="Times New Roman" w:eastAsia="宋体" w:cs="Times New Roman"/>
                <w:b w:val="0"/>
                <w:bCs/>
                <w:color w:val="auto"/>
                <w:position w:val="-12"/>
                <w:szCs w:val="21"/>
              </w:rPr>
              <w:object>
                <v:shape id="_x0000_i1030" o:spt="75" type="#_x0000_t75" style="height:18pt;width:20pt;" o:ole="t" filled="f" o:preferrelative="t" stroked="f" coordsize="21600,21600">
                  <v:path/>
                  <v:fill on="f" focussize="0,0"/>
                  <v:stroke on="f"/>
                  <v:imagedata r:id="rId25" o:title=""/>
                  <o:lock v:ext="edit" aspectratio="t"/>
                  <w10:wrap type="none"/>
                  <w10:anchorlock/>
                </v:shape>
                <o:OLEObject Type="Embed" ProgID="Equation.KSEE3" ShapeID="_x0000_i1030" DrawAspect="Content" ObjectID="_1468075730" r:id="rId24">
                  <o:LockedField>false</o:LockedField>
                </o:OLEObject>
              </w:object>
            </w:r>
            <w:r>
              <w:rPr>
                <w:rFonts w:hint="default"/>
              </w:rPr>
              <w:t>——几何发散引起的衰减，dB；</w:t>
            </w:r>
          </w:p>
          <w:p w14:paraId="0A3D4A26">
            <w:pPr>
              <w:bidi w:val="0"/>
              <w:rPr>
                <w:rFonts w:hint="default"/>
              </w:rPr>
            </w:pPr>
            <w:r>
              <w:rPr>
                <w:rFonts w:hint="default" w:ascii="Times New Roman" w:hAnsi="Times New Roman" w:eastAsia="宋体" w:cs="Times New Roman"/>
                <w:b w:val="0"/>
                <w:bCs/>
                <w:color w:val="auto"/>
                <w:position w:val="-12"/>
                <w:szCs w:val="21"/>
              </w:rPr>
              <w:object>
                <v:shape id="_x0000_i1031" o:spt="75" type="#_x0000_t75" style="height:18pt;width:22pt;" o:ole="t" filled="f" o:preferrelative="t" stroked="f" coordsize="21600,21600">
                  <v:path/>
                  <v:fill on="f" focussize="0,0"/>
                  <v:stroke on="f"/>
                  <v:imagedata r:id="rId27" o:title=""/>
                  <o:lock v:ext="edit" aspectratio="t"/>
                  <w10:wrap type="none"/>
                  <w10:anchorlock/>
                </v:shape>
                <o:OLEObject Type="Embed" ProgID="Equation.KSEE3" ShapeID="_x0000_i1031" DrawAspect="Content" ObjectID="_1468075731" r:id="rId26">
                  <o:LockedField>false</o:LockedField>
                </o:OLEObject>
              </w:object>
            </w:r>
            <w:r>
              <w:rPr>
                <w:rFonts w:hint="default"/>
              </w:rPr>
              <w:t xml:space="preserve"> ——大气吸收引起的衰减，dB；</w:t>
            </w:r>
          </w:p>
          <w:p w14:paraId="236EE898">
            <w:pPr>
              <w:bidi w:val="0"/>
              <w:rPr>
                <w:rFonts w:hint="default"/>
              </w:rPr>
            </w:pPr>
            <w:r>
              <w:rPr>
                <w:rFonts w:hint="default" w:ascii="Times New Roman" w:hAnsi="Times New Roman" w:eastAsia="宋体" w:cs="Times New Roman"/>
                <w:b w:val="0"/>
                <w:bCs/>
                <w:color w:val="auto"/>
                <w:position w:val="-14"/>
                <w:szCs w:val="21"/>
              </w:rPr>
              <w:object>
                <v:shape id="_x0000_i1032" o:spt="75" type="#_x0000_t75" style="height:19pt;width:18pt;" o:ole="t" filled="f" o:preferrelative="t" stroked="f" coordsize="21600,21600">
                  <v:path/>
                  <v:fill on="f" focussize="0,0"/>
                  <v:stroke on="f"/>
                  <v:imagedata r:id="rId29" o:title=""/>
                  <o:lock v:ext="edit" aspectratio="t"/>
                  <w10:wrap type="none"/>
                  <w10:anchorlock/>
                </v:shape>
                <o:OLEObject Type="Embed" ProgID="Equation.KSEE3" ShapeID="_x0000_i1032" DrawAspect="Content" ObjectID="_1468075732" r:id="rId28">
                  <o:LockedField>false</o:LockedField>
                </o:OLEObject>
              </w:object>
            </w:r>
            <w:r>
              <w:rPr>
                <w:rFonts w:hint="default"/>
              </w:rPr>
              <w:t>——地面效应引起的衰减，dB；</w:t>
            </w:r>
          </w:p>
          <w:p w14:paraId="661D4C3D">
            <w:pPr>
              <w:bidi w:val="0"/>
              <w:rPr>
                <w:rFonts w:hint="default"/>
              </w:rPr>
            </w:pPr>
            <w:r>
              <w:rPr>
                <w:rFonts w:hint="default" w:ascii="Times New Roman" w:hAnsi="Times New Roman" w:eastAsia="宋体" w:cs="Times New Roman"/>
                <w:b w:val="0"/>
                <w:bCs/>
                <w:color w:val="auto"/>
                <w:position w:val="-12"/>
                <w:szCs w:val="21"/>
              </w:rPr>
              <w:object>
                <v:shape id="_x0000_i1033" o:spt="75" type="#_x0000_t75" style="height:18pt;width:21pt;" o:ole="t" filled="f" o:preferrelative="t" stroked="f" coordsize="21600,21600">
                  <v:path/>
                  <v:fill on="f" focussize="0,0"/>
                  <v:stroke on="f"/>
                  <v:imagedata r:id="rId31" o:title=""/>
                  <o:lock v:ext="edit" aspectratio="t"/>
                  <w10:wrap type="none"/>
                  <w10:anchorlock/>
                </v:shape>
                <o:OLEObject Type="Embed" ProgID="Equation.KSEE3" ShapeID="_x0000_i1033" DrawAspect="Content" ObjectID="_1468075733" r:id="rId30">
                  <o:LockedField>false</o:LockedField>
                </o:OLEObject>
              </w:object>
            </w:r>
            <w:r>
              <w:rPr>
                <w:rFonts w:hint="default"/>
              </w:rPr>
              <w:t xml:space="preserve"> ——障碍物屏蔽引起的衰减，dB；</w:t>
            </w:r>
          </w:p>
          <w:p w14:paraId="57AFC066">
            <w:pPr>
              <w:bidi w:val="0"/>
              <w:rPr>
                <w:rFonts w:hint="default"/>
              </w:rPr>
            </w:pPr>
            <w:r>
              <w:rPr>
                <w:rFonts w:hint="default" w:ascii="Times New Roman" w:hAnsi="Times New Roman" w:eastAsia="宋体" w:cs="Times New Roman"/>
                <w:b w:val="0"/>
                <w:bCs/>
                <w:color w:val="auto"/>
                <w:position w:val="-12"/>
                <w:szCs w:val="21"/>
              </w:rPr>
              <w:object>
                <v:shape id="_x0000_i1034" o:spt="75" type="#_x0000_t75" style="height:18pt;width:24pt;" o:ole="t" filled="f" o:preferrelative="t" stroked="f" coordsize="21600,21600">
                  <v:path/>
                  <v:fill on="f" focussize="0,0"/>
                  <v:stroke on="f"/>
                  <v:imagedata r:id="rId33" o:title=""/>
                  <o:lock v:ext="edit" aspectratio="t"/>
                  <w10:wrap type="none"/>
                  <w10:anchorlock/>
                </v:shape>
                <o:OLEObject Type="Embed" ProgID="Equation.KSEE3" ShapeID="_x0000_i1034" DrawAspect="Content" ObjectID="_1468075734" r:id="rId32">
                  <o:LockedField>false</o:LockedField>
                </o:OLEObject>
              </w:object>
            </w:r>
            <w:r>
              <w:rPr>
                <w:rFonts w:hint="default"/>
              </w:rPr>
              <w:t>——其他多方面效应引起的衰减，dB。</w:t>
            </w:r>
          </w:p>
          <w:p w14:paraId="15ECF001">
            <w:pPr>
              <w:bidi w:val="0"/>
              <w:rPr>
                <w:rFonts w:hint="default"/>
                <w:lang w:eastAsia="zh-CN"/>
              </w:rPr>
            </w:pPr>
            <w:r>
              <w:rPr>
                <w:rFonts w:hint="eastAsia"/>
                <w:lang w:val="en-US" w:eastAsia="zh-CN"/>
              </w:rPr>
              <w:t>a</w:t>
            </w:r>
            <w:r>
              <w:rPr>
                <w:rFonts w:hint="default"/>
                <w:lang w:eastAsia="zh-CN"/>
              </w:rPr>
              <w:t>几何发散衰减</w:t>
            </w:r>
          </w:p>
          <w:p w14:paraId="41A276F1">
            <w:pPr>
              <w:bidi w:val="0"/>
              <w:rPr>
                <w:rFonts w:hint="default"/>
                <w:lang w:val="en-US" w:eastAsia="zh-CN"/>
              </w:rPr>
            </w:pPr>
            <w:r>
              <w:rPr>
                <w:rFonts w:hint="eastAsia"/>
                <w:lang w:val="en-US" w:eastAsia="zh-CN"/>
              </w:rPr>
              <w:t>无指向性点声源的几何发散衰减</w:t>
            </w:r>
            <w:r>
              <w:rPr>
                <w:rFonts w:hint="default" w:ascii="Times New Roman" w:hAnsi="Times New Roman" w:eastAsia="宋体" w:cs="Times New Roman"/>
                <w:b w:val="0"/>
                <w:bCs/>
                <w:color w:val="auto"/>
                <w:position w:val="-12"/>
                <w:szCs w:val="24"/>
              </w:rPr>
              <w:object>
                <v:shape id="_x0000_i1035" o:spt="75" type="#_x0000_t75" style="height:18pt;width:20pt;" o:ole="t" filled="f" o:preferrelative="t" stroked="f" coordsize="21600,21600">
                  <v:path/>
                  <v:fill on="f" focussize="0,0"/>
                  <v:stroke on="f"/>
                  <v:imagedata r:id="rId25" o:title=""/>
                  <o:lock v:ext="edit" aspectratio="t"/>
                  <w10:wrap type="none"/>
                  <w10:anchorlock/>
                </v:shape>
                <o:OLEObject Type="Embed" ProgID="Equation.KSEE3" ShapeID="_x0000_i1035" DrawAspect="Content" ObjectID="_1468075735" r:id="rId34">
                  <o:LockedField>false</o:LockedField>
                </o:OLEObject>
              </w:object>
            </w:r>
          </w:p>
          <w:p w14:paraId="2C3F05E9">
            <w:pPr>
              <w:bidi w:val="0"/>
              <w:rPr>
                <w:rFonts w:hint="eastAsia"/>
                <w:lang w:eastAsia="zh-CN"/>
              </w:rPr>
            </w:pPr>
            <w:r>
              <w:rPr>
                <w:rFonts w:hint="eastAsia" w:ascii="Times New Roman" w:hAnsi="Times New Roman" w:eastAsia="宋体" w:cs="Times New Roman"/>
                <w:b w:val="0"/>
                <w:bCs/>
                <w:color w:val="auto"/>
                <w:position w:val="-12"/>
                <w:szCs w:val="24"/>
                <w:lang w:eastAsia="zh-CN"/>
              </w:rPr>
              <w:object>
                <v:shape id="_x0000_i1036" o:spt="75" type="#_x0000_t75" style="height:18pt;width:84pt;" o:ole="t" filled="f" o:preferrelative="t" stroked="f" coordsize="21600,21600">
                  <v:path/>
                  <v:fill on="f" focussize="0,0"/>
                  <v:stroke on="f"/>
                  <v:imagedata r:id="rId36" o:title=""/>
                  <o:lock v:ext="edit" aspectratio="t"/>
                  <w10:wrap type="none"/>
                  <w10:anchorlock/>
                </v:shape>
                <o:OLEObject Type="Embed" ProgID="Equation.KSEE3" ShapeID="_x0000_i1036" DrawAspect="Content" ObjectID="_1468075736" r:id="rId35">
                  <o:LockedField>false</o:LockedField>
                </o:OLEObject>
              </w:object>
            </w:r>
          </w:p>
          <w:p w14:paraId="364AE5FE">
            <w:pPr>
              <w:bidi w:val="0"/>
              <w:rPr>
                <w:rFonts w:hint="default"/>
              </w:rPr>
            </w:pPr>
            <w:r>
              <w:rPr>
                <w:rFonts w:hint="default"/>
              </w:rPr>
              <w:t>式中</w:t>
            </w:r>
            <w:r>
              <w:rPr>
                <w:rFonts w:hint="eastAsia"/>
                <w:lang w:eastAsia="zh-CN"/>
              </w:rPr>
              <w:t>：</w:t>
            </w:r>
            <w:r>
              <w:rPr>
                <w:rFonts w:hint="default" w:ascii="Times New Roman" w:hAnsi="Times New Roman" w:eastAsia="宋体" w:cs="Times New Roman"/>
                <w:b w:val="0"/>
                <w:bCs/>
                <w:color w:val="auto"/>
                <w:position w:val="-4"/>
                <w:szCs w:val="21"/>
              </w:rPr>
              <w:object>
                <v:shape id="_x0000_i1037" o:spt="75" type="#_x0000_t75" style="height:10pt;width:9pt;" o:ole="t" filled="f" o:preferrelative="t" stroked="f" coordsize="21600,21600">
                  <v:path/>
                  <v:fill on="f" focussize="0,0"/>
                  <v:stroke on="f"/>
                  <v:imagedata r:id="rId38" o:title=""/>
                  <o:lock v:ext="edit" aspectratio="t"/>
                  <w10:wrap type="none"/>
                  <w10:anchorlock/>
                </v:shape>
                <o:OLEObject Type="Embed" ProgID="Equation.KSEE3" ShapeID="_x0000_i1037" DrawAspect="Content" ObjectID="_1468075737" r:id="rId37">
                  <o:LockedField>false</o:LockedField>
                </o:OLEObject>
              </w:object>
            </w:r>
            <w:r>
              <w:rPr>
                <w:rFonts w:hint="default"/>
              </w:rPr>
              <w:t>——预测点距声源的距离；</w:t>
            </w:r>
          </w:p>
          <w:p w14:paraId="08CE92E0">
            <w:pPr>
              <w:bidi w:val="0"/>
              <w:rPr>
                <w:rFonts w:hint="default"/>
              </w:rPr>
            </w:pPr>
            <w:r>
              <w:rPr>
                <w:rFonts w:hint="default" w:ascii="Times New Roman" w:hAnsi="Times New Roman" w:eastAsia="宋体" w:cs="Times New Roman"/>
                <w:b w:val="0"/>
                <w:bCs/>
                <w:color w:val="auto"/>
                <w:position w:val="-12"/>
                <w:szCs w:val="21"/>
              </w:rPr>
              <w:object>
                <v:shape id="_x0000_i1038" o:spt="75" type="#_x0000_t75" style="height:18pt;width:11pt;" o:ole="t" filled="f" o:preferrelative="t" stroked="f" coordsize="21600,21600">
                  <v:path/>
                  <v:fill on="f" focussize="0,0"/>
                  <v:stroke on="f"/>
                  <v:imagedata r:id="rId40" o:title=""/>
                  <o:lock v:ext="edit" aspectratio="t"/>
                  <w10:wrap type="none"/>
                  <w10:anchorlock/>
                </v:shape>
                <o:OLEObject Type="Embed" ProgID="Equation.KSEE3" ShapeID="_x0000_i1038" DrawAspect="Content" ObjectID="_1468075738" r:id="rId39">
                  <o:LockedField>false</o:LockedField>
                </o:OLEObject>
              </w:object>
            </w:r>
            <w:r>
              <w:rPr>
                <w:rFonts w:hint="default"/>
              </w:rPr>
              <w:t>——参考位置距声源的距离。</w:t>
            </w:r>
          </w:p>
          <w:p w14:paraId="4EF27660">
            <w:pPr>
              <w:bidi w:val="0"/>
              <w:rPr>
                <w:rFonts w:hint="default"/>
              </w:rPr>
            </w:pPr>
            <w:r>
              <w:rPr>
                <w:rFonts w:hint="eastAsia"/>
                <w:lang w:val="en-US" w:eastAsia="zh-CN"/>
              </w:rPr>
              <w:t>b</w:t>
            </w:r>
            <w:r>
              <w:rPr>
                <w:rFonts w:hint="eastAsia"/>
              </w:rPr>
              <w:t>大气吸收引起的衰减</w:t>
            </w:r>
            <w:r>
              <w:rPr>
                <w:rFonts w:hint="default" w:ascii="Times New Roman" w:hAnsi="Times New Roman" w:eastAsia="宋体" w:cs="Times New Roman"/>
                <w:color w:val="auto"/>
                <w:position w:val="-12"/>
                <w:szCs w:val="24"/>
              </w:rPr>
              <w:object>
                <v:shape id="_x0000_i1039" o:spt="75" type="#_x0000_t75" style="height:18pt;width:22pt;" o:ole="t" filled="f" o:preferrelative="t" stroked="f" coordsize="21600,21600">
                  <v:path/>
                  <v:fill on="f" focussize="0,0"/>
                  <v:stroke on="f"/>
                  <v:imagedata r:id="rId27" o:title=""/>
                  <o:lock v:ext="edit" aspectratio="t"/>
                  <w10:wrap type="none"/>
                  <w10:anchorlock/>
                </v:shape>
                <o:OLEObject Type="Embed" ProgID="Equation.KSEE3" ShapeID="_x0000_i1039" DrawAspect="Content" ObjectID="_1468075739" r:id="rId41">
                  <o:LockedField>false</o:LockedField>
                </o:OLEObject>
              </w:object>
            </w:r>
          </w:p>
          <w:p w14:paraId="6DDA665D">
            <w:pPr>
              <w:bidi w:val="0"/>
              <w:rPr>
                <w:rFonts w:hint="eastAsia"/>
                <w:lang w:eastAsia="zh-CN"/>
              </w:rPr>
            </w:pPr>
            <w:r>
              <w:rPr>
                <w:rFonts w:hint="eastAsia" w:ascii="Times New Roman" w:hAnsi="Times New Roman" w:eastAsia="宋体" w:cs="Times New Roman"/>
                <w:b w:val="0"/>
                <w:bCs/>
                <w:color w:val="auto"/>
                <w:position w:val="-24"/>
                <w:szCs w:val="24"/>
                <w:lang w:eastAsia="zh-CN"/>
              </w:rPr>
              <w:object>
                <v:shape id="_x0000_i1040" o:spt="75" type="#_x0000_t75" style="height:31pt;width:76pt;" o:ole="t" filled="f" o:preferrelative="t" stroked="f" coordsize="21600,21600">
                  <v:path/>
                  <v:fill on="f" focussize="0,0"/>
                  <v:stroke on="f"/>
                  <v:imagedata r:id="rId43" o:title=""/>
                  <o:lock v:ext="edit" aspectratio="t"/>
                  <w10:wrap type="none"/>
                  <w10:anchorlock/>
                </v:shape>
                <o:OLEObject Type="Embed" ProgID="Equation.KSEE3" ShapeID="_x0000_i1040" DrawAspect="Content" ObjectID="_1468075740" r:id="rId42">
                  <o:LockedField>false</o:LockedField>
                </o:OLEObject>
              </w:object>
            </w:r>
          </w:p>
          <w:p w14:paraId="1085C33E">
            <w:pPr>
              <w:bidi w:val="0"/>
              <w:rPr>
                <w:rFonts w:hint="default"/>
                <w:lang w:val="en-US" w:eastAsia="zh-CN"/>
              </w:rPr>
            </w:pPr>
            <w:r>
              <w:rPr>
                <w:rFonts w:hint="eastAsia"/>
                <w:lang w:eastAsia="zh-CN"/>
              </w:rPr>
              <w:t>式中：</w:t>
            </w:r>
            <w:r>
              <w:rPr>
                <w:rFonts w:hint="eastAsia" w:ascii="Times New Roman" w:hAnsi="Times New Roman" w:eastAsia="宋体" w:cs="Times New Roman"/>
                <w:b w:val="0"/>
                <w:bCs/>
                <w:color w:val="auto"/>
                <w:position w:val="-6"/>
                <w:szCs w:val="24"/>
                <w:lang w:eastAsia="zh-CN"/>
              </w:rPr>
              <w:object>
                <v:shape id="_x0000_i1041" o:spt="75" type="#_x0000_t75" style="height:11pt;width:12pt;" o:ole="t" filled="f" o:preferrelative="t" stroked="f" coordsize="21600,21600">
                  <v:path/>
                  <v:fill on="f" focussize="0,0"/>
                  <v:stroke on="f"/>
                  <v:imagedata r:id="rId45" o:title=""/>
                  <o:lock v:ext="edit" aspectratio="t"/>
                  <w10:wrap type="none"/>
                  <w10:anchorlock/>
                </v:shape>
                <o:OLEObject Type="Embed" ProgID="Equation.KSEE3" ShapeID="_x0000_i1041" DrawAspect="Content" ObjectID="_1468075741" r:id="rId44">
                  <o:LockedField>false</o:LockedField>
                </o:OLEObject>
              </w:object>
            </w:r>
            <w:r>
              <w:rPr>
                <w:rFonts w:hint="default"/>
              </w:rPr>
              <w:t>——与温度、湿度和声波频率有关的大气吸收衰减系数，预测计算中一般根据建设项目所处区域常年平均气温和湿度选择相应的大气吸收衰减系数</w:t>
            </w:r>
            <w:r>
              <w:rPr>
                <w:rFonts w:hint="eastAsia"/>
                <w:lang w:eastAsia="zh-CN"/>
              </w:rPr>
              <w:t>，</w:t>
            </w:r>
            <w:r>
              <w:rPr>
                <w:rFonts w:hint="eastAsia"/>
                <w:lang w:val="en-US" w:eastAsia="zh-CN"/>
              </w:rPr>
              <w:t>dB/km，本项目取2.8；</w:t>
            </w:r>
          </w:p>
          <w:p w14:paraId="1C9BCE63">
            <w:pPr>
              <w:bidi w:val="0"/>
              <w:rPr>
                <w:rFonts w:hint="eastAsia"/>
                <w:lang w:eastAsia="zh-CN"/>
              </w:rPr>
            </w:pPr>
            <w:r>
              <w:rPr>
                <w:rFonts w:hint="eastAsia"/>
                <w:lang w:val="en-US" w:eastAsia="zh-CN"/>
              </w:rPr>
              <w:t>c</w:t>
            </w:r>
            <w:r>
              <w:rPr>
                <w:rFonts w:hint="eastAsia"/>
                <w:lang w:eastAsia="zh-CN"/>
              </w:rPr>
              <w:t>地面效应</w:t>
            </w:r>
            <w:r>
              <w:rPr>
                <w:rFonts w:hint="eastAsia"/>
              </w:rPr>
              <w:t>引起的</w:t>
            </w:r>
            <w:r>
              <w:rPr>
                <w:rFonts w:hint="eastAsia"/>
                <w:lang w:eastAsia="zh-CN"/>
              </w:rPr>
              <w:t>衰减</w:t>
            </w:r>
            <w:r>
              <w:rPr>
                <w:rFonts w:hint="default" w:ascii="Times New Roman" w:hAnsi="Times New Roman" w:eastAsia="宋体" w:cs="Times New Roman"/>
                <w:color w:val="auto"/>
                <w:position w:val="-14"/>
                <w:szCs w:val="24"/>
              </w:rPr>
              <w:object>
                <v:shape id="_x0000_i1042" o:spt="75" type="#_x0000_t75" style="height:19pt;width:18pt;" o:ole="t" filled="f" o:preferrelative="t" stroked="f" coordsize="21600,21600">
                  <v:path/>
                  <v:fill on="f" focussize="0,0"/>
                  <v:stroke on="f"/>
                  <v:imagedata r:id="rId29" o:title=""/>
                  <o:lock v:ext="edit" aspectratio="t"/>
                  <w10:wrap type="none"/>
                  <w10:anchorlock/>
                </v:shape>
                <o:OLEObject Type="Embed" ProgID="Equation.KSEE3" ShapeID="_x0000_i1042" DrawAspect="Content" ObjectID="_1468075742" r:id="rId46">
                  <o:LockedField>false</o:LockedField>
                </o:OLEObject>
              </w:object>
            </w:r>
          </w:p>
          <w:p w14:paraId="5C6F66B5">
            <w:pPr>
              <w:bidi w:val="0"/>
              <w:rPr>
                <w:rFonts w:hint="eastAsia"/>
                <w:lang w:eastAsia="zh-CN"/>
              </w:rPr>
            </w:pPr>
            <w:r>
              <w:rPr>
                <w:rFonts w:hint="eastAsia" w:ascii="Times New Roman" w:hAnsi="Times New Roman" w:eastAsia="宋体" w:cs="Times New Roman"/>
                <w:b w:val="0"/>
                <w:bCs/>
                <w:color w:val="auto"/>
                <w:position w:val="-28"/>
                <w:szCs w:val="24"/>
                <w:lang w:eastAsia="zh-CN"/>
              </w:rPr>
              <w:object>
                <v:shape id="_x0000_i1043" o:spt="75" type="#_x0000_t75" style="height:34pt;width:142pt;" o:ole="t" filled="f" o:preferrelative="t" stroked="f" coordsize="21600,21600">
                  <v:path/>
                  <v:fill on="f" focussize="0,0"/>
                  <v:stroke on="f"/>
                  <v:imagedata r:id="rId48" o:title=""/>
                  <o:lock v:ext="edit" aspectratio="t"/>
                  <w10:wrap type="none"/>
                  <w10:anchorlock/>
                </v:shape>
                <o:OLEObject Type="Embed" ProgID="Equation.KSEE3" ShapeID="_x0000_i1043" DrawAspect="Content" ObjectID="_1468075743" r:id="rId47">
                  <o:LockedField>false</o:LockedField>
                </o:OLEObject>
              </w:object>
            </w:r>
          </w:p>
          <w:p w14:paraId="39BE7F51">
            <w:pPr>
              <w:bidi w:val="0"/>
              <w:rPr>
                <w:rFonts w:hint="default"/>
              </w:rPr>
            </w:pPr>
            <w:r>
              <w:rPr>
                <w:rFonts w:hint="default"/>
              </w:rPr>
              <w:t>式中：</w:t>
            </w:r>
            <w:r>
              <w:rPr>
                <w:rFonts w:hint="default" w:ascii="Times New Roman" w:hAnsi="Times New Roman" w:eastAsia="宋体" w:cs="Times New Roman"/>
                <w:b w:val="0"/>
                <w:bCs/>
                <w:color w:val="auto"/>
                <w:position w:val="-12"/>
                <w:szCs w:val="24"/>
              </w:rPr>
              <w:object>
                <v:shape id="_x0000_i1044" o:spt="75" type="#_x0000_t75" style="height:18pt;width:15pt;" o:ole="t" filled="f" o:preferrelative="t" stroked="f" coordsize="21600,21600">
                  <v:path/>
                  <v:fill on="f" focussize="0,0"/>
                  <v:stroke on="f"/>
                  <v:imagedata r:id="rId50" o:title=""/>
                  <o:lock v:ext="edit" aspectratio="t"/>
                  <w10:wrap type="none"/>
                  <w10:anchorlock/>
                </v:shape>
                <o:OLEObject Type="Embed" ProgID="Equation.KSEE3" ShapeID="_x0000_i1044" DrawAspect="Content" ObjectID="_1468075744" r:id="rId49">
                  <o:LockedField>false</o:LockedField>
                </o:OLEObject>
              </w:object>
            </w:r>
            <w:r>
              <w:rPr>
                <w:rFonts w:hint="default"/>
              </w:rPr>
              <w:t>—— 传播路径的平均离地高度，m；</w:t>
            </w:r>
          </w:p>
          <w:p w14:paraId="7BE0D1A4">
            <w:pPr>
              <w:bidi w:val="0"/>
              <w:rPr>
                <w:rFonts w:hint="default"/>
              </w:rPr>
            </w:pPr>
            <w:r>
              <w:rPr>
                <w:rFonts w:hint="eastAsia"/>
                <w:lang w:val="en-US" w:eastAsia="zh-CN"/>
              </w:rPr>
              <w:t>d</w:t>
            </w:r>
            <w:r>
              <w:rPr>
                <w:rFonts w:hint="default"/>
              </w:rPr>
              <w:t>障碍物屏蔽引起的衰减</w:t>
            </w:r>
            <w:r>
              <w:rPr>
                <w:rFonts w:hint="default" w:ascii="Times New Roman" w:hAnsi="Times New Roman" w:eastAsia="宋体" w:cs="Times New Roman"/>
                <w:color w:val="auto"/>
                <w:position w:val="-12"/>
                <w:szCs w:val="24"/>
              </w:rPr>
              <w:object>
                <v:shape id="_x0000_i1045" o:spt="75" type="#_x0000_t75" style="height:18pt;width:21pt;" o:ole="t" filled="f" o:preferrelative="t" stroked="f" coordsize="21600,21600">
                  <v:path/>
                  <v:fill on="f" focussize="0,0"/>
                  <v:stroke on="f"/>
                  <v:imagedata r:id="rId31" o:title=""/>
                  <o:lock v:ext="edit" aspectratio="t"/>
                  <w10:wrap type="none"/>
                  <w10:anchorlock/>
                </v:shape>
                <o:OLEObject Type="Embed" ProgID="Equation.KSEE3" ShapeID="_x0000_i1045" DrawAspect="Content" ObjectID="_1468075745" r:id="rId51">
                  <o:LockedField>false</o:LockedField>
                </o:OLEObject>
              </w:object>
            </w:r>
          </w:p>
          <w:p w14:paraId="6D317582">
            <w:pPr>
              <w:bidi w:val="0"/>
              <w:rPr>
                <w:rFonts w:hint="default"/>
              </w:rPr>
            </w:pPr>
            <w:r>
              <w:rPr>
                <w:rFonts w:hint="eastAsia"/>
                <w:lang w:eastAsia="zh-CN"/>
              </w:rPr>
              <w:t>有限长声屏障</w:t>
            </w:r>
            <w:r>
              <w:rPr>
                <w:rFonts w:hint="default"/>
              </w:rPr>
              <w:t>引起的衰减</w:t>
            </w:r>
          </w:p>
          <w:p w14:paraId="38884FBD">
            <w:pPr>
              <w:bidi w:val="0"/>
              <w:rPr>
                <w:rFonts w:hint="eastAsia"/>
                <w:lang w:eastAsia="zh-CN"/>
              </w:rPr>
            </w:pPr>
            <w:r>
              <w:rPr>
                <w:rFonts w:hint="eastAsia" w:eastAsia="宋体"/>
                <w:color w:val="auto"/>
                <w:position w:val="-32"/>
                <w:lang w:eastAsia="zh-CN"/>
              </w:rPr>
              <w:object>
                <v:shape id="_x0000_i1046" o:spt="75" type="#_x0000_t75" style="height:38pt;width:229pt;" o:ole="t" filled="f" o:preferrelative="t" stroked="f" coordsize="21600,21600">
                  <v:path/>
                  <v:fill on="f" focussize="0,0"/>
                  <v:stroke on="f"/>
                  <v:imagedata r:id="rId53" o:title=""/>
                  <o:lock v:ext="edit" aspectratio="t"/>
                  <w10:wrap type="none"/>
                  <w10:anchorlock/>
                </v:shape>
                <o:OLEObject Type="Embed" ProgID="Equation.KSEE3" ShapeID="_x0000_i1046" DrawAspect="Content" ObjectID="_1468075746" r:id="rId52">
                  <o:LockedField>false</o:LockedField>
                </o:OLEObject>
              </w:object>
            </w:r>
          </w:p>
          <w:p w14:paraId="6804B676">
            <w:pPr>
              <w:bidi w:val="0"/>
              <w:rPr>
                <w:rFonts w:hint="default"/>
              </w:rPr>
            </w:pPr>
            <w:r>
              <w:rPr>
                <w:rFonts w:hint="eastAsia"/>
                <w:lang w:eastAsia="zh-CN"/>
              </w:rPr>
              <w:t>无限长声屏障</w:t>
            </w:r>
            <w:r>
              <w:rPr>
                <w:rFonts w:hint="default"/>
              </w:rPr>
              <w:t>引起的衰减</w:t>
            </w:r>
          </w:p>
          <w:p w14:paraId="669C848B">
            <w:pPr>
              <w:bidi w:val="0"/>
              <w:rPr>
                <w:rFonts w:hint="eastAsia"/>
                <w:lang w:eastAsia="zh-CN"/>
              </w:rPr>
            </w:pPr>
            <w:r>
              <w:rPr>
                <w:rFonts w:hint="eastAsia" w:ascii="Times New Roman" w:hAnsi="Times New Roman" w:eastAsia="宋体" w:cs="Times New Roman"/>
                <w:b w:val="0"/>
                <w:bCs/>
                <w:color w:val="auto"/>
                <w:position w:val="-32"/>
                <w:szCs w:val="24"/>
                <w:lang w:eastAsia="zh-CN"/>
              </w:rPr>
              <w:object>
                <v:shape id="_x0000_i1047" o:spt="75" type="#_x0000_t75" style="height:38pt;width:118pt;" o:ole="t" filled="f" o:preferrelative="t" stroked="f" coordsize="21600,21600">
                  <v:path/>
                  <v:fill on="f" focussize="0,0"/>
                  <v:stroke on="f"/>
                  <v:imagedata r:id="rId55" o:title=""/>
                  <o:lock v:ext="edit" aspectratio="t"/>
                  <w10:wrap type="none"/>
                  <w10:anchorlock/>
                </v:shape>
                <o:OLEObject Type="Embed" ProgID="Equation.KSEE3" ShapeID="_x0000_i1047" DrawAspect="Content" ObjectID="_1468075747" r:id="rId54">
                  <o:LockedField>false</o:LockedField>
                </o:OLEObject>
              </w:object>
            </w:r>
          </w:p>
          <w:p w14:paraId="00EB26CD">
            <w:pPr>
              <w:bidi w:val="0"/>
              <w:rPr>
                <w:rFonts w:hint="eastAsia"/>
                <w:lang w:eastAsia="zh-CN"/>
              </w:rPr>
            </w:pPr>
            <w:r>
              <w:rPr>
                <w:rFonts w:hint="eastAsia"/>
                <w:lang w:eastAsia="zh-CN"/>
              </w:rPr>
              <w:t>已知靠近声源处某点的倍频带声压级时，相同方向预测点位置的倍频带声压级可按下式计算：</w:t>
            </w:r>
          </w:p>
          <w:p w14:paraId="2489548C">
            <w:pPr>
              <w:bidi w:val="0"/>
              <w:rPr>
                <w:rFonts w:hint="eastAsia"/>
                <w:lang w:eastAsia="zh-CN"/>
              </w:rPr>
            </w:pPr>
            <w:r>
              <w:rPr>
                <w:rFonts w:hint="eastAsia" w:ascii="Times New Roman" w:hAnsi="Times New Roman" w:eastAsia="宋体" w:cs="Times New Roman"/>
                <w:b w:val="0"/>
                <w:bCs/>
                <w:color w:val="auto"/>
                <w:position w:val="-14"/>
                <w:szCs w:val="24"/>
                <w:lang w:eastAsia="zh-CN"/>
              </w:rPr>
              <w:object>
                <v:shape id="_x0000_i1048" o:spt="75" type="#_x0000_t75" style="height:19pt;width:90pt;" o:ole="t" filled="f" o:preferrelative="t" stroked="f" coordsize="21600,21600">
                  <v:path/>
                  <v:fill on="f" focussize="0,0"/>
                  <v:stroke on="f"/>
                  <v:imagedata r:id="rId57" o:title=""/>
                  <o:lock v:ext="edit" aspectratio="t"/>
                  <w10:wrap type="none"/>
                  <w10:anchorlock/>
                </v:shape>
                <o:OLEObject Type="Embed" ProgID="Equation.KSEE3" ShapeID="_x0000_i1048" DrawAspect="Content" ObjectID="_1468075748" r:id="rId56">
                  <o:LockedField>false</o:LockedField>
                </o:OLEObject>
              </w:object>
            </w:r>
          </w:p>
          <w:p w14:paraId="7DAA3579">
            <w:pPr>
              <w:bidi w:val="0"/>
              <w:rPr>
                <w:rFonts w:hint="default"/>
                <w:lang w:val="en-US" w:eastAsia="zh-CN"/>
              </w:rPr>
            </w:pPr>
            <w:r>
              <w:rPr>
                <w:rFonts w:hint="eastAsia"/>
                <w:lang w:eastAsia="zh-CN"/>
              </w:rPr>
              <w:t>预测点的</w:t>
            </w:r>
            <w:r>
              <w:rPr>
                <w:rFonts w:hint="eastAsia"/>
                <w:lang w:val="en-US" w:eastAsia="zh-CN"/>
              </w:rPr>
              <w:t>A声级，可用8个倍频带声压级合成，计算出预测点的A声级〔</w:t>
            </w:r>
            <w:r>
              <w:rPr>
                <w:rFonts w:hint="eastAsia" w:ascii="Times New Roman" w:hAnsi="Times New Roman" w:eastAsia="宋体" w:cs="Times New Roman"/>
                <w:b w:val="0"/>
                <w:bCs/>
                <w:color w:val="auto"/>
                <w:position w:val="-10"/>
                <w:szCs w:val="24"/>
                <w:lang w:val="en-US" w:eastAsia="zh-CN"/>
              </w:rPr>
              <w:object>
                <v:shape id="_x0000_i1049" o:spt="75" type="#_x0000_t75" style="height:17pt;width:30pt;" o:ole="t" filled="f" o:preferrelative="t" stroked="f" coordsize="21600,21600">
                  <v:path/>
                  <v:fill on="f" focussize="0,0"/>
                  <v:stroke on="f"/>
                  <v:imagedata r:id="rId59" o:title=""/>
                  <o:lock v:ext="edit" aspectratio="t"/>
                  <w10:wrap type="none"/>
                  <w10:anchorlock/>
                </v:shape>
                <o:OLEObject Type="Embed" ProgID="Equation.KSEE3" ShapeID="_x0000_i1049" DrawAspect="Content" ObjectID="_1468075749" r:id="rId58">
                  <o:LockedField>false</o:LockedField>
                </o:OLEObject>
              </w:object>
            </w:r>
            <w:r>
              <w:rPr>
                <w:rFonts w:hint="eastAsia"/>
                <w:lang w:val="en-US" w:eastAsia="zh-CN"/>
              </w:rPr>
              <w:t>〕。</w:t>
            </w:r>
          </w:p>
          <w:p w14:paraId="25259F0C">
            <w:pPr>
              <w:bidi w:val="0"/>
              <w:rPr>
                <w:rFonts w:hint="eastAsia"/>
                <w:lang w:eastAsia="zh-CN"/>
              </w:rPr>
            </w:pPr>
            <w:r>
              <w:rPr>
                <w:rFonts w:hint="eastAsia" w:ascii="Times New Roman" w:hAnsi="Times New Roman" w:eastAsia="宋体" w:cs="Times New Roman"/>
                <w:b w:val="0"/>
                <w:bCs/>
                <w:color w:val="auto"/>
                <w:position w:val="-30"/>
                <w:szCs w:val="24"/>
                <w:lang w:eastAsia="zh-CN"/>
              </w:rPr>
              <w:object>
                <v:shape id="_x0000_i1050" o:spt="75" type="#_x0000_t75" style="height:36pt;width:148pt;" o:ole="t" filled="f" o:preferrelative="t" stroked="f" coordsize="21600,21600">
                  <v:path/>
                  <v:fill on="f" focussize="0,0"/>
                  <v:stroke on="f"/>
                  <v:imagedata r:id="rId61" o:title=""/>
                  <o:lock v:ext="edit" aspectratio="t"/>
                  <w10:wrap type="none"/>
                  <w10:anchorlock/>
                </v:shape>
                <o:OLEObject Type="Embed" ProgID="Equation.KSEE3" ShapeID="_x0000_i1050" DrawAspect="Content" ObjectID="_1468075750" r:id="rId60">
                  <o:LockedField>false</o:LockedField>
                </o:OLEObject>
              </w:object>
            </w:r>
          </w:p>
          <w:p w14:paraId="30609E3D">
            <w:pPr>
              <w:bidi w:val="0"/>
              <w:rPr>
                <w:rFonts w:hint="default"/>
              </w:rPr>
            </w:pPr>
            <w:r>
              <w:rPr>
                <w:rFonts w:hint="eastAsia"/>
                <w:lang w:eastAsia="zh-CN"/>
              </w:rPr>
              <w:t>式中：</w:t>
            </w:r>
            <w:r>
              <w:rPr>
                <w:rFonts w:hint="eastAsia" w:ascii="Times New Roman" w:hAnsi="Times New Roman" w:eastAsia="宋体" w:cs="Times New Roman"/>
                <w:b w:val="0"/>
                <w:bCs/>
                <w:color w:val="auto"/>
                <w:position w:val="-14"/>
                <w:szCs w:val="21"/>
                <w:lang w:eastAsia="zh-CN"/>
              </w:rPr>
              <w:object>
                <v:shape id="_x0000_i1051" o:spt="75" type="#_x0000_t75" style="height:19pt;width:31.95pt;" o:ole="t" filled="f" o:preferrelative="t" stroked="f" coordsize="21600,21600">
                  <v:path/>
                  <v:fill on="f" focussize="0,0"/>
                  <v:stroke on="f"/>
                  <v:imagedata r:id="rId63" o:title=""/>
                  <o:lock v:ext="edit" aspectratio="t"/>
                  <w10:wrap type="none"/>
                  <w10:anchorlock/>
                </v:shape>
                <o:OLEObject Type="Embed" ProgID="Equation.KSEE3" ShapeID="_x0000_i1051" DrawAspect="Content" ObjectID="_1468075751" r:id="rId62">
                  <o:LockedField>false</o:LockedField>
                </o:OLEObject>
              </w:object>
            </w:r>
            <w:r>
              <w:rPr>
                <w:rFonts w:hint="default"/>
              </w:rPr>
              <w:t>——预测点（r）处，第</w:t>
            </w:r>
            <w:r>
              <w:rPr>
                <w:rFonts w:hint="default" w:ascii="Times New Roman" w:hAnsi="Times New Roman" w:eastAsia="宋体" w:cs="Times New Roman"/>
                <w:b w:val="0"/>
                <w:bCs/>
                <w:color w:val="auto"/>
                <w:position w:val="-6"/>
                <w:szCs w:val="21"/>
              </w:rPr>
              <w:object>
                <v:shape id="_x0000_i1052" o:spt="75" type="#_x0000_t75" style="height:13pt;width:6.95pt;" o:ole="t" filled="f" o:preferrelative="t" stroked="f" coordsize="21600,21600">
                  <v:path/>
                  <v:fill on="f" focussize="0,0"/>
                  <v:stroke on="f"/>
                  <v:imagedata r:id="rId65" o:title=""/>
                  <o:lock v:ext="edit" aspectratio="t"/>
                  <w10:wrap type="none"/>
                  <w10:anchorlock/>
                </v:shape>
                <o:OLEObject Type="Embed" ProgID="Equation.KSEE3" ShapeID="_x0000_i1052" DrawAspect="Content" ObjectID="_1468075752" r:id="rId64">
                  <o:LockedField>false</o:LockedField>
                </o:OLEObject>
              </w:object>
            </w:r>
            <w:r>
              <w:rPr>
                <w:rFonts w:hint="default"/>
              </w:rPr>
              <w:t>倍频带声压级，dB；</w:t>
            </w:r>
          </w:p>
          <w:p w14:paraId="1899DB99">
            <w:pPr>
              <w:bidi w:val="0"/>
              <w:rPr>
                <w:rFonts w:hint="default"/>
              </w:rPr>
            </w:pPr>
            <w:r>
              <w:rPr>
                <w:rFonts w:hint="default" w:ascii="Times New Roman" w:hAnsi="Times New Roman" w:eastAsia="宋体" w:cs="Times New Roman"/>
                <w:b w:val="0"/>
                <w:bCs/>
                <w:color w:val="auto"/>
                <w:position w:val="-12"/>
                <w:szCs w:val="21"/>
              </w:rPr>
              <w:object>
                <v:shape id="_x0000_i1053" o:spt="75" type="#_x0000_t75" style="height:18pt;width:20pt;" o:ole="t" filled="f" o:preferrelative="t" stroked="f" coordsize="21600,21600">
                  <v:path/>
                  <v:fill on="f" focussize="0,0"/>
                  <v:stroke on="f"/>
                  <v:imagedata r:id="rId67" o:title=""/>
                  <o:lock v:ext="edit" aspectratio="t"/>
                  <w10:wrap type="none"/>
                  <w10:anchorlock/>
                </v:shape>
                <o:OLEObject Type="Embed" ProgID="Equation.KSEE3" ShapeID="_x0000_i1053" DrawAspect="Content" ObjectID="_1468075753" r:id="rId66">
                  <o:LockedField>false</o:LockedField>
                </o:OLEObject>
              </w:object>
            </w:r>
            <w:r>
              <w:rPr>
                <w:rFonts w:hint="default"/>
              </w:rPr>
              <w:t xml:space="preserve"> ——第</w:t>
            </w:r>
            <w:r>
              <w:rPr>
                <w:rFonts w:hint="default" w:ascii="Times New Roman" w:hAnsi="Times New Roman" w:eastAsia="宋体" w:cs="Times New Roman"/>
                <w:b w:val="0"/>
                <w:bCs/>
                <w:color w:val="auto"/>
                <w:position w:val="-6"/>
                <w:szCs w:val="21"/>
              </w:rPr>
              <w:object>
                <v:shape id="_x0000_i1054" o:spt="75" type="#_x0000_t75" style="height:13pt;width:6.95pt;" o:ole="t" filled="f" o:preferrelative="t" stroked="f" coordsize="21600,21600">
                  <v:path/>
                  <v:fill on="f" focussize="0,0"/>
                  <v:stroke on="f"/>
                  <v:imagedata r:id="rId69" o:title=""/>
                  <o:lock v:ext="edit" aspectratio="t"/>
                  <w10:wrap type="none"/>
                  <w10:anchorlock/>
                </v:shape>
                <o:OLEObject Type="Embed" ProgID="Equation.KSEE3" ShapeID="_x0000_i1054" DrawAspect="Content" ObjectID="_1468075754" r:id="rId68">
                  <o:LockedField>false</o:LockedField>
                </o:OLEObject>
              </w:object>
            </w:r>
            <w:r>
              <w:rPr>
                <w:rFonts w:hint="default"/>
              </w:rPr>
              <w:t>倍频带的A计权网络修正值，dB。</w:t>
            </w:r>
          </w:p>
          <w:p w14:paraId="253ED40A">
            <w:pPr>
              <w:bidi w:val="0"/>
              <w:rPr>
                <w:rFonts w:hint="default"/>
                <w:lang w:val="en-US" w:eastAsia="zh-CN"/>
              </w:rPr>
            </w:pPr>
            <w:r>
              <w:rPr>
                <w:rFonts w:hint="eastAsia"/>
                <w:lang w:eastAsia="zh-CN"/>
              </w:rPr>
              <w:t>在不能取得声源倍频带声功率级或倍频带声压级，只能获得</w:t>
            </w:r>
            <w:r>
              <w:rPr>
                <w:rFonts w:hint="eastAsia"/>
                <w:lang w:val="en-US" w:eastAsia="zh-CN"/>
              </w:rPr>
              <w:t>A声功率或某点的A声级时可按下面两式近似计算：</w:t>
            </w:r>
          </w:p>
          <w:p w14:paraId="3B49302D">
            <w:pPr>
              <w:bidi w:val="0"/>
              <w:rPr>
                <w:rFonts w:hint="eastAsia"/>
                <w:lang w:eastAsia="zh-CN"/>
              </w:rPr>
            </w:pPr>
            <w:r>
              <w:rPr>
                <w:rFonts w:hint="eastAsia" w:ascii="Times New Roman" w:hAnsi="Times New Roman" w:eastAsia="宋体" w:cs="Times New Roman"/>
                <w:b w:val="0"/>
                <w:bCs/>
                <w:color w:val="auto"/>
                <w:position w:val="-12"/>
                <w:szCs w:val="24"/>
                <w:lang w:eastAsia="zh-CN"/>
              </w:rPr>
              <w:object>
                <v:shape id="_x0000_i1055" o:spt="75" type="#_x0000_t75" style="height:18pt;width:107pt;" o:ole="t" filled="f" o:preferrelative="t" stroked="f" coordsize="21600,21600">
                  <v:path/>
                  <v:fill on="f" focussize="0,0"/>
                  <v:stroke on="f"/>
                  <v:imagedata r:id="rId71" o:title=""/>
                  <o:lock v:ext="edit" aspectratio="t"/>
                  <w10:wrap type="none"/>
                  <w10:anchorlock/>
                </v:shape>
                <o:OLEObject Type="Embed" ProgID="Equation.KSEE3" ShapeID="_x0000_i1055" DrawAspect="Content" ObjectID="_1468075755" r:id="rId70">
                  <o:LockedField>false</o:LockedField>
                </o:OLEObject>
              </w:object>
            </w:r>
            <w:r>
              <w:rPr>
                <w:rFonts w:hint="eastAsia"/>
                <w:lang w:val="en-US" w:eastAsia="zh-CN"/>
              </w:rPr>
              <w:t xml:space="preserve">      </w:t>
            </w:r>
            <w:r>
              <w:rPr>
                <w:rFonts w:hint="eastAsia" w:ascii="Times New Roman" w:hAnsi="Times New Roman" w:eastAsia="宋体" w:cs="Times New Roman"/>
                <w:b w:val="0"/>
                <w:bCs/>
                <w:color w:val="auto"/>
                <w:position w:val="-12"/>
                <w:szCs w:val="24"/>
                <w:lang w:eastAsia="zh-CN"/>
              </w:rPr>
              <w:object>
                <v:shape id="_x0000_i1056" o:spt="75" type="#_x0000_t75" style="height:18pt;width:90pt;" o:ole="t" filled="f" o:preferrelative="t" stroked="f" coordsize="21600,21600">
                  <v:path/>
                  <v:fill on="f" focussize="0,0"/>
                  <v:stroke on="f"/>
                  <v:imagedata r:id="rId73" o:title=""/>
                  <o:lock v:ext="edit" aspectratio="t"/>
                  <w10:wrap type="none"/>
                  <w10:anchorlock/>
                </v:shape>
                <o:OLEObject Type="Embed" ProgID="Equation.KSEE3" ShapeID="_x0000_i1056" DrawAspect="Content" ObjectID="_1468075756" r:id="rId72">
                  <o:LockedField>false</o:LockedField>
                </o:OLEObject>
              </w:object>
            </w:r>
          </w:p>
          <w:p w14:paraId="6622ABC9">
            <w:pPr>
              <w:bidi w:val="0"/>
              <w:rPr>
                <w:rFonts w:hint="default"/>
                <w:lang w:val="en-US" w:eastAsia="zh-CN"/>
              </w:rPr>
            </w:pPr>
            <w:r>
              <w:rPr>
                <w:rFonts w:hint="default"/>
                <w:lang w:val="en-US" w:eastAsia="zh-CN"/>
              </w:rPr>
              <w:t>A一般可选中心频率为500Hz的倍频带作估算。</w:t>
            </w:r>
          </w:p>
          <w:p w14:paraId="05D81FF8">
            <w:pPr>
              <w:bidi w:val="0"/>
              <w:rPr>
                <w:rFonts w:hint="default"/>
                <w:lang w:val="en-US" w:eastAsia="zh-CN"/>
              </w:rPr>
            </w:pPr>
            <w:r>
              <w:rPr>
                <w:rFonts w:hint="default"/>
                <w:lang w:val="en-US" w:eastAsia="zh-CN"/>
              </w:rPr>
              <w:t>②室内声源</w:t>
            </w:r>
          </w:p>
          <w:p w14:paraId="25EE8737">
            <w:pPr>
              <w:bidi w:val="0"/>
              <w:rPr>
                <w:rFonts w:hint="default"/>
              </w:rPr>
            </w:pPr>
            <w:r>
              <w:rPr>
                <w:rFonts w:hint="default"/>
              </w:rPr>
              <w:t>声源位于室内，室内声源可采用等效室外声源声功率级法进行计算。某一室内声源靠近围护结构处产生的倍频带声压级或 A 声级：</w:t>
            </w:r>
          </w:p>
          <w:p w14:paraId="72FFF06B">
            <w:pPr>
              <w:bidi w:val="0"/>
              <w:rPr>
                <w:rFonts w:hint="eastAsia"/>
                <w:lang w:eastAsia="zh-CN"/>
              </w:rPr>
            </w:pPr>
            <w:r>
              <w:rPr>
                <w:rFonts w:hint="eastAsia" w:ascii="Times New Roman" w:hAnsi="Times New Roman" w:eastAsia="宋体" w:cs="Times New Roman"/>
                <w:b w:val="0"/>
                <w:bCs/>
                <w:color w:val="auto"/>
                <w:position w:val="-28"/>
                <w:szCs w:val="24"/>
                <w:lang w:eastAsia="zh-CN"/>
              </w:rPr>
              <w:object>
                <v:shape id="_x0000_i1057" o:spt="75" type="#_x0000_t75" style="height:34pt;width:132.95pt;" o:ole="t" filled="f" o:preferrelative="t" stroked="f" coordsize="21600,21600">
                  <v:path/>
                  <v:fill on="f" focussize="0,0"/>
                  <v:stroke on="f"/>
                  <v:imagedata r:id="rId75" o:title=""/>
                  <o:lock v:ext="edit" aspectratio="t"/>
                  <w10:wrap type="none"/>
                  <w10:anchorlock/>
                </v:shape>
                <o:OLEObject Type="Embed" ProgID="Equation.KSEE3" ShapeID="_x0000_i1057" DrawAspect="Content" ObjectID="_1468075757" r:id="rId74">
                  <o:LockedField>false</o:LockedField>
                </o:OLEObject>
              </w:object>
            </w:r>
          </w:p>
          <w:p w14:paraId="7F3C56A8">
            <w:pPr>
              <w:bidi w:val="0"/>
              <w:rPr>
                <w:rFonts w:hint="default"/>
              </w:rPr>
            </w:pPr>
            <w:r>
              <w:rPr>
                <w:rFonts w:hint="default"/>
              </w:rPr>
              <w:t>式中：</w:t>
            </w:r>
            <w:r>
              <w:rPr>
                <w:rFonts w:hint="default" w:ascii="Times New Roman" w:hAnsi="Times New Roman" w:eastAsia="宋体" w:cs="Times New Roman"/>
                <w:b w:val="0"/>
                <w:bCs/>
                <w:color w:val="auto"/>
                <w:position w:val="-14"/>
                <w:szCs w:val="21"/>
              </w:rPr>
              <w:object>
                <v:shape id="_x0000_i1058" o:spt="75" type="#_x0000_t75" style="height:19pt;width:18pt;" o:ole="t" filled="f" o:preferrelative="t" stroked="f" coordsize="21600,21600">
                  <v:path/>
                  <v:fill on="f" focussize="0,0"/>
                  <v:stroke on="f"/>
                  <v:imagedata r:id="rId77" o:title=""/>
                  <o:lock v:ext="edit" aspectratio="t"/>
                  <w10:wrap type="none"/>
                  <w10:anchorlock/>
                </v:shape>
                <o:OLEObject Type="Embed" ProgID="Equation.KSEE3" ShapeID="_x0000_i1058" DrawAspect="Content" ObjectID="_1468075758" r:id="rId76">
                  <o:LockedField>false</o:LockedField>
                </o:OLEObject>
              </w:object>
            </w:r>
            <w:r>
              <w:rPr>
                <w:rFonts w:hint="default"/>
              </w:rPr>
              <w:t>——靠近开口处（或窗户）室内某倍频带的声压级或A声级，dB；</w:t>
            </w:r>
          </w:p>
          <w:p w14:paraId="2AD94286">
            <w:pPr>
              <w:bidi w:val="0"/>
              <w:rPr>
                <w:rFonts w:hint="default"/>
              </w:rPr>
            </w:pPr>
            <w:r>
              <w:rPr>
                <w:rFonts w:hint="default" w:ascii="Times New Roman" w:hAnsi="Times New Roman" w:eastAsia="宋体" w:cs="Times New Roman"/>
                <w:b w:val="0"/>
                <w:bCs/>
                <w:color w:val="auto"/>
                <w:position w:val="-12"/>
                <w:szCs w:val="21"/>
              </w:rPr>
              <w:object>
                <v:shape id="_x0000_i1059" o:spt="75" type="#_x0000_t75" style="height:18pt;width:15pt;" o:ole="t" filled="f" o:preferrelative="t" stroked="f" coordsize="21600,21600">
                  <v:path/>
                  <v:fill on="f" focussize="0,0"/>
                  <v:stroke on="f"/>
                  <v:imagedata r:id="rId79" o:title=""/>
                  <o:lock v:ext="edit" aspectratio="t"/>
                  <w10:wrap type="none"/>
                  <w10:anchorlock/>
                </v:shape>
                <o:OLEObject Type="Embed" ProgID="Equation.KSEE3" ShapeID="_x0000_i1059" DrawAspect="Content" ObjectID="_1468075759" r:id="rId78">
                  <o:LockedField>false</o:LockedField>
                </o:OLEObject>
              </w:object>
            </w:r>
            <w:r>
              <w:rPr>
                <w:rFonts w:hint="default"/>
              </w:rPr>
              <w:t>——点声源声功率级（A 计权或倍频带），dB；</w:t>
            </w:r>
          </w:p>
          <w:p w14:paraId="3E27ABBD">
            <w:pPr>
              <w:bidi w:val="0"/>
              <w:rPr>
                <w:rFonts w:hint="default"/>
              </w:rPr>
            </w:pPr>
            <w:r>
              <w:rPr>
                <w:rFonts w:hint="default" w:ascii="Times New Roman" w:hAnsi="Times New Roman" w:eastAsia="宋体" w:cs="Times New Roman"/>
                <w:b w:val="0"/>
                <w:bCs/>
                <w:color w:val="auto"/>
                <w:position w:val="-10"/>
                <w:szCs w:val="21"/>
              </w:rPr>
              <w:object>
                <v:shape id="_x0000_i1060" o:spt="75" type="#_x0000_t75" style="height:16pt;width:12pt;" o:ole="t" filled="f" o:preferrelative="t" stroked="f" coordsize="21600,21600">
                  <v:path/>
                  <v:fill on="f" focussize="0,0"/>
                  <v:stroke on="f"/>
                  <v:imagedata r:id="rId81" o:title=""/>
                  <o:lock v:ext="edit" aspectratio="t"/>
                  <w10:wrap type="none"/>
                  <w10:anchorlock/>
                </v:shape>
                <o:OLEObject Type="Embed" ProgID="Equation.KSEE3" ShapeID="_x0000_i1060" DrawAspect="Content" ObjectID="_1468075760" r:id="rId80">
                  <o:LockedField>false</o:LockedField>
                </o:OLEObject>
              </w:object>
            </w:r>
            <w:r>
              <w:rPr>
                <w:rFonts w:hint="default"/>
              </w:rPr>
              <w:t>——指向性因数；</w:t>
            </w:r>
          </w:p>
          <w:p w14:paraId="5518C903">
            <w:pPr>
              <w:bidi w:val="0"/>
              <w:rPr>
                <w:rFonts w:hint="eastAsia"/>
                <w:lang w:eastAsia="zh-CN"/>
              </w:rPr>
            </w:pPr>
            <w:r>
              <w:rPr>
                <w:rFonts w:hint="default" w:ascii="Times New Roman" w:hAnsi="Times New Roman" w:eastAsia="宋体" w:cs="Times New Roman"/>
                <w:b w:val="0"/>
                <w:bCs/>
                <w:color w:val="auto"/>
                <w:position w:val="-4"/>
                <w:szCs w:val="21"/>
              </w:rPr>
              <w:object>
                <v:shape id="_x0000_i1061" o:spt="75" type="#_x0000_t75" style="height:12pt;width:12pt;" o:ole="t" filled="f" o:preferrelative="t" stroked="f" coordsize="21600,21600">
                  <v:path/>
                  <v:fill on="f" focussize="0,0"/>
                  <v:stroke on="f"/>
                  <v:imagedata r:id="rId83" o:title=""/>
                  <o:lock v:ext="edit" aspectratio="t"/>
                  <w10:wrap type="none"/>
                  <w10:anchorlock/>
                </v:shape>
                <o:OLEObject Type="Embed" ProgID="Equation.KSEE3" ShapeID="_x0000_i1061" DrawAspect="Content" ObjectID="_1468075761" r:id="rId82">
                  <o:LockedField>false</o:LockedField>
                </o:OLEObject>
              </w:object>
            </w:r>
            <w:r>
              <w:rPr>
                <w:rFonts w:hint="default"/>
              </w:rPr>
              <w:t>——房间常数；</w:t>
            </w:r>
            <w:r>
              <w:rPr>
                <w:rFonts w:hint="default" w:ascii="Times New Roman" w:hAnsi="Times New Roman" w:eastAsia="宋体" w:cs="Times New Roman"/>
                <w:b w:val="0"/>
                <w:bCs/>
                <w:color w:val="auto"/>
                <w:position w:val="-10"/>
                <w:szCs w:val="21"/>
              </w:rPr>
              <w:object>
                <v:shape id="_x0000_i1062" o:spt="75" type="#_x0000_t75" style="height:16pt;width:71pt;" o:ole="t" filled="f" o:preferrelative="t" stroked="f" coordsize="21600,21600">
                  <v:path/>
                  <v:fill on="f" focussize="0,0"/>
                  <v:stroke on="f"/>
                  <v:imagedata r:id="rId85" o:title=""/>
                  <o:lock v:ext="edit" aspectratio="t"/>
                  <w10:wrap type="none"/>
                  <w10:anchorlock/>
                </v:shape>
                <o:OLEObject Type="Embed" ProgID="Equation.KSEE3" ShapeID="_x0000_i1062" DrawAspect="Content" ObjectID="_1468075762" r:id="rId84">
                  <o:LockedField>false</o:LockedField>
                </o:OLEObject>
              </w:object>
            </w:r>
            <w:r>
              <w:rPr>
                <w:rFonts w:hint="eastAsia"/>
                <w:lang w:eastAsia="zh-CN"/>
              </w:rPr>
              <w:t>，</w:t>
            </w:r>
            <w:r>
              <w:rPr>
                <w:rFonts w:hint="eastAsia" w:ascii="Times New Roman" w:hAnsi="Times New Roman" w:eastAsia="宋体" w:cs="Times New Roman"/>
                <w:b w:val="0"/>
                <w:bCs/>
                <w:color w:val="auto"/>
                <w:position w:val="-6"/>
                <w:szCs w:val="21"/>
                <w:lang w:eastAsia="zh-CN"/>
              </w:rPr>
              <w:object>
                <v:shape id="_x0000_i1063" o:spt="75" type="#_x0000_t75" style="height:13.95pt;width:11pt;" o:ole="t" filled="f" o:preferrelative="t" stroked="f" coordsize="21600,21600">
                  <v:path/>
                  <v:fill on="f" focussize="0,0"/>
                  <v:stroke on="f"/>
                  <v:imagedata r:id="rId87" o:title=""/>
                  <o:lock v:ext="edit" aspectratio="t"/>
                  <w10:wrap type="none"/>
                  <w10:anchorlock/>
                </v:shape>
                <o:OLEObject Type="Embed" ProgID="Equation.KSEE3" ShapeID="_x0000_i1063" DrawAspect="Content" ObjectID="_1468075763" r:id="rId86">
                  <o:LockedField>false</o:LockedField>
                </o:OLEObject>
              </w:object>
            </w:r>
            <w:r>
              <w:rPr>
                <w:rFonts w:hint="default"/>
              </w:rPr>
              <w:t>为房间内表面面积，m2；</w:t>
            </w:r>
            <w:r>
              <w:rPr>
                <w:rFonts w:hint="default" w:ascii="Times New Roman" w:hAnsi="Times New Roman" w:eastAsia="宋体" w:cs="Times New Roman"/>
                <w:b w:val="0"/>
                <w:bCs/>
                <w:color w:val="auto"/>
                <w:position w:val="-6"/>
                <w:szCs w:val="21"/>
              </w:rPr>
              <w:object>
                <v:shape id="_x0000_i1064" o:spt="75" type="#_x0000_t75" style="height:11pt;width:12pt;" o:ole="t" filled="f" o:preferrelative="t" stroked="f" coordsize="21600,21600">
                  <v:path/>
                  <v:fill on="f" focussize="0,0"/>
                  <v:stroke on="f"/>
                  <v:imagedata r:id="rId89" o:title=""/>
                  <o:lock v:ext="edit" aspectratio="t"/>
                  <w10:wrap type="none"/>
                  <w10:anchorlock/>
                </v:shape>
                <o:OLEObject Type="Embed" ProgID="Equation.KSEE3" ShapeID="_x0000_i1064" DrawAspect="Content" ObjectID="_1468075764" r:id="rId88">
                  <o:LockedField>false</o:LockedField>
                </o:OLEObject>
              </w:object>
            </w:r>
            <w:r>
              <w:rPr>
                <w:rFonts w:hint="default"/>
              </w:rPr>
              <w:t>为平均吸声系数</w:t>
            </w:r>
            <w:r>
              <w:rPr>
                <w:rFonts w:hint="eastAsia"/>
                <w:lang w:eastAsia="zh-CN"/>
              </w:rPr>
              <w:t>。</w:t>
            </w:r>
          </w:p>
          <w:p w14:paraId="057C768B">
            <w:pPr>
              <w:bidi w:val="0"/>
              <w:rPr>
                <w:rFonts w:hint="default"/>
              </w:rPr>
            </w:pPr>
            <w:r>
              <w:rPr>
                <w:rFonts w:hint="default" w:ascii="Times New Roman" w:hAnsi="Times New Roman" w:eastAsia="宋体" w:cs="Times New Roman"/>
                <w:b w:val="0"/>
                <w:bCs/>
                <w:color w:val="auto"/>
                <w:position w:val="-4"/>
                <w:szCs w:val="21"/>
              </w:rPr>
              <w:object>
                <v:shape id="_x0000_i1065" o:spt="75" type="#_x0000_t75" style="height:10pt;width:9pt;" o:ole="t" filled="f" o:preferrelative="t" stroked="f" coordsize="21600,21600">
                  <v:path/>
                  <v:fill on="f" focussize="0,0"/>
                  <v:stroke on="f"/>
                  <v:imagedata r:id="rId91" o:title=""/>
                  <o:lock v:ext="edit" aspectratio="t"/>
                  <w10:wrap type="none"/>
                  <w10:anchorlock/>
                </v:shape>
                <o:OLEObject Type="Embed" ProgID="Equation.KSEE3" ShapeID="_x0000_i1065" DrawAspect="Content" ObjectID="_1468075765" r:id="rId90">
                  <o:LockedField>false</o:LockedField>
                </o:OLEObject>
              </w:object>
            </w:r>
            <w:r>
              <w:rPr>
                <w:rFonts w:hint="default"/>
              </w:rPr>
              <w:t>——声源到靠近围护结构某点处的距离，m。</w:t>
            </w:r>
          </w:p>
          <w:p w14:paraId="4B715B4B">
            <w:pPr>
              <w:bidi w:val="0"/>
              <w:rPr>
                <w:rFonts w:hint="default"/>
              </w:rPr>
            </w:pPr>
            <w:r>
              <w:rPr>
                <w:rFonts w:hint="default"/>
              </w:rPr>
              <w:t>所有室内声源在围护结构处产生的</w:t>
            </w:r>
            <w:r>
              <w:rPr>
                <w:rFonts w:hint="default" w:ascii="Times New Roman" w:hAnsi="Times New Roman" w:eastAsia="宋体" w:cs="Times New Roman"/>
                <w:b w:val="0"/>
                <w:bCs/>
                <w:color w:val="auto"/>
                <w:position w:val="-6"/>
                <w:szCs w:val="24"/>
              </w:rPr>
              <w:object>
                <v:shape id="_x0000_i1066" o:spt="75" type="#_x0000_t75" style="height:13pt;width:6.95pt;" o:ole="t" filled="f" o:preferrelative="t" stroked="f" coordsize="21600,21600">
                  <v:path/>
                  <v:fill on="f" focussize="0,0"/>
                  <v:stroke on="f"/>
                  <v:imagedata r:id="rId93" o:title=""/>
                  <o:lock v:ext="edit" aspectratio="t"/>
                  <w10:wrap type="none"/>
                  <w10:anchorlock/>
                </v:shape>
                <o:OLEObject Type="Embed" ProgID="Equation.KSEE3" ShapeID="_x0000_i1066" DrawAspect="Content" ObjectID="_1468075766" r:id="rId92">
                  <o:LockedField>false</o:LockedField>
                </o:OLEObject>
              </w:object>
            </w:r>
            <w:r>
              <w:rPr>
                <w:rFonts w:hint="default"/>
              </w:rPr>
              <w:t>倍频带叠加声压级：</w:t>
            </w:r>
          </w:p>
          <w:p w14:paraId="3CBA32A9">
            <w:pPr>
              <w:bidi w:val="0"/>
              <w:rPr>
                <w:rFonts w:hint="eastAsia"/>
                <w:lang w:eastAsia="zh-CN"/>
              </w:rPr>
            </w:pPr>
            <w:r>
              <w:rPr>
                <w:rFonts w:hint="eastAsia" w:ascii="Times New Roman" w:hAnsi="Times New Roman" w:eastAsia="宋体" w:cs="Times New Roman"/>
                <w:b w:val="0"/>
                <w:bCs/>
                <w:color w:val="auto"/>
                <w:position w:val="-32"/>
                <w:szCs w:val="24"/>
                <w:lang w:eastAsia="zh-CN"/>
              </w:rPr>
              <w:object>
                <v:shape id="_x0000_i1067" o:spt="75" type="#_x0000_t75" style="height:38pt;width:132pt;" o:ole="t" filled="f" o:preferrelative="t" stroked="f" coordsize="21600,21600">
                  <v:path/>
                  <v:fill on="f" focussize="0,0"/>
                  <v:stroke on="f"/>
                  <v:imagedata r:id="rId95" o:title=""/>
                  <o:lock v:ext="edit" aspectratio="t"/>
                  <w10:wrap type="none"/>
                  <w10:anchorlock/>
                </v:shape>
                <o:OLEObject Type="Embed" ProgID="Equation.KSEE3" ShapeID="_x0000_i1067" DrawAspect="Content" ObjectID="_1468075767" r:id="rId94">
                  <o:LockedField>false</o:LockedField>
                </o:OLEObject>
              </w:object>
            </w:r>
          </w:p>
          <w:p w14:paraId="148E01AB">
            <w:pPr>
              <w:bidi w:val="0"/>
              <w:rPr>
                <w:rFonts w:hint="default"/>
              </w:rPr>
            </w:pPr>
            <w:r>
              <w:rPr>
                <w:rFonts w:hint="default"/>
              </w:rPr>
              <w:t>式中：</w:t>
            </w:r>
            <w:r>
              <w:rPr>
                <w:rFonts w:hint="default" w:ascii="Times New Roman" w:hAnsi="Times New Roman" w:eastAsia="宋体" w:cs="Times New Roman"/>
                <w:b w:val="0"/>
                <w:bCs/>
                <w:color w:val="auto"/>
                <w:position w:val="-14"/>
                <w:szCs w:val="21"/>
              </w:rPr>
              <w:object>
                <v:shape id="_x0000_i1068" o:spt="75" type="#_x0000_t75" style="height:19pt;width:38pt;" o:ole="t" filled="f" o:preferrelative="t" stroked="f" coordsize="21600,21600">
                  <v:path/>
                  <v:fill on="f" focussize="0,0"/>
                  <v:stroke on="f"/>
                  <v:imagedata r:id="rId97" o:title=""/>
                  <o:lock v:ext="edit" aspectratio="t"/>
                  <w10:wrap type="none"/>
                  <w10:anchorlock/>
                </v:shape>
                <o:OLEObject Type="Embed" ProgID="Equation.KSEE3" ShapeID="_x0000_i1068" DrawAspect="Content" ObjectID="_1468075768" r:id="rId96">
                  <o:LockedField>false</o:LockedField>
                </o:OLEObject>
              </w:object>
            </w:r>
            <w:r>
              <w:rPr>
                <w:rFonts w:hint="default"/>
              </w:rPr>
              <w:t>——靠近围护结构处室内</w:t>
            </w:r>
            <w:r>
              <w:rPr>
                <w:rFonts w:hint="default" w:ascii="Times New Roman" w:hAnsi="Times New Roman" w:eastAsia="宋体" w:cs="Times New Roman"/>
                <w:b w:val="0"/>
                <w:bCs/>
                <w:color w:val="auto"/>
                <w:position w:val="-6"/>
                <w:szCs w:val="21"/>
              </w:rPr>
              <w:object>
                <v:shape id="_x0000_i1069" o:spt="75" type="#_x0000_t75" style="height:13pt;width:13.95pt;" o:ole="t" filled="f" o:preferrelative="t" stroked="f" coordsize="21600,21600">
                  <v:path/>
                  <v:fill on="f" focussize="0,0"/>
                  <v:stroke on="f"/>
                  <v:imagedata r:id="rId99" o:title=""/>
                  <o:lock v:ext="edit" aspectratio="t"/>
                  <w10:wrap type="none"/>
                  <w10:anchorlock/>
                </v:shape>
                <o:OLEObject Type="Embed" ProgID="Equation.KSEE3" ShapeID="_x0000_i1069" DrawAspect="Content" ObjectID="_1468075769" r:id="rId98">
                  <o:LockedField>false</o:LockedField>
                </o:OLEObject>
              </w:object>
            </w:r>
            <w:r>
              <w:rPr>
                <w:rFonts w:hint="default"/>
              </w:rPr>
              <w:t>个声源</w:t>
            </w:r>
            <w:r>
              <w:rPr>
                <w:rFonts w:hint="default" w:ascii="Times New Roman" w:hAnsi="Times New Roman" w:eastAsia="宋体" w:cs="Times New Roman"/>
                <w:b w:val="0"/>
                <w:bCs/>
                <w:color w:val="auto"/>
                <w:position w:val="-6"/>
                <w:szCs w:val="21"/>
              </w:rPr>
              <w:object>
                <v:shape id="_x0000_i1070" o:spt="75" type="#_x0000_t75" style="height:13pt;width:6.95pt;" o:ole="t" filled="f" o:preferrelative="t" stroked="f" coordsize="21600,21600">
                  <v:path/>
                  <v:fill on="f" focussize="0,0"/>
                  <v:stroke on="f"/>
                  <v:imagedata r:id="rId101" o:title=""/>
                  <o:lock v:ext="edit" aspectratio="t"/>
                  <w10:wrap type="none"/>
                  <w10:anchorlock/>
                </v:shape>
                <o:OLEObject Type="Embed" ProgID="Equation.KSEE3" ShapeID="_x0000_i1070" DrawAspect="Content" ObjectID="_1468075770" r:id="rId100">
                  <o:LockedField>false</o:LockedField>
                </o:OLEObject>
              </w:object>
            </w:r>
            <w:r>
              <w:rPr>
                <w:rFonts w:hint="default"/>
              </w:rPr>
              <w:t>倍频带的叠加声压级，dB；</w:t>
            </w:r>
          </w:p>
          <w:p w14:paraId="6593DCD2">
            <w:pPr>
              <w:bidi w:val="0"/>
              <w:rPr>
                <w:rFonts w:hint="default"/>
              </w:rPr>
            </w:pPr>
            <w:r>
              <w:rPr>
                <w:rFonts w:hint="default" w:ascii="Times New Roman" w:hAnsi="Times New Roman" w:eastAsia="宋体" w:cs="Times New Roman"/>
                <w:b w:val="0"/>
                <w:bCs/>
                <w:color w:val="auto"/>
                <w:position w:val="-14"/>
                <w:szCs w:val="21"/>
              </w:rPr>
              <w:object>
                <v:shape id="_x0000_i1071" o:spt="75" type="#_x0000_t75" style="height:19pt;width:22pt;" o:ole="t" filled="f" o:preferrelative="t" stroked="f" coordsize="21600,21600">
                  <v:path/>
                  <v:fill on="f" focussize="0,0"/>
                  <v:stroke on="f"/>
                  <v:imagedata r:id="rId103" o:title=""/>
                  <o:lock v:ext="edit" aspectratio="t"/>
                  <w10:wrap type="none"/>
                  <w10:anchorlock/>
                </v:shape>
                <o:OLEObject Type="Embed" ProgID="Equation.KSEE3" ShapeID="_x0000_i1071" DrawAspect="Content" ObjectID="_1468075771" r:id="rId102">
                  <o:LockedField>false</o:LockedField>
                </o:OLEObject>
              </w:object>
            </w:r>
            <w:r>
              <w:rPr>
                <w:rFonts w:hint="default"/>
              </w:rPr>
              <w:t>——室内</w:t>
            </w:r>
            <w:r>
              <w:rPr>
                <w:rFonts w:hint="default" w:ascii="Times New Roman" w:hAnsi="Times New Roman" w:eastAsia="宋体" w:cs="Times New Roman"/>
                <w:b w:val="0"/>
                <w:bCs/>
                <w:color w:val="auto"/>
                <w:position w:val="-10"/>
                <w:szCs w:val="21"/>
              </w:rPr>
              <w:object>
                <v:shape id="_x0000_i1072" o:spt="75" type="#_x0000_t75" style="height:15pt;width:10pt;" o:ole="t" filled="f" o:preferrelative="t" stroked="f" coordsize="21600,21600">
                  <v:path/>
                  <v:fill on="f" focussize="0,0"/>
                  <v:stroke on="f"/>
                  <v:imagedata r:id="rId105" o:title=""/>
                  <o:lock v:ext="edit" aspectratio="t"/>
                  <w10:wrap type="none"/>
                  <w10:anchorlock/>
                </v:shape>
                <o:OLEObject Type="Embed" ProgID="Equation.KSEE3" ShapeID="_x0000_i1072" DrawAspect="Content" ObjectID="_1468075772" r:id="rId104">
                  <o:LockedField>false</o:LockedField>
                </o:OLEObject>
              </w:object>
            </w:r>
            <w:r>
              <w:rPr>
                <w:rFonts w:hint="default"/>
              </w:rPr>
              <w:t>声源</w:t>
            </w:r>
            <w:r>
              <w:rPr>
                <w:rFonts w:hint="default" w:ascii="Times New Roman" w:hAnsi="Times New Roman" w:eastAsia="宋体" w:cs="Times New Roman"/>
                <w:b w:val="0"/>
                <w:bCs/>
                <w:color w:val="auto"/>
                <w:position w:val="-6"/>
                <w:szCs w:val="21"/>
              </w:rPr>
              <w:object>
                <v:shape id="_x0000_i1073" o:spt="75" type="#_x0000_t75" style="height:13pt;width:6.95pt;" o:ole="t" filled="f" o:preferrelative="t" stroked="f" coordsize="21600,21600">
                  <v:path/>
                  <v:fill on="f" focussize="0,0"/>
                  <v:stroke on="f"/>
                  <v:imagedata r:id="rId107" o:title=""/>
                  <o:lock v:ext="edit" aspectratio="t"/>
                  <w10:wrap type="none"/>
                  <w10:anchorlock/>
                </v:shape>
                <o:OLEObject Type="Embed" ProgID="Equation.KSEE3" ShapeID="_x0000_i1073" DrawAspect="Content" ObjectID="_1468075773" r:id="rId106">
                  <o:LockedField>false</o:LockedField>
                </o:OLEObject>
              </w:object>
            </w:r>
            <w:r>
              <w:rPr>
                <w:rFonts w:hint="default"/>
              </w:rPr>
              <w:t>倍频带的声压级，dB；</w:t>
            </w:r>
          </w:p>
          <w:p w14:paraId="52104CD5">
            <w:pPr>
              <w:bidi w:val="0"/>
              <w:rPr>
                <w:rFonts w:hint="default"/>
              </w:rPr>
            </w:pPr>
            <w:r>
              <w:rPr>
                <w:rFonts w:hint="default" w:ascii="Times New Roman" w:hAnsi="Times New Roman" w:eastAsia="宋体" w:cs="Times New Roman"/>
                <w:b w:val="0"/>
                <w:bCs/>
                <w:color w:val="auto"/>
                <w:position w:val="-6"/>
                <w:szCs w:val="21"/>
              </w:rPr>
              <w:object>
                <v:shape id="_x0000_i1074" o:spt="75" type="#_x0000_t75" style="height:13pt;width:13.95pt;" o:ole="t" filled="f" o:preferrelative="t" stroked="f" coordsize="21600,21600">
                  <v:path/>
                  <v:fill on="f" focussize="0,0"/>
                  <v:stroke on="f"/>
                  <v:imagedata r:id="rId109" o:title=""/>
                  <o:lock v:ext="edit" aspectratio="t"/>
                  <w10:wrap type="none"/>
                  <w10:anchorlock/>
                </v:shape>
                <o:OLEObject Type="Embed" ProgID="Equation.KSEE3" ShapeID="_x0000_i1074" DrawAspect="Content" ObjectID="_1468075774" r:id="rId108">
                  <o:LockedField>false</o:LockedField>
                </o:OLEObject>
              </w:object>
            </w:r>
            <w:r>
              <w:rPr>
                <w:rFonts w:hint="default"/>
              </w:rPr>
              <w:t>——室内声源总数。</w:t>
            </w:r>
          </w:p>
          <w:p w14:paraId="0567E8AD">
            <w:pPr>
              <w:bidi w:val="0"/>
              <w:rPr>
                <w:rFonts w:hint="default"/>
              </w:rPr>
            </w:pPr>
            <w:r>
              <w:rPr>
                <w:rFonts w:hint="eastAsia"/>
                <w:lang w:eastAsia="zh-CN"/>
              </w:rPr>
              <w:t>若声源所在</w:t>
            </w:r>
            <w:r>
              <w:rPr>
                <w:rFonts w:hint="default"/>
              </w:rPr>
              <w:t>室内声场近似为扩散声场时，则室外的倍频带声压级</w:t>
            </w:r>
          </w:p>
          <w:p w14:paraId="3C58FEF0">
            <w:pPr>
              <w:bidi w:val="0"/>
              <w:rPr>
                <w:rFonts w:hint="eastAsia"/>
                <w:lang w:eastAsia="zh-CN"/>
              </w:rPr>
            </w:pPr>
            <w:r>
              <w:rPr>
                <w:rFonts w:hint="eastAsia" w:ascii="Times New Roman" w:hAnsi="Times New Roman" w:eastAsia="宋体" w:cs="Times New Roman"/>
                <w:b w:val="0"/>
                <w:bCs/>
                <w:color w:val="auto"/>
                <w:position w:val="-14"/>
                <w:szCs w:val="24"/>
                <w:lang w:eastAsia="zh-CN"/>
              </w:rPr>
              <w:object>
                <v:shape id="_x0000_i1075" o:spt="75" type="#_x0000_t75" style="height:19pt;width:96.95pt;" o:ole="t" filled="f" o:preferrelative="t" stroked="f" coordsize="21600,21600">
                  <v:path/>
                  <v:fill on="f" focussize="0,0"/>
                  <v:stroke on="f"/>
                  <v:imagedata r:id="rId111" o:title=""/>
                  <o:lock v:ext="edit" aspectratio="t"/>
                  <w10:wrap type="none"/>
                  <w10:anchorlock/>
                </v:shape>
                <o:OLEObject Type="Embed" ProgID="Equation.KSEE3" ShapeID="_x0000_i1075" DrawAspect="Content" ObjectID="_1468075775" r:id="rId110">
                  <o:LockedField>false</o:LockedField>
                </o:OLEObject>
              </w:object>
            </w:r>
          </w:p>
          <w:p w14:paraId="00188DE7">
            <w:pPr>
              <w:bidi w:val="0"/>
              <w:rPr>
                <w:rFonts w:hint="default"/>
              </w:rPr>
            </w:pPr>
            <w:r>
              <w:rPr>
                <w:rFonts w:hint="default"/>
              </w:rPr>
              <w:t>式中：</w:t>
            </w:r>
            <w:r>
              <w:rPr>
                <w:rFonts w:hint="default" w:ascii="Times New Roman" w:hAnsi="Times New Roman" w:eastAsia="宋体" w:cs="Times New Roman"/>
                <w:b w:val="0"/>
                <w:bCs/>
                <w:color w:val="auto"/>
                <w:position w:val="-14"/>
                <w:szCs w:val="21"/>
              </w:rPr>
              <w:object>
                <v:shape id="_x0000_i1076" o:spt="75" type="#_x0000_t75" style="height:19pt;width:18pt;" o:ole="t" filled="f" o:preferrelative="t" stroked="f" coordsize="21600,21600">
                  <v:path/>
                  <v:fill on="f" focussize="0,0"/>
                  <v:stroke on="f"/>
                  <v:imagedata r:id="rId113" o:title=""/>
                  <o:lock v:ext="edit" aspectratio="t"/>
                  <w10:wrap type="none"/>
                  <w10:anchorlock/>
                </v:shape>
                <o:OLEObject Type="Embed" ProgID="Equation.KSEE3" ShapeID="_x0000_i1076" DrawAspect="Content" ObjectID="_1468075776" r:id="rId112">
                  <o:LockedField>false</o:LockedField>
                </o:OLEObject>
              </w:object>
            </w:r>
            <w:r>
              <w:rPr>
                <w:rFonts w:hint="default"/>
              </w:rPr>
              <w:t>——靠近开口处（或窗户）室内某倍频带的声压级或A声级，dB；</w:t>
            </w:r>
          </w:p>
          <w:p w14:paraId="300FC755">
            <w:pPr>
              <w:bidi w:val="0"/>
              <w:rPr>
                <w:rFonts w:hint="default"/>
              </w:rPr>
            </w:pPr>
            <w:r>
              <w:rPr>
                <w:rFonts w:hint="default" w:ascii="Times New Roman" w:hAnsi="Times New Roman" w:eastAsia="宋体" w:cs="Times New Roman"/>
                <w:b w:val="0"/>
                <w:bCs/>
                <w:color w:val="auto"/>
                <w:position w:val="-14"/>
                <w:szCs w:val="21"/>
              </w:rPr>
              <w:object>
                <v:shape id="_x0000_i1077" o:spt="75" type="#_x0000_t75" style="height:19pt;width:19pt;" o:ole="t" filled="f" o:preferrelative="t" stroked="f" coordsize="21600,21600">
                  <v:path/>
                  <v:fill on="f" focussize="0,0"/>
                  <v:stroke on="f"/>
                  <v:imagedata r:id="rId115" o:title=""/>
                  <o:lock v:ext="edit" aspectratio="t"/>
                  <w10:wrap type="none"/>
                  <w10:anchorlock/>
                </v:shape>
                <o:OLEObject Type="Embed" ProgID="Equation.KSEE3" ShapeID="_x0000_i1077" DrawAspect="Content" ObjectID="_1468075777" r:id="rId114">
                  <o:LockedField>false</o:LockedField>
                </o:OLEObject>
              </w:object>
            </w:r>
            <w:r>
              <w:rPr>
                <w:rFonts w:hint="default"/>
              </w:rPr>
              <w:t>——靠近开口处（或窗户）室外某倍频带的声压级或A声级，dB；</w:t>
            </w:r>
          </w:p>
          <w:p w14:paraId="0A601867">
            <w:pPr>
              <w:bidi w:val="0"/>
              <w:rPr>
                <w:rFonts w:hint="default"/>
              </w:rPr>
            </w:pPr>
            <w:r>
              <w:rPr>
                <w:rFonts w:hint="default" w:ascii="Times New Roman" w:hAnsi="Times New Roman" w:eastAsia="宋体" w:cs="Times New Roman"/>
                <w:b w:val="0"/>
                <w:bCs/>
                <w:color w:val="auto"/>
                <w:position w:val="-4"/>
                <w:szCs w:val="21"/>
              </w:rPr>
              <w:object>
                <v:shape id="_x0000_i1078" o:spt="75" type="#_x0000_t75" style="height:12pt;width:17pt;" o:ole="t" filled="f" o:preferrelative="t" stroked="f" coordsize="21600,21600">
                  <v:path/>
                  <v:fill on="f" focussize="0,0"/>
                  <v:stroke on="f"/>
                  <v:imagedata r:id="rId117" o:title=""/>
                  <o:lock v:ext="edit" aspectratio="t"/>
                  <w10:wrap type="none"/>
                  <w10:anchorlock/>
                </v:shape>
                <o:OLEObject Type="Embed" ProgID="Equation.KSEE3" ShapeID="_x0000_i1078" DrawAspect="Content" ObjectID="_1468075778" r:id="rId116">
                  <o:LockedField>false</o:LockedField>
                </o:OLEObject>
              </w:object>
            </w:r>
            <w:r>
              <w:rPr>
                <w:rFonts w:hint="default"/>
              </w:rPr>
              <w:t>——隔墙（或窗户）倍频带或A声级的隔声量，dB。</w:t>
            </w:r>
          </w:p>
          <w:p w14:paraId="5A6F41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lang w:eastAsia="zh-CN"/>
              </w:rPr>
            </w:pPr>
            <w:r>
              <w:rPr>
                <w:rFonts w:hint="eastAsia" w:ascii="Times New Roman" w:hAnsi="Times New Roman" w:eastAsia="宋体"/>
                <w:color w:val="auto"/>
              </w:rPr>
              <w:drawing>
                <wp:inline distT="0" distB="0" distL="114300" distR="114300">
                  <wp:extent cx="3069590" cy="1163955"/>
                  <wp:effectExtent l="0" t="0" r="16510" b="17145"/>
                  <wp:docPr id="19" name="图片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86"/>
                          <pic:cNvPicPr>
                            <a:picLocks noChangeAspect="1"/>
                          </pic:cNvPicPr>
                        </pic:nvPicPr>
                        <pic:blipFill>
                          <a:blip r:embed="rId118"/>
                          <a:srcRect t="7907" b="6047"/>
                          <a:stretch>
                            <a:fillRect/>
                          </a:stretch>
                        </pic:blipFill>
                        <pic:spPr>
                          <a:xfrm>
                            <a:off x="0" y="0"/>
                            <a:ext cx="3069590" cy="1163955"/>
                          </a:xfrm>
                          <a:prstGeom prst="rect">
                            <a:avLst/>
                          </a:prstGeom>
                          <a:noFill/>
                          <a:ln>
                            <a:noFill/>
                          </a:ln>
                        </pic:spPr>
                      </pic:pic>
                    </a:graphicData>
                  </a:graphic>
                </wp:inline>
              </w:drawing>
            </w:r>
          </w:p>
          <w:p w14:paraId="2CC150AD">
            <w:pPr>
              <w:pStyle w:val="27"/>
              <w:numPr>
                <w:ilvl w:val="4"/>
                <w:numId w:val="7"/>
              </w:numPr>
              <w:bidi w:val="0"/>
              <w:ind w:left="0" w:leftChars="0" w:firstLine="0" w:firstLineChars="0"/>
              <w:rPr>
                <w:rFonts w:hint="default"/>
              </w:rPr>
            </w:pPr>
            <w:r>
              <w:rPr>
                <w:rFonts w:hint="default"/>
                <w:lang w:val="en-US" w:eastAsia="zh-CN"/>
              </w:rPr>
              <w:t>室内声源等效为室外声源图</w:t>
            </w:r>
          </w:p>
          <w:p w14:paraId="598DACE5">
            <w:pPr>
              <w:pStyle w:val="25"/>
              <w:bidi w:val="0"/>
              <w:rPr>
                <w:rFonts w:hint="default"/>
              </w:rPr>
            </w:pPr>
            <w:r>
              <w:rPr>
                <w:rFonts w:hint="eastAsia"/>
                <w:lang w:eastAsia="zh-CN"/>
              </w:rPr>
              <w:t>在室内近似为扩散声场时，则</w:t>
            </w:r>
            <w:r>
              <w:rPr>
                <w:rFonts w:hint="default"/>
              </w:rPr>
              <w:t>靠近室外围护结构处的声压级：</w:t>
            </w:r>
          </w:p>
          <w:p w14:paraId="03D01336">
            <w:pPr>
              <w:bidi w:val="0"/>
              <w:rPr>
                <w:rFonts w:hint="eastAsia"/>
                <w:lang w:eastAsia="zh-CN"/>
              </w:rPr>
            </w:pPr>
            <w:r>
              <w:rPr>
                <w:rFonts w:hint="eastAsia" w:ascii="Times New Roman" w:hAnsi="Times New Roman" w:eastAsia="宋体" w:cs="Times New Roman"/>
                <w:b w:val="0"/>
                <w:bCs/>
                <w:color w:val="auto"/>
                <w:position w:val="-14"/>
                <w:szCs w:val="24"/>
                <w:lang w:eastAsia="zh-CN"/>
              </w:rPr>
              <w:object>
                <v:shape id="_x0000_i1079" o:spt="75" type="#_x0000_t75" style="height:19pt;width:121pt;" o:ole="t" filled="f" o:preferrelative="t" stroked="f" coordsize="21600,21600">
                  <v:path/>
                  <v:fill on="f" focussize="0,0"/>
                  <v:stroke on="f"/>
                  <v:imagedata r:id="rId120" o:title=""/>
                  <o:lock v:ext="edit" aspectratio="t"/>
                  <w10:wrap type="none"/>
                  <w10:anchorlock/>
                </v:shape>
                <o:OLEObject Type="Embed" ProgID="Equation.KSEE3" ShapeID="_x0000_i1079" DrawAspect="Content" ObjectID="_1468075779" r:id="rId119">
                  <o:LockedField>false</o:LockedField>
                </o:OLEObject>
              </w:object>
            </w:r>
          </w:p>
          <w:p w14:paraId="08B3CA35">
            <w:pPr>
              <w:bidi w:val="0"/>
              <w:rPr>
                <w:rFonts w:hint="default"/>
              </w:rPr>
            </w:pPr>
            <w:r>
              <w:rPr>
                <w:rFonts w:hint="default"/>
              </w:rPr>
              <w:t>式中：</w:t>
            </w:r>
          </w:p>
          <w:p w14:paraId="4C1F3B82">
            <w:pPr>
              <w:bidi w:val="0"/>
              <w:rPr>
                <w:rFonts w:hint="default"/>
              </w:rPr>
            </w:pPr>
            <w:r>
              <w:rPr>
                <w:rFonts w:hint="default" w:ascii="Times New Roman" w:hAnsi="Times New Roman" w:eastAsia="宋体" w:cs="Times New Roman"/>
                <w:b w:val="0"/>
                <w:bCs/>
                <w:color w:val="auto"/>
                <w:position w:val="-14"/>
                <w:szCs w:val="21"/>
              </w:rPr>
              <w:object>
                <v:shape id="_x0000_i1080" o:spt="75" type="#_x0000_t75" style="height:19pt;width:22pt;" o:ole="t" filled="f" o:preferrelative="t" stroked="f" coordsize="21600,21600">
                  <v:path/>
                  <v:fill on="f" focussize="0,0"/>
                  <v:stroke on="f"/>
                  <v:imagedata r:id="rId122" o:title=""/>
                  <o:lock v:ext="edit" aspectratio="t"/>
                  <w10:wrap type="none"/>
                  <w10:anchorlock/>
                </v:shape>
                <o:OLEObject Type="Embed" ProgID="Equation.KSEE3" ShapeID="_x0000_i1080" DrawAspect="Content" ObjectID="_1468075780" r:id="rId121">
                  <o:LockedField>false</o:LockedField>
                </o:OLEObject>
              </w:object>
            </w:r>
            <w:r>
              <w:rPr>
                <w:rFonts w:hint="default"/>
              </w:rPr>
              <w:t>——靠近围护结构处室外</w:t>
            </w:r>
            <w:r>
              <w:rPr>
                <w:rFonts w:hint="default" w:ascii="Times New Roman" w:hAnsi="Times New Roman" w:eastAsia="宋体" w:cs="Times New Roman"/>
                <w:b w:val="0"/>
                <w:bCs/>
                <w:color w:val="auto"/>
                <w:position w:val="-6"/>
                <w:szCs w:val="21"/>
              </w:rPr>
              <w:object>
                <v:shape id="_x0000_i1081" o:spt="75" type="#_x0000_t75" style="height:13pt;width:13.95pt;" o:ole="t" filled="f" o:preferrelative="t" stroked="f" coordsize="21600,21600">
                  <v:path/>
                  <v:fill on="f" focussize="0,0"/>
                  <v:stroke on="f"/>
                  <v:imagedata r:id="rId124" o:title=""/>
                  <o:lock v:ext="edit" aspectratio="t"/>
                  <w10:wrap type="none"/>
                  <w10:anchorlock/>
                </v:shape>
                <o:OLEObject Type="Embed" ProgID="Equation.KSEE3" ShapeID="_x0000_i1081" DrawAspect="Content" ObjectID="_1468075781" r:id="rId123">
                  <o:LockedField>false</o:LockedField>
                </o:OLEObject>
              </w:object>
            </w:r>
            <w:r>
              <w:rPr>
                <w:rFonts w:hint="default"/>
              </w:rPr>
              <w:t>个声源</w:t>
            </w:r>
            <w:r>
              <w:rPr>
                <w:rFonts w:hint="default" w:ascii="Times New Roman" w:hAnsi="Times New Roman" w:eastAsia="宋体" w:cs="Times New Roman"/>
                <w:b w:val="0"/>
                <w:bCs/>
                <w:color w:val="auto"/>
                <w:position w:val="-6"/>
                <w:szCs w:val="21"/>
              </w:rPr>
              <w:object>
                <v:shape id="_x0000_i1082" o:spt="75" type="#_x0000_t75" style="height:13pt;width:6.95pt;" o:ole="t" filled="f" o:preferrelative="t" stroked="f" coordsize="21600,21600">
                  <v:path/>
                  <v:fill on="f" focussize="0,0"/>
                  <v:stroke on="f"/>
                  <v:imagedata r:id="rId126" o:title=""/>
                  <o:lock v:ext="edit" aspectratio="t"/>
                  <w10:wrap type="none"/>
                  <w10:anchorlock/>
                </v:shape>
                <o:OLEObject Type="Embed" ProgID="Equation.KSEE3" ShapeID="_x0000_i1082" DrawAspect="Content" ObjectID="_1468075782" r:id="rId125">
                  <o:LockedField>false</o:LockedField>
                </o:OLEObject>
              </w:object>
            </w:r>
            <w:r>
              <w:rPr>
                <w:rFonts w:hint="default"/>
              </w:rPr>
              <w:t>倍频带的叠加声压级，dB；</w:t>
            </w:r>
          </w:p>
          <w:p w14:paraId="77FBA43D">
            <w:pPr>
              <w:bidi w:val="0"/>
              <w:rPr>
                <w:rFonts w:hint="default"/>
              </w:rPr>
            </w:pPr>
            <w:r>
              <w:rPr>
                <w:rFonts w:hint="default" w:ascii="Times New Roman" w:hAnsi="Times New Roman" w:eastAsia="宋体" w:cs="Times New Roman"/>
                <w:b w:val="0"/>
                <w:bCs/>
                <w:color w:val="auto"/>
                <w:position w:val="-14"/>
                <w:szCs w:val="21"/>
              </w:rPr>
              <w:object>
                <v:shape id="_x0000_i1083" o:spt="75" type="#_x0000_t75" style="height:19pt;width:38pt;" o:ole="t" filled="f" o:preferrelative="t" stroked="f" coordsize="21600,21600">
                  <v:path/>
                  <v:fill on="f" focussize="0,0"/>
                  <v:stroke on="f"/>
                  <v:imagedata r:id="rId128" o:title=""/>
                  <o:lock v:ext="edit" aspectratio="t"/>
                  <w10:wrap type="none"/>
                  <w10:anchorlock/>
                </v:shape>
                <o:OLEObject Type="Embed" ProgID="Equation.KSEE3" ShapeID="_x0000_i1083" DrawAspect="Content" ObjectID="_1468075783" r:id="rId127">
                  <o:LockedField>false</o:LockedField>
                </o:OLEObject>
              </w:object>
            </w:r>
            <w:r>
              <w:rPr>
                <w:rFonts w:hint="default"/>
              </w:rPr>
              <w:t>——靠近围护结构处室内</w:t>
            </w:r>
            <w:r>
              <w:rPr>
                <w:rFonts w:hint="default" w:ascii="Times New Roman" w:hAnsi="Times New Roman" w:eastAsia="宋体" w:cs="Times New Roman"/>
                <w:b w:val="0"/>
                <w:bCs/>
                <w:color w:val="auto"/>
                <w:position w:val="-6"/>
                <w:szCs w:val="21"/>
              </w:rPr>
              <w:object>
                <v:shape id="_x0000_i1084" o:spt="75" type="#_x0000_t75" style="height:13pt;width:13.95pt;" o:ole="t" filled="f" o:preferrelative="t" stroked="f" coordsize="21600,21600">
                  <v:path/>
                  <v:fill on="f" focussize="0,0"/>
                  <v:stroke on="f"/>
                  <v:imagedata r:id="rId130" o:title=""/>
                  <o:lock v:ext="edit" aspectratio="t"/>
                  <w10:wrap type="none"/>
                  <w10:anchorlock/>
                </v:shape>
                <o:OLEObject Type="Embed" ProgID="Equation.KSEE3" ShapeID="_x0000_i1084" DrawAspect="Content" ObjectID="_1468075784" r:id="rId129">
                  <o:LockedField>false</o:LockedField>
                </o:OLEObject>
              </w:object>
            </w:r>
            <w:r>
              <w:rPr>
                <w:rFonts w:hint="default"/>
              </w:rPr>
              <w:t>个声源</w:t>
            </w:r>
            <w:r>
              <w:rPr>
                <w:rFonts w:hint="default" w:ascii="Times New Roman" w:hAnsi="Times New Roman" w:eastAsia="宋体" w:cs="Times New Roman"/>
                <w:b w:val="0"/>
                <w:bCs/>
                <w:color w:val="auto"/>
                <w:position w:val="-6"/>
                <w:szCs w:val="21"/>
              </w:rPr>
              <w:object>
                <v:shape id="_x0000_i1085" o:spt="75" type="#_x0000_t75" style="height:13pt;width:6.95pt;" o:ole="t" filled="f" o:preferrelative="t" stroked="f" coordsize="21600,21600">
                  <v:path/>
                  <v:fill on="f" focussize="0,0"/>
                  <v:stroke on="f"/>
                  <v:imagedata r:id="rId132" o:title=""/>
                  <o:lock v:ext="edit" aspectratio="t"/>
                  <w10:wrap type="none"/>
                  <w10:anchorlock/>
                </v:shape>
                <o:OLEObject Type="Embed" ProgID="Equation.KSEE3" ShapeID="_x0000_i1085" DrawAspect="Content" ObjectID="_1468075785" r:id="rId131">
                  <o:LockedField>false</o:LockedField>
                </o:OLEObject>
              </w:object>
            </w:r>
            <w:r>
              <w:rPr>
                <w:rFonts w:hint="default"/>
              </w:rPr>
              <w:t>倍频带的叠加声压级，dB；</w:t>
            </w:r>
          </w:p>
          <w:p w14:paraId="6478DE0A">
            <w:pPr>
              <w:bidi w:val="0"/>
              <w:rPr>
                <w:rFonts w:hint="default"/>
              </w:rPr>
            </w:pPr>
            <w:r>
              <w:rPr>
                <w:rFonts w:hint="default" w:ascii="Times New Roman" w:hAnsi="Times New Roman" w:eastAsia="宋体" w:cs="Times New Roman"/>
                <w:b w:val="0"/>
                <w:bCs/>
                <w:color w:val="auto"/>
                <w:position w:val="-12"/>
                <w:szCs w:val="21"/>
              </w:rPr>
              <w:object>
                <v:shape id="_x0000_i1086" o:spt="75" type="#_x0000_t75" style="height:18pt;width:18pt;" o:ole="t" filled="f" o:preferrelative="t" stroked="f" coordsize="21600,21600">
                  <v:path/>
                  <v:fill on="f" focussize="0,0"/>
                  <v:stroke on="f"/>
                  <v:imagedata r:id="rId134" o:title=""/>
                  <o:lock v:ext="edit" aspectratio="t"/>
                  <w10:wrap type="none"/>
                  <w10:anchorlock/>
                </v:shape>
                <o:OLEObject Type="Embed" ProgID="Equation.KSEE3" ShapeID="_x0000_i1086" DrawAspect="Content" ObjectID="_1468075786" r:id="rId133">
                  <o:LockedField>false</o:LockedField>
                </o:OLEObject>
              </w:object>
            </w:r>
            <w:r>
              <w:rPr>
                <w:rFonts w:hint="default"/>
              </w:rPr>
              <w:t>——围护结构</w:t>
            </w:r>
            <w:r>
              <w:rPr>
                <w:rFonts w:hint="default" w:ascii="Times New Roman" w:hAnsi="Times New Roman" w:eastAsia="宋体" w:cs="Times New Roman"/>
                <w:b w:val="0"/>
                <w:bCs/>
                <w:color w:val="auto"/>
                <w:position w:val="-6"/>
                <w:szCs w:val="21"/>
              </w:rPr>
              <w:object>
                <v:shape id="_x0000_i1087" o:spt="75" type="#_x0000_t75" style="height:13pt;width:6.95pt;" o:ole="t" filled="f" o:preferrelative="t" stroked="f" coordsize="21600,21600">
                  <v:path/>
                  <v:fill on="f" focussize="0,0"/>
                  <v:stroke on="f"/>
                  <v:imagedata r:id="rId136" o:title=""/>
                  <o:lock v:ext="edit" aspectratio="t"/>
                  <w10:wrap type="none"/>
                  <w10:anchorlock/>
                </v:shape>
                <o:OLEObject Type="Embed" ProgID="Equation.KSEE3" ShapeID="_x0000_i1087" DrawAspect="Content" ObjectID="_1468075787" r:id="rId135">
                  <o:LockedField>false</o:LockedField>
                </o:OLEObject>
              </w:object>
            </w:r>
            <w:r>
              <w:rPr>
                <w:rFonts w:hint="default"/>
              </w:rPr>
              <w:t>倍频带的隔声量，dB。</w:t>
            </w:r>
          </w:p>
          <w:p w14:paraId="4F553FF0">
            <w:pPr>
              <w:bidi w:val="0"/>
              <w:rPr>
                <w:rFonts w:hint="eastAsia"/>
                <w:lang w:eastAsia="zh-CN"/>
              </w:rPr>
            </w:pPr>
            <w:r>
              <w:rPr>
                <w:rFonts w:hint="eastAsia"/>
                <w:lang w:eastAsia="zh-CN"/>
              </w:rPr>
              <w:t>等效室外声源的倍频带声功率级：</w:t>
            </w:r>
          </w:p>
          <w:p w14:paraId="33B30392">
            <w:pPr>
              <w:bidi w:val="0"/>
              <w:rPr>
                <w:rFonts w:hint="eastAsia"/>
                <w:lang w:eastAsia="zh-CN"/>
              </w:rPr>
            </w:pPr>
            <w:r>
              <w:rPr>
                <w:rFonts w:hint="eastAsia" w:ascii="Times New Roman" w:hAnsi="Times New Roman" w:eastAsia="宋体" w:cs="Times New Roman"/>
                <w:b w:val="0"/>
                <w:bCs/>
                <w:color w:val="auto"/>
                <w:position w:val="-14"/>
                <w:szCs w:val="24"/>
                <w:lang w:eastAsia="zh-CN"/>
              </w:rPr>
              <w:object>
                <v:shape id="_x0000_i1088" o:spt="75" type="#_x0000_t75" style="height:19pt;width:103pt;" o:ole="t" filled="f" o:preferrelative="t" stroked="f" coordsize="21600,21600">
                  <v:path/>
                  <v:fill on="f" focussize="0,0"/>
                  <v:stroke on="f"/>
                  <v:imagedata r:id="rId138" o:title=""/>
                  <o:lock v:ext="edit" aspectratio="t"/>
                  <w10:wrap type="none"/>
                  <w10:anchorlock/>
                </v:shape>
                <o:OLEObject Type="Embed" ProgID="Equation.KSEE3" ShapeID="_x0000_i1088" DrawAspect="Content" ObjectID="_1468075788" r:id="rId137">
                  <o:LockedField>false</o:LockedField>
                </o:OLEObject>
              </w:object>
            </w:r>
          </w:p>
          <w:p w14:paraId="333F9F3C">
            <w:pPr>
              <w:bidi w:val="0"/>
              <w:rPr>
                <w:rFonts w:hint="default"/>
              </w:rPr>
            </w:pPr>
            <w:r>
              <w:rPr>
                <w:rFonts w:hint="default"/>
              </w:rPr>
              <w:t>式中：</w:t>
            </w:r>
            <w:r>
              <w:rPr>
                <w:rFonts w:hint="default" w:ascii="Times New Roman" w:hAnsi="Times New Roman" w:eastAsia="宋体" w:cs="Times New Roman"/>
                <w:b w:val="0"/>
                <w:bCs/>
                <w:color w:val="auto"/>
                <w:position w:val="-12"/>
                <w:szCs w:val="21"/>
              </w:rPr>
              <w:object>
                <v:shape id="_x0000_i1089" o:spt="75" type="#_x0000_t75" style="height:18pt;width:15pt;" o:ole="t" filled="f" o:preferrelative="t" stroked="f" coordsize="21600,21600">
                  <v:path/>
                  <v:fill on="f" focussize="0,0"/>
                  <v:stroke on="f"/>
                  <v:imagedata r:id="rId140" o:title=""/>
                  <o:lock v:ext="edit" aspectratio="t"/>
                  <w10:wrap type="none"/>
                  <w10:anchorlock/>
                </v:shape>
                <o:OLEObject Type="Embed" ProgID="Equation.KSEE3" ShapeID="_x0000_i1089" DrawAspect="Content" ObjectID="_1468075789" r:id="rId139">
                  <o:LockedField>false</o:LockedField>
                </o:OLEObject>
              </w:object>
            </w:r>
            <w:r>
              <w:rPr>
                <w:rFonts w:hint="default"/>
              </w:rPr>
              <w:t>——中心位置位于透声面积（</w:t>
            </w:r>
            <w:r>
              <w:rPr>
                <w:rFonts w:hint="default" w:ascii="Times New Roman" w:hAnsi="Times New Roman" w:eastAsia="宋体" w:cs="Times New Roman"/>
                <w:b w:val="0"/>
                <w:bCs/>
                <w:color w:val="auto"/>
                <w:position w:val="-6"/>
                <w:szCs w:val="21"/>
              </w:rPr>
              <w:object>
                <v:shape id="_x0000_i1090" o:spt="75" type="#_x0000_t75" style="height:13.95pt;width:11pt;" o:ole="t" filled="f" o:preferrelative="t" stroked="f" coordsize="21600,21600">
                  <v:path/>
                  <v:fill on="f" focussize="0,0"/>
                  <v:stroke on="f"/>
                  <v:imagedata r:id="rId142" o:title=""/>
                  <o:lock v:ext="edit" aspectratio="t"/>
                  <w10:wrap type="none"/>
                  <w10:anchorlock/>
                </v:shape>
                <o:OLEObject Type="Embed" ProgID="Equation.KSEE3" ShapeID="_x0000_i1090" DrawAspect="Content" ObjectID="_1468075790" r:id="rId141">
                  <o:LockedField>false</o:LockedField>
                </o:OLEObject>
              </w:object>
            </w:r>
            <w:r>
              <w:rPr>
                <w:rFonts w:hint="default"/>
              </w:rPr>
              <w:t>）处的等效声源的倍频带声功率级，dB；</w:t>
            </w:r>
          </w:p>
          <w:p w14:paraId="5224896F">
            <w:pPr>
              <w:bidi w:val="0"/>
              <w:rPr>
                <w:rFonts w:hint="default"/>
              </w:rPr>
            </w:pPr>
            <w:r>
              <w:rPr>
                <w:rFonts w:hint="default" w:ascii="Times New Roman" w:hAnsi="Times New Roman" w:eastAsia="宋体" w:cs="Times New Roman"/>
                <w:b w:val="0"/>
                <w:bCs/>
                <w:color w:val="auto"/>
                <w:position w:val="-14"/>
                <w:szCs w:val="21"/>
              </w:rPr>
              <w:object>
                <v:shape id="_x0000_i1091" o:spt="75" type="#_x0000_t75" style="height:19pt;width:36pt;" o:ole="t" filled="f" o:preferrelative="t" stroked="f" coordsize="21600,21600">
                  <v:path/>
                  <v:fill on="f" focussize="0,0"/>
                  <v:stroke on="f"/>
                  <v:imagedata r:id="rId144" o:title=""/>
                  <o:lock v:ext="edit" aspectratio="t"/>
                  <w10:wrap type="none"/>
                  <w10:anchorlock/>
                </v:shape>
                <o:OLEObject Type="Embed" ProgID="Equation.KSEE3" ShapeID="_x0000_i1091" DrawAspect="Content" ObjectID="_1468075791" r:id="rId143">
                  <o:LockedField>false</o:LockedField>
                </o:OLEObject>
              </w:object>
            </w:r>
            <w:r>
              <w:rPr>
                <w:rFonts w:hint="default"/>
              </w:rPr>
              <w:t>——靠近围护结构处室外声源的声压级，dB；</w:t>
            </w:r>
          </w:p>
          <w:p w14:paraId="0FD57E96">
            <w:pPr>
              <w:bidi w:val="0"/>
              <w:rPr>
                <w:rFonts w:hint="default"/>
              </w:rPr>
            </w:pPr>
            <w:r>
              <w:rPr>
                <w:rFonts w:hint="default" w:ascii="Times New Roman" w:hAnsi="Times New Roman" w:eastAsia="宋体" w:cs="Times New Roman"/>
                <w:b w:val="0"/>
                <w:bCs/>
                <w:color w:val="auto"/>
                <w:position w:val="-6"/>
                <w:szCs w:val="21"/>
              </w:rPr>
              <w:object>
                <v:shape id="_x0000_i1092" o:spt="75" type="#_x0000_t75" style="height:13.95pt;width:11pt;" o:ole="t" filled="f" o:preferrelative="t" stroked="f" coordsize="21600,21600">
                  <v:path/>
                  <v:fill on="f" focussize="0,0"/>
                  <v:stroke on="f"/>
                  <v:imagedata r:id="rId146" o:title=""/>
                  <o:lock v:ext="edit" aspectratio="t"/>
                  <w10:wrap type="none"/>
                  <w10:anchorlock/>
                </v:shape>
                <o:OLEObject Type="Embed" ProgID="Equation.KSEE3" ShapeID="_x0000_i1092" DrawAspect="Content" ObjectID="_1468075792" r:id="rId145">
                  <o:LockedField>false</o:LockedField>
                </o:OLEObject>
              </w:object>
            </w:r>
            <w:r>
              <w:rPr>
                <w:rFonts w:hint="default"/>
              </w:rPr>
              <w:t>——透声面积，m</w:t>
            </w:r>
            <w:r>
              <w:rPr>
                <w:rFonts w:hint="default"/>
                <w:vertAlign w:val="superscript"/>
              </w:rPr>
              <w:t>2</w:t>
            </w:r>
            <w:r>
              <w:rPr>
                <w:rFonts w:hint="default"/>
              </w:rPr>
              <w:t>。</w:t>
            </w:r>
          </w:p>
          <w:p w14:paraId="6568F54C">
            <w:pPr>
              <w:bidi w:val="0"/>
              <w:rPr>
                <w:rFonts w:hint="eastAsia"/>
                <w:lang w:val="en-US" w:eastAsia="zh-CN"/>
              </w:rPr>
            </w:pPr>
            <w:r>
              <w:rPr>
                <w:rFonts w:hint="eastAsia"/>
                <w:lang w:val="en-US" w:eastAsia="zh-CN"/>
              </w:rPr>
              <w:t>C、噪声贡献值</w:t>
            </w:r>
          </w:p>
          <w:p w14:paraId="6F2ABBF1">
            <w:pPr>
              <w:bidi w:val="0"/>
              <w:rPr>
                <w:rFonts w:hint="default"/>
              </w:rPr>
            </w:pPr>
            <w:r>
              <w:rPr>
                <w:rFonts w:hint="default"/>
              </w:rPr>
              <w:t>设第</w:t>
            </w:r>
            <w:r>
              <w:rPr>
                <w:rFonts w:hint="default" w:ascii="Times New Roman" w:hAnsi="Times New Roman" w:eastAsia="宋体" w:cs="Times New Roman"/>
                <w:b w:val="0"/>
                <w:bCs/>
                <w:color w:val="auto"/>
                <w:position w:val="-6"/>
                <w:szCs w:val="24"/>
              </w:rPr>
              <w:object>
                <v:shape id="_x0000_i1093" o:spt="75" type="#_x0000_t75" style="height:13pt;width:6.95pt;" o:ole="t" filled="f" o:preferrelative="t" stroked="f" coordsize="21600,21600">
                  <v:path/>
                  <v:fill on="f" focussize="0,0"/>
                  <v:stroke on="f"/>
                  <v:imagedata r:id="rId148" o:title=""/>
                  <o:lock v:ext="edit" aspectratio="t"/>
                  <w10:wrap type="none"/>
                  <w10:anchorlock/>
                </v:shape>
                <o:OLEObject Type="Embed" ProgID="Equation.KSEE3" ShapeID="_x0000_i1093" DrawAspect="Content" ObjectID="_1468075793" r:id="rId147">
                  <o:LockedField>false</o:LockedField>
                </o:OLEObject>
              </w:object>
            </w:r>
            <w:r>
              <w:rPr>
                <w:rFonts w:hint="default"/>
              </w:rPr>
              <w:t>个室外声源在预测点产生的A声级为</w:t>
            </w:r>
            <w:r>
              <w:rPr>
                <w:rFonts w:hint="default" w:ascii="Times New Roman" w:hAnsi="Times New Roman" w:eastAsia="宋体" w:cs="Times New Roman"/>
                <w:b w:val="0"/>
                <w:bCs/>
                <w:color w:val="auto"/>
                <w:position w:val="-12"/>
                <w:szCs w:val="24"/>
              </w:rPr>
              <w:object>
                <v:shape id="_x0000_i1094" o:spt="75" type="#_x0000_t75" style="height:18pt;width:18pt;" o:ole="t" filled="f" o:preferrelative="t" stroked="f" coordsize="21600,21600">
                  <v:path/>
                  <v:fill on="f" focussize="0,0"/>
                  <v:stroke on="f"/>
                  <v:imagedata r:id="rId150" o:title=""/>
                  <o:lock v:ext="edit" aspectratio="t"/>
                  <w10:wrap type="none"/>
                  <w10:anchorlock/>
                </v:shape>
                <o:OLEObject Type="Embed" ProgID="Equation.KSEE3" ShapeID="_x0000_i1094" DrawAspect="Content" ObjectID="_1468075794" r:id="rId149">
                  <o:LockedField>false</o:LockedField>
                </o:OLEObject>
              </w:object>
            </w:r>
            <w:r>
              <w:rPr>
                <w:rFonts w:hint="default"/>
              </w:rPr>
              <w:t>，在</w:t>
            </w:r>
            <w:r>
              <w:rPr>
                <w:rFonts w:hint="default" w:ascii="Times New Roman" w:hAnsi="Times New Roman" w:eastAsia="宋体" w:cs="Times New Roman"/>
                <w:b w:val="0"/>
                <w:bCs/>
                <w:color w:val="auto"/>
                <w:position w:val="-4"/>
                <w:szCs w:val="24"/>
              </w:rPr>
              <w:object>
                <v:shape id="_x0000_i1095" o:spt="75" type="#_x0000_t75" style="height:12pt;width:12pt;" o:ole="t" filled="f" o:preferrelative="t" stroked="f" coordsize="21600,21600">
                  <v:path/>
                  <v:fill on="f" focussize="0,0"/>
                  <v:stroke on="f"/>
                  <v:imagedata r:id="rId152" o:title=""/>
                  <o:lock v:ext="edit" aspectratio="t"/>
                  <w10:wrap type="none"/>
                  <w10:anchorlock/>
                </v:shape>
                <o:OLEObject Type="Embed" ProgID="Equation.KSEE3" ShapeID="_x0000_i1095" DrawAspect="Content" ObjectID="_1468075795" r:id="rId151">
                  <o:LockedField>false</o:LockedField>
                </o:OLEObject>
              </w:object>
            </w:r>
            <w:r>
              <w:rPr>
                <w:rFonts w:hint="default"/>
              </w:rPr>
              <w:t>时间内该声源工作时间为</w:t>
            </w:r>
            <w:r>
              <w:rPr>
                <w:rFonts w:hint="default" w:ascii="Times New Roman" w:hAnsi="Times New Roman" w:eastAsia="宋体" w:cs="Times New Roman"/>
                <w:b w:val="0"/>
                <w:bCs/>
                <w:color w:val="auto"/>
                <w:position w:val="-12"/>
                <w:szCs w:val="24"/>
              </w:rPr>
              <w:object>
                <v:shape id="_x0000_i1096" o:spt="75" type="#_x0000_t75" style="height:18pt;width:9pt;" o:ole="t" filled="f" o:preferrelative="t" stroked="f" coordsize="21600,21600">
                  <v:path/>
                  <v:fill on="f" focussize="0,0"/>
                  <v:stroke on="f"/>
                  <v:imagedata r:id="rId154" o:title=""/>
                  <o:lock v:ext="edit" aspectratio="t"/>
                  <w10:wrap type="none"/>
                  <w10:anchorlock/>
                </v:shape>
                <o:OLEObject Type="Embed" ProgID="Equation.KSEE3" ShapeID="_x0000_i1096" DrawAspect="Content" ObjectID="_1468075796" r:id="rId153">
                  <o:LockedField>false</o:LockedField>
                </o:OLEObject>
              </w:object>
            </w:r>
            <w:r>
              <w:rPr>
                <w:rFonts w:hint="default"/>
              </w:rPr>
              <w:t>；第</w:t>
            </w:r>
            <w:r>
              <w:rPr>
                <w:rFonts w:hint="default" w:ascii="Times New Roman" w:hAnsi="Times New Roman" w:eastAsia="宋体" w:cs="Times New Roman"/>
                <w:b w:val="0"/>
                <w:bCs/>
                <w:color w:val="auto"/>
                <w:position w:val="-10"/>
                <w:szCs w:val="24"/>
              </w:rPr>
              <w:object>
                <v:shape id="_x0000_i1097" o:spt="75" type="#_x0000_t75" style="height:15pt;width:10pt;" o:ole="t" filled="f" o:preferrelative="t" stroked="f" coordsize="21600,21600">
                  <v:path/>
                  <v:fill on="f" focussize="0,0"/>
                  <v:stroke on="f"/>
                  <v:imagedata r:id="rId156" o:title=""/>
                  <o:lock v:ext="edit" aspectratio="t"/>
                  <w10:wrap type="none"/>
                  <w10:anchorlock/>
                </v:shape>
                <o:OLEObject Type="Embed" ProgID="Equation.KSEE3" ShapeID="_x0000_i1097" DrawAspect="Content" ObjectID="_1468075797" r:id="rId155">
                  <o:LockedField>false</o:LockedField>
                </o:OLEObject>
              </w:object>
            </w:r>
            <w:r>
              <w:rPr>
                <w:rFonts w:hint="default"/>
              </w:rPr>
              <w:t>个等效室外声源在预测点产生的A声级为</w:t>
            </w:r>
            <w:r>
              <w:rPr>
                <w:rFonts w:hint="default" w:ascii="Times New Roman" w:hAnsi="Times New Roman" w:eastAsia="宋体" w:cs="Times New Roman"/>
                <w:b w:val="0"/>
                <w:bCs/>
                <w:color w:val="auto"/>
                <w:position w:val="-14"/>
                <w:szCs w:val="24"/>
              </w:rPr>
              <w:object>
                <v:shape id="_x0000_i1098" o:spt="75" type="#_x0000_t75" style="height:19pt;width:18pt;" o:ole="t" filled="f" o:preferrelative="t" stroked="f" coordsize="21600,21600">
                  <v:path/>
                  <v:fill on="f" focussize="0,0"/>
                  <v:stroke on="f"/>
                  <v:imagedata r:id="rId158" o:title=""/>
                  <o:lock v:ext="edit" aspectratio="t"/>
                  <w10:wrap type="none"/>
                  <w10:anchorlock/>
                </v:shape>
                <o:OLEObject Type="Embed" ProgID="Equation.KSEE3" ShapeID="_x0000_i1098" DrawAspect="Content" ObjectID="_1468075798" r:id="rId157">
                  <o:LockedField>false</o:LockedField>
                </o:OLEObject>
              </w:object>
            </w:r>
            <w:r>
              <w:rPr>
                <w:rFonts w:hint="default"/>
              </w:rPr>
              <w:t>，在</w:t>
            </w:r>
            <w:r>
              <w:rPr>
                <w:rFonts w:hint="default" w:ascii="Times New Roman" w:hAnsi="Times New Roman" w:eastAsia="宋体" w:cs="Times New Roman"/>
                <w:b w:val="0"/>
                <w:bCs/>
                <w:color w:val="auto"/>
                <w:position w:val="-4"/>
                <w:szCs w:val="24"/>
              </w:rPr>
              <w:object>
                <v:shape id="_x0000_i1099" o:spt="75" type="#_x0000_t75" style="height:12pt;width:12pt;" o:ole="t" filled="f" o:preferrelative="t" stroked="f" coordsize="21600,21600">
                  <v:path/>
                  <v:fill on="f" focussize="0,0"/>
                  <v:stroke on="f"/>
                  <v:imagedata r:id="rId160" o:title=""/>
                  <o:lock v:ext="edit" aspectratio="t"/>
                  <w10:wrap type="none"/>
                  <w10:anchorlock/>
                </v:shape>
                <o:OLEObject Type="Embed" ProgID="Equation.KSEE3" ShapeID="_x0000_i1099" DrawAspect="Content" ObjectID="_1468075799" r:id="rId159">
                  <o:LockedField>false</o:LockedField>
                </o:OLEObject>
              </w:object>
            </w:r>
            <w:r>
              <w:rPr>
                <w:rFonts w:hint="default"/>
              </w:rPr>
              <w:t>时间内该声源工作时间为</w:t>
            </w:r>
            <w:r>
              <w:rPr>
                <w:rFonts w:hint="default" w:ascii="Times New Roman" w:hAnsi="Times New Roman" w:eastAsia="宋体" w:cs="Times New Roman"/>
                <w:b w:val="0"/>
                <w:bCs/>
                <w:color w:val="auto"/>
                <w:position w:val="-14"/>
                <w:szCs w:val="24"/>
              </w:rPr>
              <w:object>
                <v:shape id="_x0000_i1100" o:spt="75" type="#_x0000_t75" style="height:19pt;width:11pt;" o:ole="t" filled="f" o:preferrelative="t" stroked="f" coordsize="21600,21600">
                  <v:path/>
                  <v:fill on="f" focussize="0,0"/>
                  <v:stroke on="f"/>
                  <v:imagedata r:id="rId162" o:title=""/>
                  <o:lock v:ext="edit" aspectratio="t"/>
                  <w10:wrap type="none"/>
                  <w10:anchorlock/>
                </v:shape>
                <o:OLEObject Type="Embed" ProgID="Equation.KSEE3" ShapeID="_x0000_i1100" DrawAspect="Content" ObjectID="_1468075800" r:id="rId161">
                  <o:LockedField>false</o:LockedField>
                </o:OLEObject>
              </w:object>
            </w:r>
            <w:r>
              <w:rPr>
                <w:rFonts w:hint="default"/>
              </w:rPr>
              <w:t>，则拟建工程声源对预测点产生的贡献值（</w:t>
            </w:r>
            <w:r>
              <w:rPr>
                <w:rFonts w:hint="default" w:ascii="Times New Roman" w:hAnsi="Times New Roman" w:eastAsia="宋体" w:cs="Times New Roman"/>
                <w:b w:val="0"/>
                <w:bCs/>
                <w:color w:val="auto"/>
                <w:position w:val="-14"/>
                <w:szCs w:val="24"/>
              </w:rPr>
              <w:object>
                <v:shape id="_x0000_i1101" o:spt="75" type="#_x0000_t75" style="height:19pt;width:21pt;" o:ole="t" filled="f" o:preferrelative="t" stroked="f" coordsize="21600,21600">
                  <v:path/>
                  <v:fill on="f" focussize="0,0"/>
                  <v:stroke on="f"/>
                  <v:imagedata r:id="rId164" o:title=""/>
                  <o:lock v:ext="edit" aspectratio="t"/>
                  <w10:wrap type="none"/>
                  <w10:anchorlock/>
                </v:shape>
                <o:OLEObject Type="Embed" ProgID="Equation.KSEE3" ShapeID="_x0000_i1101" DrawAspect="Content" ObjectID="_1468075801" r:id="rId163">
                  <o:LockedField>false</o:LockedField>
                </o:OLEObject>
              </w:object>
            </w:r>
            <w:r>
              <w:rPr>
                <w:rFonts w:hint="default"/>
              </w:rPr>
              <w:t>）为：</w:t>
            </w:r>
          </w:p>
          <w:p w14:paraId="0782FDC6">
            <w:pPr>
              <w:bidi w:val="0"/>
              <w:rPr>
                <w:rFonts w:hint="eastAsia"/>
                <w:lang w:eastAsia="zh-CN"/>
              </w:rPr>
            </w:pPr>
            <w:r>
              <w:rPr>
                <w:rFonts w:hint="eastAsia" w:ascii="Times New Roman" w:hAnsi="Times New Roman" w:eastAsia="宋体" w:cs="Times New Roman"/>
                <w:b w:val="0"/>
                <w:bCs/>
                <w:color w:val="auto"/>
                <w:position w:val="-34"/>
                <w:szCs w:val="24"/>
                <w:lang w:eastAsia="zh-CN"/>
              </w:rPr>
              <w:object>
                <v:shape id="_x0000_i1102" o:spt="75" type="#_x0000_t75" style="height:40pt;width:204pt;" o:ole="t" filled="f" o:preferrelative="t" stroked="f" coordsize="21600,21600">
                  <v:path/>
                  <v:fill on="f" focussize="0,0"/>
                  <v:stroke on="f"/>
                  <v:imagedata r:id="rId166" o:title=""/>
                  <o:lock v:ext="edit" aspectratio="t"/>
                  <w10:wrap type="none"/>
                  <w10:anchorlock/>
                </v:shape>
                <o:OLEObject Type="Embed" ProgID="Equation.KSEE3" ShapeID="_x0000_i1102" DrawAspect="Content" ObjectID="_1468075802" r:id="rId165">
                  <o:LockedField>false</o:LockedField>
                </o:OLEObject>
              </w:object>
            </w:r>
          </w:p>
          <w:p w14:paraId="7B91BDA6">
            <w:pPr>
              <w:bidi w:val="0"/>
              <w:rPr>
                <w:rFonts w:hint="default"/>
              </w:rPr>
            </w:pPr>
            <w:r>
              <w:rPr>
                <w:rFonts w:hint="default"/>
              </w:rPr>
              <w:t>式中：</w:t>
            </w:r>
            <w:r>
              <w:rPr>
                <w:rFonts w:hint="default" w:ascii="Times New Roman" w:hAnsi="Times New Roman" w:eastAsia="宋体" w:cs="Times New Roman"/>
                <w:b w:val="0"/>
                <w:bCs/>
                <w:color w:val="auto"/>
                <w:position w:val="-14"/>
                <w:szCs w:val="21"/>
              </w:rPr>
              <w:object>
                <v:shape id="_x0000_i1103" o:spt="75" type="#_x0000_t75" style="height:19pt;width:21pt;" o:ole="t" filled="f" o:preferrelative="t" stroked="f" coordsize="21600,21600">
                  <v:path/>
                  <v:fill on="f" focussize="0,0"/>
                  <v:stroke on="f"/>
                  <v:imagedata r:id="rId168" o:title=""/>
                  <o:lock v:ext="edit" aspectratio="t"/>
                  <w10:wrap type="none"/>
                  <w10:anchorlock/>
                </v:shape>
                <o:OLEObject Type="Embed" ProgID="Equation.KSEE3" ShapeID="_x0000_i1103" DrawAspect="Content" ObjectID="_1468075803" r:id="rId167">
                  <o:LockedField>false</o:LockedField>
                </o:OLEObject>
              </w:object>
            </w:r>
            <w:r>
              <w:rPr>
                <w:rFonts w:hint="default"/>
              </w:rPr>
              <w:t>——建设项目声源在预测点产生的噪声贡献值，dB；</w:t>
            </w:r>
          </w:p>
          <w:p w14:paraId="60F60AD8">
            <w:pPr>
              <w:bidi w:val="0"/>
              <w:rPr>
                <w:rFonts w:hint="default"/>
              </w:rPr>
            </w:pPr>
            <w:r>
              <w:rPr>
                <w:rFonts w:hint="default" w:ascii="Times New Roman" w:hAnsi="Times New Roman" w:eastAsia="宋体" w:cs="Times New Roman"/>
                <w:b w:val="0"/>
                <w:bCs/>
                <w:color w:val="auto"/>
                <w:position w:val="-4"/>
                <w:szCs w:val="21"/>
              </w:rPr>
              <w:object>
                <v:shape id="_x0000_i1104" o:spt="75" type="#_x0000_t75" style="height:12pt;width:12pt;" o:ole="t" filled="f" o:preferrelative="t" stroked="f" coordsize="21600,21600">
                  <v:path/>
                  <v:fill on="f" focussize="0,0"/>
                  <v:stroke on="f"/>
                  <v:imagedata r:id="rId170" o:title=""/>
                  <o:lock v:ext="edit" aspectratio="t"/>
                  <w10:wrap type="none"/>
                  <w10:anchorlock/>
                </v:shape>
                <o:OLEObject Type="Embed" ProgID="Equation.KSEE3" ShapeID="_x0000_i1104" DrawAspect="Content" ObjectID="_1468075804" r:id="rId169">
                  <o:LockedField>false</o:LockedField>
                </o:OLEObject>
              </w:object>
            </w:r>
            <w:r>
              <w:rPr>
                <w:rFonts w:hint="default"/>
              </w:rPr>
              <w:t>——用于计算等效声级的时间，s；</w:t>
            </w:r>
          </w:p>
          <w:p w14:paraId="015B231C">
            <w:pPr>
              <w:bidi w:val="0"/>
              <w:rPr>
                <w:rFonts w:hint="default"/>
              </w:rPr>
            </w:pPr>
            <w:r>
              <w:rPr>
                <w:rFonts w:hint="default" w:ascii="Times New Roman" w:hAnsi="Times New Roman" w:eastAsia="宋体" w:cs="Times New Roman"/>
                <w:b w:val="0"/>
                <w:bCs/>
                <w:color w:val="auto"/>
                <w:position w:val="-6"/>
                <w:szCs w:val="21"/>
              </w:rPr>
              <w:object>
                <v:shape id="_x0000_i1105" o:spt="75" type="#_x0000_t75" style="height:13pt;width:13.95pt;" o:ole="t" filled="f" o:preferrelative="t" stroked="f" coordsize="21600,21600">
                  <v:path/>
                  <v:fill on="f" focussize="0,0"/>
                  <v:stroke on="f"/>
                  <v:imagedata r:id="rId172" o:title=""/>
                  <o:lock v:ext="edit" aspectratio="t"/>
                  <w10:wrap type="none"/>
                  <w10:anchorlock/>
                </v:shape>
                <o:OLEObject Type="Embed" ProgID="Equation.KSEE3" ShapeID="_x0000_i1105" DrawAspect="Content" ObjectID="_1468075805" r:id="rId171">
                  <o:LockedField>false</o:LockedField>
                </o:OLEObject>
              </w:object>
            </w:r>
            <w:r>
              <w:rPr>
                <w:rFonts w:hint="default"/>
              </w:rPr>
              <w:t>——室外声源个数；</w:t>
            </w:r>
          </w:p>
          <w:p w14:paraId="15C23345">
            <w:pPr>
              <w:bidi w:val="0"/>
              <w:rPr>
                <w:rFonts w:hint="default"/>
              </w:rPr>
            </w:pPr>
            <w:r>
              <w:rPr>
                <w:rFonts w:hint="default" w:ascii="Times New Roman" w:hAnsi="Times New Roman" w:eastAsia="宋体" w:cs="Times New Roman"/>
                <w:b w:val="0"/>
                <w:bCs/>
                <w:color w:val="auto"/>
                <w:position w:val="-12"/>
                <w:szCs w:val="21"/>
              </w:rPr>
              <w:object>
                <v:shape id="_x0000_i1106" o:spt="75" type="#_x0000_t75" style="height:18pt;width:10pt;" o:ole="t" filled="f" o:preferrelative="t" stroked="f" coordsize="21600,21600">
                  <v:path/>
                  <v:fill on="f" focussize="0,0"/>
                  <v:stroke on="f"/>
                  <v:imagedata r:id="rId174" o:title=""/>
                  <o:lock v:ext="edit" aspectratio="t"/>
                  <w10:wrap type="none"/>
                  <w10:anchorlock/>
                </v:shape>
                <o:OLEObject Type="Embed" ProgID="Equation.KSEE3" ShapeID="_x0000_i1106" DrawAspect="Content" ObjectID="_1468075806" r:id="rId173">
                  <o:LockedField>false</o:LockedField>
                </o:OLEObject>
              </w:object>
            </w:r>
            <w:r>
              <w:rPr>
                <w:rFonts w:hint="default"/>
              </w:rPr>
              <w:t>——在</w:t>
            </w:r>
            <w:r>
              <w:rPr>
                <w:rFonts w:hint="default" w:ascii="Times New Roman" w:hAnsi="Times New Roman" w:eastAsia="宋体" w:cs="Times New Roman"/>
                <w:b w:val="0"/>
                <w:bCs/>
                <w:color w:val="auto"/>
                <w:position w:val="-4"/>
                <w:szCs w:val="21"/>
              </w:rPr>
              <w:object>
                <v:shape id="_x0000_i1107" o:spt="75" type="#_x0000_t75" style="height:12pt;width:12pt;" o:ole="t" filled="f" o:preferrelative="t" stroked="f" coordsize="21600,21600">
                  <v:path/>
                  <v:fill on="f" focussize="0,0"/>
                  <v:stroke on="f"/>
                  <v:imagedata r:id="rId176" o:title=""/>
                  <o:lock v:ext="edit" aspectratio="t"/>
                  <w10:wrap type="none"/>
                  <w10:anchorlock/>
                </v:shape>
                <o:OLEObject Type="Embed" ProgID="Equation.KSEE3" ShapeID="_x0000_i1107" DrawAspect="Content" ObjectID="_1468075807" r:id="rId175">
                  <o:LockedField>false</o:LockedField>
                </o:OLEObject>
              </w:object>
            </w:r>
            <w:r>
              <w:rPr>
                <w:rFonts w:hint="default"/>
              </w:rPr>
              <w:t>时间内</w:t>
            </w:r>
            <w:r>
              <w:rPr>
                <w:rFonts w:hint="default" w:ascii="Times New Roman" w:hAnsi="Times New Roman" w:eastAsia="宋体" w:cs="Times New Roman"/>
                <w:b w:val="0"/>
                <w:bCs/>
                <w:color w:val="auto"/>
                <w:position w:val="-6"/>
                <w:szCs w:val="21"/>
              </w:rPr>
              <w:object>
                <v:shape id="_x0000_i1108" o:spt="75" type="#_x0000_t75" style="height:13pt;width:6.95pt;" o:ole="t" filled="f" o:preferrelative="t" stroked="f" coordsize="21600,21600">
                  <v:path/>
                  <v:fill on="f" focussize="0,0"/>
                  <v:stroke on="f"/>
                  <v:imagedata r:id="rId178" o:title=""/>
                  <o:lock v:ext="edit" aspectratio="t"/>
                  <w10:wrap type="none"/>
                  <w10:anchorlock/>
                </v:shape>
                <o:OLEObject Type="Embed" ProgID="Equation.KSEE3" ShapeID="_x0000_i1108" DrawAspect="Content" ObjectID="_1468075808" r:id="rId177">
                  <o:LockedField>false</o:LockedField>
                </o:OLEObject>
              </w:object>
            </w:r>
            <w:r>
              <w:rPr>
                <w:rFonts w:hint="default"/>
              </w:rPr>
              <w:t>声源工作时间，s；</w:t>
            </w:r>
          </w:p>
          <w:p w14:paraId="3ADA0632">
            <w:pPr>
              <w:bidi w:val="0"/>
              <w:rPr>
                <w:rFonts w:hint="default"/>
              </w:rPr>
            </w:pPr>
            <w:r>
              <w:rPr>
                <w:rFonts w:hint="default" w:ascii="Times New Roman" w:hAnsi="Times New Roman" w:eastAsia="宋体" w:cs="Times New Roman"/>
                <w:b w:val="0"/>
                <w:bCs/>
                <w:color w:val="auto"/>
                <w:position w:val="-4"/>
                <w:szCs w:val="21"/>
              </w:rPr>
              <w:object>
                <v:shape id="_x0000_i1109" o:spt="75" type="#_x0000_t75" style="height:12pt;width:16pt;" o:ole="t" filled="f" o:preferrelative="t" stroked="f" coordsize="21600,21600">
                  <v:path/>
                  <v:fill on="f" focussize="0,0"/>
                  <v:stroke on="f"/>
                  <v:imagedata r:id="rId180" o:title=""/>
                  <o:lock v:ext="edit" aspectratio="t"/>
                  <w10:wrap type="none"/>
                  <w10:anchorlock/>
                </v:shape>
                <o:OLEObject Type="Embed" ProgID="Equation.KSEE3" ShapeID="_x0000_i1109" DrawAspect="Content" ObjectID="_1468075809" r:id="rId179">
                  <o:LockedField>false</o:LockedField>
                </o:OLEObject>
              </w:object>
            </w:r>
            <w:r>
              <w:rPr>
                <w:rFonts w:hint="default"/>
              </w:rPr>
              <w:t>—— 等效室外声源个数；</w:t>
            </w:r>
          </w:p>
          <w:p w14:paraId="3CE18D9D">
            <w:pPr>
              <w:bidi w:val="0"/>
              <w:rPr>
                <w:rFonts w:hint="default"/>
              </w:rPr>
            </w:pPr>
            <w:r>
              <w:rPr>
                <w:rFonts w:hint="default" w:ascii="Times New Roman" w:hAnsi="Times New Roman" w:eastAsia="宋体" w:cs="Times New Roman"/>
                <w:b w:val="0"/>
                <w:bCs/>
                <w:color w:val="auto"/>
                <w:position w:val="-14"/>
                <w:szCs w:val="21"/>
              </w:rPr>
              <w:object>
                <v:shape id="_x0000_i1110" o:spt="75" type="#_x0000_t75" style="height:19pt;width:11pt;" o:ole="t" filled="f" o:preferrelative="t" stroked="f" coordsize="21600,21600">
                  <v:path/>
                  <v:fill on="f" focussize="0,0"/>
                  <v:stroke on="f"/>
                  <v:imagedata r:id="rId182" o:title=""/>
                  <o:lock v:ext="edit" aspectratio="t"/>
                  <w10:wrap type="none"/>
                  <w10:anchorlock/>
                </v:shape>
                <o:OLEObject Type="Embed" ProgID="Equation.KSEE3" ShapeID="_x0000_i1110" DrawAspect="Content" ObjectID="_1468075810" r:id="rId181">
                  <o:LockedField>false</o:LockedField>
                </o:OLEObject>
              </w:object>
            </w:r>
            <w:r>
              <w:rPr>
                <w:rFonts w:hint="default"/>
              </w:rPr>
              <w:t>——在</w:t>
            </w:r>
            <w:r>
              <w:rPr>
                <w:rFonts w:hint="default" w:ascii="Times New Roman" w:hAnsi="Times New Roman" w:eastAsia="宋体" w:cs="Times New Roman"/>
                <w:b w:val="0"/>
                <w:bCs/>
                <w:color w:val="auto"/>
                <w:position w:val="-4"/>
                <w:szCs w:val="21"/>
              </w:rPr>
              <w:object>
                <v:shape id="_x0000_i1111" o:spt="75" type="#_x0000_t75" style="height:12pt;width:12pt;" o:ole="t" filled="f" o:preferrelative="t" stroked="f" coordsize="21600,21600">
                  <v:path/>
                  <v:fill on="f" focussize="0,0"/>
                  <v:stroke on="f"/>
                  <v:imagedata r:id="rId184" o:title=""/>
                  <o:lock v:ext="edit" aspectratio="t"/>
                  <w10:wrap type="none"/>
                  <w10:anchorlock/>
                </v:shape>
                <o:OLEObject Type="Embed" ProgID="Equation.KSEE3" ShapeID="_x0000_i1111" DrawAspect="Content" ObjectID="_1468075811" r:id="rId183">
                  <o:LockedField>false</o:LockedField>
                </o:OLEObject>
              </w:object>
            </w:r>
            <w:r>
              <w:rPr>
                <w:rFonts w:hint="default"/>
              </w:rPr>
              <w:t>时间内</w:t>
            </w:r>
            <w:r>
              <w:rPr>
                <w:rFonts w:hint="default" w:ascii="Times New Roman" w:hAnsi="Times New Roman" w:eastAsia="宋体" w:cs="Times New Roman"/>
                <w:b w:val="0"/>
                <w:bCs/>
                <w:color w:val="auto"/>
                <w:position w:val="-10"/>
                <w:szCs w:val="21"/>
              </w:rPr>
              <w:object>
                <v:shape id="_x0000_i1112" o:spt="75" type="#_x0000_t75" style="height:15pt;width:10pt;" o:ole="t" filled="f" o:preferrelative="t" stroked="f" coordsize="21600,21600">
                  <v:path/>
                  <v:fill on="f" focussize="0,0"/>
                  <v:stroke on="f"/>
                  <v:imagedata r:id="rId186" o:title=""/>
                  <o:lock v:ext="edit" aspectratio="t"/>
                  <w10:wrap type="none"/>
                  <w10:anchorlock/>
                </v:shape>
                <o:OLEObject Type="Embed" ProgID="Equation.KSEE3" ShapeID="_x0000_i1112" DrawAspect="Content" ObjectID="_1468075812" r:id="rId185">
                  <o:LockedField>false</o:LockedField>
                </o:OLEObject>
              </w:object>
            </w:r>
            <w:r>
              <w:rPr>
                <w:rFonts w:hint="default"/>
              </w:rPr>
              <w:t>声源工作时间，s。</w:t>
            </w:r>
          </w:p>
          <w:p w14:paraId="6CFF8FDF">
            <w:pPr>
              <w:bidi w:val="0"/>
              <w:rPr>
                <w:rFonts w:hint="default"/>
              </w:rPr>
            </w:pPr>
            <w:r>
              <w:rPr>
                <w:rFonts w:hint="eastAsia"/>
                <w:lang w:val="en-US" w:eastAsia="zh-CN"/>
              </w:rPr>
              <w:t>（2）</w:t>
            </w:r>
            <w:r>
              <w:rPr>
                <w:rFonts w:hint="default"/>
              </w:rPr>
              <w:t>预测结果</w:t>
            </w:r>
          </w:p>
          <w:p w14:paraId="1D209901">
            <w:pPr>
              <w:bidi w:val="0"/>
              <w:rPr>
                <w:rFonts w:hint="default"/>
                <w:lang w:val="nl" w:eastAsia="zh-CN"/>
              </w:rPr>
            </w:pPr>
            <w:r>
              <w:rPr>
                <w:rFonts w:hint="default"/>
              </w:rPr>
              <w:t>本工程在设计中尽量选用技术先进、低噪声的设备</w:t>
            </w:r>
            <w:r>
              <w:rPr>
                <w:rFonts w:hint="default"/>
                <w:lang w:eastAsia="zh-CN"/>
              </w:rPr>
              <w:t>；</w:t>
            </w:r>
            <w:r>
              <w:rPr>
                <w:rFonts w:hint="default"/>
              </w:rPr>
              <w:t>对各类高噪设备采取隔声减振等措施。根据各噪声源与预测点相对位置关系可知各噪声源到预测点的屏蔽衰减量。计算声能在户外传播中各种衰减因素时，只考虑屏障衰减、距离衰减，其它影响的衰减如空气吸</w:t>
            </w:r>
            <w:r>
              <w:rPr>
                <w:rFonts w:hint="default"/>
                <w:lang w:val="nl"/>
              </w:rPr>
              <w:t>收、地面效应等均作为预测计算的安全系数</w:t>
            </w:r>
            <w:r>
              <w:rPr>
                <w:rFonts w:hint="default"/>
                <w:lang w:val="nl" w:eastAsia="zh-CN"/>
              </w:rPr>
              <w:t>。</w:t>
            </w:r>
          </w:p>
          <w:p w14:paraId="3E57F12B">
            <w:pPr>
              <w:bidi w:val="0"/>
              <w:rPr>
                <w:rFonts w:hint="default"/>
                <w:lang w:val="nl" w:eastAsia="zh-CN"/>
              </w:rPr>
            </w:pPr>
            <w:r>
              <w:rPr>
                <w:rFonts w:hint="default"/>
                <w:lang w:val="nl" w:eastAsia="zh-CN"/>
              </w:rPr>
              <w:t>经预测，</w:t>
            </w:r>
            <w:r>
              <w:rPr>
                <w:rFonts w:hint="eastAsia"/>
                <w:lang w:val="nl" w:eastAsia="zh-CN"/>
              </w:rPr>
              <w:t>边界</w:t>
            </w:r>
            <w:r>
              <w:rPr>
                <w:rFonts w:hint="default"/>
                <w:lang w:val="nl" w:eastAsia="zh-CN"/>
              </w:rPr>
              <w:t>噪声预测计算及结果见</w:t>
            </w:r>
            <w:r>
              <w:rPr>
                <w:rFonts w:hint="eastAsia"/>
                <w:lang w:val="nl" w:eastAsia="zh-CN"/>
              </w:rPr>
              <w:t>下表</w:t>
            </w:r>
            <w:r>
              <w:rPr>
                <w:rFonts w:hint="default"/>
                <w:lang w:val="nl" w:eastAsia="zh-CN"/>
              </w:rPr>
              <w:t>。</w:t>
            </w:r>
          </w:p>
          <w:p w14:paraId="5B758898">
            <w:pPr>
              <w:pStyle w:val="22"/>
              <w:bidi w:val="0"/>
              <w:rPr>
                <w:rFonts w:hint="default"/>
                <w:lang w:val="nl" w:eastAsia="zh-CN" w:bidi="ar-SA"/>
              </w:rPr>
            </w:pPr>
            <w:r>
              <w:rPr>
                <w:rFonts w:hint="eastAsia"/>
                <w:lang w:val="nl" w:eastAsia="zh-CN" w:bidi="ar-SA"/>
              </w:rPr>
              <w:t>边界</w:t>
            </w:r>
            <w:r>
              <w:rPr>
                <w:rFonts w:hint="default"/>
                <w:lang w:val="nl" w:eastAsia="zh-CN" w:bidi="ar-SA"/>
              </w:rPr>
              <w:t>噪声预测结果</w:t>
            </w:r>
            <w:r>
              <w:rPr>
                <w:rFonts w:hint="eastAsia"/>
                <w:lang w:val="en-US" w:eastAsia="zh-CN" w:bidi="ar-SA"/>
              </w:rPr>
              <w:t xml:space="preserve">  </w:t>
            </w:r>
            <w:r>
              <w:rPr>
                <w:rFonts w:hint="default"/>
                <w:lang w:val="nl" w:eastAsia="zh-CN" w:bidi="ar-SA"/>
              </w:rPr>
              <w:t>单位：dB(A)</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831"/>
              <w:gridCol w:w="1661"/>
              <w:gridCol w:w="1661"/>
              <w:gridCol w:w="1662"/>
              <w:gridCol w:w="1662"/>
            </w:tblGrid>
            <w:tr w14:paraId="471A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1" w:type="dxa"/>
                  <w:gridSpan w:val="2"/>
                  <w:vAlign w:val="center"/>
                </w:tcPr>
                <w:p w14:paraId="0C9F2517">
                  <w:pPr>
                    <w:pStyle w:val="23"/>
                    <w:bidi w:val="0"/>
                    <w:rPr>
                      <w:rFonts w:hint="eastAsia"/>
                      <w:lang w:val="en-US" w:eastAsia="zh-CN" w:bidi="ar-SA"/>
                    </w:rPr>
                  </w:pPr>
                  <w:r>
                    <w:rPr>
                      <w:rFonts w:hint="eastAsia"/>
                      <w:lang w:val="en-US" w:eastAsia="zh-CN" w:bidi="ar-SA"/>
                    </w:rPr>
                    <w:t>厂界方位</w:t>
                  </w:r>
                </w:p>
              </w:tc>
              <w:tc>
                <w:tcPr>
                  <w:tcW w:w="1661" w:type="dxa"/>
                  <w:vAlign w:val="center"/>
                </w:tcPr>
                <w:p w14:paraId="1662E767">
                  <w:pPr>
                    <w:pStyle w:val="23"/>
                    <w:bidi w:val="0"/>
                    <w:rPr>
                      <w:rFonts w:hint="eastAsia"/>
                      <w:lang w:val="en-US" w:eastAsia="zh-CN" w:bidi="ar-SA"/>
                    </w:rPr>
                  </w:pPr>
                  <w:r>
                    <w:rPr>
                      <w:rFonts w:hint="eastAsia"/>
                      <w:lang w:val="en-US" w:eastAsia="zh-CN" w:bidi="ar-SA"/>
                    </w:rPr>
                    <w:t>贡献值</w:t>
                  </w:r>
                </w:p>
              </w:tc>
              <w:tc>
                <w:tcPr>
                  <w:tcW w:w="1661" w:type="dxa"/>
                  <w:vAlign w:val="center"/>
                </w:tcPr>
                <w:p w14:paraId="2819547E">
                  <w:pPr>
                    <w:pStyle w:val="23"/>
                    <w:bidi w:val="0"/>
                    <w:rPr>
                      <w:rFonts w:hint="eastAsia"/>
                      <w:lang w:val="en-US" w:eastAsia="zh-CN" w:bidi="ar-SA"/>
                    </w:rPr>
                  </w:pPr>
                  <w:r>
                    <w:rPr>
                      <w:rFonts w:hint="eastAsia"/>
                      <w:lang w:val="en-US" w:eastAsia="zh-CN" w:bidi="ar-SA"/>
                    </w:rPr>
                    <w:t>厂界标准值</w:t>
                  </w:r>
                </w:p>
              </w:tc>
              <w:tc>
                <w:tcPr>
                  <w:tcW w:w="1662" w:type="dxa"/>
                  <w:vAlign w:val="center"/>
                </w:tcPr>
                <w:p w14:paraId="0F38FD1D">
                  <w:pPr>
                    <w:pStyle w:val="23"/>
                    <w:bidi w:val="0"/>
                    <w:rPr>
                      <w:rFonts w:hint="eastAsia"/>
                      <w:lang w:val="en-US" w:eastAsia="zh-CN" w:bidi="ar-SA"/>
                    </w:rPr>
                  </w:pPr>
                  <w:r>
                    <w:rPr>
                      <w:rFonts w:hint="eastAsia"/>
                      <w:lang w:val="en-US" w:eastAsia="zh-CN" w:bidi="ar-SA"/>
                    </w:rPr>
                    <w:t>声功能区类别</w:t>
                  </w:r>
                </w:p>
              </w:tc>
              <w:tc>
                <w:tcPr>
                  <w:tcW w:w="1662" w:type="dxa"/>
                  <w:vAlign w:val="center"/>
                </w:tcPr>
                <w:p w14:paraId="24A74B6E">
                  <w:pPr>
                    <w:pStyle w:val="23"/>
                    <w:bidi w:val="0"/>
                    <w:rPr>
                      <w:rFonts w:hint="eastAsia"/>
                      <w:lang w:val="en-US" w:eastAsia="zh-CN" w:bidi="ar-SA"/>
                    </w:rPr>
                  </w:pPr>
                  <w:r>
                    <w:rPr>
                      <w:rFonts w:hint="eastAsia"/>
                      <w:lang w:val="en-US" w:eastAsia="zh-CN" w:bidi="ar-SA"/>
                    </w:rPr>
                    <w:t>是否达标</w:t>
                  </w:r>
                </w:p>
              </w:tc>
            </w:tr>
            <w:tr w14:paraId="5445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30" w:type="dxa"/>
                  <w:vMerge w:val="restart"/>
                  <w:vAlign w:val="center"/>
                </w:tcPr>
                <w:p w14:paraId="280016F0">
                  <w:pPr>
                    <w:pStyle w:val="23"/>
                    <w:bidi w:val="0"/>
                    <w:rPr>
                      <w:rFonts w:hint="eastAsia"/>
                      <w:lang w:val="en-US" w:eastAsia="zh-CN" w:bidi="ar-SA"/>
                    </w:rPr>
                  </w:pPr>
                  <w:r>
                    <w:rPr>
                      <w:rFonts w:hint="eastAsia"/>
                      <w:lang w:val="en-US" w:eastAsia="zh-CN" w:bidi="ar-SA"/>
                    </w:rPr>
                    <w:t>东</w:t>
                  </w:r>
                </w:p>
              </w:tc>
              <w:tc>
                <w:tcPr>
                  <w:tcW w:w="831" w:type="dxa"/>
                  <w:vAlign w:val="center"/>
                </w:tcPr>
                <w:p w14:paraId="05649DAD">
                  <w:pPr>
                    <w:pStyle w:val="23"/>
                    <w:bidi w:val="0"/>
                    <w:rPr>
                      <w:rFonts w:hint="eastAsia"/>
                      <w:lang w:val="en-US" w:eastAsia="zh-CN" w:bidi="ar-SA"/>
                    </w:rPr>
                  </w:pPr>
                  <w:r>
                    <w:rPr>
                      <w:rFonts w:hint="eastAsia"/>
                      <w:lang w:val="en-US" w:eastAsia="zh-CN" w:bidi="ar-SA"/>
                    </w:rPr>
                    <w:t>昼间</w:t>
                  </w:r>
                </w:p>
              </w:tc>
              <w:tc>
                <w:tcPr>
                  <w:tcW w:w="1661" w:type="dxa"/>
                  <w:vAlign w:val="center"/>
                </w:tcPr>
                <w:p w14:paraId="49455C23">
                  <w:pPr>
                    <w:pStyle w:val="23"/>
                    <w:bidi w:val="0"/>
                    <w:rPr>
                      <w:rFonts w:hint="default"/>
                      <w:lang w:val="en-US" w:eastAsia="zh-CN" w:bidi="ar-SA"/>
                    </w:rPr>
                  </w:pPr>
                  <w:r>
                    <w:rPr>
                      <w:rFonts w:hint="eastAsia"/>
                      <w:lang w:val="en-US" w:eastAsia="zh-CN" w:bidi="ar-SA"/>
                    </w:rPr>
                    <w:t>45.8</w:t>
                  </w:r>
                </w:p>
              </w:tc>
              <w:tc>
                <w:tcPr>
                  <w:tcW w:w="1661" w:type="dxa"/>
                  <w:shd w:val="clear" w:color="auto" w:fill="auto"/>
                  <w:vAlign w:val="center"/>
                </w:tcPr>
                <w:p w14:paraId="2F76DF3A">
                  <w:pPr>
                    <w:pStyle w:val="23"/>
                    <w:bidi w:val="0"/>
                    <w:rPr>
                      <w:rFonts w:hint="eastAsia"/>
                      <w:lang w:val="en-US" w:eastAsia="zh-CN" w:bidi="ar-SA"/>
                    </w:rPr>
                  </w:pPr>
                  <w:r>
                    <w:rPr>
                      <w:rFonts w:hint="eastAsia"/>
                      <w:lang w:val="en-US" w:eastAsia="zh-CN" w:bidi="ar-SA"/>
                    </w:rPr>
                    <w:t>70</w:t>
                  </w:r>
                </w:p>
              </w:tc>
              <w:tc>
                <w:tcPr>
                  <w:tcW w:w="1662" w:type="dxa"/>
                  <w:vMerge w:val="restart"/>
                  <w:vAlign w:val="center"/>
                </w:tcPr>
                <w:p w14:paraId="1615DE26">
                  <w:pPr>
                    <w:pStyle w:val="23"/>
                    <w:bidi w:val="0"/>
                    <w:rPr>
                      <w:rFonts w:hint="default"/>
                      <w:lang w:val="en-US" w:eastAsia="zh-CN" w:bidi="ar-SA"/>
                    </w:rPr>
                  </w:pPr>
                  <w:r>
                    <w:rPr>
                      <w:rFonts w:hint="eastAsia"/>
                      <w:lang w:val="en-US" w:eastAsia="zh-CN" w:bidi="ar-SA"/>
                    </w:rPr>
                    <w:t>4类</w:t>
                  </w:r>
                </w:p>
              </w:tc>
              <w:tc>
                <w:tcPr>
                  <w:tcW w:w="1662" w:type="dxa"/>
                  <w:vAlign w:val="center"/>
                </w:tcPr>
                <w:p w14:paraId="517C3448">
                  <w:pPr>
                    <w:pStyle w:val="23"/>
                    <w:bidi w:val="0"/>
                    <w:rPr>
                      <w:rFonts w:hint="eastAsia"/>
                      <w:lang w:val="en-US" w:eastAsia="zh-CN" w:bidi="ar-SA"/>
                    </w:rPr>
                  </w:pPr>
                  <w:r>
                    <w:rPr>
                      <w:rFonts w:hint="eastAsia"/>
                      <w:lang w:val="en-US" w:eastAsia="zh-CN" w:bidi="ar-SA"/>
                    </w:rPr>
                    <w:t>是</w:t>
                  </w:r>
                </w:p>
              </w:tc>
            </w:tr>
            <w:tr w14:paraId="2E1C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30" w:type="dxa"/>
                  <w:vMerge w:val="continue"/>
                  <w:vAlign w:val="center"/>
                </w:tcPr>
                <w:p w14:paraId="5C0C2843">
                  <w:pPr>
                    <w:pStyle w:val="23"/>
                    <w:bidi w:val="0"/>
                    <w:rPr>
                      <w:rFonts w:hint="eastAsia"/>
                      <w:lang w:val="en-US" w:eastAsia="zh-CN" w:bidi="ar-SA"/>
                    </w:rPr>
                  </w:pPr>
                </w:p>
              </w:tc>
              <w:tc>
                <w:tcPr>
                  <w:tcW w:w="831" w:type="dxa"/>
                  <w:vAlign w:val="center"/>
                </w:tcPr>
                <w:p w14:paraId="42A1E91E">
                  <w:pPr>
                    <w:pStyle w:val="23"/>
                    <w:bidi w:val="0"/>
                    <w:rPr>
                      <w:rFonts w:hint="eastAsia"/>
                      <w:lang w:val="en-US" w:eastAsia="zh-CN" w:bidi="ar-SA"/>
                    </w:rPr>
                  </w:pPr>
                  <w:r>
                    <w:rPr>
                      <w:rFonts w:hint="eastAsia"/>
                      <w:lang w:val="en-US" w:eastAsia="zh-CN" w:bidi="ar-SA"/>
                    </w:rPr>
                    <w:t>夜间</w:t>
                  </w:r>
                </w:p>
              </w:tc>
              <w:tc>
                <w:tcPr>
                  <w:tcW w:w="1661" w:type="dxa"/>
                  <w:vAlign w:val="center"/>
                </w:tcPr>
                <w:p w14:paraId="64D8217C">
                  <w:pPr>
                    <w:pStyle w:val="23"/>
                    <w:bidi w:val="0"/>
                    <w:rPr>
                      <w:rFonts w:hint="default"/>
                      <w:lang w:val="en-US" w:eastAsia="zh-CN" w:bidi="ar-SA"/>
                    </w:rPr>
                  </w:pPr>
                  <w:r>
                    <w:rPr>
                      <w:rFonts w:hint="eastAsia"/>
                      <w:lang w:val="en-US" w:eastAsia="zh-CN" w:bidi="ar-SA"/>
                    </w:rPr>
                    <w:t>45.8</w:t>
                  </w:r>
                </w:p>
              </w:tc>
              <w:tc>
                <w:tcPr>
                  <w:tcW w:w="1661" w:type="dxa"/>
                  <w:shd w:val="clear" w:color="auto" w:fill="auto"/>
                  <w:vAlign w:val="center"/>
                </w:tcPr>
                <w:p w14:paraId="096ABC9E">
                  <w:pPr>
                    <w:pStyle w:val="23"/>
                    <w:bidi w:val="0"/>
                    <w:rPr>
                      <w:rFonts w:hint="eastAsia"/>
                      <w:lang w:val="en-US" w:eastAsia="zh-CN" w:bidi="ar-SA"/>
                    </w:rPr>
                  </w:pPr>
                  <w:r>
                    <w:rPr>
                      <w:rFonts w:hint="eastAsia"/>
                      <w:lang w:val="en-US" w:eastAsia="zh-CN" w:bidi="ar-SA"/>
                    </w:rPr>
                    <w:t>55</w:t>
                  </w:r>
                </w:p>
              </w:tc>
              <w:tc>
                <w:tcPr>
                  <w:tcW w:w="1662" w:type="dxa"/>
                  <w:vMerge w:val="continue"/>
                  <w:vAlign w:val="center"/>
                </w:tcPr>
                <w:p w14:paraId="35976811">
                  <w:pPr>
                    <w:pStyle w:val="23"/>
                    <w:bidi w:val="0"/>
                    <w:rPr>
                      <w:rFonts w:hint="eastAsia"/>
                      <w:lang w:val="en-US" w:eastAsia="zh-CN" w:bidi="ar-SA"/>
                    </w:rPr>
                  </w:pPr>
                </w:p>
              </w:tc>
              <w:tc>
                <w:tcPr>
                  <w:tcW w:w="1662" w:type="dxa"/>
                  <w:vAlign w:val="center"/>
                </w:tcPr>
                <w:p w14:paraId="7F969DE9">
                  <w:pPr>
                    <w:pStyle w:val="23"/>
                    <w:bidi w:val="0"/>
                    <w:rPr>
                      <w:rFonts w:hint="eastAsia"/>
                      <w:lang w:val="en-US" w:eastAsia="zh-CN" w:bidi="ar-SA"/>
                    </w:rPr>
                  </w:pPr>
                  <w:r>
                    <w:rPr>
                      <w:rFonts w:hint="eastAsia"/>
                      <w:lang w:val="en-US" w:eastAsia="zh-CN" w:bidi="ar-SA"/>
                    </w:rPr>
                    <w:t>是</w:t>
                  </w:r>
                </w:p>
              </w:tc>
            </w:tr>
            <w:tr w14:paraId="280D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30" w:type="dxa"/>
                  <w:vMerge w:val="restart"/>
                  <w:shd w:val="clear" w:color="auto" w:fill="auto"/>
                  <w:vAlign w:val="center"/>
                </w:tcPr>
                <w:p w14:paraId="5C3A0B50">
                  <w:pPr>
                    <w:pStyle w:val="23"/>
                    <w:bidi w:val="0"/>
                    <w:rPr>
                      <w:rFonts w:hint="eastAsia"/>
                      <w:lang w:val="en-US" w:eastAsia="zh-CN" w:bidi="ar-SA"/>
                    </w:rPr>
                  </w:pPr>
                  <w:r>
                    <w:rPr>
                      <w:rFonts w:hint="eastAsia"/>
                      <w:lang w:val="en-US" w:eastAsia="zh-CN" w:bidi="ar-SA"/>
                    </w:rPr>
                    <w:t>南</w:t>
                  </w:r>
                </w:p>
              </w:tc>
              <w:tc>
                <w:tcPr>
                  <w:tcW w:w="831" w:type="dxa"/>
                  <w:shd w:val="clear" w:color="auto" w:fill="auto"/>
                  <w:vAlign w:val="center"/>
                </w:tcPr>
                <w:p w14:paraId="661BFAB3">
                  <w:pPr>
                    <w:pStyle w:val="23"/>
                    <w:bidi w:val="0"/>
                    <w:rPr>
                      <w:rFonts w:hint="eastAsia"/>
                      <w:lang w:val="en-US" w:eastAsia="zh-CN" w:bidi="ar-SA"/>
                    </w:rPr>
                  </w:pPr>
                  <w:r>
                    <w:rPr>
                      <w:rFonts w:hint="eastAsia"/>
                      <w:lang w:val="en-US" w:eastAsia="zh-CN" w:bidi="ar-SA"/>
                    </w:rPr>
                    <w:t>昼间</w:t>
                  </w:r>
                </w:p>
              </w:tc>
              <w:tc>
                <w:tcPr>
                  <w:tcW w:w="1661" w:type="dxa"/>
                  <w:shd w:val="clear" w:color="auto" w:fill="auto"/>
                  <w:vAlign w:val="center"/>
                </w:tcPr>
                <w:p w14:paraId="0E47203A">
                  <w:pPr>
                    <w:pStyle w:val="23"/>
                    <w:bidi w:val="0"/>
                    <w:rPr>
                      <w:rFonts w:hint="default"/>
                      <w:lang w:val="en-US" w:eastAsia="zh-CN" w:bidi="ar-SA"/>
                    </w:rPr>
                  </w:pPr>
                  <w:r>
                    <w:rPr>
                      <w:rFonts w:hint="eastAsia"/>
                      <w:lang w:val="en-US" w:eastAsia="zh-CN" w:bidi="ar-SA"/>
                    </w:rPr>
                    <w:t>49.2</w:t>
                  </w:r>
                </w:p>
              </w:tc>
              <w:tc>
                <w:tcPr>
                  <w:tcW w:w="1661" w:type="dxa"/>
                  <w:shd w:val="clear" w:color="auto" w:fill="auto"/>
                  <w:vAlign w:val="center"/>
                </w:tcPr>
                <w:p w14:paraId="78BF10B1">
                  <w:pPr>
                    <w:pStyle w:val="23"/>
                    <w:bidi w:val="0"/>
                    <w:rPr>
                      <w:rFonts w:hint="eastAsia"/>
                      <w:lang w:val="en-US" w:eastAsia="zh-CN" w:bidi="ar-SA"/>
                    </w:rPr>
                  </w:pPr>
                  <w:r>
                    <w:rPr>
                      <w:rFonts w:hint="eastAsia"/>
                      <w:lang w:val="en-US" w:eastAsia="zh-CN" w:bidi="ar-SA"/>
                    </w:rPr>
                    <w:t>70</w:t>
                  </w:r>
                </w:p>
              </w:tc>
              <w:tc>
                <w:tcPr>
                  <w:tcW w:w="1662" w:type="dxa"/>
                  <w:vMerge w:val="continue"/>
                  <w:vAlign w:val="center"/>
                </w:tcPr>
                <w:p w14:paraId="344CBCDD">
                  <w:pPr>
                    <w:pStyle w:val="23"/>
                    <w:bidi w:val="0"/>
                    <w:rPr>
                      <w:rFonts w:hint="eastAsia"/>
                      <w:lang w:val="en-US" w:eastAsia="zh-CN" w:bidi="ar-SA"/>
                    </w:rPr>
                  </w:pPr>
                </w:p>
              </w:tc>
              <w:tc>
                <w:tcPr>
                  <w:tcW w:w="1662" w:type="dxa"/>
                  <w:vAlign w:val="center"/>
                </w:tcPr>
                <w:p w14:paraId="135B601B">
                  <w:pPr>
                    <w:pStyle w:val="23"/>
                    <w:bidi w:val="0"/>
                    <w:rPr>
                      <w:rFonts w:hint="eastAsia"/>
                      <w:lang w:val="en-US" w:eastAsia="zh-CN" w:bidi="ar-SA"/>
                    </w:rPr>
                  </w:pPr>
                  <w:r>
                    <w:rPr>
                      <w:rFonts w:hint="eastAsia"/>
                      <w:lang w:val="en-US" w:eastAsia="zh-CN" w:bidi="ar-SA"/>
                    </w:rPr>
                    <w:t>是</w:t>
                  </w:r>
                </w:p>
              </w:tc>
            </w:tr>
            <w:tr w14:paraId="4316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30" w:type="dxa"/>
                  <w:vMerge w:val="continue"/>
                  <w:shd w:val="clear" w:color="auto" w:fill="auto"/>
                  <w:vAlign w:val="center"/>
                </w:tcPr>
                <w:p w14:paraId="5CF45EA2">
                  <w:pPr>
                    <w:pStyle w:val="23"/>
                    <w:bidi w:val="0"/>
                    <w:rPr>
                      <w:rFonts w:hint="eastAsia"/>
                      <w:lang w:val="en-US" w:eastAsia="zh-CN" w:bidi="ar-SA"/>
                    </w:rPr>
                  </w:pPr>
                </w:p>
              </w:tc>
              <w:tc>
                <w:tcPr>
                  <w:tcW w:w="831" w:type="dxa"/>
                  <w:shd w:val="clear" w:color="auto" w:fill="auto"/>
                  <w:vAlign w:val="center"/>
                </w:tcPr>
                <w:p w14:paraId="16AADEF3">
                  <w:pPr>
                    <w:pStyle w:val="23"/>
                    <w:bidi w:val="0"/>
                    <w:rPr>
                      <w:rFonts w:hint="eastAsia"/>
                      <w:lang w:val="en-US" w:eastAsia="zh-CN" w:bidi="ar-SA"/>
                    </w:rPr>
                  </w:pPr>
                  <w:r>
                    <w:rPr>
                      <w:rFonts w:hint="eastAsia"/>
                      <w:lang w:val="en-US" w:eastAsia="zh-CN" w:bidi="ar-SA"/>
                    </w:rPr>
                    <w:t>夜间</w:t>
                  </w:r>
                </w:p>
              </w:tc>
              <w:tc>
                <w:tcPr>
                  <w:tcW w:w="1661" w:type="dxa"/>
                  <w:shd w:val="clear" w:color="auto" w:fill="auto"/>
                  <w:vAlign w:val="center"/>
                </w:tcPr>
                <w:p w14:paraId="48BBA765">
                  <w:pPr>
                    <w:pStyle w:val="23"/>
                    <w:bidi w:val="0"/>
                    <w:rPr>
                      <w:rFonts w:hint="default"/>
                      <w:lang w:val="en-US" w:eastAsia="zh-CN" w:bidi="ar-SA"/>
                    </w:rPr>
                  </w:pPr>
                  <w:r>
                    <w:rPr>
                      <w:rFonts w:hint="eastAsia"/>
                      <w:lang w:val="en-US" w:eastAsia="zh-CN" w:bidi="ar-SA"/>
                    </w:rPr>
                    <w:t>49.2</w:t>
                  </w:r>
                </w:p>
              </w:tc>
              <w:tc>
                <w:tcPr>
                  <w:tcW w:w="1661" w:type="dxa"/>
                  <w:shd w:val="clear" w:color="auto" w:fill="auto"/>
                  <w:vAlign w:val="center"/>
                </w:tcPr>
                <w:p w14:paraId="51861C77">
                  <w:pPr>
                    <w:pStyle w:val="23"/>
                    <w:bidi w:val="0"/>
                    <w:rPr>
                      <w:rFonts w:hint="eastAsia"/>
                      <w:lang w:val="en-US" w:eastAsia="zh-CN" w:bidi="ar-SA"/>
                    </w:rPr>
                  </w:pPr>
                  <w:r>
                    <w:rPr>
                      <w:rFonts w:hint="eastAsia"/>
                      <w:lang w:val="en-US" w:eastAsia="zh-CN" w:bidi="ar-SA"/>
                    </w:rPr>
                    <w:t>55</w:t>
                  </w:r>
                </w:p>
              </w:tc>
              <w:tc>
                <w:tcPr>
                  <w:tcW w:w="1662" w:type="dxa"/>
                  <w:vMerge w:val="continue"/>
                  <w:vAlign w:val="center"/>
                </w:tcPr>
                <w:p w14:paraId="12120B03">
                  <w:pPr>
                    <w:pStyle w:val="23"/>
                    <w:bidi w:val="0"/>
                    <w:rPr>
                      <w:rFonts w:hint="default"/>
                      <w:lang w:val="en-US" w:eastAsia="zh-CN" w:bidi="ar-SA"/>
                    </w:rPr>
                  </w:pPr>
                </w:p>
              </w:tc>
              <w:tc>
                <w:tcPr>
                  <w:tcW w:w="1662" w:type="dxa"/>
                  <w:vAlign w:val="center"/>
                </w:tcPr>
                <w:p w14:paraId="5BC7A8E1">
                  <w:pPr>
                    <w:pStyle w:val="23"/>
                    <w:bidi w:val="0"/>
                    <w:rPr>
                      <w:rFonts w:hint="eastAsia"/>
                      <w:lang w:val="en-US" w:eastAsia="zh-CN" w:bidi="ar-SA"/>
                    </w:rPr>
                  </w:pPr>
                  <w:r>
                    <w:rPr>
                      <w:rFonts w:hint="eastAsia"/>
                      <w:lang w:val="en-US" w:eastAsia="zh-CN" w:bidi="ar-SA"/>
                    </w:rPr>
                    <w:t>是</w:t>
                  </w:r>
                </w:p>
              </w:tc>
            </w:tr>
            <w:tr w14:paraId="1F2A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30" w:type="dxa"/>
                  <w:vMerge w:val="restart"/>
                  <w:shd w:val="clear" w:color="auto" w:fill="auto"/>
                  <w:vAlign w:val="center"/>
                </w:tcPr>
                <w:p w14:paraId="336E7E61">
                  <w:pPr>
                    <w:pStyle w:val="23"/>
                    <w:bidi w:val="0"/>
                    <w:rPr>
                      <w:rFonts w:hint="eastAsia"/>
                      <w:lang w:val="en-US" w:eastAsia="zh-CN" w:bidi="ar-SA"/>
                    </w:rPr>
                  </w:pPr>
                  <w:r>
                    <w:rPr>
                      <w:rFonts w:hint="eastAsia"/>
                      <w:lang w:val="en-US" w:eastAsia="zh-CN" w:bidi="ar-SA"/>
                    </w:rPr>
                    <w:t>西</w:t>
                  </w:r>
                </w:p>
              </w:tc>
              <w:tc>
                <w:tcPr>
                  <w:tcW w:w="831" w:type="dxa"/>
                  <w:shd w:val="clear" w:color="auto" w:fill="auto"/>
                  <w:vAlign w:val="center"/>
                </w:tcPr>
                <w:p w14:paraId="746F7BFB">
                  <w:pPr>
                    <w:pStyle w:val="23"/>
                    <w:bidi w:val="0"/>
                    <w:rPr>
                      <w:rFonts w:hint="eastAsia"/>
                      <w:lang w:val="en-US" w:eastAsia="zh-CN" w:bidi="ar-SA"/>
                    </w:rPr>
                  </w:pPr>
                  <w:r>
                    <w:rPr>
                      <w:rFonts w:hint="eastAsia"/>
                      <w:lang w:val="en-US" w:eastAsia="zh-CN" w:bidi="ar-SA"/>
                    </w:rPr>
                    <w:t>昼间</w:t>
                  </w:r>
                </w:p>
              </w:tc>
              <w:tc>
                <w:tcPr>
                  <w:tcW w:w="1661" w:type="dxa"/>
                  <w:vAlign w:val="center"/>
                </w:tcPr>
                <w:p w14:paraId="652B1D53">
                  <w:pPr>
                    <w:pStyle w:val="23"/>
                    <w:bidi w:val="0"/>
                    <w:rPr>
                      <w:rFonts w:hint="default"/>
                      <w:lang w:val="en-US" w:eastAsia="zh-CN" w:bidi="ar-SA"/>
                    </w:rPr>
                  </w:pPr>
                  <w:r>
                    <w:rPr>
                      <w:rFonts w:hint="eastAsia"/>
                      <w:lang w:val="en-US" w:eastAsia="zh-CN" w:bidi="ar-SA"/>
                    </w:rPr>
                    <w:t>42.3</w:t>
                  </w:r>
                </w:p>
              </w:tc>
              <w:tc>
                <w:tcPr>
                  <w:tcW w:w="1661" w:type="dxa"/>
                  <w:shd w:val="clear" w:color="auto" w:fill="auto"/>
                  <w:vAlign w:val="center"/>
                </w:tcPr>
                <w:p w14:paraId="423838BD">
                  <w:pPr>
                    <w:pStyle w:val="23"/>
                    <w:bidi w:val="0"/>
                    <w:rPr>
                      <w:rFonts w:hint="eastAsia"/>
                      <w:lang w:val="en-US" w:eastAsia="zh-CN" w:bidi="ar-SA"/>
                    </w:rPr>
                  </w:pPr>
                  <w:r>
                    <w:rPr>
                      <w:rFonts w:hint="eastAsia"/>
                      <w:lang w:val="en-US" w:eastAsia="zh-CN" w:bidi="ar-SA"/>
                    </w:rPr>
                    <w:t>60</w:t>
                  </w:r>
                </w:p>
              </w:tc>
              <w:tc>
                <w:tcPr>
                  <w:tcW w:w="1662" w:type="dxa"/>
                  <w:vMerge w:val="restart"/>
                  <w:vAlign w:val="center"/>
                </w:tcPr>
                <w:p w14:paraId="2302234A">
                  <w:pPr>
                    <w:pStyle w:val="23"/>
                    <w:bidi w:val="0"/>
                    <w:rPr>
                      <w:rFonts w:hint="eastAsia"/>
                      <w:lang w:val="en-US" w:eastAsia="zh-CN" w:bidi="ar-SA"/>
                    </w:rPr>
                  </w:pPr>
                  <w:r>
                    <w:rPr>
                      <w:rFonts w:hint="eastAsia"/>
                      <w:lang w:val="en-US" w:eastAsia="zh-CN" w:bidi="ar-SA"/>
                    </w:rPr>
                    <w:t>2类</w:t>
                  </w:r>
                </w:p>
              </w:tc>
              <w:tc>
                <w:tcPr>
                  <w:tcW w:w="1662" w:type="dxa"/>
                  <w:vAlign w:val="center"/>
                </w:tcPr>
                <w:p w14:paraId="347AB5ED">
                  <w:pPr>
                    <w:pStyle w:val="23"/>
                    <w:bidi w:val="0"/>
                    <w:rPr>
                      <w:rFonts w:hint="eastAsia"/>
                      <w:lang w:val="en-US" w:eastAsia="zh-CN" w:bidi="ar-SA"/>
                    </w:rPr>
                  </w:pPr>
                  <w:r>
                    <w:rPr>
                      <w:rFonts w:hint="eastAsia"/>
                      <w:lang w:val="en-US" w:eastAsia="zh-CN" w:bidi="ar-SA"/>
                    </w:rPr>
                    <w:t>是</w:t>
                  </w:r>
                </w:p>
              </w:tc>
            </w:tr>
            <w:tr w14:paraId="05FB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 w:type="dxa"/>
                  <w:vMerge w:val="continue"/>
                  <w:shd w:val="clear" w:color="auto" w:fill="auto"/>
                  <w:vAlign w:val="center"/>
                </w:tcPr>
                <w:p w14:paraId="3B5682BE">
                  <w:pPr>
                    <w:pStyle w:val="23"/>
                    <w:bidi w:val="0"/>
                    <w:rPr>
                      <w:rFonts w:hint="eastAsia"/>
                      <w:lang w:val="en-US" w:eastAsia="zh-CN" w:bidi="ar-SA"/>
                    </w:rPr>
                  </w:pPr>
                </w:p>
              </w:tc>
              <w:tc>
                <w:tcPr>
                  <w:tcW w:w="831" w:type="dxa"/>
                  <w:shd w:val="clear" w:color="auto" w:fill="auto"/>
                  <w:vAlign w:val="center"/>
                </w:tcPr>
                <w:p w14:paraId="227EE2AF">
                  <w:pPr>
                    <w:pStyle w:val="23"/>
                    <w:bidi w:val="0"/>
                    <w:rPr>
                      <w:rFonts w:hint="eastAsia"/>
                      <w:lang w:val="en-US" w:eastAsia="zh-CN" w:bidi="ar-SA"/>
                    </w:rPr>
                  </w:pPr>
                  <w:r>
                    <w:rPr>
                      <w:rFonts w:hint="eastAsia"/>
                      <w:lang w:val="en-US" w:eastAsia="zh-CN" w:bidi="ar-SA"/>
                    </w:rPr>
                    <w:t>夜间</w:t>
                  </w:r>
                </w:p>
              </w:tc>
              <w:tc>
                <w:tcPr>
                  <w:tcW w:w="1661" w:type="dxa"/>
                  <w:vAlign w:val="center"/>
                </w:tcPr>
                <w:p w14:paraId="37FA0C44">
                  <w:pPr>
                    <w:pStyle w:val="23"/>
                    <w:bidi w:val="0"/>
                    <w:rPr>
                      <w:rFonts w:hint="default"/>
                      <w:lang w:val="en-US" w:eastAsia="zh-CN" w:bidi="ar-SA"/>
                    </w:rPr>
                  </w:pPr>
                  <w:r>
                    <w:rPr>
                      <w:rFonts w:hint="eastAsia"/>
                      <w:lang w:val="en-US" w:eastAsia="zh-CN" w:bidi="ar-SA"/>
                    </w:rPr>
                    <w:t>42.3</w:t>
                  </w:r>
                </w:p>
              </w:tc>
              <w:tc>
                <w:tcPr>
                  <w:tcW w:w="1661" w:type="dxa"/>
                  <w:shd w:val="clear" w:color="auto" w:fill="auto"/>
                  <w:vAlign w:val="center"/>
                </w:tcPr>
                <w:p w14:paraId="58C78DFC">
                  <w:pPr>
                    <w:pStyle w:val="23"/>
                    <w:bidi w:val="0"/>
                    <w:rPr>
                      <w:rFonts w:hint="eastAsia"/>
                      <w:lang w:val="en-US" w:eastAsia="zh-CN" w:bidi="ar-SA"/>
                    </w:rPr>
                  </w:pPr>
                  <w:r>
                    <w:rPr>
                      <w:rFonts w:hint="eastAsia"/>
                      <w:lang w:val="en-US" w:eastAsia="zh-CN" w:bidi="ar-SA"/>
                    </w:rPr>
                    <w:t>50</w:t>
                  </w:r>
                </w:p>
              </w:tc>
              <w:tc>
                <w:tcPr>
                  <w:tcW w:w="1662" w:type="dxa"/>
                  <w:vMerge w:val="continue"/>
                  <w:vAlign w:val="center"/>
                </w:tcPr>
                <w:p w14:paraId="0FF8017B">
                  <w:pPr>
                    <w:pStyle w:val="23"/>
                    <w:bidi w:val="0"/>
                    <w:rPr>
                      <w:rFonts w:hint="eastAsia"/>
                      <w:lang w:val="en-US" w:eastAsia="zh-CN" w:bidi="ar-SA"/>
                    </w:rPr>
                  </w:pPr>
                </w:p>
              </w:tc>
              <w:tc>
                <w:tcPr>
                  <w:tcW w:w="1662" w:type="dxa"/>
                  <w:vAlign w:val="center"/>
                </w:tcPr>
                <w:p w14:paraId="4914A5B4">
                  <w:pPr>
                    <w:pStyle w:val="23"/>
                    <w:bidi w:val="0"/>
                    <w:rPr>
                      <w:rFonts w:hint="eastAsia"/>
                      <w:lang w:val="en-US" w:eastAsia="zh-CN" w:bidi="ar-SA"/>
                    </w:rPr>
                  </w:pPr>
                  <w:r>
                    <w:rPr>
                      <w:rFonts w:hint="eastAsia"/>
                      <w:lang w:val="en-US" w:eastAsia="zh-CN" w:bidi="ar-SA"/>
                    </w:rPr>
                    <w:t>是</w:t>
                  </w:r>
                </w:p>
              </w:tc>
            </w:tr>
            <w:tr w14:paraId="60D9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30" w:type="dxa"/>
                  <w:vMerge w:val="restart"/>
                  <w:shd w:val="clear" w:color="auto" w:fill="auto"/>
                  <w:vAlign w:val="center"/>
                </w:tcPr>
                <w:p w14:paraId="3BA5E502">
                  <w:pPr>
                    <w:pStyle w:val="23"/>
                    <w:bidi w:val="0"/>
                    <w:rPr>
                      <w:rFonts w:hint="eastAsia"/>
                      <w:lang w:val="en-US" w:eastAsia="zh-CN" w:bidi="ar-SA"/>
                    </w:rPr>
                  </w:pPr>
                  <w:r>
                    <w:rPr>
                      <w:rFonts w:hint="eastAsia"/>
                      <w:lang w:val="en-US" w:eastAsia="zh-CN" w:bidi="ar-SA"/>
                    </w:rPr>
                    <w:t>北</w:t>
                  </w:r>
                </w:p>
              </w:tc>
              <w:tc>
                <w:tcPr>
                  <w:tcW w:w="831" w:type="dxa"/>
                  <w:shd w:val="clear" w:color="auto" w:fill="auto"/>
                  <w:vAlign w:val="center"/>
                </w:tcPr>
                <w:p w14:paraId="230C1927">
                  <w:pPr>
                    <w:pStyle w:val="23"/>
                    <w:bidi w:val="0"/>
                    <w:rPr>
                      <w:rFonts w:hint="eastAsia"/>
                      <w:lang w:val="en-US" w:eastAsia="zh-CN" w:bidi="ar-SA"/>
                    </w:rPr>
                  </w:pPr>
                  <w:r>
                    <w:rPr>
                      <w:rFonts w:hint="eastAsia"/>
                      <w:lang w:val="en-US" w:eastAsia="zh-CN" w:bidi="ar-SA"/>
                    </w:rPr>
                    <w:t>昼间</w:t>
                  </w:r>
                </w:p>
              </w:tc>
              <w:tc>
                <w:tcPr>
                  <w:tcW w:w="1661" w:type="dxa"/>
                  <w:shd w:val="clear" w:color="auto" w:fill="auto"/>
                  <w:vAlign w:val="center"/>
                </w:tcPr>
                <w:p w14:paraId="1214C1A4">
                  <w:pPr>
                    <w:pStyle w:val="23"/>
                    <w:bidi w:val="0"/>
                    <w:rPr>
                      <w:rFonts w:hint="default"/>
                      <w:lang w:val="en-US" w:eastAsia="zh-CN" w:bidi="ar-SA"/>
                    </w:rPr>
                  </w:pPr>
                  <w:r>
                    <w:rPr>
                      <w:rFonts w:hint="eastAsia"/>
                      <w:lang w:val="en-US" w:eastAsia="zh-CN" w:bidi="ar-SA"/>
                    </w:rPr>
                    <w:t>41.6</w:t>
                  </w:r>
                </w:p>
              </w:tc>
              <w:tc>
                <w:tcPr>
                  <w:tcW w:w="1661" w:type="dxa"/>
                  <w:shd w:val="clear" w:color="auto" w:fill="auto"/>
                  <w:vAlign w:val="center"/>
                </w:tcPr>
                <w:p w14:paraId="76BD2487">
                  <w:pPr>
                    <w:pStyle w:val="23"/>
                    <w:bidi w:val="0"/>
                    <w:rPr>
                      <w:rFonts w:hint="eastAsia"/>
                      <w:lang w:val="en-US" w:eastAsia="zh-CN" w:bidi="ar-SA"/>
                    </w:rPr>
                  </w:pPr>
                  <w:r>
                    <w:rPr>
                      <w:rFonts w:hint="eastAsia"/>
                      <w:lang w:val="en-US" w:eastAsia="zh-CN" w:bidi="ar-SA"/>
                    </w:rPr>
                    <w:t>60</w:t>
                  </w:r>
                </w:p>
              </w:tc>
              <w:tc>
                <w:tcPr>
                  <w:tcW w:w="1662" w:type="dxa"/>
                  <w:vMerge w:val="continue"/>
                  <w:vAlign w:val="center"/>
                </w:tcPr>
                <w:p w14:paraId="5E746653">
                  <w:pPr>
                    <w:pStyle w:val="23"/>
                    <w:bidi w:val="0"/>
                    <w:rPr>
                      <w:rFonts w:hint="eastAsia"/>
                      <w:lang w:val="en-US" w:eastAsia="zh-CN" w:bidi="ar-SA"/>
                    </w:rPr>
                  </w:pPr>
                </w:p>
              </w:tc>
              <w:tc>
                <w:tcPr>
                  <w:tcW w:w="1662" w:type="dxa"/>
                  <w:vAlign w:val="center"/>
                </w:tcPr>
                <w:p w14:paraId="19B57AD3">
                  <w:pPr>
                    <w:pStyle w:val="23"/>
                    <w:bidi w:val="0"/>
                    <w:rPr>
                      <w:rFonts w:hint="eastAsia"/>
                      <w:lang w:val="en-US" w:eastAsia="zh-CN" w:bidi="ar-SA"/>
                    </w:rPr>
                  </w:pPr>
                  <w:r>
                    <w:rPr>
                      <w:rFonts w:hint="eastAsia"/>
                      <w:lang w:val="en-US" w:eastAsia="zh-CN" w:bidi="ar-SA"/>
                    </w:rPr>
                    <w:t>是</w:t>
                  </w:r>
                </w:p>
              </w:tc>
            </w:tr>
            <w:tr w14:paraId="0BF4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30" w:type="dxa"/>
                  <w:vMerge w:val="continue"/>
                  <w:vAlign w:val="center"/>
                </w:tcPr>
                <w:p w14:paraId="6BD82438">
                  <w:pPr>
                    <w:pStyle w:val="23"/>
                    <w:bidi w:val="0"/>
                    <w:rPr>
                      <w:rFonts w:hint="eastAsia"/>
                      <w:lang w:val="en-US" w:eastAsia="zh-CN" w:bidi="ar-SA"/>
                    </w:rPr>
                  </w:pPr>
                </w:p>
              </w:tc>
              <w:tc>
                <w:tcPr>
                  <w:tcW w:w="831" w:type="dxa"/>
                  <w:vAlign w:val="center"/>
                </w:tcPr>
                <w:p w14:paraId="464D3C09">
                  <w:pPr>
                    <w:pStyle w:val="23"/>
                    <w:bidi w:val="0"/>
                    <w:rPr>
                      <w:rFonts w:hint="eastAsia"/>
                      <w:lang w:val="en-US" w:eastAsia="zh-CN" w:bidi="ar-SA"/>
                    </w:rPr>
                  </w:pPr>
                  <w:r>
                    <w:rPr>
                      <w:rFonts w:hint="eastAsia"/>
                      <w:lang w:val="en-US" w:eastAsia="zh-CN" w:bidi="ar-SA"/>
                    </w:rPr>
                    <w:t>夜间</w:t>
                  </w:r>
                </w:p>
              </w:tc>
              <w:tc>
                <w:tcPr>
                  <w:tcW w:w="1661" w:type="dxa"/>
                  <w:shd w:val="clear" w:color="auto" w:fill="auto"/>
                  <w:vAlign w:val="center"/>
                </w:tcPr>
                <w:p w14:paraId="069C9562">
                  <w:pPr>
                    <w:pStyle w:val="23"/>
                    <w:bidi w:val="0"/>
                    <w:rPr>
                      <w:rFonts w:hint="default"/>
                      <w:lang w:val="en-US" w:eastAsia="zh-CN" w:bidi="ar-SA"/>
                    </w:rPr>
                  </w:pPr>
                  <w:r>
                    <w:rPr>
                      <w:rFonts w:hint="eastAsia"/>
                      <w:lang w:val="en-US" w:eastAsia="zh-CN" w:bidi="ar-SA"/>
                    </w:rPr>
                    <w:t>41.6</w:t>
                  </w:r>
                </w:p>
              </w:tc>
              <w:tc>
                <w:tcPr>
                  <w:tcW w:w="1661" w:type="dxa"/>
                  <w:shd w:val="clear" w:color="auto" w:fill="auto"/>
                  <w:vAlign w:val="center"/>
                </w:tcPr>
                <w:p w14:paraId="672FE9CE">
                  <w:pPr>
                    <w:pStyle w:val="23"/>
                    <w:bidi w:val="0"/>
                    <w:rPr>
                      <w:rFonts w:hint="eastAsia"/>
                      <w:lang w:val="en-US" w:eastAsia="zh-CN" w:bidi="ar-SA"/>
                    </w:rPr>
                  </w:pPr>
                  <w:r>
                    <w:rPr>
                      <w:rFonts w:hint="eastAsia"/>
                      <w:lang w:val="en-US" w:eastAsia="zh-CN" w:bidi="ar-SA"/>
                    </w:rPr>
                    <w:t>50</w:t>
                  </w:r>
                </w:p>
              </w:tc>
              <w:tc>
                <w:tcPr>
                  <w:tcW w:w="1662" w:type="dxa"/>
                  <w:vMerge w:val="continue"/>
                  <w:vAlign w:val="center"/>
                </w:tcPr>
                <w:p w14:paraId="4C981D39">
                  <w:pPr>
                    <w:pStyle w:val="23"/>
                    <w:bidi w:val="0"/>
                    <w:rPr>
                      <w:rFonts w:hint="eastAsia"/>
                      <w:lang w:val="en-US" w:eastAsia="zh-CN" w:bidi="ar-SA"/>
                    </w:rPr>
                  </w:pPr>
                </w:p>
              </w:tc>
              <w:tc>
                <w:tcPr>
                  <w:tcW w:w="1662" w:type="dxa"/>
                  <w:vAlign w:val="center"/>
                </w:tcPr>
                <w:p w14:paraId="65F3D248">
                  <w:pPr>
                    <w:pStyle w:val="23"/>
                    <w:bidi w:val="0"/>
                    <w:rPr>
                      <w:rFonts w:hint="eastAsia"/>
                      <w:lang w:val="en-US" w:eastAsia="zh-CN" w:bidi="ar-SA"/>
                    </w:rPr>
                  </w:pPr>
                  <w:r>
                    <w:rPr>
                      <w:rFonts w:hint="eastAsia"/>
                      <w:lang w:val="en-US" w:eastAsia="zh-CN" w:bidi="ar-SA"/>
                    </w:rPr>
                    <w:t>是</w:t>
                  </w:r>
                </w:p>
              </w:tc>
            </w:tr>
          </w:tbl>
          <w:p w14:paraId="2B521263">
            <w:pPr>
              <w:pStyle w:val="25"/>
              <w:bidi w:val="0"/>
              <w:rPr>
                <w:rFonts w:hint="eastAsia"/>
                <w:lang w:val="en-US" w:eastAsia="zh-CN"/>
              </w:rPr>
            </w:pPr>
            <w:r>
              <w:rPr>
                <w:rFonts w:hint="eastAsia"/>
                <w:lang w:val="en-US" w:eastAsia="zh-CN"/>
              </w:rPr>
              <w:t>经预测，</w:t>
            </w:r>
            <w:r>
              <w:t>本项目东侧</w:t>
            </w:r>
            <w:r>
              <w:rPr>
                <w:rFonts w:hint="eastAsia"/>
                <w:lang w:eastAsia="zh-CN"/>
              </w:rPr>
              <w:t>及</w:t>
            </w:r>
            <w:r>
              <w:t>南侧</w:t>
            </w:r>
            <w:r>
              <w:rPr>
                <w:rFonts w:hint="eastAsia"/>
                <w:lang w:val="en-US" w:eastAsia="zh-CN"/>
              </w:rPr>
              <w:t>昼、夜噪声贡献值均能</w:t>
            </w:r>
            <w:r>
              <w:t>满足《工业企业厂界噪声排放标准》（GB12348-2008）中</w:t>
            </w:r>
            <w:r>
              <w:rPr>
                <w:rFonts w:hint="eastAsia"/>
                <w:lang w:val="en-US" w:eastAsia="zh-CN"/>
              </w:rPr>
              <w:t>4</w:t>
            </w:r>
            <w:r>
              <w:t>类标准；</w:t>
            </w:r>
            <w:r>
              <w:rPr>
                <w:rFonts w:hint="eastAsia"/>
                <w:lang w:eastAsia="zh-CN"/>
              </w:rPr>
              <w:t>西侧及北侧</w:t>
            </w:r>
            <w:r>
              <w:rPr>
                <w:rFonts w:hint="eastAsia"/>
                <w:lang w:val="en-US" w:eastAsia="zh-CN"/>
              </w:rPr>
              <w:t>昼、夜噪声贡献值均能</w:t>
            </w:r>
            <w:r>
              <w:t>满足《工业企业厂界噪声排放标准》（GB12348-2008）中</w:t>
            </w:r>
            <w:r>
              <w:rPr>
                <w:rFonts w:hint="eastAsia"/>
                <w:lang w:val="en-US" w:eastAsia="zh-CN"/>
              </w:rPr>
              <w:t>2</w:t>
            </w:r>
            <w:r>
              <w:t>类标准</w:t>
            </w:r>
            <w:r>
              <w:rPr>
                <w:rFonts w:hint="eastAsia"/>
                <w:lang w:eastAsia="zh-CN"/>
              </w:rPr>
              <w:t>，</w:t>
            </w:r>
            <w:r>
              <w:rPr>
                <w:rFonts w:hint="eastAsia"/>
                <w:lang w:val="en-US" w:eastAsia="zh-CN"/>
              </w:rPr>
              <w:t>对周围环境影响较小。</w:t>
            </w:r>
          </w:p>
          <w:p w14:paraId="5C362371">
            <w:pPr>
              <w:bidi w:val="0"/>
            </w:pPr>
            <w:r>
              <w:t>（</w:t>
            </w:r>
            <w:r>
              <w:rPr>
                <w:rFonts w:hint="eastAsia"/>
                <w:lang w:val="en-US" w:eastAsia="zh-CN"/>
              </w:rPr>
              <w:t>4</w:t>
            </w:r>
            <w:r>
              <w:t>）自行监测计划</w:t>
            </w:r>
          </w:p>
          <w:p w14:paraId="05883F8F">
            <w:pPr>
              <w:bidi w:val="0"/>
            </w:pPr>
            <w:r>
              <w:t>根据《固定污染源排污许可分类管理名录》，项目实行排污登记管理。参照《排污单位自行监测指南—总则》（HJ819-2017）和《排污许可证申请与核发技术规范 医疗机构》（HJ1105—2020），环评提出运行期每年应对项目噪声进行监测，本项目监测计划见下表。</w:t>
            </w:r>
          </w:p>
          <w:p w14:paraId="75E9704F">
            <w:pPr>
              <w:pStyle w:val="22"/>
              <w:bidi w:val="0"/>
              <w:rPr>
                <w:lang w:val="en-US" w:eastAsia="zh-CN" w:bidi="ar-SA"/>
              </w:rPr>
            </w:pPr>
            <w:r>
              <w:rPr>
                <w:lang w:val="en-US" w:eastAsia="zh-CN" w:bidi="ar-SA"/>
              </w:rPr>
              <w:t>噪声监测计划</w:t>
            </w:r>
          </w:p>
          <w:tbl>
            <w:tblPr>
              <w:tblStyle w:val="1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070"/>
              <w:gridCol w:w="1170"/>
              <w:gridCol w:w="1238"/>
              <w:gridCol w:w="1274"/>
              <w:gridCol w:w="2683"/>
            </w:tblGrid>
            <w:tr w14:paraId="73FF1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noWrap w:val="0"/>
                  <w:vAlign w:val="center"/>
                </w:tcPr>
                <w:p w14:paraId="255608CB">
                  <w:pPr>
                    <w:pStyle w:val="23"/>
                    <w:bidi w:val="0"/>
                  </w:pPr>
                  <w:r>
                    <w:t>类型</w:t>
                  </w:r>
                </w:p>
              </w:tc>
              <w:tc>
                <w:tcPr>
                  <w:tcW w:w="644" w:type="pct"/>
                  <w:noWrap w:val="0"/>
                  <w:vAlign w:val="center"/>
                </w:tcPr>
                <w:p w14:paraId="0D57B725">
                  <w:pPr>
                    <w:pStyle w:val="23"/>
                    <w:bidi w:val="0"/>
                  </w:pPr>
                  <w:r>
                    <w:t>污染源</w:t>
                  </w:r>
                </w:p>
              </w:tc>
              <w:tc>
                <w:tcPr>
                  <w:tcW w:w="704" w:type="pct"/>
                  <w:noWrap w:val="0"/>
                  <w:vAlign w:val="center"/>
                </w:tcPr>
                <w:p w14:paraId="39DBDC30">
                  <w:pPr>
                    <w:pStyle w:val="23"/>
                    <w:bidi w:val="0"/>
                  </w:pPr>
                  <w:r>
                    <w:t>监测点位</w:t>
                  </w:r>
                </w:p>
              </w:tc>
              <w:tc>
                <w:tcPr>
                  <w:tcW w:w="745" w:type="pct"/>
                  <w:noWrap w:val="0"/>
                  <w:vAlign w:val="center"/>
                </w:tcPr>
                <w:p w14:paraId="2E1131F8">
                  <w:pPr>
                    <w:pStyle w:val="23"/>
                    <w:bidi w:val="0"/>
                  </w:pPr>
                  <w:r>
                    <w:t>监测指标</w:t>
                  </w:r>
                </w:p>
              </w:tc>
              <w:tc>
                <w:tcPr>
                  <w:tcW w:w="767" w:type="pct"/>
                  <w:noWrap w:val="0"/>
                  <w:vAlign w:val="center"/>
                </w:tcPr>
                <w:p w14:paraId="68F572BA">
                  <w:pPr>
                    <w:pStyle w:val="23"/>
                    <w:bidi w:val="0"/>
                  </w:pPr>
                  <w:r>
                    <w:t>监测频次</w:t>
                  </w:r>
                </w:p>
              </w:tc>
              <w:tc>
                <w:tcPr>
                  <w:tcW w:w="1615" w:type="pct"/>
                  <w:noWrap w:val="0"/>
                  <w:vAlign w:val="center"/>
                </w:tcPr>
                <w:p w14:paraId="06CA7EF3">
                  <w:pPr>
                    <w:pStyle w:val="23"/>
                    <w:bidi w:val="0"/>
                  </w:pPr>
                  <w:r>
                    <w:t>执行标准</w:t>
                  </w:r>
                </w:p>
              </w:tc>
            </w:tr>
            <w:tr w14:paraId="7A52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523" w:type="pct"/>
                  <w:vMerge w:val="restart"/>
                  <w:noWrap w:val="0"/>
                  <w:vAlign w:val="center"/>
                </w:tcPr>
                <w:p w14:paraId="5F835664">
                  <w:pPr>
                    <w:pStyle w:val="23"/>
                    <w:bidi w:val="0"/>
                  </w:pPr>
                  <w:r>
                    <w:t>噪声</w:t>
                  </w:r>
                </w:p>
              </w:tc>
              <w:tc>
                <w:tcPr>
                  <w:tcW w:w="644" w:type="pct"/>
                  <w:vMerge w:val="restart"/>
                  <w:noWrap w:val="0"/>
                  <w:vAlign w:val="center"/>
                </w:tcPr>
                <w:p w14:paraId="5684BD22">
                  <w:pPr>
                    <w:pStyle w:val="23"/>
                    <w:bidi w:val="0"/>
                  </w:pPr>
                  <w:r>
                    <w:t>设备噪声、社会生活噪声</w:t>
                  </w:r>
                </w:p>
              </w:tc>
              <w:tc>
                <w:tcPr>
                  <w:tcW w:w="704" w:type="pct"/>
                  <w:noWrap w:val="0"/>
                  <w:vAlign w:val="center"/>
                </w:tcPr>
                <w:p w14:paraId="26B94DD7">
                  <w:pPr>
                    <w:pStyle w:val="23"/>
                    <w:bidi w:val="0"/>
                    <w:rPr>
                      <w:rFonts w:hint="eastAsia"/>
                      <w:lang w:eastAsia="zh-CN"/>
                    </w:rPr>
                  </w:pPr>
                  <w:r>
                    <w:rPr>
                      <w:rFonts w:hint="eastAsia"/>
                      <w:lang w:eastAsia="zh-CN"/>
                    </w:rPr>
                    <w:t>西侧、北侧</w:t>
                  </w:r>
                </w:p>
              </w:tc>
              <w:tc>
                <w:tcPr>
                  <w:tcW w:w="1238" w:type="dxa"/>
                  <w:vMerge w:val="restart"/>
                  <w:noWrap w:val="0"/>
                  <w:vAlign w:val="center"/>
                </w:tcPr>
                <w:p w14:paraId="0BA93309">
                  <w:pPr>
                    <w:pStyle w:val="23"/>
                    <w:bidi w:val="0"/>
                  </w:pPr>
                  <w:r>
                    <w:t>噪声</w:t>
                  </w:r>
                </w:p>
              </w:tc>
              <w:tc>
                <w:tcPr>
                  <w:tcW w:w="1274" w:type="dxa"/>
                  <w:vMerge w:val="restart"/>
                  <w:noWrap w:val="0"/>
                  <w:vAlign w:val="center"/>
                </w:tcPr>
                <w:p w14:paraId="6951063F">
                  <w:pPr>
                    <w:pStyle w:val="23"/>
                    <w:bidi w:val="0"/>
                  </w:pPr>
                  <w:r>
                    <w:rPr>
                      <w:rFonts w:hint="eastAsia"/>
                      <w:lang w:val="en-US" w:eastAsia="zh-CN"/>
                    </w:rPr>
                    <w:t>1次/</w:t>
                  </w:r>
                  <w:r>
                    <w:rPr>
                      <w:rFonts w:hint="eastAsia"/>
                      <w:lang w:eastAsia="zh-CN"/>
                    </w:rPr>
                    <w:t>季度</w:t>
                  </w:r>
                </w:p>
              </w:tc>
              <w:tc>
                <w:tcPr>
                  <w:tcW w:w="1615" w:type="pct"/>
                  <w:noWrap w:val="0"/>
                  <w:vAlign w:val="center"/>
                </w:tcPr>
                <w:p w14:paraId="5D179DCF">
                  <w:pPr>
                    <w:pStyle w:val="23"/>
                    <w:bidi w:val="0"/>
                  </w:pPr>
                  <w:r>
                    <w:t>《工业企业厂界噪声排放标准》（GB12348-2008）中</w:t>
                  </w:r>
                  <w:r>
                    <w:rPr>
                      <w:rFonts w:hint="eastAsia"/>
                      <w:lang w:val="en-US" w:eastAsia="zh-CN"/>
                    </w:rPr>
                    <w:t>2</w:t>
                  </w:r>
                  <w:r>
                    <w:t>类标准</w:t>
                  </w:r>
                </w:p>
              </w:tc>
            </w:tr>
            <w:tr w14:paraId="3437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523" w:type="pct"/>
                  <w:vMerge w:val="continue"/>
                  <w:noWrap w:val="0"/>
                  <w:vAlign w:val="center"/>
                </w:tcPr>
                <w:p w14:paraId="7EF82278">
                  <w:pPr>
                    <w:pStyle w:val="23"/>
                    <w:bidi w:val="0"/>
                  </w:pPr>
                </w:p>
              </w:tc>
              <w:tc>
                <w:tcPr>
                  <w:tcW w:w="644" w:type="pct"/>
                  <w:vMerge w:val="continue"/>
                  <w:noWrap w:val="0"/>
                  <w:vAlign w:val="center"/>
                </w:tcPr>
                <w:p w14:paraId="49230185">
                  <w:pPr>
                    <w:pStyle w:val="23"/>
                    <w:bidi w:val="0"/>
                  </w:pPr>
                </w:p>
              </w:tc>
              <w:tc>
                <w:tcPr>
                  <w:tcW w:w="704" w:type="pct"/>
                  <w:noWrap w:val="0"/>
                  <w:vAlign w:val="center"/>
                </w:tcPr>
                <w:p w14:paraId="4074A527">
                  <w:pPr>
                    <w:pStyle w:val="23"/>
                    <w:bidi w:val="0"/>
                    <w:rPr>
                      <w:rFonts w:hint="eastAsia"/>
                      <w:lang w:eastAsia="zh-CN"/>
                    </w:rPr>
                  </w:pPr>
                  <w:r>
                    <w:rPr>
                      <w:rFonts w:hint="eastAsia"/>
                      <w:lang w:eastAsia="zh-CN"/>
                    </w:rPr>
                    <w:t>东侧、南侧</w:t>
                  </w:r>
                </w:p>
              </w:tc>
              <w:tc>
                <w:tcPr>
                  <w:tcW w:w="745" w:type="pct"/>
                  <w:vMerge w:val="continue"/>
                  <w:noWrap w:val="0"/>
                  <w:vAlign w:val="center"/>
                </w:tcPr>
                <w:p w14:paraId="43B87B5E">
                  <w:pPr>
                    <w:pStyle w:val="23"/>
                    <w:bidi w:val="0"/>
                  </w:pPr>
                </w:p>
              </w:tc>
              <w:tc>
                <w:tcPr>
                  <w:tcW w:w="767" w:type="pct"/>
                  <w:vMerge w:val="continue"/>
                  <w:noWrap w:val="0"/>
                  <w:vAlign w:val="center"/>
                </w:tcPr>
                <w:p w14:paraId="06B9A7CA">
                  <w:pPr>
                    <w:pStyle w:val="23"/>
                    <w:bidi w:val="0"/>
                  </w:pPr>
                </w:p>
              </w:tc>
              <w:tc>
                <w:tcPr>
                  <w:tcW w:w="1615" w:type="pct"/>
                  <w:noWrap w:val="0"/>
                  <w:vAlign w:val="center"/>
                </w:tcPr>
                <w:p w14:paraId="30C1774F">
                  <w:pPr>
                    <w:pStyle w:val="23"/>
                    <w:bidi w:val="0"/>
                  </w:pPr>
                  <w:r>
                    <w:t>《工业企业厂界噪声排放标准》（GB12348-2008）中</w:t>
                  </w:r>
                  <w:r>
                    <w:rPr>
                      <w:rFonts w:hint="eastAsia"/>
                      <w:lang w:val="en-US" w:eastAsia="zh-CN"/>
                    </w:rPr>
                    <w:t>4</w:t>
                  </w:r>
                  <w:r>
                    <w:t>类标准</w:t>
                  </w:r>
                </w:p>
              </w:tc>
            </w:tr>
          </w:tbl>
          <w:p w14:paraId="7E96E5E8">
            <w:pPr>
              <w:pStyle w:val="4"/>
              <w:bidi w:val="0"/>
            </w:pPr>
            <w:r>
              <w:t>固体废弃物</w:t>
            </w:r>
          </w:p>
          <w:p w14:paraId="1F14B61F">
            <w:pPr>
              <w:bidi w:val="0"/>
            </w:pPr>
            <w:r>
              <w:t>项目营运期固废包括医疗废物和生活垃圾。</w:t>
            </w:r>
          </w:p>
          <w:p w14:paraId="6E00195D">
            <w:pPr>
              <w:bidi w:val="0"/>
            </w:pPr>
            <w:r>
              <w:t>（1）固体废弃物产生情况</w:t>
            </w:r>
          </w:p>
          <w:p w14:paraId="04280073">
            <w:pPr>
              <w:bidi w:val="0"/>
            </w:pPr>
            <w:r>
              <w:t>①医疗废物</w:t>
            </w:r>
          </w:p>
          <w:p w14:paraId="0A35D621">
            <w:pPr>
              <w:bidi w:val="0"/>
            </w:pPr>
            <w:r>
              <w:t>根据</w:t>
            </w:r>
            <w:r>
              <w:rPr>
                <w:rFonts w:hint="eastAsia"/>
                <w:lang w:eastAsia="zh-CN"/>
              </w:rPr>
              <w:t>卫生健康委员会和生态环境部</w:t>
            </w:r>
            <w:r>
              <w:t>联合发布的《医疗废物分类目录》，医疗废物可以分为感染性废物、病理性废物、损伤性废物、药物性废物、化学性废物五大类。具体医疗废物分类情况见下表。</w:t>
            </w:r>
          </w:p>
          <w:p w14:paraId="7485A102">
            <w:pPr>
              <w:pStyle w:val="22"/>
              <w:bidi w:val="0"/>
              <w:rPr>
                <w:lang w:val="en-US" w:eastAsia="zh-CN" w:bidi="ar-SA"/>
              </w:rPr>
            </w:pPr>
            <w:r>
              <w:rPr>
                <w:lang w:val="en-US" w:eastAsia="zh-CN" w:bidi="ar-SA"/>
              </w:rPr>
              <w:t>医疗废物分类目录</w:t>
            </w:r>
          </w:p>
          <w:tbl>
            <w:tblPr>
              <w:tblStyle w:val="1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500"/>
              <w:gridCol w:w="5160"/>
              <w:gridCol w:w="865"/>
            </w:tblGrid>
            <w:tr w14:paraId="03CC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469" w:type="pct"/>
                  <w:noWrap w:val="0"/>
                  <w:vAlign w:val="center"/>
                </w:tcPr>
                <w:p w14:paraId="75E443B3">
                  <w:pPr>
                    <w:pStyle w:val="23"/>
                    <w:bidi w:val="0"/>
                    <w:adjustRightInd w:val="0"/>
                    <w:snapToGrid w:val="0"/>
                    <w:rPr>
                      <w:rFonts w:ascii="Times New Roman" w:hAnsi="Times New Roman" w:eastAsia="宋体"/>
                    </w:rPr>
                  </w:pPr>
                  <w:r>
                    <w:rPr>
                      <w:rFonts w:ascii="Times New Roman" w:hAnsi="Times New Roman" w:eastAsia="宋体"/>
                    </w:rPr>
                    <w:t>类别</w:t>
                  </w:r>
                </w:p>
              </w:tc>
              <w:tc>
                <w:tcPr>
                  <w:tcW w:w="903" w:type="pct"/>
                  <w:noWrap w:val="0"/>
                  <w:vAlign w:val="center"/>
                </w:tcPr>
                <w:p w14:paraId="54DD7D71">
                  <w:pPr>
                    <w:pStyle w:val="23"/>
                    <w:bidi w:val="0"/>
                    <w:adjustRightInd w:val="0"/>
                    <w:snapToGrid w:val="0"/>
                    <w:rPr>
                      <w:rFonts w:ascii="Times New Roman" w:hAnsi="Times New Roman" w:eastAsia="宋体"/>
                    </w:rPr>
                  </w:pPr>
                  <w:r>
                    <w:rPr>
                      <w:rFonts w:ascii="Times New Roman" w:hAnsi="Times New Roman" w:eastAsia="宋体"/>
                    </w:rPr>
                    <w:t>特征</w:t>
                  </w:r>
                </w:p>
              </w:tc>
              <w:tc>
                <w:tcPr>
                  <w:tcW w:w="3106" w:type="pct"/>
                  <w:noWrap w:val="0"/>
                  <w:vAlign w:val="center"/>
                </w:tcPr>
                <w:p w14:paraId="71C3DBD1">
                  <w:pPr>
                    <w:pStyle w:val="23"/>
                    <w:bidi w:val="0"/>
                    <w:adjustRightInd w:val="0"/>
                    <w:snapToGrid w:val="0"/>
                    <w:rPr>
                      <w:rFonts w:ascii="Times New Roman" w:hAnsi="Times New Roman" w:eastAsia="宋体"/>
                    </w:rPr>
                  </w:pPr>
                  <w:r>
                    <w:rPr>
                      <w:rFonts w:ascii="Times New Roman" w:hAnsi="Times New Roman" w:eastAsia="宋体"/>
                    </w:rPr>
                    <w:t>常见组分或者废物名称</w:t>
                  </w:r>
                </w:p>
              </w:tc>
              <w:tc>
                <w:tcPr>
                  <w:tcW w:w="520" w:type="pct"/>
                  <w:noWrap w:val="0"/>
                  <w:vAlign w:val="center"/>
                </w:tcPr>
                <w:p w14:paraId="24591F3F">
                  <w:pPr>
                    <w:pStyle w:val="23"/>
                    <w:bidi w:val="0"/>
                    <w:adjustRightInd w:val="0"/>
                    <w:snapToGrid w:val="0"/>
                    <w:rPr>
                      <w:rFonts w:ascii="Times New Roman" w:hAnsi="Times New Roman" w:eastAsia="宋体"/>
                    </w:rPr>
                  </w:pPr>
                  <w:r>
                    <w:rPr>
                      <w:rFonts w:ascii="Times New Roman" w:hAnsi="Times New Roman" w:eastAsia="宋体"/>
                    </w:rPr>
                    <w:t>本项目</w:t>
                  </w:r>
                </w:p>
              </w:tc>
            </w:tr>
            <w:tr w14:paraId="771D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restart"/>
                  <w:noWrap w:val="0"/>
                  <w:vAlign w:val="center"/>
                </w:tcPr>
                <w:p w14:paraId="1E158F0C">
                  <w:pPr>
                    <w:pStyle w:val="23"/>
                    <w:bidi w:val="0"/>
                    <w:adjustRightInd w:val="0"/>
                    <w:snapToGrid w:val="0"/>
                    <w:rPr>
                      <w:rFonts w:ascii="Times New Roman" w:hAnsi="Times New Roman" w:eastAsia="宋体"/>
                    </w:rPr>
                  </w:pPr>
                  <w:r>
                    <w:rPr>
                      <w:rFonts w:ascii="Times New Roman" w:hAnsi="Times New Roman" w:eastAsia="宋体"/>
                    </w:rPr>
                    <w:t>感染性废物</w:t>
                  </w:r>
                </w:p>
              </w:tc>
              <w:tc>
                <w:tcPr>
                  <w:tcW w:w="903" w:type="pct"/>
                  <w:vMerge w:val="restart"/>
                  <w:noWrap w:val="0"/>
                  <w:vAlign w:val="center"/>
                </w:tcPr>
                <w:p w14:paraId="0BBA0ED6">
                  <w:pPr>
                    <w:pStyle w:val="23"/>
                    <w:bidi w:val="0"/>
                    <w:adjustRightInd w:val="0"/>
                    <w:snapToGrid w:val="0"/>
                    <w:rPr>
                      <w:rFonts w:ascii="Times New Roman" w:hAnsi="Times New Roman" w:eastAsia="宋体"/>
                    </w:rPr>
                  </w:pPr>
                  <w:r>
                    <w:rPr>
                      <w:rFonts w:ascii="Times New Roman" w:hAnsi="Times New Roman" w:eastAsia="宋体"/>
                    </w:rPr>
                    <w:t>携带病原微生物具有引发感染性疾病传播危险的医疗废物</w:t>
                  </w:r>
                </w:p>
              </w:tc>
              <w:tc>
                <w:tcPr>
                  <w:tcW w:w="3106" w:type="pct"/>
                  <w:noWrap w:val="0"/>
                  <w:vAlign w:val="center"/>
                </w:tcPr>
                <w:p w14:paraId="0F32D2F0">
                  <w:pPr>
                    <w:pStyle w:val="23"/>
                    <w:bidi w:val="0"/>
                    <w:adjustRightInd w:val="0"/>
                    <w:snapToGrid w:val="0"/>
                    <w:jc w:val="both"/>
                    <w:rPr>
                      <w:rFonts w:ascii="Times New Roman" w:hAnsi="Times New Roman" w:eastAsia="宋体"/>
                    </w:rPr>
                  </w:pPr>
                  <w:r>
                    <w:rPr>
                      <w:rFonts w:ascii="Times New Roman" w:hAnsi="Times New Roman" w:eastAsia="宋体"/>
                    </w:rPr>
                    <w:t>1、</w:t>
                  </w:r>
                  <w:r>
                    <w:rPr>
                      <w:rFonts w:hint="eastAsia" w:ascii="Times New Roman" w:hAnsi="Times New Roman" w:eastAsia="宋体"/>
                    </w:rPr>
                    <w:t>被患者血液、体液、排泄物等污染的除锐器以外的废物</w:t>
                  </w:r>
                </w:p>
              </w:tc>
              <w:tc>
                <w:tcPr>
                  <w:tcW w:w="520" w:type="pct"/>
                  <w:noWrap w:val="0"/>
                  <w:vAlign w:val="center"/>
                </w:tcPr>
                <w:p w14:paraId="4DDBFC75">
                  <w:pPr>
                    <w:pStyle w:val="23"/>
                    <w:bidi w:val="0"/>
                    <w:adjustRightInd w:val="0"/>
                    <w:snapToGrid w:val="0"/>
                    <w:rPr>
                      <w:rFonts w:hint="eastAsia" w:ascii="Times New Roman" w:hAnsi="Times New Roman" w:eastAsia="宋体"/>
                      <w:lang w:eastAsia="zh-CN"/>
                    </w:rPr>
                  </w:pPr>
                  <w:r>
                    <w:rPr>
                      <w:rFonts w:ascii="Times New Roman" w:hAnsi="Times New Roman" w:eastAsia="宋体"/>
                    </w:rPr>
                    <w:t>有</w:t>
                  </w:r>
                </w:p>
              </w:tc>
            </w:tr>
            <w:tr w14:paraId="1869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14:paraId="3F7BE055">
                  <w:pPr>
                    <w:pStyle w:val="23"/>
                    <w:bidi w:val="0"/>
                    <w:adjustRightInd w:val="0"/>
                    <w:snapToGrid w:val="0"/>
                  </w:pPr>
                </w:p>
              </w:tc>
              <w:tc>
                <w:tcPr>
                  <w:tcW w:w="903" w:type="pct"/>
                  <w:vMerge w:val="continue"/>
                  <w:noWrap w:val="0"/>
                  <w:vAlign w:val="center"/>
                </w:tcPr>
                <w:p w14:paraId="1B77A0AE">
                  <w:pPr>
                    <w:pStyle w:val="23"/>
                    <w:bidi w:val="0"/>
                    <w:adjustRightInd w:val="0"/>
                    <w:snapToGrid w:val="0"/>
                  </w:pPr>
                </w:p>
              </w:tc>
              <w:tc>
                <w:tcPr>
                  <w:tcW w:w="3106" w:type="pct"/>
                  <w:noWrap w:val="0"/>
                  <w:vAlign w:val="center"/>
                </w:tcPr>
                <w:p w14:paraId="339D28B4">
                  <w:pPr>
                    <w:pStyle w:val="23"/>
                    <w:bidi w:val="0"/>
                    <w:adjustRightInd w:val="0"/>
                    <w:snapToGrid w:val="0"/>
                    <w:jc w:val="both"/>
                  </w:pPr>
                  <w:r>
                    <w:t>2、</w:t>
                  </w:r>
                  <w:r>
                    <w:rPr>
                      <w:rFonts w:hint="eastAsia"/>
                    </w:rPr>
                    <w:t>使用后废弃的一次性使用医疗器械，如注射器、输液器、透析器等</w:t>
                  </w:r>
                </w:p>
              </w:tc>
              <w:tc>
                <w:tcPr>
                  <w:tcW w:w="520" w:type="pct"/>
                  <w:noWrap w:val="0"/>
                  <w:vAlign w:val="center"/>
                </w:tcPr>
                <w:p w14:paraId="0299482E">
                  <w:pPr>
                    <w:pStyle w:val="23"/>
                    <w:bidi w:val="0"/>
                    <w:adjustRightInd w:val="0"/>
                    <w:snapToGrid w:val="0"/>
                  </w:pPr>
                  <w:r>
                    <w:t>有</w:t>
                  </w:r>
                </w:p>
              </w:tc>
            </w:tr>
            <w:tr w14:paraId="469A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469" w:type="pct"/>
                  <w:vMerge w:val="continue"/>
                  <w:noWrap w:val="0"/>
                  <w:vAlign w:val="center"/>
                </w:tcPr>
                <w:p w14:paraId="2B8B0EDD">
                  <w:pPr>
                    <w:pStyle w:val="23"/>
                    <w:bidi w:val="0"/>
                    <w:adjustRightInd w:val="0"/>
                    <w:snapToGrid w:val="0"/>
                  </w:pPr>
                </w:p>
              </w:tc>
              <w:tc>
                <w:tcPr>
                  <w:tcW w:w="903" w:type="pct"/>
                  <w:vMerge w:val="continue"/>
                  <w:noWrap w:val="0"/>
                  <w:vAlign w:val="center"/>
                </w:tcPr>
                <w:p w14:paraId="7AA8FA38">
                  <w:pPr>
                    <w:pStyle w:val="23"/>
                    <w:bidi w:val="0"/>
                    <w:adjustRightInd w:val="0"/>
                    <w:snapToGrid w:val="0"/>
                  </w:pPr>
                </w:p>
              </w:tc>
              <w:tc>
                <w:tcPr>
                  <w:tcW w:w="3106" w:type="pct"/>
                  <w:noWrap w:val="0"/>
                  <w:vAlign w:val="center"/>
                </w:tcPr>
                <w:p w14:paraId="4C74A111">
                  <w:pPr>
                    <w:pStyle w:val="23"/>
                    <w:bidi w:val="0"/>
                    <w:adjustRightInd w:val="0"/>
                    <w:snapToGrid w:val="0"/>
                    <w:jc w:val="both"/>
                  </w:pPr>
                  <w:r>
                    <w:t>3、</w:t>
                  </w:r>
                  <w:r>
                    <w:rPr>
                      <w:rFonts w:hint="eastAsia"/>
                    </w:rPr>
                    <w:t>病原微生物实验室废弃的病原体培养基、标本，菌种和毒种保存液及其容器</w:t>
                  </w:r>
                  <w:r>
                    <w:rPr>
                      <w:rFonts w:hint="eastAsia"/>
                      <w:lang w:eastAsia="zh-CN"/>
                    </w:rPr>
                    <w:t>；</w:t>
                  </w:r>
                  <w:r>
                    <w:rPr>
                      <w:rFonts w:hint="eastAsia"/>
                    </w:rPr>
                    <w:t>其他实验室及科室废弃的血液、血清、分泌物等标本和</w:t>
                  </w:r>
                  <w:r>
                    <w:rPr>
                      <w:rFonts w:hint="eastAsia"/>
                      <w:lang w:eastAsia="zh-CN"/>
                    </w:rPr>
                    <w:t>容器</w:t>
                  </w:r>
                </w:p>
              </w:tc>
              <w:tc>
                <w:tcPr>
                  <w:tcW w:w="520" w:type="pct"/>
                  <w:noWrap w:val="0"/>
                  <w:vAlign w:val="center"/>
                </w:tcPr>
                <w:p w14:paraId="36E15E0D">
                  <w:pPr>
                    <w:pStyle w:val="23"/>
                    <w:bidi w:val="0"/>
                    <w:adjustRightInd w:val="0"/>
                    <w:snapToGrid w:val="0"/>
                  </w:pPr>
                  <w:r>
                    <w:t>有</w:t>
                  </w:r>
                </w:p>
              </w:tc>
            </w:tr>
            <w:tr w14:paraId="7960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14:paraId="7086E704">
                  <w:pPr>
                    <w:pStyle w:val="23"/>
                    <w:bidi w:val="0"/>
                    <w:adjustRightInd w:val="0"/>
                    <w:snapToGrid w:val="0"/>
                  </w:pPr>
                </w:p>
              </w:tc>
              <w:tc>
                <w:tcPr>
                  <w:tcW w:w="903" w:type="pct"/>
                  <w:vMerge w:val="continue"/>
                  <w:noWrap w:val="0"/>
                  <w:vAlign w:val="center"/>
                </w:tcPr>
                <w:p w14:paraId="60582C7C">
                  <w:pPr>
                    <w:pStyle w:val="23"/>
                    <w:bidi w:val="0"/>
                    <w:adjustRightInd w:val="0"/>
                    <w:snapToGrid w:val="0"/>
                  </w:pPr>
                </w:p>
              </w:tc>
              <w:tc>
                <w:tcPr>
                  <w:tcW w:w="3106" w:type="pct"/>
                  <w:noWrap w:val="0"/>
                  <w:vAlign w:val="center"/>
                </w:tcPr>
                <w:p w14:paraId="02384219">
                  <w:pPr>
                    <w:pStyle w:val="23"/>
                    <w:bidi w:val="0"/>
                    <w:adjustRightInd w:val="0"/>
                    <w:snapToGrid w:val="0"/>
                    <w:jc w:val="both"/>
                  </w:pPr>
                  <w:r>
                    <w:t>4、</w:t>
                  </w:r>
                  <w:r>
                    <w:rPr>
                      <w:rFonts w:hint="eastAsia"/>
                    </w:rPr>
                    <w:t>隔离传染病患者或者疑似传染病患者产生的废弃物</w:t>
                  </w:r>
                </w:p>
              </w:tc>
              <w:tc>
                <w:tcPr>
                  <w:tcW w:w="520" w:type="pct"/>
                  <w:noWrap w:val="0"/>
                  <w:vAlign w:val="center"/>
                </w:tcPr>
                <w:p w14:paraId="5FF1969B">
                  <w:pPr>
                    <w:pStyle w:val="23"/>
                    <w:bidi w:val="0"/>
                    <w:adjustRightInd w:val="0"/>
                    <w:snapToGrid w:val="0"/>
                  </w:pPr>
                  <w:r>
                    <w:t>有</w:t>
                  </w:r>
                </w:p>
              </w:tc>
            </w:tr>
            <w:tr w14:paraId="19E7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469" w:type="pct"/>
                  <w:vMerge w:val="restart"/>
                  <w:noWrap w:val="0"/>
                  <w:vAlign w:val="center"/>
                </w:tcPr>
                <w:p w14:paraId="65CEAD92">
                  <w:pPr>
                    <w:pStyle w:val="23"/>
                    <w:bidi w:val="0"/>
                    <w:adjustRightInd w:val="0"/>
                    <w:snapToGrid w:val="0"/>
                    <w:rPr>
                      <w:rFonts w:ascii="Times New Roman" w:hAnsi="Times New Roman" w:eastAsia="宋体"/>
                    </w:rPr>
                  </w:pPr>
                  <w:r>
                    <w:rPr>
                      <w:rFonts w:ascii="Times New Roman" w:hAnsi="Times New Roman" w:eastAsia="宋体"/>
                    </w:rPr>
                    <w:t>损伤性废物</w:t>
                  </w:r>
                </w:p>
              </w:tc>
              <w:tc>
                <w:tcPr>
                  <w:tcW w:w="903" w:type="pct"/>
                  <w:vMerge w:val="restart"/>
                  <w:noWrap w:val="0"/>
                  <w:vAlign w:val="center"/>
                </w:tcPr>
                <w:p w14:paraId="6E1F7956">
                  <w:pPr>
                    <w:pStyle w:val="23"/>
                    <w:bidi w:val="0"/>
                    <w:adjustRightInd w:val="0"/>
                    <w:snapToGrid w:val="0"/>
                    <w:rPr>
                      <w:rFonts w:ascii="Times New Roman" w:hAnsi="Times New Roman" w:eastAsia="宋体"/>
                    </w:rPr>
                  </w:pPr>
                  <w:r>
                    <w:rPr>
                      <w:rFonts w:ascii="Times New Roman" w:hAnsi="Times New Roman" w:eastAsia="宋体"/>
                    </w:rPr>
                    <w:t>能够刺伤或者割伤人体的废弃的医用锐器</w:t>
                  </w:r>
                </w:p>
              </w:tc>
              <w:tc>
                <w:tcPr>
                  <w:tcW w:w="3106" w:type="pct"/>
                  <w:noWrap w:val="0"/>
                  <w:vAlign w:val="center"/>
                </w:tcPr>
                <w:p w14:paraId="08C6F866">
                  <w:pPr>
                    <w:pStyle w:val="23"/>
                    <w:bidi w:val="0"/>
                    <w:adjustRightInd w:val="0"/>
                    <w:snapToGrid w:val="0"/>
                    <w:jc w:val="both"/>
                    <w:rPr>
                      <w:rFonts w:ascii="Times New Roman" w:hAnsi="Times New Roman" w:eastAsia="宋体"/>
                    </w:rPr>
                  </w:pPr>
                  <w:r>
                    <w:rPr>
                      <w:rFonts w:ascii="Times New Roman" w:hAnsi="Times New Roman" w:eastAsia="宋体"/>
                    </w:rPr>
                    <w:t>1、</w:t>
                  </w:r>
                  <w:r>
                    <w:rPr>
                      <w:rFonts w:hint="eastAsia" w:ascii="Times New Roman" w:hAnsi="Times New Roman" w:eastAsia="宋体"/>
                    </w:rPr>
                    <w:t>废弃的金属类锐器，如针头、缝合针、针灸针、探针、穿刺针、解剖刀、手术刀、手术锯、备皮刀、钢钉和导丝等</w:t>
                  </w:r>
                </w:p>
              </w:tc>
              <w:tc>
                <w:tcPr>
                  <w:tcW w:w="520" w:type="pct"/>
                  <w:noWrap w:val="0"/>
                  <w:vAlign w:val="center"/>
                </w:tcPr>
                <w:p w14:paraId="2A6D1621">
                  <w:pPr>
                    <w:pStyle w:val="23"/>
                    <w:bidi w:val="0"/>
                    <w:adjustRightInd w:val="0"/>
                    <w:snapToGrid w:val="0"/>
                    <w:rPr>
                      <w:rFonts w:ascii="Times New Roman" w:hAnsi="Times New Roman" w:eastAsia="宋体"/>
                    </w:rPr>
                  </w:pPr>
                  <w:r>
                    <w:rPr>
                      <w:rFonts w:ascii="Times New Roman" w:hAnsi="Times New Roman" w:eastAsia="宋体"/>
                    </w:rPr>
                    <w:t>有</w:t>
                  </w:r>
                </w:p>
              </w:tc>
            </w:tr>
            <w:tr w14:paraId="2532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14:paraId="4531E128">
                  <w:pPr>
                    <w:pStyle w:val="23"/>
                    <w:bidi w:val="0"/>
                    <w:adjustRightInd w:val="0"/>
                    <w:snapToGrid w:val="0"/>
                  </w:pPr>
                </w:p>
              </w:tc>
              <w:tc>
                <w:tcPr>
                  <w:tcW w:w="903" w:type="pct"/>
                  <w:vMerge w:val="continue"/>
                  <w:noWrap w:val="0"/>
                  <w:vAlign w:val="center"/>
                </w:tcPr>
                <w:p w14:paraId="5E37189F">
                  <w:pPr>
                    <w:pStyle w:val="23"/>
                    <w:bidi w:val="0"/>
                    <w:adjustRightInd w:val="0"/>
                    <w:snapToGrid w:val="0"/>
                  </w:pPr>
                </w:p>
              </w:tc>
              <w:tc>
                <w:tcPr>
                  <w:tcW w:w="3106" w:type="pct"/>
                  <w:noWrap w:val="0"/>
                  <w:vAlign w:val="center"/>
                </w:tcPr>
                <w:p w14:paraId="47B330CE">
                  <w:pPr>
                    <w:pStyle w:val="23"/>
                    <w:bidi w:val="0"/>
                    <w:adjustRightInd w:val="0"/>
                    <w:snapToGrid w:val="0"/>
                    <w:jc w:val="both"/>
                  </w:pPr>
                  <w:r>
                    <w:t>2、</w:t>
                  </w:r>
                  <w:r>
                    <w:rPr>
                      <w:rFonts w:hint="eastAsia"/>
                    </w:rPr>
                    <w:t>废弃的玻璃类锐器，如盖玻片、载玻片、玻璃安瓿等</w:t>
                  </w:r>
                </w:p>
              </w:tc>
              <w:tc>
                <w:tcPr>
                  <w:tcW w:w="520" w:type="pct"/>
                  <w:noWrap w:val="0"/>
                  <w:vAlign w:val="center"/>
                </w:tcPr>
                <w:p w14:paraId="4EE1C87B">
                  <w:pPr>
                    <w:pStyle w:val="23"/>
                    <w:bidi w:val="0"/>
                    <w:adjustRightInd w:val="0"/>
                    <w:snapToGrid w:val="0"/>
                  </w:pPr>
                  <w:r>
                    <w:t>有</w:t>
                  </w:r>
                </w:p>
              </w:tc>
            </w:tr>
            <w:tr w14:paraId="59A8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14:paraId="19BC4305">
                  <w:pPr>
                    <w:pStyle w:val="23"/>
                    <w:bidi w:val="0"/>
                    <w:adjustRightInd w:val="0"/>
                    <w:snapToGrid w:val="0"/>
                  </w:pPr>
                </w:p>
              </w:tc>
              <w:tc>
                <w:tcPr>
                  <w:tcW w:w="903" w:type="pct"/>
                  <w:vMerge w:val="continue"/>
                  <w:noWrap w:val="0"/>
                  <w:vAlign w:val="center"/>
                </w:tcPr>
                <w:p w14:paraId="0E8A14F9">
                  <w:pPr>
                    <w:pStyle w:val="23"/>
                    <w:bidi w:val="0"/>
                    <w:adjustRightInd w:val="0"/>
                    <w:snapToGrid w:val="0"/>
                  </w:pPr>
                </w:p>
              </w:tc>
              <w:tc>
                <w:tcPr>
                  <w:tcW w:w="3106" w:type="pct"/>
                  <w:noWrap w:val="0"/>
                  <w:vAlign w:val="center"/>
                </w:tcPr>
                <w:p w14:paraId="7D859D9F">
                  <w:pPr>
                    <w:pStyle w:val="23"/>
                    <w:bidi w:val="0"/>
                    <w:adjustRightInd w:val="0"/>
                    <w:snapToGrid w:val="0"/>
                    <w:jc w:val="both"/>
                  </w:pPr>
                  <w:r>
                    <w:t>3、</w:t>
                  </w:r>
                  <w:r>
                    <w:rPr>
                      <w:rFonts w:hint="eastAsia"/>
                    </w:rPr>
                    <w:t>废弃的其他材质类锐器</w:t>
                  </w:r>
                </w:p>
              </w:tc>
              <w:tc>
                <w:tcPr>
                  <w:tcW w:w="520" w:type="pct"/>
                  <w:noWrap w:val="0"/>
                  <w:vAlign w:val="center"/>
                </w:tcPr>
                <w:p w14:paraId="163EEB25">
                  <w:pPr>
                    <w:pStyle w:val="23"/>
                    <w:bidi w:val="0"/>
                    <w:adjustRightInd w:val="0"/>
                    <w:snapToGrid w:val="0"/>
                  </w:pPr>
                  <w:r>
                    <w:t>有</w:t>
                  </w:r>
                </w:p>
              </w:tc>
            </w:tr>
            <w:tr w14:paraId="76E2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restart"/>
                  <w:shd w:val="clear" w:color="auto" w:fill="auto"/>
                  <w:noWrap w:val="0"/>
                  <w:vAlign w:val="center"/>
                </w:tcPr>
                <w:p w14:paraId="2B026030">
                  <w:pPr>
                    <w:pStyle w:val="23"/>
                    <w:bidi w:val="0"/>
                    <w:adjustRightInd w:val="0"/>
                    <w:snapToGrid w:val="0"/>
                    <w:ind w:firstLine="0" w:firstLineChars="0"/>
                    <w:rPr>
                      <w:rFonts w:hint="eastAsia" w:ascii="Times New Roman" w:hAnsi="Times New Roman" w:eastAsia="宋体" w:cs="Times New Roman"/>
                      <w:sz w:val="21"/>
                    </w:rPr>
                  </w:pPr>
                  <w:r>
                    <w:rPr>
                      <w:rFonts w:ascii="Times New Roman" w:hAnsi="Times New Roman" w:eastAsia="宋体"/>
                    </w:rPr>
                    <w:t>病理性废物</w:t>
                  </w:r>
                </w:p>
              </w:tc>
              <w:tc>
                <w:tcPr>
                  <w:tcW w:w="903" w:type="pct"/>
                  <w:vMerge w:val="restart"/>
                  <w:shd w:val="clear" w:color="auto" w:fill="auto"/>
                  <w:noWrap w:val="0"/>
                  <w:vAlign w:val="center"/>
                </w:tcPr>
                <w:p w14:paraId="0EFC9B84">
                  <w:pPr>
                    <w:pStyle w:val="23"/>
                    <w:bidi w:val="0"/>
                    <w:adjustRightInd w:val="0"/>
                    <w:snapToGrid w:val="0"/>
                    <w:ind w:firstLine="0" w:firstLineChars="0"/>
                    <w:rPr>
                      <w:rFonts w:hint="eastAsia" w:ascii="Times New Roman" w:hAnsi="Times New Roman" w:eastAsia="宋体" w:cs="Times New Roman"/>
                      <w:sz w:val="21"/>
                      <w:lang w:eastAsia="zh-CN"/>
                    </w:rPr>
                  </w:pPr>
                  <w:r>
                    <w:rPr>
                      <w:rFonts w:ascii="Times New Roman" w:hAnsi="Times New Roman" w:eastAsia="宋体"/>
                    </w:rPr>
                    <w:t>诊疗过程中产生的人体废弃物</w:t>
                  </w:r>
                  <w:r>
                    <w:rPr>
                      <w:rFonts w:hint="eastAsia" w:ascii="Times New Roman" w:hAnsi="Times New Roman" w:eastAsia="宋体"/>
                      <w:lang w:eastAsia="zh-CN"/>
                    </w:rPr>
                    <w:t>和医学实验动物尸体等</w:t>
                  </w:r>
                </w:p>
              </w:tc>
              <w:tc>
                <w:tcPr>
                  <w:tcW w:w="3106" w:type="pct"/>
                  <w:shd w:val="clear" w:color="auto" w:fill="auto"/>
                  <w:noWrap w:val="0"/>
                  <w:vAlign w:val="center"/>
                </w:tcPr>
                <w:p w14:paraId="2C4EA97F">
                  <w:pPr>
                    <w:pStyle w:val="23"/>
                    <w:bidi w:val="0"/>
                    <w:adjustRightInd w:val="0"/>
                    <w:snapToGrid w:val="0"/>
                    <w:ind w:firstLine="0" w:firstLineChars="0"/>
                    <w:jc w:val="both"/>
                    <w:rPr>
                      <w:rFonts w:hint="eastAsia" w:ascii="Times New Roman" w:hAnsi="Times New Roman" w:eastAsia="宋体" w:cs="Times New Roman"/>
                      <w:sz w:val="21"/>
                    </w:rPr>
                  </w:pPr>
                  <w:r>
                    <w:rPr>
                      <w:rFonts w:hint="eastAsia" w:ascii="Times New Roman" w:hAnsi="Times New Roman" w:eastAsia="宋体"/>
                      <w:lang w:val="en-US" w:eastAsia="zh-CN"/>
                    </w:rPr>
                    <w:t>1、</w:t>
                  </w:r>
                  <w:r>
                    <w:rPr>
                      <w:rFonts w:hint="eastAsia" w:ascii="Times New Roman" w:hAnsi="Times New Roman" w:eastAsia="宋体"/>
                    </w:rPr>
                    <w:t>手术及其他医学服务过程中产生的废弃的人体组织、器官</w:t>
                  </w:r>
                </w:p>
              </w:tc>
              <w:tc>
                <w:tcPr>
                  <w:tcW w:w="520" w:type="pct"/>
                  <w:shd w:val="clear" w:color="auto" w:fill="auto"/>
                  <w:noWrap w:val="0"/>
                  <w:vAlign w:val="center"/>
                </w:tcPr>
                <w:p w14:paraId="023B8AF1">
                  <w:pPr>
                    <w:pStyle w:val="23"/>
                    <w:bidi w:val="0"/>
                    <w:adjustRightInd w:val="0"/>
                    <w:snapToGrid w:val="0"/>
                    <w:ind w:firstLine="0" w:firstLineChars="0"/>
                    <w:rPr>
                      <w:rFonts w:hint="eastAsia" w:ascii="Times New Roman" w:hAnsi="Times New Roman" w:eastAsia="宋体" w:cs="Times New Roman"/>
                      <w:sz w:val="21"/>
                    </w:rPr>
                  </w:pPr>
                  <w:r>
                    <w:rPr>
                      <w:rFonts w:ascii="Times New Roman" w:hAnsi="Times New Roman" w:eastAsia="宋体"/>
                    </w:rPr>
                    <w:t>有</w:t>
                  </w:r>
                </w:p>
              </w:tc>
            </w:tr>
            <w:tr w14:paraId="72F6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14:paraId="7ADF5943">
                  <w:pPr>
                    <w:pStyle w:val="23"/>
                    <w:bidi w:val="0"/>
                    <w:adjustRightInd w:val="0"/>
                    <w:snapToGrid w:val="0"/>
                  </w:pPr>
                </w:p>
              </w:tc>
              <w:tc>
                <w:tcPr>
                  <w:tcW w:w="903" w:type="pct"/>
                  <w:vMerge w:val="continue"/>
                  <w:noWrap w:val="0"/>
                  <w:vAlign w:val="center"/>
                </w:tcPr>
                <w:p w14:paraId="2B0A400A">
                  <w:pPr>
                    <w:pStyle w:val="23"/>
                    <w:bidi w:val="0"/>
                    <w:adjustRightInd w:val="0"/>
                    <w:snapToGrid w:val="0"/>
                  </w:pPr>
                </w:p>
              </w:tc>
              <w:tc>
                <w:tcPr>
                  <w:tcW w:w="3106" w:type="pct"/>
                  <w:noWrap w:val="0"/>
                  <w:vAlign w:val="center"/>
                </w:tcPr>
                <w:p w14:paraId="334B26FF">
                  <w:pPr>
                    <w:pStyle w:val="23"/>
                    <w:bidi w:val="0"/>
                    <w:adjustRightInd w:val="0"/>
                    <w:snapToGrid w:val="0"/>
                    <w:jc w:val="both"/>
                  </w:pPr>
                  <w:r>
                    <w:rPr>
                      <w:rFonts w:hint="eastAsia"/>
                      <w:lang w:val="en-US" w:eastAsia="zh-CN"/>
                    </w:rPr>
                    <w:t>2、</w:t>
                  </w:r>
                  <w:r>
                    <w:rPr>
                      <w:rFonts w:hint="eastAsia"/>
                    </w:rPr>
                    <w:t>病理切片后废弃的人体组织、病理蜡块</w:t>
                  </w:r>
                </w:p>
              </w:tc>
              <w:tc>
                <w:tcPr>
                  <w:tcW w:w="520" w:type="pct"/>
                  <w:noWrap w:val="0"/>
                  <w:vAlign w:val="center"/>
                </w:tcPr>
                <w:p w14:paraId="70481DBE">
                  <w:pPr>
                    <w:pStyle w:val="23"/>
                    <w:bidi w:val="0"/>
                    <w:adjustRightInd w:val="0"/>
                    <w:snapToGrid w:val="0"/>
                    <w:rPr>
                      <w:rFonts w:ascii="Times New Roman" w:hAnsi="Times New Roman" w:eastAsia="宋体"/>
                    </w:rPr>
                  </w:pPr>
                  <w:r>
                    <w:rPr>
                      <w:rFonts w:ascii="Times New Roman" w:hAnsi="Times New Roman" w:eastAsia="宋体"/>
                    </w:rPr>
                    <w:t>有</w:t>
                  </w:r>
                </w:p>
              </w:tc>
            </w:tr>
            <w:tr w14:paraId="7040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14:paraId="189FEBA6">
                  <w:pPr>
                    <w:pStyle w:val="23"/>
                    <w:bidi w:val="0"/>
                    <w:adjustRightInd w:val="0"/>
                    <w:snapToGrid w:val="0"/>
                  </w:pPr>
                </w:p>
              </w:tc>
              <w:tc>
                <w:tcPr>
                  <w:tcW w:w="903" w:type="pct"/>
                  <w:vMerge w:val="continue"/>
                  <w:noWrap w:val="0"/>
                  <w:vAlign w:val="center"/>
                </w:tcPr>
                <w:p w14:paraId="5CE77C3A">
                  <w:pPr>
                    <w:pStyle w:val="23"/>
                    <w:bidi w:val="0"/>
                    <w:adjustRightInd w:val="0"/>
                    <w:snapToGrid w:val="0"/>
                  </w:pPr>
                </w:p>
              </w:tc>
              <w:tc>
                <w:tcPr>
                  <w:tcW w:w="3106" w:type="pct"/>
                  <w:noWrap w:val="0"/>
                  <w:vAlign w:val="center"/>
                </w:tcPr>
                <w:p w14:paraId="165A3B97">
                  <w:pPr>
                    <w:pStyle w:val="23"/>
                    <w:bidi w:val="0"/>
                    <w:adjustRightInd w:val="0"/>
                    <w:snapToGrid w:val="0"/>
                    <w:jc w:val="both"/>
                    <w:rPr>
                      <w:rFonts w:hint="eastAsia"/>
                    </w:rPr>
                  </w:pPr>
                  <w:r>
                    <w:rPr>
                      <w:rFonts w:hint="eastAsia"/>
                      <w:lang w:val="en-US" w:eastAsia="zh-CN"/>
                    </w:rPr>
                    <w:t>3、</w:t>
                  </w:r>
                  <w:r>
                    <w:rPr>
                      <w:rFonts w:hint="eastAsia"/>
                    </w:rPr>
                    <w:t>废弃的医学实验动物的组织和尸体</w:t>
                  </w:r>
                </w:p>
              </w:tc>
              <w:tc>
                <w:tcPr>
                  <w:tcW w:w="520" w:type="pct"/>
                  <w:noWrap w:val="0"/>
                  <w:vAlign w:val="center"/>
                </w:tcPr>
                <w:p w14:paraId="3019AE76">
                  <w:pPr>
                    <w:pStyle w:val="23"/>
                    <w:bidi w:val="0"/>
                    <w:adjustRightInd w:val="0"/>
                    <w:snapToGrid w:val="0"/>
                    <w:rPr>
                      <w:rFonts w:ascii="Times New Roman" w:hAnsi="Times New Roman" w:eastAsia="宋体"/>
                      <w:lang w:eastAsia="zh-CN"/>
                    </w:rPr>
                  </w:pPr>
                  <w:r>
                    <w:rPr>
                      <w:rFonts w:hint="eastAsia" w:ascii="Times New Roman" w:hAnsi="Times New Roman" w:eastAsia="宋体"/>
                      <w:lang w:eastAsia="zh-CN"/>
                    </w:rPr>
                    <w:t>无</w:t>
                  </w:r>
                </w:p>
              </w:tc>
            </w:tr>
            <w:tr w14:paraId="0888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14:paraId="65987494">
                  <w:pPr>
                    <w:pStyle w:val="23"/>
                    <w:bidi w:val="0"/>
                    <w:adjustRightInd w:val="0"/>
                    <w:snapToGrid w:val="0"/>
                  </w:pPr>
                </w:p>
              </w:tc>
              <w:tc>
                <w:tcPr>
                  <w:tcW w:w="903" w:type="pct"/>
                  <w:vMerge w:val="continue"/>
                  <w:noWrap w:val="0"/>
                  <w:vAlign w:val="center"/>
                </w:tcPr>
                <w:p w14:paraId="22573248">
                  <w:pPr>
                    <w:pStyle w:val="23"/>
                    <w:bidi w:val="0"/>
                    <w:adjustRightInd w:val="0"/>
                    <w:snapToGrid w:val="0"/>
                  </w:pPr>
                </w:p>
              </w:tc>
              <w:tc>
                <w:tcPr>
                  <w:tcW w:w="3106" w:type="pct"/>
                  <w:noWrap w:val="0"/>
                  <w:vAlign w:val="center"/>
                </w:tcPr>
                <w:p w14:paraId="1EAA0D25">
                  <w:pPr>
                    <w:pStyle w:val="23"/>
                    <w:bidi w:val="0"/>
                    <w:adjustRightInd w:val="0"/>
                    <w:snapToGrid w:val="0"/>
                    <w:jc w:val="both"/>
                    <w:rPr>
                      <w:rFonts w:hint="eastAsia"/>
                    </w:rPr>
                  </w:pPr>
                  <w:r>
                    <w:rPr>
                      <w:rFonts w:hint="eastAsia"/>
                      <w:lang w:val="en-US" w:eastAsia="zh-CN"/>
                    </w:rPr>
                    <w:t>4、1</w:t>
                  </w:r>
                  <w:r>
                    <w:rPr>
                      <w:rFonts w:hint="eastAsia"/>
                    </w:rPr>
                    <w:t>6周胎龄以下或重量不足500克的胚胎组织等</w:t>
                  </w:r>
                </w:p>
              </w:tc>
              <w:tc>
                <w:tcPr>
                  <w:tcW w:w="520" w:type="pct"/>
                  <w:noWrap w:val="0"/>
                  <w:vAlign w:val="center"/>
                </w:tcPr>
                <w:p w14:paraId="448B99F2">
                  <w:pPr>
                    <w:pStyle w:val="23"/>
                    <w:bidi w:val="0"/>
                    <w:adjustRightInd w:val="0"/>
                    <w:snapToGrid w:val="0"/>
                    <w:rPr>
                      <w:rFonts w:ascii="Times New Roman" w:hAnsi="Times New Roman" w:eastAsia="宋体"/>
                      <w:lang w:eastAsia="zh-CN"/>
                    </w:rPr>
                  </w:pPr>
                  <w:r>
                    <w:rPr>
                      <w:rFonts w:hint="eastAsia" w:ascii="Times New Roman" w:hAnsi="Times New Roman" w:eastAsia="宋体"/>
                      <w:lang w:eastAsia="zh-CN"/>
                    </w:rPr>
                    <w:t>无</w:t>
                  </w:r>
                </w:p>
              </w:tc>
            </w:tr>
            <w:tr w14:paraId="32B9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14:paraId="27A721C6">
                  <w:pPr>
                    <w:pStyle w:val="23"/>
                    <w:bidi w:val="0"/>
                    <w:adjustRightInd w:val="0"/>
                    <w:snapToGrid w:val="0"/>
                  </w:pPr>
                </w:p>
              </w:tc>
              <w:tc>
                <w:tcPr>
                  <w:tcW w:w="903" w:type="pct"/>
                  <w:vMerge w:val="continue"/>
                  <w:noWrap w:val="0"/>
                  <w:vAlign w:val="center"/>
                </w:tcPr>
                <w:p w14:paraId="33D3220F">
                  <w:pPr>
                    <w:pStyle w:val="23"/>
                    <w:bidi w:val="0"/>
                    <w:adjustRightInd w:val="0"/>
                    <w:snapToGrid w:val="0"/>
                  </w:pPr>
                </w:p>
              </w:tc>
              <w:tc>
                <w:tcPr>
                  <w:tcW w:w="3106" w:type="pct"/>
                  <w:noWrap w:val="0"/>
                  <w:vAlign w:val="center"/>
                </w:tcPr>
                <w:p w14:paraId="39AC0085">
                  <w:pPr>
                    <w:pStyle w:val="23"/>
                    <w:bidi w:val="0"/>
                    <w:adjustRightInd w:val="0"/>
                    <w:snapToGrid w:val="0"/>
                    <w:jc w:val="both"/>
                    <w:rPr>
                      <w:rFonts w:hint="eastAsia"/>
                    </w:rPr>
                  </w:pPr>
                  <w:r>
                    <w:rPr>
                      <w:rFonts w:hint="eastAsia"/>
                      <w:lang w:val="en-US" w:eastAsia="zh-CN"/>
                    </w:rPr>
                    <w:t>5、</w:t>
                  </w:r>
                  <w:r>
                    <w:rPr>
                      <w:rFonts w:hint="eastAsia"/>
                    </w:rPr>
                    <w:t>确诊、疑似传染病或携带传染病病原体的产妇的胎盘</w:t>
                  </w:r>
                </w:p>
              </w:tc>
              <w:tc>
                <w:tcPr>
                  <w:tcW w:w="520" w:type="pct"/>
                  <w:noWrap w:val="0"/>
                  <w:vAlign w:val="center"/>
                </w:tcPr>
                <w:p w14:paraId="0E40D99C">
                  <w:pPr>
                    <w:pStyle w:val="23"/>
                    <w:bidi w:val="0"/>
                    <w:adjustRightInd w:val="0"/>
                    <w:snapToGrid w:val="0"/>
                    <w:rPr>
                      <w:rFonts w:ascii="Times New Roman" w:hAnsi="Times New Roman" w:eastAsia="宋体"/>
                      <w:lang w:eastAsia="zh-CN"/>
                    </w:rPr>
                  </w:pPr>
                  <w:r>
                    <w:rPr>
                      <w:rFonts w:hint="eastAsia" w:ascii="Times New Roman" w:hAnsi="Times New Roman" w:eastAsia="宋体"/>
                      <w:lang w:eastAsia="zh-CN"/>
                    </w:rPr>
                    <w:t>有</w:t>
                  </w:r>
                </w:p>
              </w:tc>
            </w:tr>
            <w:tr w14:paraId="7A8E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469" w:type="pct"/>
                  <w:vMerge w:val="restart"/>
                  <w:noWrap w:val="0"/>
                  <w:vAlign w:val="center"/>
                </w:tcPr>
                <w:p w14:paraId="20C9FC0B">
                  <w:pPr>
                    <w:pStyle w:val="23"/>
                    <w:bidi w:val="0"/>
                    <w:adjustRightInd w:val="0"/>
                    <w:snapToGrid w:val="0"/>
                    <w:rPr>
                      <w:rFonts w:ascii="Times New Roman" w:hAnsi="Times New Roman" w:eastAsia="宋体"/>
                    </w:rPr>
                  </w:pPr>
                  <w:r>
                    <w:rPr>
                      <w:rFonts w:ascii="Times New Roman" w:hAnsi="Times New Roman" w:eastAsia="宋体"/>
                    </w:rPr>
                    <w:t>药物性废物</w:t>
                  </w:r>
                </w:p>
              </w:tc>
              <w:tc>
                <w:tcPr>
                  <w:tcW w:w="903" w:type="pct"/>
                  <w:vMerge w:val="restart"/>
                  <w:noWrap w:val="0"/>
                  <w:vAlign w:val="center"/>
                </w:tcPr>
                <w:p w14:paraId="1D0EB623">
                  <w:pPr>
                    <w:pStyle w:val="23"/>
                    <w:bidi w:val="0"/>
                    <w:adjustRightInd w:val="0"/>
                    <w:snapToGrid w:val="0"/>
                    <w:rPr>
                      <w:rFonts w:ascii="Times New Roman" w:hAnsi="Times New Roman" w:eastAsia="宋体"/>
                    </w:rPr>
                  </w:pPr>
                  <w:r>
                    <w:rPr>
                      <w:rFonts w:ascii="Times New Roman" w:hAnsi="Times New Roman" w:eastAsia="宋体"/>
                    </w:rPr>
                    <w:t>过期、淘汰、变质或者被污染的废弃的药品</w:t>
                  </w:r>
                </w:p>
              </w:tc>
              <w:tc>
                <w:tcPr>
                  <w:tcW w:w="3106" w:type="pct"/>
                  <w:noWrap w:val="0"/>
                  <w:vAlign w:val="center"/>
                </w:tcPr>
                <w:p w14:paraId="4A6FDD3B">
                  <w:pPr>
                    <w:pStyle w:val="23"/>
                    <w:bidi w:val="0"/>
                    <w:adjustRightInd w:val="0"/>
                    <w:snapToGrid w:val="0"/>
                    <w:jc w:val="both"/>
                    <w:rPr>
                      <w:rFonts w:ascii="Times New Roman" w:hAnsi="Times New Roman" w:eastAsia="宋体"/>
                    </w:rPr>
                  </w:pPr>
                  <w:r>
                    <w:rPr>
                      <w:rFonts w:ascii="Times New Roman" w:hAnsi="Times New Roman" w:eastAsia="宋体"/>
                    </w:rPr>
                    <w:t>1、废弃的一般性药品</w:t>
                  </w:r>
                </w:p>
              </w:tc>
              <w:tc>
                <w:tcPr>
                  <w:tcW w:w="520" w:type="pct"/>
                  <w:noWrap w:val="0"/>
                  <w:vAlign w:val="center"/>
                </w:tcPr>
                <w:p w14:paraId="1C0BB5CD">
                  <w:pPr>
                    <w:pStyle w:val="23"/>
                    <w:bidi w:val="0"/>
                    <w:adjustRightInd w:val="0"/>
                    <w:snapToGrid w:val="0"/>
                    <w:rPr>
                      <w:rFonts w:ascii="Times New Roman" w:hAnsi="Times New Roman" w:eastAsia="宋体"/>
                    </w:rPr>
                  </w:pPr>
                  <w:r>
                    <w:rPr>
                      <w:rFonts w:ascii="Times New Roman" w:hAnsi="Times New Roman" w:eastAsia="宋体"/>
                    </w:rPr>
                    <w:t>有</w:t>
                  </w:r>
                </w:p>
              </w:tc>
            </w:tr>
            <w:tr w14:paraId="3981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14:paraId="3BF45655">
                  <w:pPr>
                    <w:pStyle w:val="23"/>
                    <w:bidi w:val="0"/>
                    <w:adjustRightInd w:val="0"/>
                    <w:snapToGrid w:val="0"/>
                  </w:pPr>
                </w:p>
              </w:tc>
              <w:tc>
                <w:tcPr>
                  <w:tcW w:w="903" w:type="pct"/>
                  <w:vMerge w:val="continue"/>
                  <w:noWrap w:val="0"/>
                  <w:vAlign w:val="center"/>
                </w:tcPr>
                <w:p w14:paraId="6B6C5825">
                  <w:pPr>
                    <w:pStyle w:val="23"/>
                    <w:bidi w:val="0"/>
                    <w:adjustRightInd w:val="0"/>
                    <w:snapToGrid w:val="0"/>
                  </w:pPr>
                </w:p>
              </w:tc>
              <w:tc>
                <w:tcPr>
                  <w:tcW w:w="3106" w:type="pct"/>
                  <w:noWrap w:val="0"/>
                  <w:vAlign w:val="center"/>
                </w:tcPr>
                <w:p w14:paraId="7E78CA7A">
                  <w:pPr>
                    <w:pStyle w:val="23"/>
                    <w:bidi w:val="0"/>
                    <w:adjustRightInd w:val="0"/>
                    <w:snapToGrid w:val="0"/>
                    <w:jc w:val="both"/>
                  </w:pPr>
                  <w:r>
                    <w:t>2、废弃的细胞毒性药物和遗传毒性药物</w:t>
                  </w:r>
                </w:p>
              </w:tc>
              <w:tc>
                <w:tcPr>
                  <w:tcW w:w="520" w:type="pct"/>
                  <w:noWrap w:val="0"/>
                  <w:vAlign w:val="center"/>
                </w:tcPr>
                <w:p w14:paraId="21DE8062">
                  <w:pPr>
                    <w:pStyle w:val="23"/>
                    <w:bidi w:val="0"/>
                    <w:adjustRightInd w:val="0"/>
                    <w:snapToGrid w:val="0"/>
                  </w:pPr>
                  <w:r>
                    <w:t>有</w:t>
                  </w:r>
                </w:p>
              </w:tc>
            </w:tr>
            <w:tr w14:paraId="3957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469" w:type="pct"/>
                  <w:vMerge w:val="continue"/>
                  <w:noWrap w:val="0"/>
                  <w:vAlign w:val="center"/>
                </w:tcPr>
                <w:p w14:paraId="1D6C377C">
                  <w:pPr>
                    <w:pStyle w:val="23"/>
                    <w:bidi w:val="0"/>
                    <w:adjustRightInd w:val="0"/>
                    <w:snapToGrid w:val="0"/>
                  </w:pPr>
                </w:p>
              </w:tc>
              <w:tc>
                <w:tcPr>
                  <w:tcW w:w="903" w:type="pct"/>
                  <w:vMerge w:val="continue"/>
                  <w:noWrap w:val="0"/>
                  <w:vAlign w:val="center"/>
                </w:tcPr>
                <w:p w14:paraId="6E156CC8">
                  <w:pPr>
                    <w:pStyle w:val="23"/>
                    <w:bidi w:val="0"/>
                    <w:adjustRightInd w:val="0"/>
                    <w:snapToGrid w:val="0"/>
                  </w:pPr>
                </w:p>
              </w:tc>
              <w:tc>
                <w:tcPr>
                  <w:tcW w:w="3106" w:type="pct"/>
                  <w:noWrap w:val="0"/>
                  <w:vAlign w:val="center"/>
                </w:tcPr>
                <w:p w14:paraId="3DB25E18">
                  <w:pPr>
                    <w:pStyle w:val="23"/>
                    <w:bidi w:val="0"/>
                    <w:adjustRightInd w:val="0"/>
                    <w:snapToGrid w:val="0"/>
                    <w:jc w:val="both"/>
                  </w:pPr>
                  <w:r>
                    <w:t>3、废弃的疫苗</w:t>
                  </w:r>
                  <w:r>
                    <w:rPr>
                      <w:rFonts w:hint="eastAsia"/>
                      <w:lang w:eastAsia="zh-CN"/>
                    </w:rPr>
                    <w:t>及</w:t>
                  </w:r>
                  <w:r>
                    <w:t>血液制品</w:t>
                  </w:r>
                </w:p>
              </w:tc>
              <w:tc>
                <w:tcPr>
                  <w:tcW w:w="520" w:type="pct"/>
                  <w:noWrap w:val="0"/>
                  <w:vAlign w:val="center"/>
                </w:tcPr>
                <w:p w14:paraId="42466EFC">
                  <w:pPr>
                    <w:pStyle w:val="23"/>
                    <w:bidi w:val="0"/>
                    <w:adjustRightInd w:val="0"/>
                    <w:snapToGrid w:val="0"/>
                  </w:pPr>
                  <w:r>
                    <w:t>有</w:t>
                  </w:r>
                </w:p>
              </w:tc>
            </w:tr>
            <w:tr w14:paraId="290F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469" w:type="pct"/>
                  <w:noWrap w:val="0"/>
                  <w:vAlign w:val="center"/>
                </w:tcPr>
                <w:p w14:paraId="6110A8EE">
                  <w:pPr>
                    <w:pStyle w:val="23"/>
                    <w:bidi w:val="0"/>
                    <w:adjustRightInd w:val="0"/>
                    <w:snapToGrid w:val="0"/>
                    <w:rPr>
                      <w:rFonts w:ascii="Times New Roman" w:hAnsi="Times New Roman" w:eastAsia="宋体"/>
                    </w:rPr>
                  </w:pPr>
                  <w:r>
                    <w:rPr>
                      <w:rFonts w:ascii="Times New Roman" w:hAnsi="Times New Roman" w:eastAsia="宋体"/>
                    </w:rPr>
                    <w:t>化学性废物</w:t>
                  </w:r>
                </w:p>
              </w:tc>
              <w:tc>
                <w:tcPr>
                  <w:tcW w:w="903" w:type="pct"/>
                  <w:noWrap w:val="0"/>
                  <w:vAlign w:val="center"/>
                </w:tcPr>
                <w:p w14:paraId="37AABD5B">
                  <w:pPr>
                    <w:pStyle w:val="23"/>
                    <w:bidi w:val="0"/>
                    <w:adjustRightInd w:val="0"/>
                    <w:snapToGrid w:val="0"/>
                    <w:rPr>
                      <w:rFonts w:ascii="Times New Roman" w:hAnsi="Times New Roman" w:eastAsia="宋体"/>
                    </w:rPr>
                  </w:pPr>
                  <w:r>
                    <w:rPr>
                      <w:rFonts w:ascii="Times New Roman" w:hAnsi="Times New Roman" w:eastAsia="宋体"/>
                    </w:rPr>
                    <w:t>具有毒性、腐蚀性、易燃</w:t>
                  </w:r>
                  <w:r>
                    <w:rPr>
                      <w:rFonts w:hint="eastAsia" w:ascii="Times New Roman" w:hAnsi="Times New Roman" w:eastAsia="宋体"/>
                      <w:lang w:eastAsia="zh-CN"/>
                    </w:rPr>
                    <w:t>性、反应性</w:t>
                  </w:r>
                  <w:r>
                    <w:rPr>
                      <w:rFonts w:ascii="Times New Roman" w:hAnsi="Times New Roman" w:eastAsia="宋体"/>
                    </w:rPr>
                    <w:t>的废弃的化学物品</w:t>
                  </w:r>
                </w:p>
              </w:tc>
              <w:tc>
                <w:tcPr>
                  <w:tcW w:w="3106" w:type="pct"/>
                  <w:noWrap w:val="0"/>
                  <w:vAlign w:val="center"/>
                </w:tcPr>
                <w:p w14:paraId="0AB40E9B">
                  <w:pPr>
                    <w:pStyle w:val="23"/>
                    <w:bidi w:val="0"/>
                    <w:adjustRightInd w:val="0"/>
                    <w:snapToGrid w:val="0"/>
                    <w:jc w:val="both"/>
                    <w:rPr>
                      <w:rFonts w:ascii="Times New Roman" w:hAnsi="Times New Roman" w:eastAsia="宋体"/>
                    </w:rPr>
                  </w:pPr>
                  <w:r>
                    <w:rPr>
                      <w:rFonts w:hint="eastAsia" w:ascii="Times New Roman" w:hAnsi="Times New Roman" w:eastAsia="宋体"/>
                    </w:rPr>
                    <w:t>列入《国家危险废物名录》中的废弃危险化学品，如甲醛、二甲苯等;非特定行业来源的危险废物，如含汞血压计、含汞体温计，废弃的牙科汞合金材料及其残余物</w:t>
                  </w:r>
                </w:p>
              </w:tc>
              <w:tc>
                <w:tcPr>
                  <w:tcW w:w="520" w:type="pct"/>
                  <w:noWrap w:val="0"/>
                  <w:vAlign w:val="center"/>
                </w:tcPr>
                <w:p w14:paraId="2354EC07">
                  <w:pPr>
                    <w:pStyle w:val="23"/>
                    <w:bidi w:val="0"/>
                    <w:adjustRightInd w:val="0"/>
                    <w:snapToGrid w:val="0"/>
                    <w:rPr>
                      <w:rFonts w:ascii="Times New Roman" w:hAnsi="Times New Roman" w:eastAsia="宋体"/>
                    </w:rPr>
                  </w:pPr>
                  <w:r>
                    <w:rPr>
                      <w:rFonts w:ascii="Times New Roman" w:hAnsi="Times New Roman" w:eastAsia="宋体"/>
                    </w:rPr>
                    <w:t>有</w:t>
                  </w:r>
                </w:p>
              </w:tc>
            </w:tr>
          </w:tbl>
          <w:p w14:paraId="66A98D8E">
            <w:pPr>
              <w:pStyle w:val="25"/>
              <w:bidi w:val="0"/>
            </w:pPr>
            <w:r>
              <w:t>本项目医疗固废主要为</w:t>
            </w:r>
            <w:r>
              <w:rPr>
                <w:rFonts w:hint="eastAsia"/>
                <w:lang w:eastAsia="zh-CN"/>
              </w:rPr>
              <w:t>感染性废物、</w:t>
            </w:r>
            <w:r>
              <w:rPr>
                <w:rFonts w:hint="eastAsia"/>
                <w:lang w:val="en-US" w:eastAsia="zh-CN"/>
              </w:rPr>
              <w:t>损伤性废物、病理性废物、</w:t>
            </w:r>
            <w:r>
              <w:t>药物性废物和化学性废物等。项目门诊计划接待量为</w:t>
            </w:r>
            <w:r>
              <w:rPr>
                <w:rFonts w:hint="eastAsia"/>
                <w:lang w:val="en-US" w:eastAsia="zh-CN"/>
              </w:rPr>
              <w:t>10人/天、</w:t>
            </w:r>
            <w:r>
              <w:rPr>
                <w:rFonts w:hint="eastAsia"/>
              </w:rPr>
              <w:t>3650</w:t>
            </w:r>
            <w:r>
              <w:t>人/年，医疗废物产生量按照0.1kg/人·d计算，医疗垃圾的产生量约为</w:t>
            </w:r>
            <w:r>
              <w:rPr>
                <w:rFonts w:hint="eastAsia"/>
              </w:rPr>
              <w:t>1</w:t>
            </w:r>
            <w:r>
              <w:t>kg/d</w:t>
            </w:r>
            <w:r>
              <w:rPr>
                <w:rFonts w:hint="eastAsia"/>
                <w:lang w:eastAsia="zh-CN"/>
              </w:rPr>
              <w:t>、</w:t>
            </w:r>
            <w:r>
              <w:t>0.</w:t>
            </w:r>
            <w:r>
              <w:rPr>
                <w:rFonts w:hint="eastAsia"/>
              </w:rPr>
              <w:t>365</w:t>
            </w:r>
            <w:r>
              <w:rPr>
                <w:rFonts w:hint="eastAsia"/>
                <w:lang w:val="en-US" w:eastAsia="zh-CN"/>
              </w:rPr>
              <w:t>t</w:t>
            </w:r>
            <w:r>
              <w:t>/a。本项目共设开放床</w:t>
            </w:r>
            <w:r>
              <w:rPr>
                <w:rFonts w:hint="eastAsia"/>
              </w:rPr>
              <w:t>2</w:t>
            </w:r>
            <w:r>
              <w:t>0张，住院病人按每张病床每日产生医疗固废1.5kg计，则医院医疗废物的产生量约为</w:t>
            </w:r>
            <w:r>
              <w:rPr>
                <w:rFonts w:hint="eastAsia"/>
              </w:rPr>
              <w:t>30</w:t>
            </w:r>
            <w:r>
              <w:t>kg/d，</w:t>
            </w:r>
            <w:r>
              <w:rPr>
                <w:rFonts w:hint="eastAsia"/>
              </w:rPr>
              <w:t>10</w:t>
            </w:r>
            <w:r>
              <w:rPr>
                <w:rFonts w:hint="eastAsia"/>
                <w:lang w:val="en-US" w:eastAsia="zh-CN"/>
              </w:rPr>
              <w:t>.</w:t>
            </w:r>
            <w:r>
              <w:rPr>
                <w:rFonts w:hint="eastAsia"/>
              </w:rPr>
              <w:t>95</w:t>
            </w:r>
            <w:r>
              <w:t>t/a。全院共产生医疗固废</w:t>
            </w:r>
            <w:r>
              <w:rPr>
                <w:rFonts w:hint="eastAsia"/>
              </w:rPr>
              <w:t>31</w:t>
            </w:r>
            <w:r>
              <w:t>kg/d，约</w:t>
            </w:r>
            <w:r>
              <w:rPr>
                <w:rFonts w:hint="eastAsia"/>
                <w:lang w:val="en-US" w:eastAsia="zh-CN"/>
              </w:rPr>
              <w:t>11.315</w:t>
            </w:r>
            <w:r>
              <w:t>t/a。</w:t>
            </w:r>
          </w:p>
          <w:p w14:paraId="2632373D">
            <w:pPr>
              <w:bidi w:val="0"/>
            </w:pPr>
            <w:r>
              <w:t>②生活垃圾</w:t>
            </w:r>
          </w:p>
          <w:p w14:paraId="207357C1">
            <w:pPr>
              <w:bidi w:val="0"/>
            </w:pPr>
            <w:r>
              <w:t>本项目员工人数为</w:t>
            </w:r>
            <w:r>
              <w:rPr>
                <w:rFonts w:hint="eastAsia"/>
              </w:rPr>
              <w:t>31</w:t>
            </w:r>
            <w:r>
              <w:t>人，人均生活垃圾产生系数以0.5kg/d，则员工产生的生活垃圾为</w:t>
            </w:r>
            <w:r>
              <w:rPr>
                <w:rFonts w:hint="eastAsia"/>
              </w:rPr>
              <w:t>15.5</w:t>
            </w:r>
            <w:r>
              <w:t>kg/d，</w:t>
            </w:r>
            <w:r>
              <w:rPr>
                <w:rFonts w:hint="eastAsia"/>
              </w:rPr>
              <w:t>5.66</w:t>
            </w:r>
            <w:r>
              <w:t>t/a；医院设置床位</w:t>
            </w:r>
            <w:r>
              <w:rPr>
                <w:rFonts w:hint="eastAsia"/>
              </w:rPr>
              <w:t>20</w:t>
            </w:r>
            <w:r>
              <w:t>张，住院病人及陪护人员生活垃圾产生量按1.0kg/床·d计，则产生生活垃圾</w:t>
            </w:r>
            <w:r>
              <w:rPr>
                <w:rFonts w:hint="eastAsia"/>
              </w:rPr>
              <w:t>20</w:t>
            </w:r>
            <w:r>
              <w:t>kg/d，</w:t>
            </w:r>
            <w:r>
              <w:rPr>
                <w:rFonts w:hint="eastAsia"/>
              </w:rPr>
              <w:t>7.3</w:t>
            </w:r>
            <w:r>
              <w:t>t/a；门诊病人生活垃圾产生量按0.1kg/人·d计，门诊接待量为</w:t>
            </w:r>
            <w:r>
              <w:rPr>
                <w:rFonts w:hint="eastAsia"/>
              </w:rPr>
              <w:t>3650</w:t>
            </w:r>
            <w:r>
              <w:t>人/年，则门诊产生生活垃圾约为</w:t>
            </w:r>
            <w:r>
              <w:rPr>
                <w:rFonts w:hint="eastAsia"/>
              </w:rPr>
              <w:t>1</w:t>
            </w:r>
            <w:r>
              <w:t>kg/d，0.</w:t>
            </w:r>
            <w:r>
              <w:rPr>
                <w:rFonts w:hint="eastAsia"/>
              </w:rPr>
              <w:t>365</w:t>
            </w:r>
            <w:r>
              <w:t>t/a。全院共产生办公生活垃圾</w:t>
            </w:r>
            <w:r>
              <w:rPr>
                <w:rFonts w:hint="eastAsia"/>
              </w:rPr>
              <w:t>21</w:t>
            </w:r>
            <w:r>
              <w:t>kg/d，约</w:t>
            </w:r>
            <w:r>
              <w:rPr>
                <w:rFonts w:hint="eastAsia"/>
              </w:rPr>
              <w:t>7.67</w:t>
            </w:r>
            <w:r>
              <w:t>t/a。</w:t>
            </w:r>
          </w:p>
          <w:p w14:paraId="07AAB372">
            <w:pPr>
              <w:bidi w:val="0"/>
            </w:pPr>
            <w:r>
              <w:fldChar w:fldCharType="begin"/>
            </w:r>
            <w:r>
              <w:instrText xml:space="preserve"> = 3 \* GB3 \* MERGEFORMAT </w:instrText>
            </w:r>
            <w:r>
              <w:fldChar w:fldCharType="separate"/>
            </w:r>
            <w:r>
              <w:t>③</w:t>
            </w:r>
            <w:r>
              <w:fldChar w:fldCharType="end"/>
            </w:r>
            <w:r>
              <w:t>污水处理站污泥</w:t>
            </w:r>
          </w:p>
          <w:p w14:paraId="73B1C87D">
            <w:pPr>
              <w:bidi w:val="0"/>
            </w:pPr>
            <w:r>
              <w:t>根据废水污染源分析可知，本项目废水产生量为</w:t>
            </w:r>
            <w:r>
              <w:rPr>
                <w:rFonts w:hint="eastAsia"/>
                <w:lang w:val="en-US" w:eastAsia="zh-CN"/>
              </w:rPr>
              <w:t>2702.825t/a</w:t>
            </w:r>
            <w:r>
              <w:t>，污泥产生量按0.8~1.2t/万吨水计，根据本项目情况，按最大值</w:t>
            </w:r>
            <w:r>
              <w:rPr>
                <w:rFonts w:hint="eastAsia"/>
              </w:rPr>
              <w:t>1.2t</w:t>
            </w:r>
            <w:r>
              <w:t>/万吨水计算，约产生污泥</w:t>
            </w:r>
            <w:r>
              <w:rPr>
                <w:rFonts w:hint="eastAsia"/>
                <w:lang w:val="en-US" w:eastAsia="zh-CN"/>
              </w:rPr>
              <w:t>1.622</w:t>
            </w:r>
            <w:r>
              <w:t>t/a，含水率80%。根据《医疗机构水污染物排放标准》（GB18466-2005）中有关污泥控制与处置的规定：污水处理站污泥属危险废物（HW01），应按危险废物进行处理和处置。本项目产生的污泥定期清掏，交由有资质单位处置。</w:t>
            </w:r>
          </w:p>
          <w:p w14:paraId="081B54B5">
            <w:pPr>
              <w:bidi w:val="0"/>
            </w:pPr>
            <w:r>
              <w:t>（2）固废治理措施及污染物排放情况</w:t>
            </w:r>
          </w:p>
          <w:p w14:paraId="0C8922B2">
            <w:pPr>
              <w:bidi w:val="0"/>
              <w:rPr>
                <w:rFonts w:hint="eastAsia"/>
                <w:lang w:val="en-US" w:eastAsia="zh-CN"/>
              </w:rPr>
            </w:pPr>
            <w:r>
              <w:rPr>
                <w:rFonts w:hint="eastAsia"/>
                <w:lang w:val="en-US" w:eastAsia="zh-CN"/>
              </w:rPr>
              <w:t>1）</w:t>
            </w:r>
            <w:r>
              <w:t>污水处理站污泥</w:t>
            </w:r>
          </w:p>
          <w:p w14:paraId="49C1EEE4">
            <w:pPr>
              <w:bidi w:val="0"/>
            </w:pPr>
            <w:r>
              <w:rPr>
                <w:rFonts w:hint="eastAsia"/>
              </w:rPr>
              <w:t>该污泥有病原菌和寄生虫卵</w:t>
            </w:r>
            <w:r>
              <w:rPr>
                <w:rFonts w:hint="eastAsia"/>
                <w:lang w:eastAsia="zh-CN"/>
              </w:rPr>
              <w:t>：</w:t>
            </w:r>
            <w:r>
              <w:rPr>
                <w:rFonts w:hint="eastAsia"/>
              </w:rPr>
              <w:t>项目产生的污泥由建设单位委托资质单位进行清掏、消毒及转运处置，不在院区内暂存。</w:t>
            </w:r>
          </w:p>
          <w:p w14:paraId="0881BF2F">
            <w:pPr>
              <w:bidi w:val="0"/>
              <w:rPr>
                <w:rFonts w:hint="eastAsia"/>
                <w:lang w:val="en-US" w:eastAsia="zh-CN"/>
              </w:rPr>
            </w:pPr>
            <w:r>
              <w:rPr>
                <w:rFonts w:hint="eastAsia"/>
                <w:lang w:val="en-US" w:eastAsia="zh-CN"/>
              </w:rPr>
              <w:t>2）医疗废物</w:t>
            </w:r>
          </w:p>
          <w:p w14:paraId="1E2D9B95">
            <w:pPr>
              <w:bidi w:val="0"/>
            </w:pPr>
            <w:r>
              <w:t>根据《中华人民共和国固体废物污染环境防治法》和《医疗废物管理条例》（中华人民共和国国务院令第588号）2011年修订版的相关规定，环评要求对本项目建成后的医疗废物与生活垃圾必须分开收集、贮存和运输。</w:t>
            </w:r>
          </w:p>
          <w:p w14:paraId="49D1808E">
            <w:pPr>
              <w:bidi w:val="0"/>
            </w:pPr>
            <w:r>
              <w:t>①医疗废物</w:t>
            </w:r>
          </w:p>
          <w:p w14:paraId="2B434E5E">
            <w:pPr>
              <w:bidi w:val="0"/>
            </w:pPr>
            <w:r>
              <w:t>按照《医疗废物管理条例》（国务院第380号令）、《医疗废物集中处置技术规范（试行）》、《医疗废物专用包装袋、容器和警示标志标准》（HJ421-2008）、《医疗卫生机构医疗废物管理办法》（中华人民共和国卫生部令第36号）、《关于印发医疗废物分类目录（2021年版）的通知》（国卫医函〔2021〕238号）的相关要求，医疗废物应采取以下管理措施：</w:t>
            </w:r>
          </w:p>
          <w:p w14:paraId="21A002E8">
            <w:pPr>
              <w:bidi w:val="0"/>
            </w:pPr>
            <w:r>
              <w:t>A、医废暂存间设置及管理要求</w:t>
            </w:r>
          </w:p>
          <w:p w14:paraId="5A32A1DA">
            <w:pPr>
              <w:bidi w:val="0"/>
            </w:pPr>
            <w:r>
              <w:t>①医疗固废暂存间等危险暂存间，必须按照《危险废物贮存污染控制标准》（GB18597-2023）的设计要求，防渗层为至少2mm厚高密度聚乙烯，或至少2mm厚的其它人工材料。通过上述措施可使重点污染区各单元防渗层渗透系数≤10</w:t>
            </w:r>
            <w:r>
              <w:rPr>
                <w:vertAlign w:val="superscript"/>
              </w:rPr>
              <w:t>-10</w:t>
            </w:r>
            <w:r>
              <w:t>cm/s。并做到“防风、防晒、防雨、防漏、防渗、防腐”六防措施；</w:t>
            </w:r>
          </w:p>
          <w:p w14:paraId="595FA8C4">
            <w:pPr>
              <w:bidi w:val="0"/>
            </w:pPr>
            <w:r>
              <w:t>②暂存间设置排向病区污水处理系统的截流沟；</w:t>
            </w:r>
          </w:p>
          <w:p w14:paraId="3316BFD2">
            <w:pPr>
              <w:bidi w:val="0"/>
            </w:pPr>
            <w:r>
              <w:t>③暂存间设置医疗废物及其他危险废物分类收集标识，各种医疗废物以及其他危险</w:t>
            </w:r>
            <w:r>
              <w:rPr>
                <w:rFonts w:hint="eastAsia"/>
                <w:lang w:val="en-US" w:eastAsia="zh-CN"/>
              </w:rPr>
              <w:t>废物</w:t>
            </w:r>
            <w:r>
              <w:t>必须分类收集并做好明显标志；</w:t>
            </w:r>
          </w:p>
          <w:p w14:paraId="70CCE932">
            <w:pPr>
              <w:bidi w:val="0"/>
            </w:pPr>
            <w:r>
              <w:t>④医疗废物贮存做到日产日清，使用中做到消毒、灭菌，防止病源扩散或传染；</w:t>
            </w:r>
          </w:p>
          <w:p w14:paraId="4DF25ADB">
            <w:pPr>
              <w:bidi w:val="0"/>
            </w:pPr>
            <w:r>
              <w:t>⑤危废暂存间设置明显警示标识和防渗漏、防鼠、防蚊蝇、防蟑螂、防盗以及预防儿童接触等安全措施；</w:t>
            </w:r>
          </w:p>
          <w:p w14:paraId="27BD8870">
            <w:pPr>
              <w:bidi w:val="0"/>
            </w:pPr>
            <w:r>
              <w:t>⑥危废暂存间的贮存设施、设备定期消毒和清洁。</w:t>
            </w:r>
          </w:p>
          <w:p w14:paraId="6F1CA55C">
            <w:pPr>
              <w:bidi w:val="0"/>
            </w:pPr>
            <w:r>
              <w:t>B、医疗废物的收集和管理</w:t>
            </w:r>
          </w:p>
          <w:p w14:paraId="72201101">
            <w:pPr>
              <w:bidi w:val="0"/>
            </w:pPr>
            <w:r>
              <w:t>医疗卫生机构应当根据《医疗废物分类目录》，对医疗废物实施分类管理。医疗废物必须由指定的专人定时收集，收集人应有必要的防护措施。医疗机构的负责人应按照相关的法规及办法进行监督和管理。</w:t>
            </w:r>
          </w:p>
          <w:p w14:paraId="2212D924">
            <w:pPr>
              <w:bidi w:val="0"/>
            </w:pPr>
            <w:r>
              <w:t>a、医疗卫生机构应当按照以下要求，及时分类收集医疗废物：</w:t>
            </w:r>
          </w:p>
          <w:p w14:paraId="180D06AF">
            <w:pPr>
              <w:bidi w:val="0"/>
            </w:pPr>
            <w:r>
              <w:t>▶根据医疗废物的类别，将医疗废物分置于符合《医疗废物专用包装物、容器的标准和警示标识的规定》的包装物或者容器内，本项目不涉及冷冻；</w:t>
            </w:r>
          </w:p>
          <w:p w14:paraId="6A52FB97">
            <w:pPr>
              <w:bidi w:val="0"/>
            </w:pPr>
            <w:r>
              <w:t>▶在盛装医疗废物前，应当对医疗废物包装物或者容器进行认真检查，确保无破损、渗漏和其它缺陷；</w:t>
            </w:r>
          </w:p>
          <w:p w14:paraId="37A5C493">
            <w:pPr>
              <w:bidi w:val="0"/>
            </w:pPr>
            <w:r>
              <w:t>▶感染性废物、病理性废物、损伤性废物、药物性废物及化学性废物不能混合收集；</w:t>
            </w:r>
          </w:p>
          <w:p w14:paraId="08858217">
            <w:pPr>
              <w:bidi w:val="0"/>
            </w:pPr>
            <w:r>
              <w:t>▶废弃的麻醉等药品及其相关的废物的管理，依照有关法律、行政法规和国家有关规定、标准执行；</w:t>
            </w:r>
          </w:p>
          <w:p w14:paraId="6E178EEF">
            <w:pPr>
              <w:bidi w:val="0"/>
            </w:pPr>
            <w:r>
              <w:t>▶化学性废物中的批量的废化学试剂、废消毒剂应交由专门机构处置；</w:t>
            </w:r>
          </w:p>
          <w:p w14:paraId="140D8A24">
            <w:pPr>
              <w:bidi w:val="0"/>
            </w:pPr>
            <w:r>
              <w:t>▶含有汞的体温计、血压计等医疗器具报废时，应当交由专门机构处置；</w:t>
            </w:r>
          </w:p>
          <w:p w14:paraId="53240747">
            <w:pPr>
              <w:bidi w:val="0"/>
            </w:pPr>
            <w:r>
              <w:t>▶放入包装物或者容器内的感染性废物、病理性废物、损伤性废物不得取出。</w:t>
            </w:r>
          </w:p>
          <w:p w14:paraId="2ADFD327">
            <w:pPr>
              <w:bidi w:val="0"/>
            </w:pPr>
            <w:r>
              <w:t>b、液体废物的收集必须分有机废液和无机废液。有机废液收集和存放在红色容器中；无机废液收集和存放在蓝色容器中。对于有机废液，必须存放在阴凉、远离火种的地方。</w:t>
            </w:r>
          </w:p>
          <w:p w14:paraId="02E58FEE">
            <w:pPr>
              <w:bidi w:val="0"/>
            </w:pPr>
            <w:r>
              <w:t>c、医疗卫生机构内医疗废物产生地点应当有医疗废物分类收集方法的示意图或者文字说明。</w:t>
            </w:r>
          </w:p>
          <w:p w14:paraId="5A2C0519">
            <w:pPr>
              <w:bidi w:val="0"/>
            </w:pPr>
            <w:r>
              <w:t>d、盛装的医疗废物达到包装物或者容器的3/4时，应当使用有效的封口方式，使包装物或者容器的封口紧实、严密。</w:t>
            </w:r>
          </w:p>
          <w:p w14:paraId="510B65C1">
            <w:pPr>
              <w:bidi w:val="0"/>
            </w:pPr>
            <w:r>
              <w:t>e、包装物或者容器的外表面被感染性废物污染时，应当对被污染处进行消毒处理或者增加一层包装。</w:t>
            </w:r>
          </w:p>
          <w:p w14:paraId="4EDFAB42">
            <w:pPr>
              <w:bidi w:val="0"/>
            </w:pPr>
            <w:r>
              <w:t>f、盛装医疗废物的每个包装物、容器外表面应当有警示标识，在每个包装物、容器上应当系中文标签，中文标签的内容应当包括：医疗废物产生单位、产生日期、类别及需要的特别说明等。</w:t>
            </w:r>
          </w:p>
          <w:p w14:paraId="1A48528B">
            <w:pPr>
              <w:bidi w:val="0"/>
            </w:pPr>
            <w:r>
              <w:t>C、医疗废物的贮运和管理</w:t>
            </w:r>
          </w:p>
          <w:p w14:paraId="06D414AF">
            <w:pPr>
              <w:bidi w:val="0"/>
            </w:pPr>
            <w:r>
              <w:t>a、医疗卫生机构所产生的废物应由专人每天从产生地点将分类包装的医疗废物按照规定的时间和路线运送至内部指定的暂时贮存地点。</w:t>
            </w:r>
          </w:p>
          <w:p w14:paraId="01F21863">
            <w:pPr>
              <w:bidi w:val="0"/>
            </w:pPr>
            <w:r>
              <w:t>b、运送人员在运送医疗废物前，应当检查包装物或者容器的标识、标签及封口是否符合要求，不得将不符合要求的医疗废物运送至暂时贮存地点。</w:t>
            </w:r>
          </w:p>
          <w:p w14:paraId="2FE56CCD">
            <w:pPr>
              <w:bidi w:val="0"/>
            </w:pPr>
            <w:r>
              <w:t>c、运送人员在运送医疗废物时，应当防止造成包装物或容器破损和医疗废物的流失、泄漏和扩散，并防止医疗废物直接接触身体。</w:t>
            </w:r>
          </w:p>
          <w:p w14:paraId="3EE9615F">
            <w:pPr>
              <w:bidi w:val="0"/>
            </w:pPr>
            <w:r>
              <w:t>d、运送医疗废物应当使用防渗漏、防遗撒、无锐利边角、易于装卸和清洁的专用运送工具。每天运送工作结束后，应当对运送工具进行清洁和消毒。</w:t>
            </w:r>
          </w:p>
          <w:p w14:paraId="0198F5A0">
            <w:pPr>
              <w:bidi w:val="0"/>
            </w:pPr>
            <w:r>
              <w:t>e、医疗卫生机构应当建立医疗废物暂时贮存设施、设备，不得露天存放医疗废物；医疗废物暂时贮存的时间不得超过2天。</w:t>
            </w:r>
          </w:p>
          <w:p w14:paraId="3C479D7A">
            <w:pPr>
              <w:bidi w:val="0"/>
            </w:pPr>
            <w:r>
              <w:t>f、医疗卫生机构设立的医疗废物暂时贮存设施、设备应当达到以下要求：</w:t>
            </w:r>
          </w:p>
          <w:p w14:paraId="1653CA6C">
            <w:pPr>
              <w:bidi w:val="0"/>
            </w:pPr>
            <w:r>
              <w:t>▶远离医疗区、人员活动区和生活垃圾存放场所，方便医疗废物运送人员及运送工具、车辆的出入；</w:t>
            </w:r>
          </w:p>
          <w:p w14:paraId="414052E4">
            <w:pPr>
              <w:bidi w:val="0"/>
            </w:pPr>
            <w:r>
              <w:t>▶有严密的封闭措施，设专人管理，避免非工作人员接触医疗废物；</w:t>
            </w:r>
          </w:p>
          <w:p w14:paraId="48B61D55">
            <w:pPr>
              <w:bidi w:val="0"/>
            </w:pPr>
            <w:r>
              <w:t>▶有防鼠、防蚊蝇、防蟑螂的安全措施；</w:t>
            </w:r>
          </w:p>
          <w:p w14:paraId="480EC692">
            <w:pPr>
              <w:bidi w:val="0"/>
            </w:pPr>
            <w:r>
              <w:t>▶防止渗漏和雨水冲刷；</w:t>
            </w:r>
          </w:p>
          <w:p w14:paraId="38C7136B">
            <w:pPr>
              <w:bidi w:val="0"/>
            </w:pPr>
            <w:r>
              <w:t>▶易于清洁和消毒；</w:t>
            </w:r>
          </w:p>
          <w:p w14:paraId="5A8C1EF0">
            <w:pPr>
              <w:bidi w:val="0"/>
            </w:pPr>
            <w:r>
              <w:t>▶设有医疗废物警示标识和“禁止吸烟、饮食”的警示标识。</w:t>
            </w:r>
          </w:p>
          <w:p w14:paraId="77F14621">
            <w:pPr>
              <w:bidi w:val="0"/>
            </w:pPr>
            <w:r>
              <w:t>g、暂时贮存病理性废物，应当具备低温贮存或者进行防腐处理的条件。</w:t>
            </w:r>
          </w:p>
          <w:p w14:paraId="219F10E7">
            <w:pPr>
              <w:bidi w:val="0"/>
            </w:pPr>
            <w:r>
              <w:t>h、医疗废物转交出去后，应当对暂时贮存地点、设施进行清洁和消毒处理。</w:t>
            </w:r>
          </w:p>
          <w:p w14:paraId="091C11BE">
            <w:pPr>
              <w:bidi w:val="0"/>
            </w:pPr>
            <w:r>
              <w:t>医院必须严格遵守中华人民共和国国务院令第380号《医疗废物管理条例》中的禁止性规定：</w:t>
            </w:r>
          </w:p>
          <w:p w14:paraId="30311464">
            <w:pPr>
              <w:bidi w:val="0"/>
            </w:pPr>
            <w:r>
              <w:t>I、禁止任何单位和个人转让、买卖医疗废物。禁止在运送过程中丢弃医疗废物；禁止在非贮存地点倾倒、堆放医疗废物或者将医疗废物混入其他废物和生活垃圾。</w:t>
            </w:r>
          </w:p>
          <w:p w14:paraId="518019A1">
            <w:pPr>
              <w:bidi w:val="0"/>
            </w:pPr>
            <w:r>
              <w:t>J、禁止邮寄医疗废物。禁止通过铁路、航空运输医疗废物。有陆路通道的，禁止通过水路运输医疗废物；没有陆路通道</w:t>
            </w:r>
            <w:r>
              <w:rPr>
                <w:rFonts w:hint="eastAsia"/>
                <w:lang w:eastAsia="zh-CN"/>
              </w:rPr>
              <w:t>必须</w:t>
            </w:r>
            <w:r>
              <w:t>经水路运输医疗废物的，应当经设区的市级以上人民政府环境保护行政主管部门批准，并采取严格的环境保护措施后，方可通过水路运输。禁止将医疗废物与旅客在同一运输工具上载运。禁止在饮用水源保护区的水体上运输医疗废物。</w:t>
            </w:r>
          </w:p>
          <w:p w14:paraId="29001CDB">
            <w:pPr>
              <w:bidi w:val="0"/>
            </w:pPr>
            <w:r>
              <w:t>项目医疗废物要求将医疗废物按照《医疗废物管理条例》（国务院第380号令）的相关要求，各类固废分类收集。感染性废物、损伤性废物委托相关具有资质的单位进行处理，化学性废物、药物性废物须委托相关具有资质的单位处置。并在今后的运营过程中，加强消毒灭菌等工作，确保医疗废物得到合理有效的处置，不会对周围环境造成二次污染。</w:t>
            </w:r>
          </w:p>
          <w:p w14:paraId="69A1F243">
            <w:pPr>
              <w:bidi w:val="0"/>
            </w:pPr>
            <w:r>
              <w:rPr>
                <w:rFonts w:hint="eastAsia"/>
                <w:lang w:val="en-US" w:eastAsia="zh-CN"/>
              </w:rPr>
              <w:t>3）</w:t>
            </w:r>
            <w:r>
              <w:t>生活垃圾</w:t>
            </w:r>
          </w:p>
          <w:p w14:paraId="5E063091">
            <w:pPr>
              <w:bidi w:val="0"/>
            </w:pPr>
            <w:r>
              <w:t>生活垃圾集中收集至院内垃圾桶后，经集中收集后由环卫部门统一收运处置。</w:t>
            </w:r>
          </w:p>
          <w:p w14:paraId="4254313E">
            <w:pPr>
              <w:bidi w:val="0"/>
            </w:pPr>
            <w:r>
              <w:t>采取上述措施处理后，项目营运期固体废弃物均能得到有效收集处置，不会对周边环境造成影响。</w:t>
            </w:r>
          </w:p>
          <w:p w14:paraId="4C843BA9">
            <w:pPr>
              <w:bidi w:val="0"/>
            </w:pPr>
            <w:r>
              <w:t>（3）固体废物环境影响分析</w:t>
            </w:r>
          </w:p>
          <w:p w14:paraId="411BC4BA">
            <w:pPr>
              <w:bidi w:val="0"/>
            </w:pPr>
            <w:r>
              <w:t>项目医疗垃圾实施分类管理与收集，由专门收集容器分类收集，暂存于项目医疗废物暂存间内，交由有资质单位处置；医疗垃圾由专用通道转运，避开人流、物流。生活垃圾经集中收集后由环卫部门统一收运处理。本项目营运期产生的固体废物通过采取相应的措施后对周围环境的影响较小。</w:t>
            </w:r>
          </w:p>
          <w:p w14:paraId="534E8522">
            <w:pPr>
              <w:bidi w:val="0"/>
              <w:rPr>
                <w:color w:val="auto"/>
              </w:rPr>
            </w:pPr>
            <w:r>
              <w:t>本项目营运期固体废物在严格落实上述措施的基础上，均能得到妥善的处置，去向明确，对周围环境影响较小。</w:t>
            </w:r>
          </w:p>
          <w:p w14:paraId="60DB6291">
            <w:pPr>
              <w:pStyle w:val="4"/>
              <w:bidi w:val="0"/>
            </w:pPr>
            <w:r>
              <w:t>地下水污染防治措施</w:t>
            </w:r>
          </w:p>
          <w:p w14:paraId="38DAB28A">
            <w:pPr>
              <w:bidi w:val="0"/>
            </w:pPr>
            <w:r>
              <w:t>本项目医疗废物暂存间</w:t>
            </w:r>
            <w:r>
              <w:rPr>
                <w:rFonts w:hint="eastAsia"/>
                <w:lang w:eastAsia="zh-CN"/>
              </w:rPr>
              <w:t>、一体化污水处理站和</w:t>
            </w:r>
            <w:r>
              <w:rPr>
                <w:rFonts w:hint="eastAsia"/>
                <w:lang w:val="en-US" w:eastAsia="zh-CN"/>
              </w:rPr>
              <w:t>发电机房</w:t>
            </w:r>
            <w:r>
              <w:t>等为重点防渗区域</w:t>
            </w:r>
            <w:r>
              <w:rPr>
                <w:rFonts w:hint="eastAsia"/>
                <w:lang w:eastAsia="zh-CN"/>
              </w:rPr>
              <w:t>；一般防渗区为手术室；简单防渗区为其他办公</w:t>
            </w:r>
            <w:r>
              <w:t>用房</w:t>
            </w:r>
            <w:r>
              <w:rPr>
                <w:rFonts w:hint="eastAsia"/>
                <w:lang w:eastAsia="zh-CN"/>
              </w:rPr>
              <w:t>和过道</w:t>
            </w:r>
            <w:r>
              <w:t>等。</w:t>
            </w:r>
          </w:p>
          <w:p w14:paraId="53F4EAB3">
            <w:pPr>
              <w:bidi w:val="0"/>
            </w:pPr>
            <w:r>
              <w:t>项目对地下水环境可能存在的污染主要来自区域污水管网及医废暂存间的泄漏。</w:t>
            </w:r>
            <w:r>
              <w:rPr>
                <w:rFonts w:hint="eastAsia"/>
                <w:lang w:eastAsia="zh-CN"/>
              </w:rPr>
              <w:t>环评要求</w:t>
            </w:r>
            <w:r>
              <w:t>本项目采取分区防渗，分为重点防渗区、一般防渗区和简单防渗区。</w:t>
            </w:r>
          </w:p>
          <w:p w14:paraId="2A93644E">
            <w:pPr>
              <w:bidi w:val="0"/>
            </w:pPr>
            <w:r>
              <w:t>（1）防渗分区</w:t>
            </w:r>
          </w:p>
          <w:p w14:paraId="62BC550B">
            <w:pPr>
              <w:bidi w:val="0"/>
            </w:pPr>
            <w:r>
              <w:t>①重点防渗区为：医疗废物暂存间</w:t>
            </w:r>
            <w:r>
              <w:rPr>
                <w:rFonts w:hint="eastAsia"/>
                <w:lang w:eastAsia="zh-CN"/>
              </w:rPr>
              <w:t>、一体化污水处理站和</w:t>
            </w:r>
            <w:r>
              <w:rPr>
                <w:rFonts w:hint="eastAsia"/>
                <w:lang w:val="en-US" w:eastAsia="zh-CN"/>
              </w:rPr>
              <w:t>发电机房</w:t>
            </w:r>
            <w:r>
              <w:t>；</w:t>
            </w:r>
          </w:p>
          <w:p w14:paraId="673F20A1">
            <w:pPr>
              <w:bidi w:val="0"/>
            </w:pPr>
            <w:r>
              <w:t>②一般防渗区为：手术室；</w:t>
            </w:r>
          </w:p>
          <w:p w14:paraId="090BEC3B">
            <w:pPr>
              <w:bidi w:val="0"/>
              <w:rPr>
                <w:color w:val="auto"/>
                <w:kern w:val="0"/>
              </w:rPr>
            </w:pPr>
            <w:r>
              <w:t>③简单防渗区为：办公用房、</w:t>
            </w:r>
            <w:r>
              <w:rPr>
                <w:rFonts w:hint="eastAsia"/>
                <w:lang w:eastAsia="zh-CN"/>
              </w:rPr>
              <w:t>过道</w:t>
            </w:r>
            <w:r>
              <w:t>等。</w:t>
            </w:r>
          </w:p>
          <w:p w14:paraId="4CCF41E0">
            <w:pPr>
              <w:bidi w:val="0"/>
            </w:pPr>
            <w:r>
              <w:t>（2）</w:t>
            </w:r>
            <w:r>
              <w:rPr>
                <w:rFonts w:hint="eastAsia"/>
                <w:lang w:eastAsia="zh-CN"/>
              </w:rPr>
              <w:t>现有的</w:t>
            </w:r>
            <w:r>
              <w:t>防渗措施</w:t>
            </w:r>
          </w:p>
          <w:p w14:paraId="303050B1">
            <w:pPr>
              <w:bidi w:val="0"/>
            </w:pPr>
            <w:r>
              <w:t>①重点防渗区：a污水管道，污水输送全部采用管道输送，管道材料视输送介质的不同选择合适材质并做表面的防腐、防锈蚀处理，减轻管道腐蚀造成的渗漏，并进行定期检查，防止跑冒漏滴的现象发生；b医疗废物暂存间：对医疗废物暂存间进行防风、防晒、防雨、防渗、防漏、防腐蚀“六防”处理，用以存放装载液体、半固体危险废物容器的地方，必须有耐腐蚀的硬化地面，且表面无裂隙；医疗废物分类存放；总贮存量不超过300kg(L)的危险废物要放入符合标准的容器内，加上标签，容器放入坚固的柜或箱中，柜或箱应设多个直径不少于30毫米的排气孔，对于医疗废物暂存间地面1.0m高的墙裙须做防渗处理（采用防渗混凝土层+至少2mmHDPE防渗层），确保防渗系数K≤1×10</w:t>
            </w:r>
            <w:r>
              <w:rPr>
                <w:vertAlign w:val="superscript"/>
              </w:rPr>
              <w:t>-10</w:t>
            </w:r>
            <w:r>
              <w:t>cm/s。</w:t>
            </w:r>
          </w:p>
          <w:p w14:paraId="10CC773C">
            <w:pPr>
              <w:bidi w:val="0"/>
            </w:pPr>
            <w:r>
              <w:t>②一般防渗区：采用钢混结构+面砖地面，其渗透系数≤1.0×10</w:t>
            </w:r>
            <w:r>
              <w:rPr>
                <w:vertAlign w:val="superscript"/>
              </w:rPr>
              <w:t>-7</w:t>
            </w:r>
            <w:r>
              <w:t>cm/s。</w:t>
            </w:r>
          </w:p>
          <w:p w14:paraId="0778E866">
            <w:pPr>
              <w:bidi w:val="0"/>
            </w:pPr>
            <w:r>
              <w:t>③简单防渗区：采用钢混结构+面砖地面。</w:t>
            </w:r>
          </w:p>
          <w:p w14:paraId="0CCD2434">
            <w:pPr>
              <w:bidi w:val="0"/>
            </w:pPr>
            <w:r>
              <w:t>（3）项目还需采取相应措施保护区域地下水不受污染。具体的措施如下：</w:t>
            </w:r>
          </w:p>
          <w:p w14:paraId="474EAA80">
            <w:pPr>
              <w:bidi w:val="0"/>
            </w:pPr>
            <w:r>
              <w:t>①危险废物转运时必须安全转移，防止撒漏，并严格执行危险废物转运联单制度。防止二次污染产生；</w:t>
            </w:r>
          </w:p>
          <w:p w14:paraId="3225C589">
            <w:pPr>
              <w:bidi w:val="0"/>
              <w:rPr>
                <w:kern w:val="0"/>
              </w:rPr>
            </w:pPr>
            <w:r>
              <w:t>②向职工宣传环保措施，树立人们保护地下水的意识。</w:t>
            </w:r>
          </w:p>
          <w:p w14:paraId="7ACEC075">
            <w:pPr>
              <w:pStyle w:val="4"/>
              <w:bidi w:val="0"/>
            </w:pPr>
            <w:r>
              <w:t>地下水、土壤环境影响分析</w:t>
            </w:r>
          </w:p>
          <w:p w14:paraId="7FA9DB5A">
            <w:pPr>
              <w:bidi w:val="0"/>
            </w:pPr>
            <w:r>
              <w:t>通过污水管网渗漏的污水经包气带地层连续渗入地下水面，是地下水遭受污染的主要途径。本项目应加强地下水环境的保护措施。为防止污水通过渗漏进入地下水，建设单位必须认真搞好防渗等污染防治工作，做到分区防渗。后对地下水的污染影响减小到最低的限度。</w:t>
            </w:r>
          </w:p>
          <w:p w14:paraId="729D8B66">
            <w:pPr>
              <w:bidi w:val="0"/>
            </w:pPr>
            <w:r>
              <w:t>项目运营期、员工日常生活过程中应加强管理，节约用水；设专人定期检查污水设施及排污管道，发现破损、渗漏处应及时修理。拟建项目排水系统、污水预处理站均按国家规范采取防渗措施，通过加强管理、维护，医疗废水经处理后符合达标排放，污水下渗的可能性较小，故对地下水产生的影响较小。</w:t>
            </w:r>
          </w:p>
          <w:p w14:paraId="2EB16655">
            <w:pPr>
              <w:pStyle w:val="3"/>
              <w:bidi w:val="0"/>
            </w:pPr>
            <w:r>
              <w:t>环境风险分析</w:t>
            </w:r>
          </w:p>
          <w:p w14:paraId="1D340C11">
            <w:pPr>
              <w:pStyle w:val="4"/>
              <w:bidi w:val="0"/>
              <w:rPr>
                <w:rFonts w:hint="default"/>
                <w:lang w:val="en-US" w:eastAsia="zh-CN"/>
              </w:rPr>
            </w:pPr>
            <w:r>
              <w:rPr>
                <w:rFonts w:hint="eastAsia"/>
                <w:lang w:eastAsia="zh-CN"/>
              </w:rPr>
              <w:t>风险识别</w:t>
            </w:r>
          </w:p>
          <w:p w14:paraId="73E56CD8">
            <w:pPr>
              <w:bidi w:val="0"/>
            </w:pPr>
            <w:r>
              <w:t>根据《建设项目环境风险评价导则》（HJ 169-2018）附录B</w:t>
            </w:r>
            <w:r>
              <w:rPr>
                <w:rFonts w:hint="eastAsia"/>
                <w:lang w:val="en-US" w:eastAsia="zh-CN"/>
              </w:rPr>
              <w:t>和《</w:t>
            </w:r>
            <w:r>
              <w:t>危险化学品重大危险源辨识</w:t>
            </w:r>
            <w:r>
              <w:rPr>
                <w:rFonts w:hint="eastAsia"/>
                <w:lang w:val="en-US" w:eastAsia="zh-CN"/>
              </w:rPr>
              <w:t>》（GB18218-2018）</w:t>
            </w:r>
            <w:r>
              <w:t>，本项目</w:t>
            </w:r>
            <w:r>
              <w:rPr>
                <w:rFonts w:hint="eastAsia"/>
                <w:lang w:val="en-US" w:eastAsia="zh-CN"/>
              </w:rPr>
              <w:t>涉及的危险物质主要为原辅料中的氧气、柴油、75%酒精和产生的医疗废弃物。</w:t>
            </w:r>
            <w:r>
              <w:rPr>
                <w:rFonts w:hint="eastAsia"/>
              </w:rPr>
              <w:t>本项目环境风险识别情况见</w:t>
            </w:r>
            <w:r>
              <w:rPr>
                <w:rFonts w:hint="eastAsia"/>
                <w:lang w:eastAsia="zh-CN"/>
              </w:rPr>
              <w:t>下表</w:t>
            </w:r>
            <w:r>
              <w:rPr>
                <w:rFonts w:hint="eastAsia"/>
              </w:rPr>
              <w:t>。</w:t>
            </w:r>
          </w:p>
          <w:p w14:paraId="125087AA">
            <w:pPr>
              <w:pStyle w:val="22"/>
              <w:bidi w:val="0"/>
              <w:rPr>
                <w:lang w:val="en-US" w:eastAsia="zh-CN" w:bidi="ar-SA"/>
              </w:rPr>
            </w:pPr>
            <w:r>
              <w:rPr>
                <w:lang w:val="en-US" w:eastAsia="zh-CN" w:bidi="ar-SA"/>
              </w:rPr>
              <w:t>建设项目环境风险识别表</w:t>
            </w:r>
          </w:p>
          <w:tbl>
            <w:tblPr>
              <w:tblStyle w:val="15"/>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80"/>
              <w:gridCol w:w="1719"/>
              <w:gridCol w:w="971"/>
              <w:gridCol w:w="1913"/>
              <w:gridCol w:w="3002"/>
            </w:tblGrid>
            <w:tr w14:paraId="3E44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blHeader/>
                <w:jc w:val="center"/>
              </w:trPr>
              <w:tc>
                <w:tcPr>
                  <w:tcW w:w="410" w:type="pct"/>
                  <w:noWrap w:val="0"/>
                  <w:vAlign w:val="center"/>
                </w:tcPr>
                <w:p w14:paraId="73AF2272">
                  <w:pPr>
                    <w:pStyle w:val="23"/>
                    <w:bidi w:val="0"/>
                    <w:rPr>
                      <w:lang w:val="en-US" w:eastAsia="zh-CN"/>
                    </w:rPr>
                  </w:pPr>
                  <w:r>
                    <w:rPr>
                      <w:lang w:val="en-US" w:eastAsia="zh-CN"/>
                    </w:rPr>
                    <w:t>序号</w:t>
                  </w:r>
                </w:p>
              </w:tc>
              <w:tc>
                <w:tcPr>
                  <w:tcW w:w="1037" w:type="pct"/>
                  <w:noWrap w:val="0"/>
                  <w:vAlign w:val="center"/>
                </w:tcPr>
                <w:p w14:paraId="6B2118D4">
                  <w:pPr>
                    <w:pStyle w:val="23"/>
                    <w:bidi w:val="0"/>
                    <w:rPr>
                      <w:rFonts w:hint="default"/>
                      <w:lang w:val="en-US" w:eastAsia="zh-CN"/>
                    </w:rPr>
                  </w:pPr>
                  <w:r>
                    <w:rPr>
                      <w:rFonts w:hint="eastAsia"/>
                      <w:lang w:val="en-US" w:eastAsia="zh-CN"/>
                    </w:rPr>
                    <w:t>危险物质名称</w:t>
                  </w:r>
                </w:p>
              </w:tc>
              <w:tc>
                <w:tcPr>
                  <w:tcW w:w="586" w:type="pct"/>
                  <w:noWrap w:val="0"/>
                  <w:vAlign w:val="center"/>
                </w:tcPr>
                <w:p w14:paraId="11604A9B">
                  <w:pPr>
                    <w:pStyle w:val="23"/>
                    <w:bidi w:val="0"/>
                    <w:rPr>
                      <w:rFonts w:hint="default"/>
                      <w:lang w:val="en-US" w:eastAsia="zh-CN"/>
                    </w:rPr>
                  </w:pPr>
                  <w:r>
                    <w:rPr>
                      <w:rFonts w:hint="eastAsia"/>
                      <w:lang w:val="en-US" w:eastAsia="zh-CN"/>
                    </w:rPr>
                    <w:t>存放位置</w:t>
                  </w:r>
                </w:p>
              </w:tc>
              <w:tc>
                <w:tcPr>
                  <w:tcW w:w="1154" w:type="pct"/>
                  <w:noWrap w:val="0"/>
                  <w:vAlign w:val="center"/>
                </w:tcPr>
                <w:p w14:paraId="3E61DF04">
                  <w:pPr>
                    <w:pStyle w:val="23"/>
                    <w:bidi w:val="0"/>
                    <w:rPr>
                      <w:rFonts w:hint="default"/>
                      <w:lang w:val="en-US" w:eastAsia="zh-CN"/>
                    </w:rPr>
                  </w:pPr>
                  <w:r>
                    <w:rPr>
                      <w:rFonts w:hint="default"/>
                      <w:lang w:val="en-US" w:eastAsia="zh-CN"/>
                    </w:rPr>
                    <w:t>环境风险类型</w:t>
                  </w:r>
                </w:p>
              </w:tc>
              <w:tc>
                <w:tcPr>
                  <w:tcW w:w="1811" w:type="pct"/>
                  <w:noWrap w:val="0"/>
                  <w:vAlign w:val="center"/>
                </w:tcPr>
                <w:p w14:paraId="51C07C92">
                  <w:pPr>
                    <w:pStyle w:val="23"/>
                    <w:bidi w:val="0"/>
                    <w:rPr>
                      <w:rFonts w:hint="default"/>
                      <w:lang w:val="en-US" w:eastAsia="zh-CN"/>
                    </w:rPr>
                  </w:pPr>
                  <w:r>
                    <w:rPr>
                      <w:rFonts w:hint="eastAsia"/>
                      <w:lang w:val="en-US" w:eastAsia="zh-CN"/>
                    </w:rPr>
                    <w:t>可能</w:t>
                  </w:r>
                  <w:r>
                    <w:rPr>
                      <w:rFonts w:hint="default"/>
                      <w:lang w:val="en-US" w:eastAsia="zh-CN"/>
                    </w:rPr>
                    <w:t>影响途径</w:t>
                  </w:r>
                </w:p>
              </w:tc>
            </w:tr>
            <w:tr w14:paraId="315D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10" w:type="pct"/>
                  <w:noWrap w:val="0"/>
                  <w:vAlign w:val="center"/>
                </w:tcPr>
                <w:p w14:paraId="294F484F">
                  <w:pPr>
                    <w:pStyle w:val="23"/>
                    <w:bidi w:val="0"/>
                    <w:rPr>
                      <w:rFonts w:hint="default"/>
                      <w:lang w:val="en-US" w:eastAsia="zh-CN"/>
                    </w:rPr>
                  </w:pPr>
                  <w:r>
                    <w:rPr>
                      <w:rFonts w:hint="eastAsia"/>
                      <w:lang w:val="en-US" w:eastAsia="zh-CN"/>
                    </w:rPr>
                    <w:t>1</w:t>
                  </w:r>
                </w:p>
              </w:tc>
              <w:tc>
                <w:tcPr>
                  <w:tcW w:w="1719" w:type="dxa"/>
                  <w:shd w:val="clear" w:color="auto" w:fill="auto"/>
                  <w:noWrap w:val="0"/>
                  <w:vAlign w:val="center"/>
                </w:tcPr>
                <w:p w14:paraId="0E385035">
                  <w:pPr>
                    <w:pStyle w:val="23"/>
                    <w:bidi w:val="0"/>
                    <w:rPr>
                      <w:rFonts w:hint="eastAsia"/>
                      <w:lang w:val="en-US" w:eastAsia="zh-CN"/>
                    </w:rPr>
                  </w:pPr>
                  <w:r>
                    <w:rPr>
                      <w:rFonts w:hint="eastAsia"/>
                      <w:lang w:val="en-US" w:eastAsia="zh-CN"/>
                    </w:rPr>
                    <w:t>氧气</w:t>
                  </w:r>
                </w:p>
              </w:tc>
              <w:tc>
                <w:tcPr>
                  <w:tcW w:w="971" w:type="dxa"/>
                  <w:shd w:val="clear" w:color="auto" w:fill="auto"/>
                  <w:noWrap w:val="0"/>
                  <w:vAlign w:val="center"/>
                </w:tcPr>
                <w:p w14:paraId="0748B2D7">
                  <w:pPr>
                    <w:pStyle w:val="23"/>
                    <w:bidi w:val="0"/>
                    <w:rPr>
                      <w:rFonts w:hint="eastAsia"/>
                      <w:lang w:val="en-US" w:eastAsia="zh-CN"/>
                    </w:rPr>
                  </w:pPr>
                  <w:r>
                    <w:rPr>
                      <w:rFonts w:hint="eastAsia"/>
                      <w:lang w:val="en-US" w:eastAsia="zh-CN"/>
                    </w:rPr>
                    <w:t>库房</w:t>
                  </w:r>
                </w:p>
              </w:tc>
              <w:tc>
                <w:tcPr>
                  <w:tcW w:w="1154" w:type="pct"/>
                  <w:shd w:val="clear" w:color="auto" w:fill="auto"/>
                  <w:noWrap w:val="0"/>
                  <w:vAlign w:val="center"/>
                </w:tcPr>
                <w:p w14:paraId="50C7413F">
                  <w:pPr>
                    <w:pStyle w:val="23"/>
                    <w:bidi w:val="0"/>
                    <w:rPr>
                      <w:rFonts w:hint="default"/>
                      <w:lang w:val="en-US" w:eastAsia="zh-CN"/>
                    </w:rPr>
                  </w:pPr>
                  <w:r>
                    <w:rPr>
                      <w:rFonts w:hint="default"/>
                      <w:lang w:val="en-US" w:eastAsia="zh-CN"/>
                    </w:rPr>
                    <w:t>泄漏、火灾、爆炸</w:t>
                  </w:r>
                </w:p>
              </w:tc>
              <w:tc>
                <w:tcPr>
                  <w:tcW w:w="1811" w:type="pct"/>
                  <w:shd w:val="clear" w:color="auto" w:fill="auto"/>
                  <w:noWrap w:val="0"/>
                  <w:vAlign w:val="center"/>
                </w:tcPr>
                <w:p w14:paraId="0FA52BE1">
                  <w:pPr>
                    <w:pStyle w:val="23"/>
                    <w:bidi w:val="0"/>
                    <w:rPr>
                      <w:rFonts w:hint="eastAsia"/>
                      <w:lang w:val="en-US" w:eastAsia="zh-CN"/>
                    </w:rPr>
                  </w:pPr>
                  <w:r>
                    <w:rPr>
                      <w:rFonts w:hint="eastAsia"/>
                      <w:lang w:val="en-US" w:eastAsia="zh-CN"/>
                    </w:rPr>
                    <w:t>造成</w:t>
                  </w:r>
                  <w:r>
                    <w:rPr>
                      <w:rFonts w:hint="default"/>
                      <w:lang w:val="en-US" w:eastAsia="zh-CN"/>
                    </w:rPr>
                    <w:t>大气、水、土壤环境</w:t>
                  </w:r>
                  <w:r>
                    <w:rPr>
                      <w:rFonts w:hint="eastAsia"/>
                      <w:lang w:val="en-US" w:eastAsia="zh-CN"/>
                    </w:rPr>
                    <w:t>污染</w:t>
                  </w:r>
                </w:p>
              </w:tc>
            </w:tr>
            <w:tr w14:paraId="2912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10" w:type="pct"/>
                  <w:noWrap w:val="0"/>
                  <w:vAlign w:val="center"/>
                </w:tcPr>
                <w:p w14:paraId="29D48BD6">
                  <w:pPr>
                    <w:pStyle w:val="23"/>
                    <w:bidi w:val="0"/>
                    <w:rPr>
                      <w:rFonts w:hint="default"/>
                      <w:lang w:val="en-US" w:eastAsia="zh-CN"/>
                    </w:rPr>
                  </w:pPr>
                  <w:r>
                    <w:rPr>
                      <w:rFonts w:hint="eastAsia"/>
                      <w:lang w:val="en-US" w:eastAsia="zh-CN"/>
                    </w:rPr>
                    <w:t>2</w:t>
                  </w:r>
                </w:p>
              </w:tc>
              <w:tc>
                <w:tcPr>
                  <w:tcW w:w="1037" w:type="pct"/>
                  <w:shd w:val="clear" w:color="auto" w:fill="auto"/>
                  <w:noWrap w:val="0"/>
                  <w:vAlign w:val="center"/>
                </w:tcPr>
                <w:p w14:paraId="6515A4DA">
                  <w:pPr>
                    <w:pStyle w:val="23"/>
                    <w:bidi w:val="0"/>
                    <w:rPr>
                      <w:rFonts w:hint="eastAsia"/>
                      <w:lang w:val="en-US" w:eastAsia="zh-CN"/>
                    </w:rPr>
                  </w:pPr>
                  <w:r>
                    <w:rPr>
                      <w:rFonts w:hint="eastAsia"/>
                      <w:lang w:val="en-US" w:eastAsia="zh-CN"/>
                    </w:rPr>
                    <w:t>柴油</w:t>
                  </w:r>
                </w:p>
              </w:tc>
              <w:tc>
                <w:tcPr>
                  <w:tcW w:w="586" w:type="pct"/>
                  <w:shd w:val="clear" w:color="auto" w:fill="auto"/>
                  <w:noWrap w:val="0"/>
                  <w:vAlign w:val="center"/>
                </w:tcPr>
                <w:p w14:paraId="52BCBCAE">
                  <w:pPr>
                    <w:pStyle w:val="23"/>
                    <w:bidi w:val="0"/>
                    <w:rPr>
                      <w:rFonts w:hint="eastAsia"/>
                      <w:lang w:val="en-US" w:eastAsia="zh-CN"/>
                    </w:rPr>
                  </w:pPr>
                  <w:r>
                    <w:rPr>
                      <w:rFonts w:hint="eastAsia"/>
                      <w:lang w:val="en-US" w:eastAsia="zh-CN"/>
                    </w:rPr>
                    <w:t>库房</w:t>
                  </w:r>
                </w:p>
              </w:tc>
              <w:tc>
                <w:tcPr>
                  <w:tcW w:w="1154" w:type="pct"/>
                  <w:shd w:val="clear" w:color="auto" w:fill="auto"/>
                  <w:noWrap w:val="0"/>
                  <w:vAlign w:val="center"/>
                </w:tcPr>
                <w:p w14:paraId="7CF95E27">
                  <w:pPr>
                    <w:pStyle w:val="23"/>
                    <w:bidi w:val="0"/>
                    <w:rPr>
                      <w:rFonts w:hint="default"/>
                      <w:lang w:val="en-US" w:eastAsia="zh-CN"/>
                    </w:rPr>
                  </w:pPr>
                  <w:r>
                    <w:rPr>
                      <w:rFonts w:hint="default"/>
                      <w:lang w:val="en-US" w:eastAsia="zh-CN"/>
                    </w:rPr>
                    <w:t>泄漏、火灾、爆炸</w:t>
                  </w:r>
                </w:p>
              </w:tc>
              <w:tc>
                <w:tcPr>
                  <w:tcW w:w="1811" w:type="pct"/>
                  <w:shd w:val="clear" w:color="auto" w:fill="auto"/>
                  <w:noWrap w:val="0"/>
                  <w:vAlign w:val="center"/>
                </w:tcPr>
                <w:p w14:paraId="2EF99EF7">
                  <w:pPr>
                    <w:pStyle w:val="23"/>
                    <w:bidi w:val="0"/>
                    <w:rPr>
                      <w:rFonts w:hint="eastAsia"/>
                      <w:lang w:val="en-US" w:eastAsia="zh-CN"/>
                    </w:rPr>
                  </w:pPr>
                  <w:r>
                    <w:rPr>
                      <w:rFonts w:hint="eastAsia"/>
                      <w:lang w:val="en-US" w:eastAsia="zh-CN"/>
                    </w:rPr>
                    <w:t>造成</w:t>
                  </w:r>
                  <w:r>
                    <w:rPr>
                      <w:rFonts w:hint="default"/>
                      <w:lang w:val="en-US" w:eastAsia="zh-CN"/>
                    </w:rPr>
                    <w:t>大气、水、土壤环境</w:t>
                  </w:r>
                  <w:r>
                    <w:rPr>
                      <w:rFonts w:hint="eastAsia"/>
                      <w:lang w:val="en-US" w:eastAsia="zh-CN"/>
                    </w:rPr>
                    <w:t>污染</w:t>
                  </w:r>
                </w:p>
              </w:tc>
            </w:tr>
            <w:tr w14:paraId="0FD9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10" w:type="pct"/>
                  <w:noWrap w:val="0"/>
                  <w:vAlign w:val="center"/>
                </w:tcPr>
                <w:p w14:paraId="37FCACB7">
                  <w:pPr>
                    <w:pStyle w:val="23"/>
                    <w:bidi w:val="0"/>
                    <w:rPr>
                      <w:rFonts w:hint="default"/>
                      <w:lang w:val="en-US" w:eastAsia="zh-CN"/>
                    </w:rPr>
                  </w:pPr>
                  <w:r>
                    <w:rPr>
                      <w:rFonts w:hint="eastAsia"/>
                      <w:lang w:val="en-US" w:eastAsia="zh-CN"/>
                    </w:rPr>
                    <w:t>3</w:t>
                  </w:r>
                </w:p>
              </w:tc>
              <w:tc>
                <w:tcPr>
                  <w:tcW w:w="1037" w:type="pct"/>
                  <w:shd w:val="clear" w:color="auto" w:fill="auto"/>
                  <w:noWrap w:val="0"/>
                  <w:vAlign w:val="center"/>
                </w:tcPr>
                <w:p w14:paraId="3F8A9706">
                  <w:pPr>
                    <w:pStyle w:val="23"/>
                    <w:bidi w:val="0"/>
                    <w:rPr>
                      <w:rFonts w:hint="default"/>
                      <w:lang w:val="en-US" w:eastAsia="zh-CN"/>
                    </w:rPr>
                  </w:pPr>
                  <w:r>
                    <w:rPr>
                      <w:rFonts w:hint="eastAsia"/>
                      <w:lang w:val="en-US" w:eastAsia="zh-CN"/>
                    </w:rPr>
                    <w:t>75%酒精</w:t>
                  </w:r>
                </w:p>
              </w:tc>
              <w:tc>
                <w:tcPr>
                  <w:tcW w:w="586" w:type="pct"/>
                  <w:shd w:val="clear" w:color="auto" w:fill="auto"/>
                  <w:noWrap w:val="0"/>
                  <w:vAlign w:val="center"/>
                </w:tcPr>
                <w:p w14:paraId="24413FB1">
                  <w:pPr>
                    <w:pStyle w:val="23"/>
                    <w:bidi w:val="0"/>
                    <w:rPr>
                      <w:rFonts w:hint="default"/>
                      <w:lang w:val="en-US" w:eastAsia="zh-CN"/>
                    </w:rPr>
                  </w:pPr>
                  <w:r>
                    <w:rPr>
                      <w:rFonts w:hint="eastAsia"/>
                      <w:lang w:val="en-US" w:eastAsia="zh-CN"/>
                    </w:rPr>
                    <w:t>库房</w:t>
                  </w:r>
                </w:p>
              </w:tc>
              <w:tc>
                <w:tcPr>
                  <w:tcW w:w="1154" w:type="pct"/>
                  <w:shd w:val="clear" w:color="auto" w:fill="auto"/>
                  <w:noWrap w:val="0"/>
                  <w:vAlign w:val="center"/>
                </w:tcPr>
                <w:p w14:paraId="63E3835C">
                  <w:pPr>
                    <w:pStyle w:val="23"/>
                    <w:bidi w:val="0"/>
                    <w:rPr>
                      <w:rFonts w:hint="default"/>
                      <w:lang w:val="en-US" w:eastAsia="zh-CN"/>
                    </w:rPr>
                  </w:pPr>
                  <w:r>
                    <w:rPr>
                      <w:rFonts w:hint="default"/>
                      <w:lang w:val="en-US" w:eastAsia="zh-CN"/>
                    </w:rPr>
                    <w:t>泄漏、火灾、爆炸</w:t>
                  </w:r>
                </w:p>
              </w:tc>
              <w:tc>
                <w:tcPr>
                  <w:tcW w:w="1811" w:type="pct"/>
                  <w:shd w:val="clear" w:color="auto" w:fill="auto"/>
                  <w:noWrap w:val="0"/>
                  <w:vAlign w:val="center"/>
                </w:tcPr>
                <w:p w14:paraId="54069F26">
                  <w:pPr>
                    <w:pStyle w:val="23"/>
                    <w:bidi w:val="0"/>
                    <w:rPr>
                      <w:rFonts w:hint="default"/>
                      <w:lang w:val="en-US" w:eastAsia="zh-CN"/>
                    </w:rPr>
                  </w:pPr>
                  <w:r>
                    <w:rPr>
                      <w:rFonts w:hint="eastAsia"/>
                      <w:lang w:val="en-US" w:eastAsia="zh-CN"/>
                    </w:rPr>
                    <w:t>造成</w:t>
                  </w:r>
                  <w:r>
                    <w:rPr>
                      <w:rFonts w:hint="default"/>
                      <w:lang w:val="en-US" w:eastAsia="zh-CN"/>
                    </w:rPr>
                    <w:t>大气、水、土壤环境污染</w:t>
                  </w:r>
                </w:p>
              </w:tc>
            </w:tr>
            <w:tr w14:paraId="0F99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10" w:type="pct"/>
                  <w:shd w:val="clear" w:color="auto" w:fill="auto"/>
                  <w:noWrap w:val="0"/>
                  <w:vAlign w:val="center"/>
                </w:tcPr>
                <w:p w14:paraId="66FF80C1">
                  <w:pPr>
                    <w:pStyle w:val="23"/>
                    <w:bidi w:val="0"/>
                    <w:rPr>
                      <w:rFonts w:hint="default"/>
                      <w:lang w:val="en-US" w:eastAsia="zh-CN"/>
                    </w:rPr>
                  </w:pPr>
                  <w:r>
                    <w:rPr>
                      <w:rFonts w:hint="eastAsia"/>
                      <w:lang w:val="en-US" w:eastAsia="zh-CN"/>
                    </w:rPr>
                    <w:t>4</w:t>
                  </w:r>
                </w:p>
              </w:tc>
              <w:tc>
                <w:tcPr>
                  <w:tcW w:w="1037" w:type="pct"/>
                  <w:shd w:val="clear" w:color="auto" w:fill="auto"/>
                  <w:noWrap w:val="0"/>
                  <w:vAlign w:val="center"/>
                </w:tcPr>
                <w:p w14:paraId="214F3B17">
                  <w:pPr>
                    <w:pStyle w:val="23"/>
                    <w:bidi w:val="0"/>
                    <w:rPr>
                      <w:rFonts w:hint="eastAsia"/>
                      <w:lang w:val="en-US" w:eastAsia="zh-CN"/>
                    </w:rPr>
                  </w:pPr>
                  <w:r>
                    <w:rPr>
                      <w:rFonts w:hint="eastAsia"/>
                    </w:rPr>
                    <w:t>医疗废弃物</w:t>
                  </w:r>
                </w:p>
              </w:tc>
              <w:tc>
                <w:tcPr>
                  <w:tcW w:w="586" w:type="pct"/>
                  <w:shd w:val="clear" w:color="auto" w:fill="auto"/>
                  <w:noWrap w:val="0"/>
                  <w:vAlign w:val="center"/>
                </w:tcPr>
                <w:p w14:paraId="13BA4A33">
                  <w:pPr>
                    <w:pStyle w:val="23"/>
                    <w:bidi w:val="0"/>
                    <w:rPr>
                      <w:rFonts w:hint="eastAsia"/>
                      <w:lang w:val="en-US" w:eastAsia="zh-CN"/>
                    </w:rPr>
                  </w:pPr>
                  <w:r>
                    <w:rPr>
                      <w:rFonts w:hint="eastAsia"/>
                      <w:lang w:val="en-US" w:eastAsia="zh-CN"/>
                    </w:rPr>
                    <w:t>医废间</w:t>
                  </w:r>
                </w:p>
              </w:tc>
              <w:tc>
                <w:tcPr>
                  <w:tcW w:w="1154" w:type="pct"/>
                  <w:shd w:val="clear" w:color="auto" w:fill="auto"/>
                  <w:noWrap w:val="0"/>
                  <w:vAlign w:val="center"/>
                </w:tcPr>
                <w:p w14:paraId="4F667D73">
                  <w:pPr>
                    <w:pStyle w:val="23"/>
                    <w:bidi w:val="0"/>
                    <w:rPr>
                      <w:rFonts w:hint="default"/>
                      <w:lang w:val="en-US" w:eastAsia="zh-CN"/>
                    </w:rPr>
                  </w:pPr>
                  <w:r>
                    <w:rPr>
                      <w:rFonts w:hint="default"/>
                      <w:lang w:val="en-US" w:eastAsia="zh-CN"/>
                    </w:rPr>
                    <w:t>泄漏、火灾、爆炸</w:t>
                  </w:r>
                </w:p>
              </w:tc>
              <w:tc>
                <w:tcPr>
                  <w:tcW w:w="1811" w:type="pct"/>
                  <w:shd w:val="clear" w:color="auto" w:fill="auto"/>
                  <w:noWrap w:val="0"/>
                  <w:vAlign w:val="center"/>
                </w:tcPr>
                <w:p w14:paraId="28AB7B21">
                  <w:pPr>
                    <w:pStyle w:val="23"/>
                    <w:bidi w:val="0"/>
                    <w:rPr>
                      <w:rFonts w:hint="eastAsia"/>
                      <w:lang w:val="en-US" w:eastAsia="zh-CN"/>
                    </w:rPr>
                  </w:pPr>
                  <w:r>
                    <w:rPr>
                      <w:rFonts w:hint="eastAsia"/>
                      <w:lang w:val="en-US" w:eastAsia="zh-CN"/>
                    </w:rPr>
                    <w:t>造成</w:t>
                  </w:r>
                  <w:r>
                    <w:rPr>
                      <w:rFonts w:hint="default"/>
                      <w:lang w:val="en-US" w:eastAsia="zh-CN"/>
                    </w:rPr>
                    <w:t>水、土壤环境污染</w:t>
                  </w:r>
                </w:p>
              </w:tc>
            </w:tr>
          </w:tbl>
          <w:p w14:paraId="08741B84">
            <w:pPr>
              <w:pStyle w:val="25"/>
              <w:bidi w:val="0"/>
              <w:rPr>
                <w:rFonts w:hint="eastAsia"/>
                <w:lang w:val="en-US" w:eastAsia="zh-CN"/>
              </w:rPr>
            </w:pPr>
            <w:r>
              <w:rPr>
                <w:rFonts w:hint="eastAsia"/>
                <w:lang w:val="en-US" w:eastAsia="zh-CN"/>
              </w:rPr>
              <w:t>根据《建设项目环境风险评价技术导则》（HJ169-2018）附录B、《</w:t>
            </w:r>
            <w:r>
              <w:t>危险化学品重大危险源辨识</w:t>
            </w:r>
            <w:r>
              <w:rPr>
                <w:rFonts w:hint="eastAsia"/>
                <w:lang w:val="en-US" w:eastAsia="zh-CN"/>
              </w:rPr>
              <w:t>》（GB18218-2018）确定危险物质的临界量，定量分析危险物质数量与临界量的比值（Q），详见下表。</w:t>
            </w:r>
          </w:p>
          <w:p w14:paraId="5DF3F233">
            <w:pPr>
              <w:bidi w:val="0"/>
              <w:rPr>
                <w:rFonts w:hint="eastAsia"/>
                <w:lang w:val="en-US" w:eastAsia="zh-CN"/>
              </w:rPr>
            </w:pPr>
            <w:r>
              <w:rPr>
                <w:rFonts w:hint="eastAsia"/>
                <w:lang w:val="en-US" w:eastAsia="zh-CN"/>
              </w:rPr>
              <w:t>参照《危险化学品重大危险源辨识》（GB18218-2018）附录A中乙醇（64-17-5）指浓度为95%的酒精。即本项目酒精（75%）最大存储量为5000ml，密度按0.79g/cm</w:t>
            </w:r>
            <w:r>
              <w:rPr>
                <w:rFonts w:hint="eastAsia"/>
                <w:vertAlign w:val="superscript"/>
                <w:lang w:val="en-US" w:eastAsia="zh-CN"/>
              </w:rPr>
              <w:t>3</w:t>
            </w:r>
            <w:r>
              <w:rPr>
                <w:rFonts w:hint="eastAsia"/>
                <w:lang w:val="en-US" w:eastAsia="zh-CN"/>
              </w:rPr>
              <w:t>，折算后为0.003t（折算过程：5000ml×0.79g/cm³×75%÷95%÷1000000≈0.003t）；氧气最大储量为400L，密度按1.419kg/L。</w:t>
            </w:r>
          </w:p>
          <w:p w14:paraId="77C4A1E1">
            <w:pPr>
              <w:pStyle w:val="22"/>
              <w:bidi w:val="0"/>
              <w:rPr>
                <w:rFonts w:hint="eastAsia"/>
                <w:lang w:val="en-US" w:eastAsia="zh-CN" w:bidi="ar-SA"/>
              </w:rPr>
            </w:pPr>
            <w:r>
              <w:rPr>
                <w:lang w:val="en-US" w:eastAsia="zh-CN" w:bidi="ar-SA"/>
              </w:rPr>
              <w:t>企业危险物质最大储存量与临界量的比值</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1765"/>
              <w:gridCol w:w="1464"/>
              <w:gridCol w:w="1484"/>
              <w:gridCol w:w="1167"/>
              <w:gridCol w:w="1552"/>
            </w:tblGrid>
            <w:tr w14:paraId="43C6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blHeader/>
                <w:jc w:val="center"/>
              </w:trPr>
              <w:tc>
                <w:tcPr>
                  <w:tcW w:w="527" w:type="pct"/>
                  <w:noWrap w:val="0"/>
                  <w:vAlign w:val="center"/>
                </w:tcPr>
                <w:p w14:paraId="3836D10B">
                  <w:pPr>
                    <w:pStyle w:val="23"/>
                    <w:bidi w:val="0"/>
                    <w:rPr>
                      <w:lang w:val="en-US" w:eastAsia="zh-CN"/>
                    </w:rPr>
                  </w:pPr>
                  <w:r>
                    <w:rPr>
                      <w:lang w:val="en-US" w:eastAsia="zh-CN"/>
                    </w:rPr>
                    <w:t>序号</w:t>
                  </w:r>
                </w:p>
              </w:tc>
              <w:tc>
                <w:tcPr>
                  <w:tcW w:w="1062" w:type="pct"/>
                  <w:noWrap w:val="0"/>
                  <w:vAlign w:val="center"/>
                </w:tcPr>
                <w:p w14:paraId="087826B0">
                  <w:pPr>
                    <w:pStyle w:val="23"/>
                    <w:bidi w:val="0"/>
                    <w:rPr>
                      <w:lang w:val="en-US" w:eastAsia="zh-CN"/>
                    </w:rPr>
                  </w:pPr>
                  <w:r>
                    <w:rPr>
                      <w:lang w:val="en-US" w:eastAsia="zh-CN"/>
                    </w:rPr>
                    <w:t>危险物质名称</w:t>
                  </w:r>
                </w:p>
              </w:tc>
              <w:tc>
                <w:tcPr>
                  <w:tcW w:w="881" w:type="pct"/>
                  <w:noWrap w:val="0"/>
                  <w:vAlign w:val="center"/>
                </w:tcPr>
                <w:p w14:paraId="71F26141">
                  <w:pPr>
                    <w:pStyle w:val="23"/>
                    <w:bidi w:val="0"/>
                    <w:rPr>
                      <w:lang w:val="en-US" w:eastAsia="zh-CN"/>
                    </w:rPr>
                  </w:pPr>
                  <w:r>
                    <w:rPr>
                      <w:lang w:val="en-US" w:eastAsia="zh-CN"/>
                    </w:rPr>
                    <w:t>CAS号</w:t>
                  </w:r>
                </w:p>
              </w:tc>
              <w:tc>
                <w:tcPr>
                  <w:tcW w:w="893" w:type="pct"/>
                  <w:noWrap w:val="0"/>
                  <w:vAlign w:val="center"/>
                </w:tcPr>
                <w:p w14:paraId="720A9ABF">
                  <w:pPr>
                    <w:pStyle w:val="23"/>
                    <w:bidi w:val="0"/>
                    <w:rPr>
                      <w:lang w:val="en-US" w:eastAsia="zh-CN"/>
                    </w:rPr>
                  </w:pPr>
                  <w:r>
                    <w:rPr>
                      <w:lang w:val="en-US" w:eastAsia="zh-CN"/>
                    </w:rPr>
                    <w:t>最大</w:t>
                  </w:r>
                  <w:r>
                    <w:rPr>
                      <w:rFonts w:hint="eastAsia"/>
                      <w:lang w:val="en-US" w:eastAsia="zh-CN"/>
                    </w:rPr>
                    <w:t>存储</w:t>
                  </w:r>
                  <w:r>
                    <w:rPr>
                      <w:lang w:val="en-US" w:eastAsia="zh-CN"/>
                    </w:rPr>
                    <w:t>量</w:t>
                  </w:r>
                  <w:r>
                    <w:rPr>
                      <w:rFonts w:hint="eastAsia"/>
                      <w:lang w:val="en-US" w:eastAsia="zh-CN"/>
                    </w:rPr>
                    <w:t>(</w:t>
                  </w:r>
                  <w:r>
                    <w:rPr>
                      <w:lang w:val="en-US" w:eastAsia="zh-CN"/>
                    </w:rPr>
                    <w:t>t</w:t>
                  </w:r>
                  <w:r>
                    <w:rPr>
                      <w:rFonts w:hint="eastAsia"/>
                      <w:lang w:val="en-US" w:eastAsia="zh-CN"/>
                    </w:rPr>
                    <w:t>)</w:t>
                  </w:r>
                </w:p>
              </w:tc>
              <w:tc>
                <w:tcPr>
                  <w:tcW w:w="701" w:type="pct"/>
                  <w:noWrap w:val="0"/>
                  <w:vAlign w:val="center"/>
                </w:tcPr>
                <w:p w14:paraId="7E52F422">
                  <w:pPr>
                    <w:pStyle w:val="23"/>
                    <w:bidi w:val="0"/>
                    <w:rPr>
                      <w:lang w:val="en-US" w:eastAsia="zh-CN"/>
                    </w:rPr>
                  </w:pPr>
                  <w:r>
                    <w:rPr>
                      <w:lang w:val="en-US" w:eastAsia="zh-CN"/>
                    </w:rPr>
                    <w:t>临界量</w:t>
                  </w:r>
                  <w:r>
                    <w:rPr>
                      <w:rFonts w:hint="eastAsia"/>
                      <w:lang w:val="en-US" w:eastAsia="zh-CN"/>
                    </w:rPr>
                    <w:t>(</w:t>
                  </w:r>
                  <w:r>
                    <w:rPr>
                      <w:lang w:val="en-US" w:eastAsia="zh-CN"/>
                    </w:rPr>
                    <w:t>t</w:t>
                  </w:r>
                  <w:r>
                    <w:rPr>
                      <w:rFonts w:hint="eastAsia"/>
                      <w:lang w:val="en-US" w:eastAsia="zh-CN"/>
                    </w:rPr>
                    <w:t>)</w:t>
                  </w:r>
                </w:p>
              </w:tc>
              <w:tc>
                <w:tcPr>
                  <w:tcW w:w="934" w:type="pct"/>
                  <w:noWrap w:val="0"/>
                  <w:vAlign w:val="center"/>
                </w:tcPr>
                <w:p w14:paraId="00A5807B">
                  <w:pPr>
                    <w:pStyle w:val="23"/>
                    <w:bidi w:val="0"/>
                    <w:rPr>
                      <w:lang w:val="en-US" w:eastAsia="zh-CN"/>
                    </w:rPr>
                  </w:pPr>
                  <w:r>
                    <w:rPr>
                      <w:lang w:val="en-US" w:eastAsia="zh-CN"/>
                    </w:rPr>
                    <w:t>Q值</w:t>
                  </w:r>
                </w:p>
              </w:tc>
            </w:tr>
            <w:tr w14:paraId="02A7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noWrap w:val="0"/>
                  <w:vAlign w:val="center"/>
                </w:tcPr>
                <w:p w14:paraId="09FEDACD">
                  <w:pPr>
                    <w:pStyle w:val="23"/>
                    <w:bidi w:val="0"/>
                    <w:rPr>
                      <w:rFonts w:hint="default"/>
                      <w:lang w:val="en-US" w:eastAsia="zh-CN"/>
                    </w:rPr>
                  </w:pPr>
                  <w:r>
                    <w:rPr>
                      <w:rFonts w:hint="eastAsia"/>
                      <w:lang w:val="en-US" w:eastAsia="zh-CN"/>
                    </w:rPr>
                    <w:t>1</w:t>
                  </w:r>
                </w:p>
              </w:tc>
              <w:tc>
                <w:tcPr>
                  <w:tcW w:w="1062" w:type="pct"/>
                  <w:shd w:val="clear" w:color="auto" w:fill="auto"/>
                  <w:noWrap w:val="0"/>
                  <w:vAlign w:val="center"/>
                </w:tcPr>
                <w:p w14:paraId="0EF06EA3">
                  <w:pPr>
                    <w:pStyle w:val="23"/>
                    <w:bidi w:val="0"/>
                    <w:rPr>
                      <w:rFonts w:hint="eastAsia"/>
                      <w:lang w:val="en-US" w:eastAsia="zh-CN"/>
                    </w:rPr>
                  </w:pPr>
                  <w:r>
                    <w:rPr>
                      <w:rFonts w:hint="eastAsia"/>
                      <w:lang w:val="en-US" w:eastAsia="zh-CN"/>
                    </w:rPr>
                    <w:t>氧气</w:t>
                  </w:r>
                </w:p>
              </w:tc>
              <w:tc>
                <w:tcPr>
                  <w:tcW w:w="881" w:type="pct"/>
                  <w:noWrap w:val="0"/>
                  <w:vAlign w:val="center"/>
                </w:tcPr>
                <w:p w14:paraId="00F7BA99">
                  <w:pPr>
                    <w:pStyle w:val="23"/>
                    <w:bidi w:val="0"/>
                    <w:rPr>
                      <w:rFonts w:hint="default"/>
                      <w:lang w:val="en-US" w:eastAsia="zh-CN"/>
                    </w:rPr>
                  </w:pPr>
                  <w:r>
                    <w:rPr>
                      <w:rFonts w:hint="eastAsia"/>
                      <w:lang w:val="en-US" w:eastAsia="zh-CN"/>
                    </w:rPr>
                    <w:t>7782-44-7</w:t>
                  </w:r>
                </w:p>
              </w:tc>
              <w:tc>
                <w:tcPr>
                  <w:tcW w:w="893" w:type="pct"/>
                  <w:noWrap w:val="0"/>
                  <w:vAlign w:val="center"/>
                </w:tcPr>
                <w:p w14:paraId="2D941C6C">
                  <w:pPr>
                    <w:pStyle w:val="23"/>
                    <w:bidi w:val="0"/>
                    <w:rPr>
                      <w:rFonts w:hint="default"/>
                      <w:lang w:val="en-US" w:eastAsia="zh-CN"/>
                    </w:rPr>
                  </w:pPr>
                  <w:r>
                    <w:rPr>
                      <w:rFonts w:hint="eastAsia"/>
                      <w:lang w:val="en-US" w:eastAsia="zh-CN"/>
                    </w:rPr>
                    <w:t>0.568</w:t>
                  </w:r>
                </w:p>
              </w:tc>
              <w:tc>
                <w:tcPr>
                  <w:tcW w:w="701" w:type="pct"/>
                  <w:noWrap w:val="0"/>
                  <w:vAlign w:val="center"/>
                </w:tcPr>
                <w:p w14:paraId="7AE1B442">
                  <w:pPr>
                    <w:pStyle w:val="23"/>
                    <w:bidi w:val="0"/>
                    <w:rPr>
                      <w:rFonts w:hint="default"/>
                      <w:lang w:val="en-US" w:eastAsia="zh-CN"/>
                    </w:rPr>
                  </w:pPr>
                  <w:r>
                    <w:rPr>
                      <w:rFonts w:hint="eastAsia"/>
                      <w:lang w:val="en-US" w:eastAsia="zh-CN"/>
                    </w:rPr>
                    <w:t>200</w:t>
                  </w:r>
                </w:p>
              </w:tc>
              <w:tc>
                <w:tcPr>
                  <w:tcW w:w="1552" w:type="dxa"/>
                  <w:noWrap w:val="0"/>
                  <w:vAlign w:val="center"/>
                </w:tcPr>
                <w:p w14:paraId="0404C587">
                  <w:pPr>
                    <w:pStyle w:val="23"/>
                    <w:bidi w:val="0"/>
                    <w:rPr>
                      <w:rFonts w:hint="default"/>
                      <w:lang w:val="en-US" w:eastAsia="zh-CN"/>
                    </w:rPr>
                  </w:pPr>
                  <w:r>
                    <w:rPr>
                      <w:rFonts w:hint="eastAsia"/>
                      <w:lang w:val="en-US" w:eastAsia="zh-CN"/>
                    </w:rPr>
                    <w:t>0.003</w:t>
                  </w:r>
                </w:p>
              </w:tc>
            </w:tr>
            <w:tr w14:paraId="4D1A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shd w:val="clear" w:color="auto" w:fill="auto"/>
                  <w:noWrap w:val="0"/>
                  <w:vAlign w:val="center"/>
                </w:tcPr>
                <w:p w14:paraId="7F81B99B">
                  <w:pPr>
                    <w:pStyle w:val="23"/>
                    <w:bidi w:val="0"/>
                    <w:rPr>
                      <w:rFonts w:hint="eastAsia"/>
                      <w:lang w:val="en-US" w:eastAsia="zh-CN"/>
                    </w:rPr>
                  </w:pPr>
                  <w:r>
                    <w:rPr>
                      <w:rFonts w:hint="eastAsia"/>
                      <w:lang w:val="en-US" w:eastAsia="zh-CN"/>
                    </w:rPr>
                    <w:t>2</w:t>
                  </w:r>
                </w:p>
              </w:tc>
              <w:tc>
                <w:tcPr>
                  <w:tcW w:w="1062" w:type="pct"/>
                  <w:shd w:val="clear" w:color="auto" w:fill="auto"/>
                  <w:noWrap w:val="0"/>
                  <w:vAlign w:val="center"/>
                </w:tcPr>
                <w:p w14:paraId="730DA4DF">
                  <w:pPr>
                    <w:pStyle w:val="23"/>
                    <w:bidi w:val="0"/>
                    <w:rPr>
                      <w:rFonts w:hint="eastAsia"/>
                      <w:lang w:val="en-US" w:eastAsia="zh-CN"/>
                    </w:rPr>
                  </w:pPr>
                  <w:r>
                    <w:rPr>
                      <w:rFonts w:hint="eastAsia"/>
                      <w:lang w:val="en-US" w:eastAsia="zh-CN"/>
                    </w:rPr>
                    <w:t>柴油</w:t>
                  </w:r>
                </w:p>
              </w:tc>
              <w:tc>
                <w:tcPr>
                  <w:tcW w:w="881" w:type="pct"/>
                  <w:shd w:val="clear" w:color="auto" w:fill="auto"/>
                  <w:noWrap w:val="0"/>
                  <w:vAlign w:val="center"/>
                </w:tcPr>
                <w:p w14:paraId="6DD0F900">
                  <w:pPr>
                    <w:pStyle w:val="23"/>
                    <w:bidi w:val="0"/>
                    <w:rPr>
                      <w:rFonts w:hint="default"/>
                      <w:lang w:val="en-US" w:eastAsia="zh-CN"/>
                    </w:rPr>
                  </w:pPr>
                  <w:r>
                    <w:rPr>
                      <w:rFonts w:hint="eastAsia"/>
                      <w:lang w:val="en-US" w:eastAsia="zh-CN"/>
                    </w:rPr>
                    <w:t>/</w:t>
                  </w:r>
                </w:p>
              </w:tc>
              <w:tc>
                <w:tcPr>
                  <w:tcW w:w="893" w:type="pct"/>
                  <w:shd w:val="clear" w:color="auto" w:fill="auto"/>
                  <w:noWrap w:val="0"/>
                  <w:vAlign w:val="center"/>
                </w:tcPr>
                <w:p w14:paraId="76D62A20">
                  <w:pPr>
                    <w:pStyle w:val="23"/>
                    <w:bidi w:val="0"/>
                    <w:rPr>
                      <w:rFonts w:hint="default"/>
                      <w:lang w:val="en-US" w:eastAsia="zh-CN"/>
                    </w:rPr>
                  </w:pPr>
                  <w:r>
                    <w:rPr>
                      <w:rFonts w:hint="eastAsia"/>
                      <w:lang w:val="en-US" w:eastAsia="zh-CN"/>
                    </w:rPr>
                    <w:t>0.4</w:t>
                  </w:r>
                </w:p>
              </w:tc>
              <w:tc>
                <w:tcPr>
                  <w:tcW w:w="701" w:type="pct"/>
                  <w:shd w:val="clear" w:color="auto" w:fill="auto"/>
                  <w:noWrap w:val="0"/>
                  <w:vAlign w:val="center"/>
                </w:tcPr>
                <w:p w14:paraId="6E50C7D0">
                  <w:pPr>
                    <w:pStyle w:val="23"/>
                    <w:bidi w:val="0"/>
                    <w:rPr>
                      <w:rFonts w:hint="default"/>
                      <w:lang w:val="en-US" w:eastAsia="zh-CN"/>
                    </w:rPr>
                  </w:pPr>
                  <w:r>
                    <w:rPr>
                      <w:rFonts w:hint="eastAsia"/>
                      <w:lang w:val="en-US" w:eastAsia="zh-CN"/>
                    </w:rPr>
                    <w:t>2500</w:t>
                  </w:r>
                </w:p>
              </w:tc>
              <w:tc>
                <w:tcPr>
                  <w:tcW w:w="1552" w:type="dxa"/>
                  <w:shd w:val="clear" w:color="auto" w:fill="auto"/>
                  <w:noWrap w:val="0"/>
                  <w:vAlign w:val="center"/>
                </w:tcPr>
                <w:p w14:paraId="22CB930E">
                  <w:pPr>
                    <w:pStyle w:val="23"/>
                    <w:bidi w:val="0"/>
                    <w:rPr>
                      <w:rFonts w:hint="default"/>
                      <w:lang w:val="en-US" w:eastAsia="zh-CN"/>
                    </w:rPr>
                  </w:pPr>
                  <w:r>
                    <w:rPr>
                      <w:rFonts w:hint="eastAsia"/>
                      <w:lang w:val="en-US" w:eastAsia="zh-CN"/>
                    </w:rPr>
                    <w:t>1.6×10-4</w:t>
                  </w:r>
                </w:p>
              </w:tc>
            </w:tr>
            <w:tr w14:paraId="0E4C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shd w:val="clear" w:color="auto" w:fill="auto"/>
                  <w:noWrap w:val="0"/>
                  <w:vAlign w:val="center"/>
                </w:tcPr>
                <w:p w14:paraId="7551FF49">
                  <w:pPr>
                    <w:pStyle w:val="23"/>
                    <w:bidi w:val="0"/>
                    <w:rPr>
                      <w:rFonts w:hint="default"/>
                      <w:lang w:val="en-US" w:eastAsia="zh-CN"/>
                    </w:rPr>
                  </w:pPr>
                  <w:r>
                    <w:rPr>
                      <w:rFonts w:hint="eastAsia"/>
                      <w:lang w:val="en-US" w:eastAsia="zh-CN"/>
                    </w:rPr>
                    <w:t>3</w:t>
                  </w:r>
                </w:p>
              </w:tc>
              <w:tc>
                <w:tcPr>
                  <w:tcW w:w="1062" w:type="pct"/>
                  <w:shd w:val="clear" w:color="auto" w:fill="auto"/>
                  <w:noWrap w:val="0"/>
                  <w:vAlign w:val="center"/>
                </w:tcPr>
                <w:p w14:paraId="72C072A5">
                  <w:pPr>
                    <w:pStyle w:val="23"/>
                    <w:bidi w:val="0"/>
                    <w:rPr>
                      <w:rFonts w:hint="eastAsia"/>
                      <w:lang w:val="en-US" w:eastAsia="zh-CN"/>
                    </w:rPr>
                  </w:pPr>
                  <w:r>
                    <w:rPr>
                      <w:rFonts w:hint="eastAsia"/>
                      <w:lang w:val="en-US" w:eastAsia="zh-CN"/>
                    </w:rPr>
                    <w:t>酒精（75%）</w:t>
                  </w:r>
                </w:p>
              </w:tc>
              <w:tc>
                <w:tcPr>
                  <w:tcW w:w="881" w:type="pct"/>
                  <w:shd w:val="clear" w:color="auto" w:fill="auto"/>
                  <w:noWrap w:val="0"/>
                  <w:vAlign w:val="center"/>
                </w:tcPr>
                <w:p w14:paraId="2C24F41E">
                  <w:pPr>
                    <w:pStyle w:val="23"/>
                    <w:bidi w:val="0"/>
                    <w:rPr>
                      <w:rFonts w:hint="default"/>
                      <w:lang w:val="en-US" w:eastAsia="zh-CN"/>
                    </w:rPr>
                  </w:pPr>
                  <w:r>
                    <w:rPr>
                      <w:rFonts w:hint="eastAsia"/>
                      <w:lang w:val="en-US" w:eastAsia="zh-CN"/>
                    </w:rPr>
                    <w:t>64-17-5</w:t>
                  </w:r>
                </w:p>
              </w:tc>
              <w:tc>
                <w:tcPr>
                  <w:tcW w:w="893" w:type="pct"/>
                  <w:shd w:val="clear" w:color="auto" w:fill="auto"/>
                  <w:noWrap w:val="0"/>
                  <w:vAlign w:val="center"/>
                </w:tcPr>
                <w:p w14:paraId="096473CB">
                  <w:pPr>
                    <w:pStyle w:val="23"/>
                    <w:bidi w:val="0"/>
                    <w:rPr>
                      <w:rFonts w:hint="default"/>
                      <w:lang w:val="en-US" w:eastAsia="zh-CN"/>
                    </w:rPr>
                  </w:pPr>
                  <w:r>
                    <w:rPr>
                      <w:rFonts w:hint="eastAsia"/>
                      <w:lang w:val="en-US" w:eastAsia="zh-CN"/>
                    </w:rPr>
                    <w:t>0.003</w:t>
                  </w:r>
                </w:p>
              </w:tc>
              <w:tc>
                <w:tcPr>
                  <w:tcW w:w="701" w:type="pct"/>
                  <w:shd w:val="clear" w:color="auto" w:fill="auto"/>
                  <w:noWrap w:val="0"/>
                  <w:vAlign w:val="center"/>
                </w:tcPr>
                <w:p w14:paraId="2B1CF95C">
                  <w:pPr>
                    <w:pStyle w:val="23"/>
                    <w:bidi w:val="0"/>
                    <w:rPr>
                      <w:rFonts w:hint="default"/>
                      <w:lang w:val="en-US" w:eastAsia="zh-CN"/>
                    </w:rPr>
                  </w:pPr>
                  <w:r>
                    <w:rPr>
                      <w:rFonts w:hint="eastAsia"/>
                      <w:lang w:val="en-US" w:eastAsia="zh-CN"/>
                    </w:rPr>
                    <w:t>500</w:t>
                  </w:r>
                </w:p>
              </w:tc>
              <w:tc>
                <w:tcPr>
                  <w:tcW w:w="1552" w:type="dxa"/>
                  <w:shd w:val="clear" w:color="auto" w:fill="auto"/>
                  <w:noWrap w:val="0"/>
                  <w:vAlign w:val="center"/>
                </w:tcPr>
                <w:p w14:paraId="7CABCF8D">
                  <w:pPr>
                    <w:pStyle w:val="23"/>
                    <w:bidi w:val="0"/>
                    <w:rPr>
                      <w:rFonts w:hint="default"/>
                      <w:lang w:val="en-US" w:eastAsia="zh-CN"/>
                    </w:rPr>
                  </w:pPr>
                  <w:r>
                    <w:rPr>
                      <w:rFonts w:hint="eastAsia"/>
                      <w:lang w:val="en-US" w:eastAsia="zh-CN"/>
                    </w:rPr>
                    <w:t>6.0×10-6</w:t>
                  </w:r>
                </w:p>
              </w:tc>
            </w:tr>
            <w:tr w14:paraId="7659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shd w:val="clear" w:color="auto" w:fill="auto"/>
                  <w:noWrap w:val="0"/>
                  <w:vAlign w:val="center"/>
                </w:tcPr>
                <w:p w14:paraId="0AC3A080">
                  <w:pPr>
                    <w:pStyle w:val="23"/>
                    <w:bidi w:val="0"/>
                    <w:rPr>
                      <w:rFonts w:hint="default"/>
                      <w:lang w:val="en-US" w:eastAsia="zh-CN"/>
                    </w:rPr>
                  </w:pPr>
                  <w:r>
                    <w:rPr>
                      <w:rFonts w:hint="eastAsia"/>
                      <w:lang w:val="en-US" w:eastAsia="zh-CN"/>
                    </w:rPr>
                    <w:t>4</w:t>
                  </w:r>
                </w:p>
              </w:tc>
              <w:tc>
                <w:tcPr>
                  <w:tcW w:w="1062" w:type="pct"/>
                  <w:shd w:val="clear" w:color="auto" w:fill="auto"/>
                  <w:noWrap w:val="0"/>
                  <w:vAlign w:val="center"/>
                </w:tcPr>
                <w:p w14:paraId="68285141">
                  <w:pPr>
                    <w:pStyle w:val="23"/>
                    <w:bidi w:val="0"/>
                    <w:rPr>
                      <w:rFonts w:hint="eastAsia"/>
                      <w:lang w:val="en-US" w:eastAsia="zh-CN"/>
                    </w:rPr>
                  </w:pPr>
                  <w:r>
                    <w:rPr>
                      <w:rFonts w:hint="eastAsia"/>
                    </w:rPr>
                    <w:t>医疗废弃物</w:t>
                  </w:r>
                </w:p>
              </w:tc>
              <w:tc>
                <w:tcPr>
                  <w:tcW w:w="881" w:type="pct"/>
                  <w:shd w:val="clear" w:color="auto" w:fill="auto"/>
                  <w:noWrap w:val="0"/>
                  <w:vAlign w:val="center"/>
                </w:tcPr>
                <w:p w14:paraId="1A66A603">
                  <w:pPr>
                    <w:pStyle w:val="23"/>
                    <w:bidi w:val="0"/>
                    <w:rPr>
                      <w:rFonts w:hint="eastAsia"/>
                      <w:lang w:val="en-US" w:eastAsia="zh-CN"/>
                    </w:rPr>
                  </w:pPr>
                  <w:r>
                    <w:rPr>
                      <w:rFonts w:hint="eastAsia"/>
                      <w:lang w:val="en-US" w:eastAsia="zh-CN"/>
                    </w:rPr>
                    <w:t>/</w:t>
                  </w:r>
                </w:p>
              </w:tc>
              <w:tc>
                <w:tcPr>
                  <w:tcW w:w="893" w:type="pct"/>
                  <w:shd w:val="clear" w:color="auto" w:fill="auto"/>
                  <w:noWrap w:val="0"/>
                  <w:vAlign w:val="center"/>
                </w:tcPr>
                <w:p w14:paraId="7C848505">
                  <w:pPr>
                    <w:pStyle w:val="23"/>
                    <w:bidi w:val="0"/>
                    <w:rPr>
                      <w:rFonts w:hint="default"/>
                      <w:lang w:val="en-US" w:eastAsia="zh-CN"/>
                    </w:rPr>
                  </w:pPr>
                  <w:r>
                    <w:rPr>
                      <w:rFonts w:hint="eastAsia"/>
                      <w:lang w:val="en-US" w:eastAsia="zh-CN"/>
                    </w:rPr>
                    <w:t>6</w:t>
                  </w:r>
                </w:p>
              </w:tc>
              <w:tc>
                <w:tcPr>
                  <w:tcW w:w="701" w:type="pct"/>
                  <w:shd w:val="clear" w:color="auto" w:fill="auto"/>
                  <w:noWrap w:val="0"/>
                  <w:vAlign w:val="center"/>
                </w:tcPr>
                <w:p w14:paraId="6765442B">
                  <w:pPr>
                    <w:pStyle w:val="23"/>
                    <w:bidi w:val="0"/>
                    <w:rPr>
                      <w:rFonts w:hint="eastAsia"/>
                      <w:lang w:val="en-US" w:eastAsia="zh-CN"/>
                    </w:rPr>
                  </w:pPr>
                  <w:r>
                    <w:rPr>
                      <w:rFonts w:hint="eastAsia"/>
                      <w:lang w:val="en-US" w:eastAsia="zh-CN"/>
                    </w:rPr>
                    <w:t>50</w:t>
                  </w:r>
                </w:p>
              </w:tc>
              <w:tc>
                <w:tcPr>
                  <w:tcW w:w="1552" w:type="dxa"/>
                  <w:shd w:val="clear" w:color="auto" w:fill="auto"/>
                  <w:noWrap w:val="0"/>
                  <w:vAlign w:val="center"/>
                </w:tcPr>
                <w:p w14:paraId="173EC061">
                  <w:pPr>
                    <w:pStyle w:val="23"/>
                    <w:bidi w:val="0"/>
                    <w:rPr>
                      <w:rFonts w:hint="default"/>
                      <w:lang w:val="en-US" w:eastAsia="zh-CN"/>
                    </w:rPr>
                  </w:pPr>
                  <w:r>
                    <w:rPr>
                      <w:rFonts w:hint="eastAsia"/>
                      <w:lang w:val="en-US" w:eastAsia="zh-CN"/>
                    </w:rPr>
                    <w:t>0.120</w:t>
                  </w:r>
                </w:p>
              </w:tc>
            </w:tr>
            <w:tr w14:paraId="0C09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5" w:type="pct"/>
                  <w:gridSpan w:val="5"/>
                  <w:noWrap w:val="0"/>
                  <w:vAlign w:val="center"/>
                </w:tcPr>
                <w:p w14:paraId="628DD420">
                  <w:pPr>
                    <w:pStyle w:val="23"/>
                    <w:bidi w:val="0"/>
                    <w:rPr>
                      <w:lang w:val="en-US" w:eastAsia="zh-CN"/>
                    </w:rPr>
                  </w:pPr>
                  <w:r>
                    <w:rPr>
                      <w:rFonts w:hint="default"/>
                    </w:rPr>
                    <w:t>∑Q</w:t>
                  </w:r>
                </w:p>
              </w:tc>
              <w:tc>
                <w:tcPr>
                  <w:tcW w:w="1552" w:type="dxa"/>
                  <w:noWrap w:val="0"/>
                  <w:vAlign w:val="center"/>
                </w:tcPr>
                <w:p w14:paraId="2F1610E8">
                  <w:pPr>
                    <w:pStyle w:val="23"/>
                    <w:bidi w:val="0"/>
                    <w:rPr>
                      <w:rFonts w:hint="default"/>
                      <w:lang w:val="en-US" w:eastAsia="zh-CN"/>
                    </w:rPr>
                  </w:pPr>
                  <w:r>
                    <w:rPr>
                      <w:rFonts w:hint="eastAsia"/>
                      <w:lang w:val="en-US" w:eastAsia="zh-CN"/>
                    </w:rPr>
                    <w:t>0.123</w:t>
                  </w:r>
                </w:p>
              </w:tc>
            </w:tr>
          </w:tbl>
          <w:p w14:paraId="0CB58FAD">
            <w:pPr>
              <w:pStyle w:val="25"/>
              <w:bidi w:val="0"/>
              <w:rPr>
                <w:rFonts w:hint="eastAsia"/>
              </w:rPr>
            </w:pPr>
            <w:r>
              <w:rPr>
                <w:rFonts w:hint="eastAsia"/>
              </w:rPr>
              <w:t>综上，本项目涉及的有毒有害和易燃易爆等危险物质Q值&lt;1，未超过临界量。环境风险较小，可不展开专项评价，只需进行简单分析。</w:t>
            </w:r>
          </w:p>
          <w:p w14:paraId="4B2A2778">
            <w:pPr>
              <w:pStyle w:val="4"/>
              <w:bidi w:val="0"/>
              <w:rPr>
                <w:rFonts w:hint="eastAsia"/>
                <w:lang w:val="en-US" w:eastAsia="zh-CN"/>
              </w:rPr>
            </w:pPr>
            <w:r>
              <w:rPr>
                <w:rFonts w:hint="eastAsia"/>
                <w:lang w:val="en-US" w:eastAsia="zh-CN"/>
              </w:rPr>
              <w:t>风险源分布情况及可能影响途径</w:t>
            </w:r>
          </w:p>
          <w:p w14:paraId="73069A64">
            <w:pPr>
              <w:bidi w:val="0"/>
              <w:rPr>
                <w:rFonts w:hint="eastAsia"/>
                <w:lang w:val="en-US" w:eastAsia="zh-CN"/>
              </w:rPr>
            </w:pPr>
            <w:r>
              <w:rPr>
                <w:rFonts w:hint="eastAsia"/>
                <w:lang w:val="en-US" w:eastAsia="zh-CN"/>
              </w:rPr>
              <w:t>项目风险物质存在于污水站、危废间等。可能影响的途径为:</w:t>
            </w:r>
          </w:p>
          <w:p w14:paraId="6FB65747">
            <w:pPr>
              <w:bidi w:val="0"/>
              <w:rPr>
                <w:rFonts w:hint="eastAsia"/>
                <w:lang w:val="en-US" w:eastAsia="zh-CN"/>
              </w:rPr>
            </w:pPr>
            <w:r>
              <w:rPr>
                <w:rFonts w:hint="eastAsia"/>
                <w:lang w:val="en-US" w:eastAsia="zh-CN"/>
              </w:rPr>
              <w:t>①废水处理系统故障，超标废水外排；</w:t>
            </w:r>
          </w:p>
          <w:p w14:paraId="5EB7C0EB">
            <w:pPr>
              <w:bidi w:val="0"/>
              <w:rPr>
                <w:rFonts w:hint="eastAsia"/>
                <w:lang w:val="en-US" w:eastAsia="zh-CN"/>
              </w:rPr>
            </w:pPr>
            <w:r>
              <w:rPr>
                <w:rFonts w:hint="eastAsia"/>
                <w:lang w:val="en-US" w:eastAsia="zh-CN"/>
              </w:rPr>
              <w:t>②医疗废物在收集、储存、运送过程中存在的风险；</w:t>
            </w:r>
          </w:p>
          <w:p w14:paraId="4286F710">
            <w:pPr>
              <w:bidi w:val="0"/>
              <w:rPr>
                <w:rFonts w:hint="eastAsia"/>
                <w:lang w:val="en-US" w:eastAsia="zh-CN"/>
              </w:rPr>
            </w:pPr>
            <w:r>
              <w:rPr>
                <w:rFonts w:hint="eastAsia"/>
                <w:lang w:val="en-US" w:eastAsia="zh-CN"/>
              </w:rPr>
              <w:t>③各种消毒液的储存和使用，泄露风险；</w:t>
            </w:r>
          </w:p>
          <w:p w14:paraId="00383D9E">
            <w:pPr>
              <w:bidi w:val="0"/>
              <w:rPr>
                <w:rFonts w:hint="eastAsia"/>
                <w:lang w:val="en-US" w:eastAsia="zh-CN"/>
              </w:rPr>
            </w:pPr>
            <w:r>
              <w:rPr>
                <w:rFonts w:hint="eastAsia"/>
                <w:lang w:val="en-US" w:eastAsia="zh-CN"/>
              </w:rPr>
              <w:t>④火灾风险，物质的不完全燃烧造成大气污染。</w:t>
            </w:r>
          </w:p>
          <w:p w14:paraId="2311FBE0">
            <w:pPr>
              <w:pStyle w:val="4"/>
              <w:bidi w:val="0"/>
              <w:rPr>
                <w:rFonts w:hint="eastAsia"/>
                <w:lang w:val="en-US" w:eastAsia="zh-CN"/>
              </w:rPr>
            </w:pPr>
            <w:r>
              <w:rPr>
                <w:rFonts w:hint="eastAsia"/>
                <w:lang w:val="en-US" w:eastAsia="zh-CN"/>
              </w:rPr>
              <w:t>环境风险防范措施</w:t>
            </w:r>
          </w:p>
          <w:p w14:paraId="3C2057BF">
            <w:pPr>
              <w:bidi w:val="0"/>
              <w:rPr>
                <w:rFonts w:hint="eastAsia"/>
                <w:lang w:val="en-US" w:eastAsia="zh-CN"/>
              </w:rPr>
            </w:pPr>
            <w:r>
              <w:rPr>
                <w:rFonts w:hint="eastAsia"/>
                <w:lang w:val="en-US" w:eastAsia="zh-CN"/>
              </w:rPr>
              <w:t>项目风险防范措施见下表。</w:t>
            </w:r>
          </w:p>
          <w:p w14:paraId="4F29C3A2">
            <w:pPr>
              <w:pStyle w:val="22"/>
              <w:bidi w:val="0"/>
              <w:rPr>
                <w:rFonts w:hint="eastAsia"/>
                <w:lang w:val="en-US" w:eastAsia="zh-CN" w:bidi="ar-SA"/>
              </w:rPr>
            </w:pPr>
            <w:r>
              <w:rPr>
                <w:rFonts w:hint="eastAsia"/>
                <w:lang w:val="en-US" w:eastAsia="zh-CN" w:bidi="ar-SA"/>
              </w:rPr>
              <w:t>项目风险防范措施一览表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7561"/>
            </w:tblGrid>
            <w:tr w14:paraId="40F9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0F85EC80">
                  <w:pPr>
                    <w:pStyle w:val="23"/>
                    <w:bidi w:val="0"/>
                    <w:rPr>
                      <w:rFonts w:hint="eastAsia"/>
                      <w:lang w:val="en-US" w:eastAsia="zh-CN" w:bidi="ar-SA"/>
                    </w:rPr>
                  </w:pPr>
                  <w:r>
                    <w:rPr>
                      <w:rFonts w:hint="eastAsia"/>
                      <w:lang w:val="en-US" w:eastAsia="zh-CN" w:bidi="ar-SA"/>
                    </w:rPr>
                    <w:t>风险类型</w:t>
                  </w:r>
                </w:p>
              </w:tc>
              <w:tc>
                <w:tcPr>
                  <w:tcW w:w="4550" w:type="pct"/>
                  <w:vAlign w:val="center"/>
                </w:tcPr>
                <w:p w14:paraId="18C5E46A">
                  <w:pPr>
                    <w:pStyle w:val="23"/>
                    <w:bidi w:val="0"/>
                    <w:rPr>
                      <w:rFonts w:hint="eastAsia"/>
                      <w:lang w:val="en-US" w:eastAsia="zh-CN" w:bidi="ar-SA"/>
                    </w:rPr>
                  </w:pPr>
                  <w:r>
                    <w:rPr>
                      <w:rFonts w:hint="eastAsia"/>
                      <w:lang w:val="en-US" w:eastAsia="zh-CN" w:bidi="ar-SA"/>
                    </w:rPr>
                    <w:t>采取的防范类型</w:t>
                  </w:r>
                </w:p>
              </w:tc>
            </w:tr>
            <w:tr w14:paraId="5C22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6B54A96C">
                  <w:pPr>
                    <w:pStyle w:val="23"/>
                    <w:bidi w:val="0"/>
                    <w:rPr>
                      <w:rFonts w:hint="eastAsia"/>
                      <w:lang w:val="en-US" w:eastAsia="zh-CN" w:bidi="ar-SA"/>
                    </w:rPr>
                  </w:pPr>
                  <w:r>
                    <w:rPr>
                      <w:rFonts w:hint="eastAsia"/>
                      <w:lang w:val="en-US" w:eastAsia="zh-CN" w:bidi="ar-SA"/>
                    </w:rPr>
                    <w:t>火灾风险</w:t>
                  </w:r>
                </w:p>
              </w:tc>
              <w:tc>
                <w:tcPr>
                  <w:tcW w:w="4550" w:type="pct"/>
                  <w:vAlign w:val="center"/>
                </w:tcPr>
                <w:p w14:paraId="4E734189">
                  <w:pPr>
                    <w:pStyle w:val="23"/>
                    <w:bidi w:val="0"/>
                    <w:jc w:val="both"/>
                    <w:rPr>
                      <w:rFonts w:hint="eastAsia"/>
                      <w:lang w:val="en-US" w:eastAsia="zh-CN" w:bidi="ar-SA"/>
                    </w:rPr>
                  </w:pPr>
                  <w:r>
                    <w:rPr>
                      <w:rFonts w:hint="eastAsia"/>
                      <w:lang w:val="en-US" w:eastAsia="zh-CN" w:bidi="ar-SA"/>
                    </w:rPr>
                    <w:t>①设立严禁烟火的标示，厂区内严禁烟火；</w:t>
                  </w:r>
                </w:p>
                <w:p w14:paraId="0D3B8E5E">
                  <w:pPr>
                    <w:pStyle w:val="23"/>
                    <w:bidi w:val="0"/>
                    <w:jc w:val="both"/>
                    <w:rPr>
                      <w:rFonts w:hint="eastAsia"/>
                      <w:lang w:val="en-US" w:eastAsia="zh-CN" w:bidi="ar-SA"/>
                    </w:rPr>
                  </w:pPr>
                  <w:r>
                    <w:rPr>
                      <w:rFonts w:hint="eastAsia"/>
                      <w:lang w:val="en-US" w:eastAsia="zh-CN" w:bidi="ar-SA"/>
                    </w:rPr>
                    <w:t>②配备足够数量的相应消防设施；</w:t>
                  </w:r>
                </w:p>
                <w:p w14:paraId="77E11795">
                  <w:pPr>
                    <w:pStyle w:val="23"/>
                    <w:bidi w:val="0"/>
                    <w:jc w:val="both"/>
                    <w:rPr>
                      <w:rFonts w:hint="eastAsia"/>
                      <w:lang w:val="en-US" w:eastAsia="zh-CN" w:bidi="ar-SA"/>
                    </w:rPr>
                  </w:pPr>
                  <w:r>
                    <w:rPr>
                      <w:rFonts w:hint="eastAsia"/>
                      <w:lang w:val="en-US" w:eastAsia="zh-CN" w:bidi="ar-SA"/>
                    </w:rPr>
                    <w:t>③一切消防器材不准挪动、乱用，并要定期检查，灭火器要按时换药</w:t>
                  </w:r>
                </w:p>
              </w:tc>
            </w:tr>
            <w:tr w14:paraId="2DFD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67584F6B">
                  <w:pPr>
                    <w:pStyle w:val="23"/>
                    <w:bidi w:val="0"/>
                    <w:rPr>
                      <w:rFonts w:hint="eastAsia"/>
                      <w:lang w:val="en-US" w:eastAsia="zh-CN" w:bidi="ar-SA"/>
                    </w:rPr>
                  </w:pPr>
                  <w:r>
                    <w:rPr>
                      <w:rFonts w:hint="eastAsia"/>
                      <w:lang w:val="en-US" w:eastAsia="zh-CN" w:bidi="ar-SA"/>
                    </w:rPr>
                    <w:t>医疗废物泄露风险</w:t>
                  </w:r>
                </w:p>
              </w:tc>
              <w:tc>
                <w:tcPr>
                  <w:tcW w:w="4550" w:type="pct"/>
                  <w:vAlign w:val="center"/>
                </w:tcPr>
                <w:p w14:paraId="7350A04B">
                  <w:pPr>
                    <w:pStyle w:val="23"/>
                    <w:bidi w:val="0"/>
                    <w:jc w:val="both"/>
                    <w:rPr>
                      <w:rFonts w:hint="eastAsia"/>
                      <w:lang w:val="en-US" w:eastAsia="zh-CN" w:bidi="ar-SA"/>
                    </w:rPr>
                  </w:pPr>
                  <w:r>
                    <w:rPr>
                      <w:rFonts w:hint="eastAsia"/>
                      <w:lang w:val="en-US" w:eastAsia="zh-CN" w:bidi="ar-SA"/>
                    </w:rPr>
                    <w:t>①门口贴标识标牌，设防火提示牌，门口设置警示牌；</w:t>
                  </w:r>
                </w:p>
                <w:p w14:paraId="3B1F9652">
                  <w:pPr>
                    <w:pStyle w:val="23"/>
                    <w:bidi w:val="0"/>
                    <w:jc w:val="both"/>
                    <w:rPr>
                      <w:rFonts w:hint="eastAsia"/>
                      <w:lang w:val="en-US" w:eastAsia="zh-CN" w:bidi="ar-SA"/>
                    </w:rPr>
                  </w:pPr>
                  <w:r>
                    <w:rPr>
                      <w:rFonts w:hint="eastAsia"/>
                      <w:lang w:val="en-US" w:eastAsia="zh-CN" w:bidi="ar-SA"/>
                    </w:rPr>
                    <w:t>②采用专用容器，明确各类废弃物标识，分类包装，分类堆放；</w:t>
                  </w:r>
                </w:p>
                <w:p w14:paraId="16698CEE">
                  <w:pPr>
                    <w:pStyle w:val="23"/>
                    <w:bidi w:val="0"/>
                    <w:jc w:val="both"/>
                    <w:rPr>
                      <w:rFonts w:hint="eastAsia"/>
                      <w:lang w:val="en-US" w:eastAsia="zh-CN" w:bidi="ar-SA"/>
                    </w:rPr>
                  </w:pPr>
                  <w:r>
                    <w:rPr>
                      <w:rFonts w:hint="eastAsia"/>
                      <w:lang w:val="en-US" w:eastAsia="zh-CN" w:bidi="ar-SA"/>
                    </w:rPr>
                    <w:t>③各科室及时收集处理；</w:t>
                  </w:r>
                </w:p>
                <w:p w14:paraId="4DF00D54">
                  <w:pPr>
                    <w:pStyle w:val="23"/>
                    <w:bidi w:val="0"/>
                    <w:jc w:val="both"/>
                    <w:rPr>
                      <w:rFonts w:hint="eastAsia"/>
                      <w:lang w:val="en-US" w:eastAsia="zh-CN" w:bidi="ar-SA"/>
                    </w:rPr>
                  </w:pPr>
                  <w:r>
                    <w:rPr>
                      <w:rFonts w:hint="eastAsia"/>
                      <w:lang w:val="en-US" w:eastAsia="zh-CN" w:bidi="ar-SA"/>
                    </w:rPr>
                    <w:t>④作业人员须了解其接触的危险废物的性质、危害特性、包装容器的使用特性和发生意外时的应急措施，并配备必要的应急处理器材和防护用品；</w:t>
                  </w:r>
                </w:p>
                <w:p w14:paraId="20185421">
                  <w:pPr>
                    <w:pStyle w:val="23"/>
                    <w:bidi w:val="0"/>
                    <w:jc w:val="both"/>
                    <w:rPr>
                      <w:rFonts w:hint="eastAsia"/>
                      <w:lang w:val="en-US" w:eastAsia="zh-CN" w:bidi="ar-SA"/>
                    </w:rPr>
                  </w:pPr>
                  <w:r>
                    <w:rPr>
                      <w:rFonts w:hint="eastAsia"/>
                      <w:lang w:val="en-US" w:eastAsia="zh-CN" w:bidi="ar-SA"/>
                    </w:rPr>
                    <w:t>⑤危险废物暂存间地面全部进行重点防渗处理，危废间门口设置10cm高门槛</w:t>
                  </w:r>
                </w:p>
              </w:tc>
            </w:tr>
            <w:tr w14:paraId="33BC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2ABCF956">
                  <w:pPr>
                    <w:pStyle w:val="23"/>
                    <w:bidi w:val="0"/>
                    <w:rPr>
                      <w:rFonts w:hint="eastAsia"/>
                      <w:lang w:val="en-US" w:eastAsia="zh-CN" w:bidi="ar-SA"/>
                    </w:rPr>
                  </w:pPr>
                  <w:r>
                    <w:rPr>
                      <w:rFonts w:hint="eastAsia"/>
                      <w:lang w:val="en-US" w:eastAsia="zh-CN" w:bidi="ar-SA"/>
                    </w:rPr>
                    <w:t>废水事故排放风险</w:t>
                  </w:r>
                </w:p>
              </w:tc>
              <w:tc>
                <w:tcPr>
                  <w:tcW w:w="4550" w:type="pct"/>
                  <w:vAlign w:val="center"/>
                </w:tcPr>
                <w:p w14:paraId="2791B681">
                  <w:pPr>
                    <w:pStyle w:val="23"/>
                    <w:bidi w:val="0"/>
                    <w:jc w:val="both"/>
                    <w:rPr>
                      <w:rFonts w:hint="eastAsia"/>
                      <w:lang w:val="en-US" w:eastAsia="zh-CN" w:bidi="ar-SA"/>
                    </w:rPr>
                  </w:pPr>
                  <w:r>
                    <w:rPr>
                      <w:rFonts w:hint="eastAsia"/>
                      <w:lang w:val="en-US" w:eastAsia="zh-CN" w:bidi="ar-SA"/>
                    </w:rPr>
                    <w:t>①发生污水处理站事故时，立即通知医院内各用水科室，采取停止或减少用水的措施，减少污水处理站处理负荷；</w:t>
                  </w:r>
                </w:p>
                <w:p w14:paraId="0AFF077A">
                  <w:pPr>
                    <w:pStyle w:val="23"/>
                    <w:bidi w:val="0"/>
                    <w:jc w:val="both"/>
                    <w:rPr>
                      <w:rFonts w:hint="eastAsia"/>
                      <w:lang w:val="en-US" w:eastAsia="zh-CN" w:bidi="ar-SA"/>
                    </w:rPr>
                  </w:pPr>
                  <w:r>
                    <w:rPr>
                      <w:rFonts w:hint="eastAsia"/>
                      <w:lang w:val="en-US" w:eastAsia="zh-CN" w:bidi="ar-SA"/>
                    </w:rPr>
                    <w:t>②当污水处理间发生事故停运时，应将污水立即引入调节池中暂存，并立即停止用水，对污水处理间进行紧急抢修。待其污水处理站恢复正常工作后，将该部分临时储存的污水经污水处理站处理达标后再外排进入市政污水管网。严禁项目污水未经有效处理就直接外排进入市政污水管网；</w:t>
                  </w:r>
                </w:p>
                <w:p w14:paraId="18F470CF">
                  <w:pPr>
                    <w:pStyle w:val="23"/>
                    <w:bidi w:val="0"/>
                    <w:jc w:val="both"/>
                    <w:rPr>
                      <w:rFonts w:hint="eastAsia"/>
                      <w:lang w:val="en-US" w:eastAsia="zh-CN" w:bidi="ar-SA"/>
                    </w:rPr>
                  </w:pPr>
                  <w:r>
                    <w:rPr>
                      <w:rFonts w:hint="eastAsia"/>
                      <w:lang w:val="en-US" w:eastAsia="zh-CN" w:bidi="ar-SA"/>
                    </w:rPr>
                    <w:t>③污水处理间运行自动化，采用自动投药、数据记录、专人专岗等，发生故障时，及时停止向外排放废水。加药工应接受培训并严格按照操作规程进行消毒粉投加，负责消毒粉日常运输条件及存贮环境，负责投药设备的日常维护使用；</w:t>
                  </w:r>
                </w:p>
                <w:p w14:paraId="4A09E3CE">
                  <w:pPr>
                    <w:pStyle w:val="23"/>
                    <w:bidi w:val="0"/>
                    <w:jc w:val="both"/>
                    <w:rPr>
                      <w:rFonts w:hint="eastAsia"/>
                      <w:lang w:val="en-US" w:eastAsia="zh-CN" w:bidi="ar-SA"/>
                    </w:rPr>
                  </w:pPr>
                  <w:r>
                    <w:rPr>
                      <w:rFonts w:hint="eastAsia"/>
                      <w:lang w:val="en-US" w:eastAsia="zh-CN" w:bidi="ar-SA"/>
                    </w:rPr>
                    <w:t>④在污水处理站旁设置容积为2.5t的事故应急桶</w:t>
                  </w:r>
                </w:p>
              </w:tc>
            </w:tr>
            <w:tr w14:paraId="6FD0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147B12E5">
                  <w:pPr>
                    <w:pStyle w:val="23"/>
                    <w:bidi w:val="0"/>
                    <w:rPr>
                      <w:rFonts w:hint="eastAsia"/>
                      <w:lang w:val="en-US" w:eastAsia="zh-CN" w:bidi="ar-SA"/>
                    </w:rPr>
                  </w:pPr>
                  <w:r>
                    <w:rPr>
                      <w:rFonts w:hint="eastAsia"/>
                      <w:lang w:val="en-US" w:eastAsia="zh-CN" w:bidi="ar-SA"/>
                    </w:rPr>
                    <w:t>柴油暂存风险</w:t>
                  </w:r>
                </w:p>
              </w:tc>
              <w:tc>
                <w:tcPr>
                  <w:tcW w:w="4550" w:type="pct"/>
                  <w:vAlign w:val="center"/>
                </w:tcPr>
                <w:p w14:paraId="298D287D">
                  <w:pPr>
                    <w:pStyle w:val="23"/>
                    <w:bidi w:val="0"/>
                    <w:jc w:val="both"/>
                    <w:rPr>
                      <w:rFonts w:hint="eastAsia"/>
                      <w:lang w:val="en-US" w:eastAsia="zh-CN" w:bidi="ar-SA"/>
                    </w:rPr>
                  </w:pPr>
                  <w:r>
                    <w:rPr>
                      <w:rFonts w:hint="eastAsia"/>
                      <w:lang w:val="en-US" w:eastAsia="zh-CN" w:bidi="ar-SA"/>
                    </w:rPr>
                    <w:t>柴油储油房储罐周围设置防火堤，内设置消防设施</w:t>
                  </w:r>
                </w:p>
              </w:tc>
            </w:tr>
            <w:tr w14:paraId="7EC3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53830C5E">
                  <w:pPr>
                    <w:pStyle w:val="23"/>
                    <w:bidi w:val="0"/>
                    <w:rPr>
                      <w:rFonts w:hint="eastAsia"/>
                      <w:lang w:val="en-US" w:eastAsia="zh-CN" w:bidi="ar-SA"/>
                    </w:rPr>
                  </w:pPr>
                  <w:r>
                    <w:rPr>
                      <w:rFonts w:hint="eastAsia"/>
                      <w:lang w:val="en-US" w:eastAsia="zh-CN" w:bidi="ar-SA"/>
                    </w:rPr>
                    <w:t>氧气泄露防范措施</w:t>
                  </w:r>
                </w:p>
              </w:tc>
              <w:tc>
                <w:tcPr>
                  <w:tcW w:w="4550" w:type="pct"/>
                  <w:vAlign w:val="center"/>
                </w:tcPr>
                <w:p w14:paraId="20BB502A">
                  <w:pPr>
                    <w:pStyle w:val="23"/>
                    <w:bidi w:val="0"/>
                    <w:jc w:val="both"/>
                    <w:rPr>
                      <w:rFonts w:hint="eastAsia"/>
                      <w:lang w:val="en-US" w:eastAsia="zh-CN" w:bidi="ar-SA"/>
                    </w:rPr>
                  </w:pPr>
                  <w:r>
                    <w:rPr>
                      <w:rFonts w:hint="eastAsia"/>
                      <w:lang w:val="en-US" w:eastAsia="zh-CN" w:bidi="ar-SA"/>
                    </w:rPr>
                    <w:t>①医院采购具有相应设计、制造资格的单位制造的压力容器，其产品必须附有制造厂的“产品质量证明书”和当地压力容器监检机构签发的“监检证书”；</w:t>
                  </w:r>
                </w:p>
                <w:p w14:paraId="1D2B191A">
                  <w:pPr>
                    <w:pStyle w:val="23"/>
                    <w:bidi w:val="0"/>
                    <w:jc w:val="both"/>
                    <w:rPr>
                      <w:rFonts w:hint="eastAsia"/>
                      <w:lang w:val="en-US" w:eastAsia="zh-CN" w:bidi="ar-SA"/>
                    </w:rPr>
                  </w:pPr>
                  <w:r>
                    <w:rPr>
                      <w:rFonts w:hint="eastAsia"/>
                      <w:lang w:val="en-US" w:eastAsia="zh-CN" w:bidi="ar-SA"/>
                    </w:rPr>
                    <w:t>②压力容器使用前必须办理注册登记手续，申领使用证，否则严禁使用；</w:t>
                  </w:r>
                </w:p>
                <w:p w14:paraId="6609EA06">
                  <w:pPr>
                    <w:pStyle w:val="23"/>
                    <w:bidi w:val="0"/>
                    <w:jc w:val="both"/>
                    <w:rPr>
                      <w:rFonts w:hint="eastAsia"/>
                      <w:lang w:val="en-US" w:eastAsia="zh-CN" w:bidi="ar-SA"/>
                    </w:rPr>
                  </w:pPr>
                  <w:r>
                    <w:rPr>
                      <w:rFonts w:hint="eastAsia"/>
                      <w:lang w:val="en-US" w:eastAsia="zh-CN" w:bidi="ar-SA"/>
                    </w:rPr>
                    <w:t>③气瓶充装单位应经省特种设备安全监督管理部门许可，方可从事充装活动；</w:t>
                  </w:r>
                </w:p>
                <w:p w14:paraId="22904616">
                  <w:pPr>
                    <w:pStyle w:val="23"/>
                    <w:bidi w:val="0"/>
                    <w:jc w:val="both"/>
                    <w:rPr>
                      <w:rFonts w:hint="eastAsia"/>
                      <w:lang w:val="en-US" w:eastAsia="zh-CN" w:bidi="ar-SA"/>
                    </w:rPr>
                  </w:pPr>
                  <w:r>
                    <w:rPr>
                      <w:rFonts w:hint="eastAsia"/>
                      <w:lang w:val="en-US" w:eastAsia="zh-CN" w:bidi="ar-SA"/>
                    </w:rPr>
                    <w:t>④应按照《压力容器安全技术监察规程》的规定，定期进行检验。对于安全状况等级达不到监督使用标准三级的压力容器，必须要在最近一次大修中治理升级；评定为五级的容器应按报废处理，决不能再继续使用；停用2年及以上的压力容器，需要重新启用时，要进行再次检验，确认合格后才能使用；</w:t>
                  </w:r>
                </w:p>
                <w:p w14:paraId="05389854">
                  <w:pPr>
                    <w:pStyle w:val="23"/>
                    <w:bidi w:val="0"/>
                    <w:jc w:val="both"/>
                    <w:rPr>
                      <w:rFonts w:hint="eastAsia"/>
                      <w:lang w:val="en-US" w:eastAsia="zh-CN" w:bidi="ar-SA"/>
                    </w:rPr>
                  </w:pPr>
                  <w:r>
                    <w:rPr>
                      <w:rFonts w:hint="eastAsia"/>
                      <w:lang w:val="en-US" w:eastAsia="zh-CN" w:bidi="ar-SA"/>
                    </w:rPr>
                    <w:t>⑤氧气瓶罐存放的地点，严禁烟火，禁止易燃易爆，油类等危险物品入内或混放。须有专人负责管理，做好安全防火防爆工作，备有灭火器材；</w:t>
                  </w:r>
                </w:p>
                <w:p w14:paraId="0FBDC7E5">
                  <w:pPr>
                    <w:pStyle w:val="23"/>
                    <w:bidi w:val="0"/>
                    <w:jc w:val="both"/>
                    <w:rPr>
                      <w:rFonts w:hint="eastAsia"/>
                      <w:lang w:val="en-US" w:eastAsia="zh-CN" w:bidi="ar-SA"/>
                    </w:rPr>
                  </w:pPr>
                  <w:r>
                    <w:rPr>
                      <w:rFonts w:hint="eastAsia"/>
                      <w:lang w:val="en-US" w:eastAsia="zh-CN" w:bidi="ar-SA"/>
                    </w:rPr>
                    <w:t>⑥同一储存间严禁存放其他可燃气瓶和油脂类物品；</w:t>
                  </w:r>
                </w:p>
                <w:p w14:paraId="662561D0">
                  <w:pPr>
                    <w:pStyle w:val="23"/>
                    <w:bidi w:val="0"/>
                    <w:jc w:val="both"/>
                    <w:rPr>
                      <w:rFonts w:hint="eastAsia"/>
                      <w:lang w:val="en-US" w:eastAsia="zh-CN" w:bidi="ar-SA"/>
                    </w:rPr>
                  </w:pPr>
                  <w:r>
                    <w:rPr>
                      <w:rFonts w:hint="eastAsia"/>
                      <w:lang w:val="en-US" w:eastAsia="zh-CN" w:bidi="ar-SA"/>
                    </w:rPr>
                    <w:t>⑦使用氧气过程中要提供良好的自然通风条件。操作人员必须经过专门培训，严格遵守操作规程。生产和使用时，应远离火种、热源，远离易燃、可燃物，避免与活性金属粉末接触。工作场所严禁吸烟，还要避免高浓度吸入；</w:t>
                  </w:r>
                </w:p>
                <w:p w14:paraId="13A7E9B9">
                  <w:pPr>
                    <w:pStyle w:val="23"/>
                    <w:bidi w:val="0"/>
                    <w:jc w:val="both"/>
                    <w:rPr>
                      <w:rFonts w:hint="eastAsia"/>
                      <w:lang w:val="en-US" w:eastAsia="zh-CN" w:bidi="ar-SA"/>
                    </w:rPr>
                  </w:pPr>
                  <w:r>
                    <w:rPr>
                      <w:rFonts w:hint="eastAsia"/>
                      <w:lang w:val="en-US" w:eastAsia="zh-CN" w:bidi="ar-SA"/>
                    </w:rPr>
                    <w:t>⑧氧气瓶罐的管理、搬运人员严格执行安全操作规程和安全制度。氧气瓶搬运谨防撞击，使用人员须注意安全，不准吸烟。氧气瓶阀门和管道开关须勤查，关闭好，不允许有漏气现象。非工作人员不准动用</w:t>
                  </w:r>
                </w:p>
              </w:tc>
            </w:tr>
            <w:tr w14:paraId="53D5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278688FB">
                  <w:pPr>
                    <w:pStyle w:val="23"/>
                    <w:bidi w:val="0"/>
                    <w:rPr>
                      <w:rFonts w:hint="eastAsia"/>
                      <w:lang w:val="en-US" w:eastAsia="zh-CN" w:bidi="ar-SA"/>
                    </w:rPr>
                  </w:pPr>
                  <w:r>
                    <w:rPr>
                      <w:rFonts w:hint="eastAsia"/>
                      <w:lang w:val="en-US" w:eastAsia="zh-CN" w:bidi="ar-SA"/>
                    </w:rPr>
                    <w:t>其他</w:t>
                  </w:r>
                </w:p>
              </w:tc>
              <w:tc>
                <w:tcPr>
                  <w:tcW w:w="4550" w:type="pct"/>
                  <w:vAlign w:val="center"/>
                </w:tcPr>
                <w:p w14:paraId="1E1D2018">
                  <w:pPr>
                    <w:pStyle w:val="23"/>
                    <w:bidi w:val="0"/>
                    <w:jc w:val="both"/>
                    <w:rPr>
                      <w:rFonts w:hint="eastAsia"/>
                      <w:lang w:val="en-US" w:eastAsia="zh-CN" w:bidi="ar-SA"/>
                    </w:rPr>
                  </w:pPr>
                  <w:r>
                    <w:rPr>
                      <w:rFonts w:hint="eastAsia"/>
                      <w:lang w:val="en-US" w:eastAsia="zh-CN" w:bidi="ar-SA"/>
                    </w:rPr>
                    <w:t>①制定应急预案，建立和完善各级安全生产责任制，并切实落到实处；</w:t>
                  </w:r>
                </w:p>
                <w:p w14:paraId="3F8BD2E4">
                  <w:pPr>
                    <w:pStyle w:val="23"/>
                    <w:bidi w:val="0"/>
                    <w:jc w:val="both"/>
                    <w:rPr>
                      <w:rFonts w:hint="eastAsia"/>
                      <w:lang w:val="en-US" w:eastAsia="zh-CN" w:bidi="ar-SA"/>
                    </w:rPr>
                  </w:pPr>
                  <w:r>
                    <w:rPr>
                      <w:rFonts w:hint="eastAsia"/>
                      <w:lang w:val="en-US" w:eastAsia="zh-CN" w:bidi="ar-SA"/>
                    </w:rPr>
                    <w:t>②建立健全安全检查制度，定期进行安全检查，及时整改安全隐患，防止事故发生；</w:t>
                  </w:r>
                </w:p>
                <w:p w14:paraId="03659028">
                  <w:pPr>
                    <w:pStyle w:val="23"/>
                    <w:bidi w:val="0"/>
                    <w:jc w:val="both"/>
                    <w:rPr>
                      <w:rFonts w:hint="eastAsia"/>
                      <w:lang w:val="en-US" w:eastAsia="zh-CN" w:bidi="ar-SA"/>
                    </w:rPr>
                  </w:pPr>
                  <w:r>
                    <w:rPr>
                      <w:rFonts w:hint="eastAsia"/>
                      <w:lang w:val="en-US" w:eastAsia="zh-CN" w:bidi="ar-SA"/>
                    </w:rPr>
                    <w:t>③制定化学品和危险废物内部管理方案并加强管理和风险应急预案并加强演练</w:t>
                  </w:r>
                </w:p>
              </w:tc>
            </w:tr>
          </w:tbl>
          <w:p w14:paraId="22C08D07">
            <w:pPr>
              <w:pStyle w:val="3"/>
              <w:bidi w:val="0"/>
            </w:pPr>
            <w:r>
              <w:t>环保投资估算</w:t>
            </w:r>
          </w:p>
          <w:p w14:paraId="5E81090C">
            <w:pPr>
              <w:bidi w:val="0"/>
            </w:pPr>
            <w:r>
              <w:t>本项目总投资为</w:t>
            </w:r>
            <w:r>
              <w:rPr>
                <w:rFonts w:hint="eastAsia"/>
              </w:rPr>
              <w:t>600</w:t>
            </w:r>
            <w:r>
              <w:t>万元，其中环保投资为</w:t>
            </w:r>
            <w:r>
              <w:rPr>
                <w:rFonts w:hint="eastAsia"/>
                <w:lang w:val="en-US" w:eastAsia="zh-CN"/>
              </w:rPr>
              <w:t>8</w:t>
            </w:r>
            <w:r>
              <w:t>万元，占总投资的</w:t>
            </w:r>
            <w:r>
              <w:rPr>
                <w:rFonts w:hint="eastAsia"/>
                <w:lang w:val="en-US" w:eastAsia="zh-CN"/>
              </w:rPr>
              <w:t>1.33</w:t>
            </w:r>
            <w:r>
              <w:t>%。本项目环保投资及其建设内容见下表。</w:t>
            </w:r>
          </w:p>
          <w:p w14:paraId="5E49CF4A">
            <w:pPr>
              <w:pStyle w:val="22"/>
              <w:bidi w:val="0"/>
              <w:rPr>
                <w:lang w:val="en-US" w:eastAsia="zh-CN" w:bidi="ar-SA"/>
              </w:rPr>
            </w:pPr>
            <w:r>
              <w:rPr>
                <w:lang w:val="en-US" w:eastAsia="zh-CN" w:bidi="ar-SA"/>
              </w:rPr>
              <w:t>环保设施（措施）及投资一览表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77"/>
              <w:gridCol w:w="719"/>
              <w:gridCol w:w="1078"/>
              <w:gridCol w:w="3492"/>
              <w:gridCol w:w="1269"/>
              <w:gridCol w:w="1269"/>
            </w:tblGrid>
            <w:tr w14:paraId="5AF0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4" w:hRule="atLeast"/>
                <w:jc w:val="center"/>
              </w:trPr>
              <w:tc>
                <w:tcPr>
                  <w:tcW w:w="720" w:type="pct"/>
                  <w:gridSpan w:val="2"/>
                  <w:vMerge w:val="restart"/>
                  <w:noWrap w:val="0"/>
                  <w:vAlign w:val="center"/>
                </w:tcPr>
                <w:p w14:paraId="2AC1B1FE">
                  <w:pPr>
                    <w:pStyle w:val="23"/>
                    <w:bidi w:val="0"/>
                  </w:pPr>
                  <w:r>
                    <w:t>项目</w:t>
                  </w:r>
                </w:p>
              </w:tc>
              <w:tc>
                <w:tcPr>
                  <w:tcW w:w="649" w:type="pct"/>
                  <w:vMerge w:val="restart"/>
                  <w:noWrap w:val="0"/>
                  <w:vAlign w:val="center"/>
                </w:tcPr>
                <w:p w14:paraId="153A1D0E">
                  <w:pPr>
                    <w:pStyle w:val="23"/>
                    <w:bidi w:val="0"/>
                  </w:pPr>
                  <w:r>
                    <w:t>项目</w:t>
                  </w:r>
                </w:p>
              </w:tc>
              <w:tc>
                <w:tcPr>
                  <w:tcW w:w="2102" w:type="pct"/>
                  <w:vMerge w:val="restart"/>
                  <w:noWrap w:val="0"/>
                  <w:vAlign w:val="center"/>
                </w:tcPr>
                <w:p w14:paraId="13ECE55A">
                  <w:pPr>
                    <w:pStyle w:val="23"/>
                    <w:bidi w:val="0"/>
                  </w:pPr>
                  <w:r>
                    <w:t>内容</w:t>
                  </w:r>
                </w:p>
              </w:tc>
              <w:tc>
                <w:tcPr>
                  <w:tcW w:w="1528" w:type="pct"/>
                  <w:gridSpan w:val="2"/>
                  <w:noWrap w:val="0"/>
                  <w:vAlign w:val="center"/>
                </w:tcPr>
                <w:p w14:paraId="3E96586E">
                  <w:pPr>
                    <w:pStyle w:val="23"/>
                    <w:bidi w:val="0"/>
                    <w:rPr>
                      <w:rFonts w:hint="eastAsia"/>
                      <w:lang w:eastAsia="zh-CN"/>
                    </w:rPr>
                  </w:pPr>
                  <w:r>
                    <w:t>投资（万元）</w:t>
                  </w:r>
                </w:p>
              </w:tc>
            </w:tr>
            <w:tr w14:paraId="5DDB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4" w:hRule="atLeast"/>
                <w:jc w:val="center"/>
              </w:trPr>
              <w:tc>
                <w:tcPr>
                  <w:tcW w:w="720" w:type="pct"/>
                  <w:gridSpan w:val="2"/>
                  <w:vMerge w:val="continue"/>
                  <w:noWrap w:val="0"/>
                  <w:vAlign w:val="center"/>
                </w:tcPr>
                <w:p w14:paraId="4FDE7CEF">
                  <w:pPr>
                    <w:pStyle w:val="23"/>
                    <w:bidi w:val="0"/>
                  </w:pPr>
                </w:p>
              </w:tc>
              <w:tc>
                <w:tcPr>
                  <w:tcW w:w="649" w:type="pct"/>
                  <w:vMerge w:val="continue"/>
                  <w:noWrap w:val="0"/>
                  <w:vAlign w:val="center"/>
                </w:tcPr>
                <w:p w14:paraId="46285900">
                  <w:pPr>
                    <w:pStyle w:val="23"/>
                    <w:bidi w:val="0"/>
                  </w:pPr>
                </w:p>
              </w:tc>
              <w:tc>
                <w:tcPr>
                  <w:tcW w:w="2102" w:type="pct"/>
                  <w:vMerge w:val="continue"/>
                  <w:noWrap w:val="0"/>
                  <w:vAlign w:val="center"/>
                </w:tcPr>
                <w:p w14:paraId="45299EAF">
                  <w:pPr>
                    <w:pStyle w:val="23"/>
                    <w:bidi w:val="0"/>
                  </w:pPr>
                </w:p>
              </w:tc>
              <w:tc>
                <w:tcPr>
                  <w:tcW w:w="764" w:type="pct"/>
                  <w:noWrap w:val="0"/>
                  <w:vAlign w:val="center"/>
                </w:tcPr>
                <w:p w14:paraId="5C57ED93">
                  <w:pPr>
                    <w:pStyle w:val="23"/>
                    <w:bidi w:val="0"/>
                    <w:rPr>
                      <w:rFonts w:hint="eastAsia" w:eastAsia="宋体"/>
                      <w:lang w:eastAsia="zh-CN"/>
                    </w:rPr>
                  </w:pPr>
                  <w:r>
                    <w:rPr>
                      <w:rFonts w:hint="eastAsia"/>
                      <w:lang w:eastAsia="zh-CN"/>
                    </w:rPr>
                    <w:t>已投资</w:t>
                  </w:r>
                </w:p>
              </w:tc>
              <w:tc>
                <w:tcPr>
                  <w:tcW w:w="764" w:type="pct"/>
                  <w:noWrap w:val="0"/>
                  <w:vAlign w:val="center"/>
                </w:tcPr>
                <w:p w14:paraId="41C1995F">
                  <w:pPr>
                    <w:pStyle w:val="23"/>
                    <w:bidi w:val="0"/>
                    <w:rPr>
                      <w:rFonts w:hint="eastAsia" w:eastAsia="宋体"/>
                      <w:lang w:eastAsia="zh-CN"/>
                    </w:rPr>
                  </w:pPr>
                  <w:r>
                    <w:rPr>
                      <w:rFonts w:hint="eastAsia"/>
                      <w:lang w:eastAsia="zh-CN"/>
                    </w:rPr>
                    <w:t>拟投资</w:t>
                  </w:r>
                </w:p>
              </w:tc>
            </w:tr>
            <w:tr w14:paraId="3152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3" w:hRule="atLeast"/>
                <w:jc w:val="center"/>
              </w:trPr>
              <w:tc>
                <w:tcPr>
                  <w:tcW w:w="287" w:type="pct"/>
                  <w:vMerge w:val="restart"/>
                  <w:noWrap w:val="0"/>
                  <w:vAlign w:val="center"/>
                </w:tcPr>
                <w:p w14:paraId="03E406C8">
                  <w:pPr>
                    <w:pStyle w:val="23"/>
                    <w:bidi w:val="0"/>
                    <w:rPr>
                      <w:rFonts w:hint="eastAsia"/>
                    </w:rPr>
                  </w:pPr>
                  <w:r>
                    <w:rPr>
                      <w:rFonts w:hint="eastAsia"/>
                    </w:rPr>
                    <w:t>废水</w:t>
                  </w:r>
                </w:p>
              </w:tc>
              <w:tc>
                <w:tcPr>
                  <w:tcW w:w="432" w:type="pct"/>
                  <w:vMerge w:val="restart"/>
                  <w:noWrap w:val="0"/>
                  <w:vAlign w:val="center"/>
                </w:tcPr>
                <w:p w14:paraId="62F9A8EF">
                  <w:pPr>
                    <w:pStyle w:val="23"/>
                    <w:bidi w:val="0"/>
                  </w:pPr>
                  <w:r>
                    <w:t>营运期</w:t>
                  </w:r>
                </w:p>
              </w:tc>
              <w:tc>
                <w:tcPr>
                  <w:tcW w:w="649" w:type="pct"/>
                  <w:noWrap w:val="0"/>
                  <w:vAlign w:val="center"/>
                </w:tcPr>
                <w:p w14:paraId="45C8826C">
                  <w:pPr>
                    <w:pStyle w:val="23"/>
                    <w:bidi w:val="0"/>
                  </w:pPr>
                  <w:r>
                    <w:t>医疗废水污水处理设施</w:t>
                  </w:r>
                </w:p>
              </w:tc>
              <w:tc>
                <w:tcPr>
                  <w:tcW w:w="2102" w:type="pct"/>
                  <w:noWrap w:val="0"/>
                  <w:vAlign w:val="center"/>
                </w:tcPr>
                <w:p w14:paraId="2C01E887">
                  <w:pPr>
                    <w:pStyle w:val="23"/>
                    <w:bidi w:val="0"/>
                  </w:pPr>
                  <w:r>
                    <w:rPr>
                      <w:rFonts w:hint="eastAsia"/>
                      <w:lang w:val="en-US" w:eastAsia="zh-CN"/>
                    </w:rPr>
                    <w:t>由</w:t>
                  </w:r>
                  <w:r>
                    <w:t>医院现有污水处理设施。</w:t>
                  </w:r>
                </w:p>
              </w:tc>
              <w:tc>
                <w:tcPr>
                  <w:tcW w:w="764" w:type="pct"/>
                  <w:noWrap w:val="0"/>
                  <w:vAlign w:val="center"/>
                </w:tcPr>
                <w:p w14:paraId="48742E50">
                  <w:pPr>
                    <w:pStyle w:val="23"/>
                    <w:bidi w:val="0"/>
                    <w:rPr>
                      <w:rFonts w:hint="eastAsia"/>
                      <w:lang w:eastAsia="zh-CN"/>
                    </w:rPr>
                  </w:pPr>
                  <w:r>
                    <w:rPr>
                      <w:rFonts w:hint="eastAsia"/>
                      <w:lang w:val="en-US" w:eastAsia="zh-CN"/>
                    </w:rPr>
                    <w:t>2</w:t>
                  </w:r>
                </w:p>
              </w:tc>
              <w:tc>
                <w:tcPr>
                  <w:tcW w:w="764" w:type="pct"/>
                  <w:noWrap w:val="0"/>
                  <w:vAlign w:val="center"/>
                </w:tcPr>
                <w:p w14:paraId="7DFFA3D2">
                  <w:pPr>
                    <w:pStyle w:val="23"/>
                    <w:bidi w:val="0"/>
                    <w:rPr>
                      <w:rFonts w:hint="default"/>
                      <w:lang w:val="en-US" w:eastAsia="zh-CN"/>
                    </w:rPr>
                  </w:pPr>
                  <w:r>
                    <w:rPr>
                      <w:rFonts w:hint="eastAsia"/>
                      <w:lang w:val="en-US" w:eastAsia="zh-CN"/>
                    </w:rPr>
                    <w:t>/</w:t>
                  </w:r>
                </w:p>
              </w:tc>
            </w:tr>
            <w:tr w14:paraId="2101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5" w:hRule="atLeast"/>
                <w:jc w:val="center"/>
              </w:trPr>
              <w:tc>
                <w:tcPr>
                  <w:tcW w:w="287" w:type="pct"/>
                  <w:vMerge w:val="continue"/>
                  <w:noWrap w:val="0"/>
                  <w:vAlign w:val="center"/>
                </w:tcPr>
                <w:p w14:paraId="03545BEF">
                  <w:pPr>
                    <w:pStyle w:val="23"/>
                    <w:bidi w:val="0"/>
                  </w:pPr>
                </w:p>
              </w:tc>
              <w:tc>
                <w:tcPr>
                  <w:tcW w:w="432" w:type="pct"/>
                  <w:vMerge w:val="continue"/>
                  <w:noWrap w:val="0"/>
                  <w:vAlign w:val="center"/>
                </w:tcPr>
                <w:p w14:paraId="39894EE9">
                  <w:pPr>
                    <w:pStyle w:val="23"/>
                    <w:bidi w:val="0"/>
                  </w:pPr>
                </w:p>
              </w:tc>
              <w:tc>
                <w:tcPr>
                  <w:tcW w:w="649" w:type="pct"/>
                  <w:noWrap w:val="0"/>
                  <w:vAlign w:val="center"/>
                </w:tcPr>
                <w:p w14:paraId="5D77C43E">
                  <w:pPr>
                    <w:pStyle w:val="23"/>
                    <w:bidi w:val="0"/>
                  </w:pPr>
                  <w:r>
                    <w:t>地下水防治</w:t>
                  </w:r>
                </w:p>
              </w:tc>
              <w:tc>
                <w:tcPr>
                  <w:tcW w:w="2102" w:type="pct"/>
                  <w:noWrap w:val="0"/>
                  <w:vAlign w:val="center"/>
                </w:tcPr>
                <w:p w14:paraId="0552FF1E">
                  <w:pPr>
                    <w:pStyle w:val="23"/>
                    <w:bidi w:val="0"/>
                  </w:pPr>
                  <w:r>
                    <w:rPr>
                      <w:rFonts w:hint="eastAsia"/>
                      <w:lang w:eastAsia="zh-CN"/>
                    </w:rPr>
                    <w:t>一体化污水处理站</w:t>
                  </w:r>
                  <w:r>
                    <w:t>地面防渗。</w:t>
                  </w:r>
                </w:p>
              </w:tc>
              <w:tc>
                <w:tcPr>
                  <w:tcW w:w="764" w:type="pct"/>
                  <w:noWrap w:val="0"/>
                  <w:vAlign w:val="center"/>
                </w:tcPr>
                <w:p w14:paraId="62A2F90B">
                  <w:pPr>
                    <w:pStyle w:val="23"/>
                    <w:bidi w:val="0"/>
                    <w:rPr>
                      <w:rFonts w:hint="default"/>
                      <w:lang w:val="en-US" w:eastAsia="zh-CN"/>
                    </w:rPr>
                  </w:pPr>
                  <w:r>
                    <w:rPr>
                      <w:rFonts w:hint="eastAsia"/>
                      <w:lang w:val="en-US" w:eastAsia="zh-CN"/>
                    </w:rPr>
                    <w:t>0.6</w:t>
                  </w:r>
                </w:p>
              </w:tc>
              <w:tc>
                <w:tcPr>
                  <w:tcW w:w="764" w:type="pct"/>
                  <w:noWrap w:val="0"/>
                  <w:vAlign w:val="center"/>
                </w:tcPr>
                <w:p w14:paraId="4929DD43">
                  <w:pPr>
                    <w:pStyle w:val="23"/>
                    <w:bidi w:val="0"/>
                    <w:rPr>
                      <w:rFonts w:hint="default"/>
                      <w:lang w:val="en-US" w:eastAsia="zh-CN"/>
                    </w:rPr>
                  </w:pPr>
                  <w:r>
                    <w:rPr>
                      <w:rFonts w:hint="eastAsia"/>
                      <w:lang w:val="en-US" w:eastAsia="zh-CN"/>
                    </w:rPr>
                    <w:t>/</w:t>
                  </w:r>
                </w:p>
              </w:tc>
            </w:tr>
            <w:tr w14:paraId="61C3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0" w:hRule="atLeast"/>
                <w:jc w:val="center"/>
              </w:trPr>
              <w:tc>
                <w:tcPr>
                  <w:tcW w:w="287" w:type="pct"/>
                  <w:vMerge w:val="restart"/>
                  <w:noWrap w:val="0"/>
                  <w:vAlign w:val="center"/>
                </w:tcPr>
                <w:p w14:paraId="47367350">
                  <w:pPr>
                    <w:pStyle w:val="23"/>
                    <w:bidi w:val="0"/>
                    <w:rPr>
                      <w:rFonts w:hint="eastAsia"/>
                    </w:rPr>
                  </w:pPr>
                  <w:r>
                    <w:rPr>
                      <w:rFonts w:hint="eastAsia"/>
                    </w:rPr>
                    <w:t>固废</w:t>
                  </w:r>
                </w:p>
              </w:tc>
              <w:tc>
                <w:tcPr>
                  <w:tcW w:w="432" w:type="pct"/>
                  <w:vMerge w:val="restart"/>
                  <w:noWrap w:val="0"/>
                  <w:vAlign w:val="center"/>
                </w:tcPr>
                <w:p w14:paraId="4C460D92">
                  <w:pPr>
                    <w:pStyle w:val="23"/>
                    <w:bidi w:val="0"/>
                  </w:pPr>
                  <w:r>
                    <w:t>营运期</w:t>
                  </w:r>
                </w:p>
              </w:tc>
              <w:tc>
                <w:tcPr>
                  <w:tcW w:w="649" w:type="pct"/>
                  <w:noWrap w:val="0"/>
                  <w:vAlign w:val="center"/>
                </w:tcPr>
                <w:p w14:paraId="3F2FA87A">
                  <w:pPr>
                    <w:pStyle w:val="23"/>
                    <w:bidi w:val="0"/>
                  </w:pPr>
                  <w:r>
                    <w:t>生活垃圾</w:t>
                  </w:r>
                </w:p>
              </w:tc>
              <w:tc>
                <w:tcPr>
                  <w:tcW w:w="2102" w:type="pct"/>
                  <w:noWrap w:val="0"/>
                  <w:vAlign w:val="center"/>
                </w:tcPr>
                <w:p w14:paraId="7A0DAA50">
                  <w:pPr>
                    <w:pStyle w:val="23"/>
                    <w:bidi w:val="0"/>
                  </w:pPr>
                  <w:r>
                    <w:t>每天有清洁人员收集至环卫部门清理。</w:t>
                  </w:r>
                </w:p>
              </w:tc>
              <w:tc>
                <w:tcPr>
                  <w:tcW w:w="764" w:type="pct"/>
                  <w:noWrap w:val="0"/>
                  <w:vAlign w:val="center"/>
                </w:tcPr>
                <w:p w14:paraId="796F29E4">
                  <w:pPr>
                    <w:pStyle w:val="23"/>
                    <w:bidi w:val="0"/>
                    <w:rPr>
                      <w:rFonts w:hint="default"/>
                      <w:lang w:val="en-US" w:eastAsia="zh-CN"/>
                    </w:rPr>
                  </w:pPr>
                  <w:r>
                    <w:rPr>
                      <w:rFonts w:hint="eastAsia"/>
                      <w:lang w:val="en-US" w:eastAsia="zh-CN"/>
                    </w:rPr>
                    <w:t>0.4</w:t>
                  </w:r>
                </w:p>
              </w:tc>
              <w:tc>
                <w:tcPr>
                  <w:tcW w:w="764" w:type="pct"/>
                  <w:noWrap w:val="0"/>
                  <w:vAlign w:val="center"/>
                </w:tcPr>
                <w:p w14:paraId="2B842B27">
                  <w:pPr>
                    <w:pStyle w:val="23"/>
                    <w:bidi w:val="0"/>
                    <w:rPr>
                      <w:rFonts w:hint="default"/>
                      <w:lang w:val="en-US" w:eastAsia="zh-CN"/>
                    </w:rPr>
                  </w:pPr>
                  <w:r>
                    <w:rPr>
                      <w:rFonts w:hint="eastAsia"/>
                      <w:lang w:val="en-US" w:eastAsia="zh-CN"/>
                    </w:rPr>
                    <w:t>/</w:t>
                  </w:r>
                </w:p>
              </w:tc>
            </w:tr>
            <w:tr w14:paraId="023C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8" w:hRule="atLeast"/>
                <w:jc w:val="center"/>
              </w:trPr>
              <w:tc>
                <w:tcPr>
                  <w:tcW w:w="287" w:type="pct"/>
                  <w:vMerge w:val="continue"/>
                  <w:noWrap w:val="0"/>
                  <w:vAlign w:val="center"/>
                </w:tcPr>
                <w:p w14:paraId="4C9DF3AF">
                  <w:pPr>
                    <w:pStyle w:val="23"/>
                    <w:bidi w:val="0"/>
                  </w:pPr>
                </w:p>
              </w:tc>
              <w:tc>
                <w:tcPr>
                  <w:tcW w:w="432" w:type="pct"/>
                  <w:vMerge w:val="continue"/>
                  <w:noWrap w:val="0"/>
                  <w:vAlign w:val="center"/>
                </w:tcPr>
                <w:p w14:paraId="459F6A17">
                  <w:pPr>
                    <w:pStyle w:val="23"/>
                    <w:bidi w:val="0"/>
                  </w:pPr>
                </w:p>
              </w:tc>
              <w:tc>
                <w:tcPr>
                  <w:tcW w:w="649" w:type="pct"/>
                  <w:noWrap w:val="0"/>
                  <w:vAlign w:val="center"/>
                </w:tcPr>
                <w:p w14:paraId="72DD71BC">
                  <w:pPr>
                    <w:pStyle w:val="23"/>
                    <w:bidi w:val="0"/>
                  </w:pPr>
                  <w:r>
                    <w:t>医疗废物</w:t>
                  </w:r>
                </w:p>
              </w:tc>
              <w:tc>
                <w:tcPr>
                  <w:tcW w:w="2102" w:type="pct"/>
                  <w:noWrap w:val="0"/>
                  <w:vAlign w:val="center"/>
                </w:tcPr>
                <w:p w14:paraId="1BCF519C">
                  <w:pPr>
                    <w:pStyle w:val="23"/>
                    <w:bidi w:val="0"/>
                  </w:pPr>
                  <w:r>
                    <w:t>设置</w:t>
                  </w:r>
                  <w:r>
                    <w:rPr>
                      <w:rFonts w:hint="eastAsia"/>
                      <w:lang w:val="en-US" w:eastAsia="zh-CN"/>
                    </w:rPr>
                    <w:t>1</w:t>
                  </w:r>
                  <w:r>
                    <w:t>间面积35.91m</w:t>
                  </w:r>
                  <w:r>
                    <w:rPr>
                      <w:vertAlign w:val="superscript"/>
                    </w:rPr>
                    <w:t>2</w:t>
                  </w:r>
                  <w:r>
                    <w:t>医疗废物暂存间，医疗废物由专门收集容器分类收集，暂存于医疗废物暂存间内，定期交有资质公司清运处置。</w:t>
                  </w:r>
                </w:p>
              </w:tc>
              <w:tc>
                <w:tcPr>
                  <w:tcW w:w="764" w:type="pct"/>
                  <w:noWrap w:val="0"/>
                  <w:vAlign w:val="center"/>
                </w:tcPr>
                <w:p w14:paraId="1F58404E">
                  <w:pPr>
                    <w:pStyle w:val="23"/>
                    <w:bidi w:val="0"/>
                    <w:rPr>
                      <w:rFonts w:hint="eastAsia"/>
                      <w:lang w:eastAsia="zh-CN"/>
                    </w:rPr>
                  </w:pPr>
                  <w:r>
                    <w:rPr>
                      <w:rFonts w:hint="eastAsia"/>
                      <w:lang w:val="en-US" w:eastAsia="zh-CN"/>
                    </w:rPr>
                    <w:t>1</w:t>
                  </w:r>
                </w:p>
              </w:tc>
              <w:tc>
                <w:tcPr>
                  <w:tcW w:w="764" w:type="pct"/>
                  <w:noWrap w:val="0"/>
                  <w:vAlign w:val="center"/>
                </w:tcPr>
                <w:p w14:paraId="3B3AE837">
                  <w:pPr>
                    <w:pStyle w:val="23"/>
                    <w:bidi w:val="0"/>
                    <w:rPr>
                      <w:rFonts w:hint="default"/>
                      <w:lang w:val="en-US" w:eastAsia="zh-CN"/>
                    </w:rPr>
                  </w:pPr>
                  <w:r>
                    <w:rPr>
                      <w:rFonts w:hint="eastAsia"/>
                      <w:lang w:val="en-US" w:eastAsia="zh-CN"/>
                    </w:rPr>
                    <w:t>/</w:t>
                  </w:r>
                </w:p>
              </w:tc>
            </w:tr>
            <w:tr w14:paraId="32F1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8" w:hRule="atLeast"/>
                <w:jc w:val="center"/>
              </w:trPr>
              <w:tc>
                <w:tcPr>
                  <w:tcW w:w="287" w:type="pct"/>
                  <w:vMerge w:val="continue"/>
                  <w:noWrap w:val="0"/>
                  <w:vAlign w:val="center"/>
                </w:tcPr>
                <w:p w14:paraId="636CAD22">
                  <w:pPr>
                    <w:pStyle w:val="23"/>
                    <w:bidi w:val="0"/>
                  </w:pPr>
                </w:p>
              </w:tc>
              <w:tc>
                <w:tcPr>
                  <w:tcW w:w="432" w:type="pct"/>
                  <w:vMerge w:val="continue"/>
                  <w:noWrap w:val="0"/>
                  <w:vAlign w:val="center"/>
                </w:tcPr>
                <w:p w14:paraId="607FA1EB">
                  <w:pPr>
                    <w:pStyle w:val="23"/>
                    <w:bidi w:val="0"/>
                  </w:pPr>
                </w:p>
              </w:tc>
              <w:tc>
                <w:tcPr>
                  <w:tcW w:w="649" w:type="pct"/>
                  <w:noWrap w:val="0"/>
                  <w:vAlign w:val="center"/>
                </w:tcPr>
                <w:p w14:paraId="2263F2EF">
                  <w:pPr>
                    <w:pStyle w:val="23"/>
                    <w:bidi w:val="0"/>
                  </w:pPr>
                  <w:r>
                    <w:t>其他危废</w:t>
                  </w:r>
                </w:p>
              </w:tc>
              <w:tc>
                <w:tcPr>
                  <w:tcW w:w="2102" w:type="pct"/>
                  <w:noWrap w:val="0"/>
                  <w:vAlign w:val="center"/>
                </w:tcPr>
                <w:p w14:paraId="0D629B73">
                  <w:pPr>
                    <w:pStyle w:val="23"/>
                    <w:bidi w:val="0"/>
                  </w:pPr>
                  <w:r>
                    <w:rPr>
                      <w:rFonts w:hint="eastAsia"/>
                    </w:rPr>
                    <w:t>项目产生的污泥由建设单位委托资质单位进行清掏、消毒及转运处置，不在院区内暂存</w:t>
                  </w:r>
                  <w:r>
                    <w:t>。</w:t>
                  </w:r>
                </w:p>
              </w:tc>
              <w:tc>
                <w:tcPr>
                  <w:tcW w:w="764" w:type="pct"/>
                  <w:noWrap w:val="0"/>
                  <w:vAlign w:val="center"/>
                </w:tcPr>
                <w:p w14:paraId="78A8BC26">
                  <w:pPr>
                    <w:pStyle w:val="23"/>
                    <w:bidi w:val="0"/>
                    <w:rPr>
                      <w:rFonts w:hint="default"/>
                      <w:lang w:val="en-US" w:eastAsia="zh-CN"/>
                    </w:rPr>
                  </w:pPr>
                  <w:r>
                    <w:rPr>
                      <w:rFonts w:hint="eastAsia"/>
                      <w:lang w:val="en-US" w:eastAsia="zh-CN"/>
                    </w:rPr>
                    <w:t>0.5</w:t>
                  </w:r>
                </w:p>
              </w:tc>
              <w:tc>
                <w:tcPr>
                  <w:tcW w:w="764" w:type="pct"/>
                  <w:noWrap w:val="0"/>
                  <w:vAlign w:val="center"/>
                </w:tcPr>
                <w:p w14:paraId="3A8D25DE">
                  <w:pPr>
                    <w:pStyle w:val="23"/>
                    <w:bidi w:val="0"/>
                    <w:rPr>
                      <w:rFonts w:hint="default"/>
                      <w:lang w:val="en-US" w:eastAsia="zh-CN"/>
                    </w:rPr>
                  </w:pPr>
                  <w:r>
                    <w:rPr>
                      <w:rFonts w:hint="eastAsia"/>
                      <w:lang w:val="en-US" w:eastAsia="zh-CN"/>
                    </w:rPr>
                    <w:t>/</w:t>
                  </w:r>
                </w:p>
              </w:tc>
            </w:tr>
            <w:tr w14:paraId="2D58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1" w:hRule="atLeast"/>
                <w:jc w:val="center"/>
              </w:trPr>
              <w:tc>
                <w:tcPr>
                  <w:tcW w:w="287" w:type="pct"/>
                  <w:noWrap w:val="0"/>
                  <w:vAlign w:val="center"/>
                </w:tcPr>
                <w:p w14:paraId="5AC98A73">
                  <w:pPr>
                    <w:pStyle w:val="23"/>
                    <w:bidi w:val="0"/>
                    <w:rPr>
                      <w:rFonts w:hint="eastAsia"/>
                    </w:rPr>
                  </w:pPr>
                  <w:r>
                    <w:rPr>
                      <w:rFonts w:hint="eastAsia"/>
                    </w:rPr>
                    <w:t>废气</w:t>
                  </w:r>
                </w:p>
              </w:tc>
              <w:tc>
                <w:tcPr>
                  <w:tcW w:w="432" w:type="pct"/>
                  <w:noWrap w:val="0"/>
                  <w:vAlign w:val="center"/>
                </w:tcPr>
                <w:p w14:paraId="58C94DD4">
                  <w:pPr>
                    <w:pStyle w:val="23"/>
                    <w:bidi w:val="0"/>
                  </w:pPr>
                  <w:r>
                    <w:t>营运期</w:t>
                  </w:r>
                </w:p>
              </w:tc>
              <w:tc>
                <w:tcPr>
                  <w:tcW w:w="649" w:type="pct"/>
                  <w:noWrap w:val="0"/>
                  <w:vAlign w:val="center"/>
                </w:tcPr>
                <w:p w14:paraId="12644E73">
                  <w:pPr>
                    <w:pStyle w:val="23"/>
                    <w:bidi w:val="0"/>
                  </w:pPr>
                  <w:r>
                    <w:t>医疗垃圾暂存间臭气</w:t>
                  </w:r>
                </w:p>
              </w:tc>
              <w:tc>
                <w:tcPr>
                  <w:tcW w:w="2102" w:type="pct"/>
                  <w:noWrap w:val="0"/>
                  <w:vAlign w:val="center"/>
                </w:tcPr>
                <w:p w14:paraId="130E17AC">
                  <w:pPr>
                    <w:pStyle w:val="23"/>
                    <w:bidi w:val="0"/>
                  </w:pPr>
                  <w:r>
                    <w:t>按规定及时清运，消毒，加强机械通风</w:t>
                  </w:r>
                </w:p>
              </w:tc>
              <w:tc>
                <w:tcPr>
                  <w:tcW w:w="764" w:type="pct"/>
                  <w:noWrap w:val="0"/>
                  <w:vAlign w:val="center"/>
                </w:tcPr>
                <w:p w14:paraId="72137A48">
                  <w:pPr>
                    <w:pStyle w:val="23"/>
                    <w:bidi w:val="0"/>
                  </w:pPr>
                  <w:r>
                    <w:t>0.5</w:t>
                  </w:r>
                </w:p>
              </w:tc>
              <w:tc>
                <w:tcPr>
                  <w:tcW w:w="764" w:type="pct"/>
                  <w:noWrap w:val="0"/>
                  <w:vAlign w:val="center"/>
                </w:tcPr>
                <w:p w14:paraId="61EC91D5">
                  <w:pPr>
                    <w:pStyle w:val="23"/>
                    <w:bidi w:val="0"/>
                    <w:rPr>
                      <w:rFonts w:hint="eastAsia" w:eastAsia="宋体"/>
                      <w:lang w:val="en-US" w:eastAsia="zh-CN"/>
                    </w:rPr>
                  </w:pPr>
                  <w:r>
                    <w:rPr>
                      <w:rFonts w:hint="eastAsia"/>
                      <w:lang w:val="en-US" w:eastAsia="zh-CN"/>
                    </w:rPr>
                    <w:t>/</w:t>
                  </w:r>
                </w:p>
              </w:tc>
            </w:tr>
            <w:tr w14:paraId="54EC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3" w:hRule="atLeast"/>
                <w:jc w:val="center"/>
              </w:trPr>
              <w:tc>
                <w:tcPr>
                  <w:tcW w:w="287" w:type="pct"/>
                  <w:noWrap w:val="0"/>
                  <w:vAlign w:val="center"/>
                </w:tcPr>
                <w:p w14:paraId="7CAB407C">
                  <w:pPr>
                    <w:pStyle w:val="23"/>
                    <w:bidi w:val="0"/>
                  </w:pPr>
                  <w:r>
                    <w:t>噪声</w:t>
                  </w:r>
                </w:p>
              </w:tc>
              <w:tc>
                <w:tcPr>
                  <w:tcW w:w="432" w:type="pct"/>
                  <w:noWrap w:val="0"/>
                  <w:vAlign w:val="center"/>
                </w:tcPr>
                <w:p w14:paraId="056F6C21">
                  <w:pPr>
                    <w:pStyle w:val="23"/>
                    <w:bidi w:val="0"/>
                  </w:pPr>
                  <w:r>
                    <w:t>运营期</w:t>
                  </w:r>
                </w:p>
              </w:tc>
              <w:tc>
                <w:tcPr>
                  <w:tcW w:w="649" w:type="pct"/>
                  <w:noWrap w:val="0"/>
                  <w:vAlign w:val="center"/>
                </w:tcPr>
                <w:p w14:paraId="44744ECD">
                  <w:pPr>
                    <w:pStyle w:val="23"/>
                    <w:bidi w:val="0"/>
                  </w:pPr>
                  <w:r>
                    <w:t>设备及门诊</w:t>
                  </w:r>
                </w:p>
                <w:p w14:paraId="1E207F0E">
                  <w:pPr>
                    <w:pStyle w:val="23"/>
                    <w:bidi w:val="0"/>
                  </w:pPr>
                  <w:r>
                    <w:t>噪声</w:t>
                  </w:r>
                </w:p>
              </w:tc>
              <w:tc>
                <w:tcPr>
                  <w:tcW w:w="2102" w:type="pct"/>
                  <w:noWrap w:val="0"/>
                  <w:vAlign w:val="center"/>
                </w:tcPr>
                <w:p w14:paraId="22FD64E4">
                  <w:pPr>
                    <w:pStyle w:val="23"/>
                    <w:bidi w:val="0"/>
                  </w:pPr>
                  <w:r>
                    <w:t>建筑隔声；门诊噪声通过墙体隔声、衰减</w:t>
                  </w:r>
                </w:p>
              </w:tc>
              <w:tc>
                <w:tcPr>
                  <w:tcW w:w="764" w:type="pct"/>
                  <w:noWrap w:val="0"/>
                  <w:vAlign w:val="center"/>
                </w:tcPr>
                <w:p w14:paraId="3393CF71">
                  <w:pPr>
                    <w:pStyle w:val="23"/>
                    <w:bidi w:val="0"/>
                  </w:pPr>
                  <w:r>
                    <w:t>1</w:t>
                  </w:r>
                </w:p>
              </w:tc>
              <w:tc>
                <w:tcPr>
                  <w:tcW w:w="764" w:type="pct"/>
                  <w:noWrap w:val="0"/>
                  <w:vAlign w:val="center"/>
                </w:tcPr>
                <w:p w14:paraId="485AE8E0">
                  <w:pPr>
                    <w:pStyle w:val="23"/>
                    <w:bidi w:val="0"/>
                    <w:rPr>
                      <w:rFonts w:hint="eastAsia" w:eastAsia="宋体"/>
                      <w:lang w:val="en-US" w:eastAsia="zh-CN"/>
                    </w:rPr>
                  </w:pPr>
                  <w:r>
                    <w:rPr>
                      <w:rFonts w:hint="eastAsia"/>
                      <w:lang w:val="en-US" w:eastAsia="zh-CN"/>
                    </w:rPr>
                    <w:t>/</w:t>
                  </w:r>
                </w:p>
              </w:tc>
            </w:tr>
            <w:tr w14:paraId="04FB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 w:hRule="atLeast"/>
                <w:jc w:val="center"/>
              </w:trPr>
              <w:tc>
                <w:tcPr>
                  <w:tcW w:w="720" w:type="pct"/>
                  <w:gridSpan w:val="2"/>
                  <w:noWrap w:val="0"/>
                  <w:vAlign w:val="center"/>
                </w:tcPr>
                <w:p w14:paraId="5D6781B6">
                  <w:pPr>
                    <w:pStyle w:val="23"/>
                    <w:bidi w:val="0"/>
                  </w:pPr>
                  <w:r>
                    <w:t>环境管理</w:t>
                  </w:r>
                </w:p>
              </w:tc>
              <w:tc>
                <w:tcPr>
                  <w:tcW w:w="649" w:type="pct"/>
                  <w:noWrap w:val="0"/>
                  <w:vAlign w:val="center"/>
                </w:tcPr>
                <w:p w14:paraId="72FAFE73">
                  <w:pPr>
                    <w:pStyle w:val="23"/>
                    <w:bidi w:val="0"/>
                    <w:rPr>
                      <w:rFonts w:hint="eastAsia"/>
                      <w:lang w:eastAsia="zh-CN"/>
                    </w:rPr>
                  </w:pPr>
                  <w:r>
                    <w:rPr>
                      <w:rFonts w:hint="eastAsia"/>
                      <w:lang w:eastAsia="zh-CN"/>
                    </w:rPr>
                    <w:t>自行监测</w:t>
                  </w:r>
                </w:p>
              </w:tc>
              <w:tc>
                <w:tcPr>
                  <w:tcW w:w="2102" w:type="pct"/>
                  <w:noWrap w:val="0"/>
                  <w:vAlign w:val="center"/>
                </w:tcPr>
                <w:p w14:paraId="15B62095">
                  <w:pPr>
                    <w:pStyle w:val="23"/>
                    <w:bidi w:val="0"/>
                  </w:pPr>
                  <w:r>
                    <w:rPr>
                      <w:rFonts w:hint="eastAsia"/>
                      <w:lang w:eastAsia="zh-CN"/>
                    </w:rPr>
                    <w:t>废水、噪声年度自行监测</w:t>
                  </w:r>
                </w:p>
              </w:tc>
              <w:tc>
                <w:tcPr>
                  <w:tcW w:w="764" w:type="pct"/>
                  <w:noWrap w:val="0"/>
                  <w:vAlign w:val="center"/>
                </w:tcPr>
                <w:p w14:paraId="73A05A20">
                  <w:pPr>
                    <w:pStyle w:val="23"/>
                    <w:bidi w:val="0"/>
                  </w:pPr>
                  <w:r>
                    <w:t>1</w:t>
                  </w:r>
                </w:p>
              </w:tc>
              <w:tc>
                <w:tcPr>
                  <w:tcW w:w="764" w:type="pct"/>
                  <w:noWrap w:val="0"/>
                  <w:vAlign w:val="center"/>
                </w:tcPr>
                <w:p w14:paraId="3119312C">
                  <w:pPr>
                    <w:pStyle w:val="23"/>
                    <w:bidi w:val="0"/>
                    <w:rPr>
                      <w:rFonts w:hint="eastAsia" w:eastAsia="宋体"/>
                      <w:lang w:val="en-US" w:eastAsia="zh-CN"/>
                    </w:rPr>
                  </w:pPr>
                  <w:r>
                    <w:rPr>
                      <w:rFonts w:hint="eastAsia"/>
                      <w:lang w:val="en-US" w:eastAsia="zh-CN"/>
                    </w:rPr>
                    <w:t>/</w:t>
                  </w:r>
                </w:p>
              </w:tc>
            </w:tr>
            <w:tr w14:paraId="6E312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 w:hRule="atLeast"/>
                <w:jc w:val="center"/>
              </w:trPr>
              <w:tc>
                <w:tcPr>
                  <w:tcW w:w="720" w:type="pct"/>
                  <w:gridSpan w:val="2"/>
                  <w:vMerge w:val="restart"/>
                  <w:noWrap w:val="0"/>
                  <w:vAlign w:val="center"/>
                </w:tcPr>
                <w:p w14:paraId="4B25961B">
                  <w:pPr>
                    <w:pStyle w:val="23"/>
                    <w:bidi w:val="0"/>
                  </w:pPr>
                  <w:r>
                    <w:t>风险管理</w:t>
                  </w:r>
                </w:p>
              </w:tc>
              <w:tc>
                <w:tcPr>
                  <w:tcW w:w="649" w:type="pct"/>
                  <w:noWrap w:val="0"/>
                  <w:vAlign w:val="center"/>
                </w:tcPr>
                <w:p w14:paraId="31BD9C95">
                  <w:pPr>
                    <w:pStyle w:val="23"/>
                    <w:bidi w:val="0"/>
                  </w:pPr>
                  <w:r>
                    <w:t>风险预案和灭火器</w:t>
                  </w:r>
                </w:p>
              </w:tc>
              <w:tc>
                <w:tcPr>
                  <w:tcW w:w="2102" w:type="pct"/>
                  <w:noWrap w:val="0"/>
                  <w:vAlign w:val="center"/>
                </w:tcPr>
                <w:p w14:paraId="0F924DB2">
                  <w:pPr>
                    <w:pStyle w:val="23"/>
                    <w:bidi w:val="0"/>
                  </w:pPr>
                  <w:r>
                    <w:t>灭火器等</w:t>
                  </w:r>
                </w:p>
              </w:tc>
              <w:tc>
                <w:tcPr>
                  <w:tcW w:w="764" w:type="pct"/>
                  <w:noWrap w:val="0"/>
                  <w:vAlign w:val="center"/>
                </w:tcPr>
                <w:p w14:paraId="017877EF">
                  <w:pPr>
                    <w:pStyle w:val="23"/>
                    <w:bidi w:val="0"/>
                    <w:rPr>
                      <w:rFonts w:hint="default"/>
                      <w:lang w:val="en-US" w:eastAsia="zh-CN"/>
                    </w:rPr>
                  </w:pPr>
                  <w:r>
                    <w:rPr>
                      <w:rFonts w:hint="eastAsia"/>
                      <w:lang w:val="en-US" w:eastAsia="zh-CN"/>
                    </w:rPr>
                    <w:t>/</w:t>
                  </w:r>
                </w:p>
              </w:tc>
              <w:tc>
                <w:tcPr>
                  <w:tcW w:w="764" w:type="pct"/>
                  <w:noWrap w:val="0"/>
                  <w:vAlign w:val="center"/>
                </w:tcPr>
                <w:p w14:paraId="65958C23">
                  <w:pPr>
                    <w:pStyle w:val="23"/>
                    <w:bidi w:val="0"/>
                    <w:rPr>
                      <w:rFonts w:hint="default"/>
                      <w:lang w:val="en-US" w:eastAsia="zh-CN"/>
                    </w:rPr>
                  </w:pPr>
                  <w:r>
                    <w:rPr>
                      <w:rFonts w:hint="eastAsia"/>
                      <w:lang w:val="en-US" w:eastAsia="zh-CN"/>
                    </w:rPr>
                    <w:t>0.8</w:t>
                  </w:r>
                </w:p>
              </w:tc>
            </w:tr>
            <w:tr w14:paraId="6B81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 w:hRule="atLeast"/>
                <w:jc w:val="center"/>
              </w:trPr>
              <w:tc>
                <w:tcPr>
                  <w:tcW w:w="720" w:type="pct"/>
                  <w:gridSpan w:val="2"/>
                  <w:vMerge w:val="continue"/>
                  <w:noWrap w:val="0"/>
                  <w:vAlign w:val="center"/>
                </w:tcPr>
                <w:p w14:paraId="12B711B1">
                  <w:pPr>
                    <w:pStyle w:val="23"/>
                    <w:bidi w:val="0"/>
                  </w:pPr>
                </w:p>
              </w:tc>
              <w:tc>
                <w:tcPr>
                  <w:tcW w:w="649" w:type="pct"/>
                  <w:noWrap w:val="0"/>
                  <w:vAlign w:val="center"/>
                </w:tcPr>
                <w:p w14:paraId="76265141">
                  <w:pPr>
                    <w:pStyle w:val="23"/>
                    <w:bidi w:val="0"/>
                    <w:rPr>
                      <w:rFonts w:hint="eastAsia"/>
                    </w:rPr>
                  </w:pPr>
                  <w:r>
                    <w:rPr>
                      <w:rFonts w:hint="eastAsia"/>
                    </w:rPr>
                    <w:t>事故应急池</w:t>
                  </w:r>
                </w:p>
              </w:tc>
              <w:tc>
                <w:tcPr>
                  <w:tcW w:w="2102" w:type="pct"/>
                  <w:noWrap w:val="0"/>
                  <w:vAlign w:val="center"/>
                </w:tcPr>
                <w:p w14:paraId="198AF761">
                  <w:pPr>
                    <w:pStyle w:val="23"/>
                    <w:bidi w:val="0"/>
                    <w:rPr>
                      <w:rFonts w:hint="eastAsia"/>
                      <w:lang w:val="en-US" w:eastAsia="zh-CN"/>
                    </w:rPr>
                  </w:pPr>
                  <w:r>
                    <w:rPr>
                      <w:rFonts w:hint="eastAsia"/>
                    </w:rPr>
                    <w:t>设置</w:t>
                  </w:r>
                  <w:r>
                    <w:rPr>
                      <w:rFonts w:hint="eastAsia"/>
                      <w:lang w:val="en-US" w:eastAsia="zh-CN"/>
                    </w:rPr>
                    <w:t>1个2.5</w:t>
                  </w:r>
                  <w:r>
                    <w:t>m</w:t>
                  </w:r>
                  <w:r>
                    <w:rPr>
                      <w:rFonts w:hint="eastAsia"/>
                      <w:vertAlign w:val="superscript"/>
                    </w:rPr>
                    <w:t>3</w:t>
                  </w:r>
                  <w:r>
                    <w:rPr>
                      <w:rFonts w:hint="eastAsia"/>
                    </w:rPr>
                    <w:t>事故应急</w:t>
                  </w:r>
                  <w:r>
                    <w:rPr>
                      <w:rFonts w:hint="eastAsia"/>
                      <w:lang w:val="en-US" w:eastAsia="zh-CN"/>
                    </w:rPr>
                    <w:t>桶</w:t>
                  </w:r>
                </w:p>
              </w:tc>
              <w:tc>
                <w:tcPr>
                  <w:tcW w:w="764" w:type="pct"/>
                  <w:noWrap w:val="0"/>
                  <w:vAlign w:val="center"/>
                </w:tcPr>
                <w:p w14:paraId="26AB9D01">
                  <w:pPr>
                    <w:pStyle w:val="23"/>
                    <w:bidi w:val="0"/>
                    <w:rPr>
                      <w:rFonts w:hint="default"/>
                      <w:lang w:val="en-US" w:eastAsia="zh-CN"/>
                    </w:rPr>
                  </w:pPr>
                  <w:r>
                    <w:rPr>
                      <w:rFonts w:hint="eastAsia"/>
                      <w:lang w:val="en-US" w:eastAsia="zh-CN"/>
                    </w:rPr>
                    <w:t>/</w:t>
                  </w:r>
                </w:p>
              </w:tc>
              <w:tc>
                <w:tcPr>
                  <w:tcW w:w="764" w:type="pct"/>
                  <w:noWrap w:val="0"/>
                  <w:vAlign w:val="center"/>
                </w:tcPr>
                <w:p w14:paraId="4EEEA7B9">
                  <w:pPr>
                    <w:pStyle w:val="23"/>
                    <w:bidi w:val="0"/>
                    <w:rPr>
                      <w:rFonts w:hint="eastAsia"/>
                      <w:lang w:val="en-US" w:eastAsia="zh-CN"/>
                    </w:rPr>
                  </w:pPr>
                  <w:r>
                    <w:rPr>
                      <w:rFonts w:hint="eastAsia"/>
                      <w:lang w:val="en-US" w:eastAsia="zh-CN"/>
                    </w:rPr>
                    <w:t>0.2</w:t>
                  </w:r>
                </w:p>
              </w:tc>
            </w:tr>
            <w:tr w14:paraId="5646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71" w:type="pct"/>
                  <w:gridSpan w:val="4"/>
                  <w:noWrap w:val="0"/>
                  <w:vAlign w:val="center"/>
                </w:tcPr>
                <w:p w14:paraId="733F06B4">
                  <w:pPr>
                    <w:pStyle w:val="23"/>
                    <w:bidi w:val="0"/>
                  </w:pPr>
                  <w:r>
                    <w:t>合计</w:t>
                  </w:r>
                </w:p>
              </w:tc>
              <w:tc>
                <w:tcPr>
                  <w:tcW w:w="1528" w:type="pct"/>
                  <w:gridSpan w:val="2"/>
                  <w:noWrap w:val="0"/>
                  <w:vAlign w:val="center"/>
                </w:tcPr>
                <w:p w14:paraId="7409C0E2">
                  <w:pPr>
                    <w:pStyle w:val="23"/>
                    <w:bidi w:val="0"/>
                    <w:rPr>
                      <w:rFonts w:hint="eastAsia"/>
                      <w:lang w:val="en-US" w:eastAsia="zh-CN"/>
                    </w:rPr>
                  </w:pPr>
                  <w:r>
                    <w:rPr>
                      <w:rFonts w:hint="eastAsia"/>
                      <w:lang w:val="en-US" w:eastAsia="zh-CN"/>
                    </w:rPr>
                    <w:t>8</w:t>
                  </w:r>
                </w:p>
              </w:tc>
            </w:tr>
          </w:tbl>
          <w:p w14:paraId="16F7C332">
            <w:pPr>
              <w:pageBreakBefore w:val="0"/>
              <w:wordWrap/>
              <w:bidi w:val="0"/>
              <w:adjustRightInd w:val="0"/>
              <w:snapToGrid w:val="0"/>
              <w:rPr>
                <w:rFonts w:hint="eastAsia" w:ascii="黑体" w:hAnsi="黑体" w:eastAsia="黑体"/>
                <w:snapToGrid w:val="0"/>
                <w:sz w:val="30"/>
                <w:szCs w:val="30"/>
                <w:vertAlign w:val="baseline"/>
              </w:rPr>
            </w:pPr>
          </w:p>
        </w:tc>
      </w:tr>
      <w:bookmarkEnd w:id="19"/>
      <w:bookmarkEnd w:id="20"/>
    </w:tbl>
    <w:p w14:paraId="044346C5">
      <w:pPr>
        <w:pageBreakBefore w:val="0"/>
        <w:wordWrap/>
        <w:bidi w:val="0"/>
        <w:adjustRightInd w:val="0"/>
        <w:snapToGrid w:val="0"/>
        <w:spacing w:line="360" w:lineRule="auto"/>
        <w:rPr>
          <w:rFonts w:hint="eastAsia" w:ascii="宋体" w:cs="宋体"/>
          <w:b/>
          <w:kern w:val="0"/>
          <w:sz w:val="28"/>
          <w:szCs w:val="28"/>
        </w:rPr>
        <w:sectPr>
          <w:pgSz w:w="11907" w:h="16840"/>
          <w:pgMar w:top="1701" w:right="1531" w:bottom="2127" w:left="1531" w:header="1304" w:footer="1757" w:gutter="0"/>
          <w:pgBorders>
            <w:top w:val="none" w:sz="0" w:space="0"/>
            <w:left w:val="none" w:sz="0" w:space="0"/>
            <w:bottom w:val="none" w:sz="0" w:space="0"/>
            <w:right w:val="none" w:sz="0" w:space="0"/>
          </w:pgBorders>
          <w:pgNumType w:fmt="decimal"/>
          <w:cols w:space="720" w:num="1"/>
          <w:docGrid w:linePitch="312" w:charSpace="0"/>
        </w:sectPr>
      </w:pPr>
    </w:p>
    <w:p w14:paraId="2A2E1305">
      <w:pPr>
        <w:pStyle w:val="2"/>
        <w:bidi w:val="0"/>
      </w:pPr>
      <w:bookmarkStart w:id="21" w:name="_Toc11685"/>
      <w:bookmarkStart w:id="22" w:name="_Toc18109"/>
      <w:bookmarkStart w:id="23" w:name="_Hlk54167917"/>
      <w:r>
        <w:rPr>
          <w:rFonts w:hint="eastAsia"/>
        </w:rPr>
        <w:t>环境保护措施监督检查清单</w:t>
      </w:r>
      <w:bookmarkEnd w:id="21"/>
      <w:bookmarkEnd w:id="22"/>
      <w:bookmarkEnd w:id="23"/>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3"/>
        <w:gridCol w:w="473"/>
        <w:gridCol w:w="1373"/>
        <w:gridCol w:w="1546"/>
        <w:gridCol w:w="3092"/>
        <w:gridCol w:w="2113"/>
      </w:tblGrid>
      <w:tr w14:paraId="06BB6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6" w:type="dxa"/>
            <w:gridSpan w:val="2"/>
            <w:tcBorders>
              <w:tl2br w:val="single" w:color="auto" w:sz="4" w:space="0"/>
            </w:tcBorders>
            <w:noWrap w:val="0"/>
            <w:vAlign w:val="top"/>
          </w:tcPr>
          <w:p w14:paraId="1F1A0C37">
            <w:pPr>
              <w:keepNext w:val="0"/>
              <w:keepLines w:val="0"/>
              <w:pageBreakBefore w:val="0"/>
              <w:kinsoku/>
              <w:wordWrap/>
              <w:overflowPunct/>
              <w:topLinePunct w:val="0"/>
              <w:autoSpaceDE/>
              <w:autoSpaceDN/>
              <w:bidi w:val="0"/>
              <w:adjustRightInd w:val="0"/>
              <w:snapToGrid w:val="0"/>
              <w:spacing w:line="240" w:lineRule="auto"/>
              <w:ind w:firstLine="0" w:firstLineChars="0"/>
              <w:jc w:val="right"/>
              <w:textAlignment w:val="auto"/>
              <w:rPr>
                <w:rStyle w:val="17"/>
                <w:rFonts w:ascii="Times New Roman" w:hAnsi="Times New Roman" w:eastAsia="宋体"/>
                <w:b/>
                <w:bCs/>
                <w:sz w:val="21"/>
              </w:rPr>
            </w:pPr>
            <w:r>
              <w:rPr>
                <w:rStyle w:val="17"/>
                <w:rFonts w:ascii="Times New Roman" w:hAnsi="Times New Roman" w:eastAsia="宋体"/>
                <w:b/>
                <w:bCs/>
                <w:sz w:val="21"/>
              </w:rPr>
              <w:t>内容</w:t>
            </w:r>
          </w:p>
          <w:p w14:paraId="77AD6B59">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Style w:val="17"/>
                <w:rFonts w:ascii="Times New Roman" w:hAnsi="Times New Roman" w:eastAsia="宋体"/>
                <w:b/>
                <w:bCs/>
                <w:sz w:val="21"/>
              </w:rPr>
            </w:pPr>
          </w:p>
          <w:p w14:paraId="1C10198E">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Style w:val="17"/>
                <w:rFonts w:ascii="Times New Roman" w:hAnsi="Times New Roman" w:eastAsia="宋体"/>
                <w:b/>
                <w:bCs/>
                <w:sz w:val="21"/>
              </w:rPr>
            </w:pPr>
            <w:r>
              <w:rPr>
                <w:rStyle w:val="17"/>
                <w:rFonts w:ascii="Times New Roman" w:hAnsi="Times New Roman" w:eastAsia="宋体"/>
                <w:b/>
                <w:bCs/>
                <w:sz w:val="21"/>
              </w:rPr>
              <w:t>要素</w:t>
            </w:r>
          </w:p>
        </w:tc>
        <w:tc>
          <w:tcPr>
            <w:tcW w:w="1373" w:type="dxa"/>
            <w:noWrap w:val="0"/>
            <w:vAlign w:val="center"/>
          </w:tcPr>
          <w:p w14:paraId="21C22A1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b/>
                <w:bCs/>
                <w:sz w:val="21"/>
              </w:rPr>
            </w:pPr>
            <w:r>
              <w:rPr>
                <w:rStyle w:val="17"/>
                <w:rFonts w:ascii="Times New Roman" w:hAnsi="Times New Roman" w:eastAsia="宋体"/>
                <w:b/>
                <w:bCs/>
                <w:sz w:val="21"/>
              </w:rPr>
              <w:t>排放口(编号、名称)/污染源</w:t>
            </w:r>
          </w:p>
        </w:tc>
        <w:tc>
          <w:tcPr>
            <w:tcW w:w="1546" w:type="dxa"/>
            <w:noWrap w:val="0"/>
            <w:vAlign w:val="center"/>
          </w:tcPr>
          <w:p w14:paraId="3CFB5A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b/>
                <w:bCs/>
                <w:sz w:val="21"/>
              </w:rPr>
            </w:pPr>
            <w:r>
              <w:rPr>
                <w:rStyle w:val="17"/>
                <w:rFonts w:ascii="Times New Roman" w:hAnsi="Times New Roman" w:eastAsia="宋体"/>
                <w:b/>
                <w:bCs/>
                <w:sz w:val="21"/>
              </w:rPr>
              <w:t>污染物项目</w:t>
            </w:r>
          </w:p>
        </w:tc>
        <w:tc>
          <w:tcPr>
            <w:tcW w:w="3092" w:type="dxa"/>
            <w:noWrap w:val="0"/>
            <w:vAlign w:val="center"/>
          </w:tcPr>
          <w:p w14:paraId="6061162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b/>
                <w:bCs/>
                <w:sz w:val="21"/>
              </w:rPr>
            </w:pPr>
            <w:r>
              <w:rPr>
                <w:rStyle w:val="17"/>
                <w:rFonts w:ascii="Times New Roman" w:hAnsi="Times New Roman" w:eastAsia="宋体"/>
                <w:b/>
                <w:bCs/>
                <w:sz w:val="21"/>
              </w:rPr>
              <w:t>环境保护措施</w:t>
            </w:r>
          </w:p>
        </w:tc>
        <w:tc>
          <w:tcPr>
            <w:tcW w:w="2113" w:type="dxa"/>
            <w:noWrap w:val="0"/>
            <w:vAlign w:val="center"/>
          </w:tcPr>
          <w:p w14:paraId="71FC139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b/>
                <w:bCs/>
                <w:sz w:val="21"/>
              </w:rPr>
            </w:pPr>
            <w:r>
              <w:rPr>
                <w:rStyle w:val="17"/>
                <w:rFonts w:ascii="Times New Roman" w:hAnsi="Times New Roman" w:eastAsia="宋体"/>
                <w:b/>
                <w:bCs/>
                <w:sz w:val="21"/>
              </w:rPr>
              <w:t>执行标准</w:t>
            </w:r>
          </w:p>
        </w:tc>
      </w:tr>
      <w:tr w14:paraId="1996AF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6" w:type="dxa"/>
            <w:gridSpan w:val="2"/>
            <w:vMerge w:val="restart"/>
            <w:noWrap w:val="0"/>
            <w:vAlign w:val="center"/>
          </w:tcPr>
          <w:p w14:paraId="280BF5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b/>
                <w:sz w:val="21"/>
              </w:rPr>
            </w:pPr>
            <w:r>
              <w:rPr>
                <w:rStyle w:val="17"/>
                <w:rFonts w:hint="eastAsia" w:ascii="Times New Roman" w:hAnsi="Times New Roman" w:eastAsia="宋体"/>
                <w:b/>
                <w:sz w:val="21"/>
              </w:rPr>
              <w:t>大气环境</w:t>
            </w:r>
          </w:p>
        </w:tc>
        <w:tc>
          <w:tcPr>
            <w:tcW w:w="1373" w:type="dxa"/>
            <w:noWrap w:val="0"/>
            <w:vAlign w:val="center"/>
          </w:tcPr>
          <w:p w14:paraId="6B6220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hint="eastAsia" w:ascii="Times New Roman" w:hAnsi="Times New Roman" w:eastAsia="宋体"/>
                <w:sz w:val="21"/>
              </w:rPr>
              <w:t>污水处理系统</w:t>
            </w:r>
          </w:p>
        </w:tc>
        <w:tc>
          <w:tcPr>
            <w:tcW w:w="1546" w:type="dxa"/>
            <w:noWrap w:val="0"/>
            <w:vAlign w:val="center"/>
          </w:tcPr>
          <w:p w14:paraId="5E5A2F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lang w:eastAsia="zh-CN"/>
              </w:rPr>
            </w:pPr>
            <w:r>
              <w:rPr>
                <w:rStyle w:val="17"/>
                <w:rFonts w:hint="eastAsia" w:ascii="Times New Roman" w:hAnsi="Times New Roman" w:eastAsia="宋体"/>
                <w:sz w:val="21"/>
                <w:lang w:val="en-US" w:eastAsia="zh-CN"/>
              </w:rPr>
              <w:t>恶臭</w:t>
            </w:r>
          </w:p>
        </w:tc>
        <w:tc>
          <w:tcPr>
            <w:tcW w:w="3092" w:type="dxa"/>
            <w:noWrap w:val="0"/>
            <w:vAlign w:val="center"/>
          </w:tcPr>
          <w:p w14:paraId="6C6FA3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sz w:val="21"/>
              </w:rPr>
            </w:pPr>
            <w:r>
              <w:rPr>
                <w:rStyle w:val="17"/>
                <w:rFonts w:hint="eastAsia" w:ascii="Times New Roman" w:hAnsi="Times New Roman" w:eastAsia="宋体"/>
                <w:sz w:val="21"/>
              </w:rPr>
              <w:t>池体密闭（加封盖板</w:t>
            </w:r>
            <w:r>
              <w:rPr>
                <w:rStyle w:val="17"/>
                <w:rFonts w:hint="eastAsia" w:ascii="Times New Roman" w:hAnsi="Times New Roman" w:eastAsia="宋体"/>
                <w:sz w:val="21"/>
                <w:lang w:eastAsia="zh-CN"/>
              </w:rPr>
              <w:t>），并</w:t>
            </w:r>
            <w:r>
              <w:rPr>
                <w:rStyle w:val="17"/>
                <w:rFonts w:hint="eastAsia" w:ascii="Times New Roman" w:hAnsi="Times New Roman" w:eastAsia="宋体"/>
                <w:sz w:val="21"/>
              </w:rPr>
              <w:t>定期对污水处理站区域喷洒除臭剂</w:t>
            </w:r>
          </w:p>
        </w:tc>
        <w:tc>
          <w:tcPr>
            <w:tcW w:w="2113" w:type="dxa"/>
            <w:noWrap w:val="0"/>
            <w:vAlign w:val="center"/>
          </w:tcPr>
          <w:p w14:paraId="77AB4A5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sz w:val="21"/>
              </w:rPr>
            </w:pPr>
            <w:r>
              <w:rPr>
                <w:rStyle w:val="17"/>
                <w:rFonts w:hint="default" w:ascii="Times New Roman" w:hAnsi="Times New Roman" w:eastAsia="宋体"/>
                <w:sz w:val="21"/>
                <w:lang w:val="en-US" w:eastAsia="zh-CN"/>
              </w:rPr>
              <w:t>《医疗机构水污染排放标准》（GB18466-2005）</w:t>
            </w:r>
          </w:p>
        </w:tc>
      </w:tr>
      <w:tr w14:paraId="2A80BE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6" w:type="dxa"/>
            <w:gridSpan w:val="2"/>
            <w:vMerge w:val="continue"/>
            <w:noWrap w:val="0"/>
            <w:vAlign w:val="center"/>
          </w:tcPr>
          <w:p w14:paraId="771B0B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b/>
                <w:sz w:val="21"/>
              </w:rPr>
            </w:pPr>
          </w:p>
        </w:tc>
        <w:tc>
          <w:tcPr>
            <w:tcW w:w="1373" w:type="dxa"/>
            <w:noWrap w:val="0"/>
            <w:vAlign w:val="center"/>
          </w:tcPr>
          <w:p w14:paraId="538307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hint="eastAsia" w:ascii="Times New Roman" w:hAnsi="Times New Roman" w:eastAsia="宋体"/>
                <w:sz w:val="21"/>
              </w:rPr>
              <w:t>医疗暂存间</w:t>
            </w:r>
          </w:p>
        </w:tc>
        <w:tc>
          <w:tcPr>
            <w:tcW w:w="1546" w:type="dxa"/>
            <w:noWrap w:val="0"/>
            <w:vAlign w:val="center"/>
          </w:tcPr>
          <w:p w14:paraId="3E07C37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hint="eastAsia" w:ascii="Times New Roman" w:hAnsi="Times New Roman" w:eastAsia="宋体"/>
                <w:sz w:val="21"/>
              </w:rPr>
              <w:t>恶臭</w:t>
            </w:r>
          </w:p>
        </w:tc>
        <w:tc>
          <w:tcPr>
            <w:tcW w:w="3092" w:type="dxa"/>
            <w:noWrap w:val="0"/>
            <w:vAlign w:val="center"/>
          </w:tcPr>
          <w:p w14:paraId="71A9CB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hint="eastAsia" w:ascii="Times New Roman" w:hAnsi="Times New Roman" w:eastAsia="宋体"/>
                <w:sz w:val="21"/>
              </w:rPr>
              <w:t>医院设专人负责清理和喷洒消毒药水，</w:t>
            </w:r>
            <w:r>
              <w:rPr>
                <w:rStyle w:val="17"/>
                <w:rFonts w:hint="eastAsia" w:ascii="Times New Roman" w:hAnsi="Times New Roman" w:eastAsia="宋体"/>
                <w:sz w:val="21"/>
                <w:lang w:eastAsia="zh-CN"/>
              </w:rPr>
              <w:t>医疗废物</w:t>
            </w:r>
            <w:r>
              <w:rPr>
                <w:rStyle w:val="17"/>
                <w:rFonts w:hint="eastAsia" w:ascii="Times New Roman" w:hAnsi="Times New Roman" w:eastAsia="宋体"/>
                <w:sz w:val="21"/>
              </w:rPr>
              <w:t>做到定期清理</w:t>
            </w:r>
          </w:p>
        </w:tc>
        <w:tc>
          <w:tcPr>
            <w:tcW w:w="2113" w:type="dxa"/>
            <w:noWrap w:val="0"/>
            <w:vAlign w:val="center"/>
          </w:tcPr>
          <w:p w14:paraId="6B52BB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sz w:val="21"/>
              </w:rPr>
            </w:pPr>
            <w:r>
              <w:rPr>
                <w:rStyle w:val="17"/>
                <w:rFonts w:ascii="Times New Roman" w:hAnsi="Times New Roman" w:eastAsia="宋体"/>
                <w:sz w:val="21"/>
              </w:rPr>
              <w:t>/</w:t>
            </w:r>
          </w:p>
        </w:tc>
      </w:tr>
      <w:tr w14:paraId="08B2E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6" w:type="dxa"/>
            <w:gridSpan w:val="2"/>
            <w:vMerge w:val="continue"/>
            <w:noWrap w:val="0"/>
            <w:vAlign w:val="center"/>
          </w:tcPr>
          <w:p w14:paraId="5E44FF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b/>
                <w:sz w:val="21"/>
              </w:rPr>
            </w:pPr>
          </w:p>
        </w:tc>
        <w:tc>
          <w:tcPr>
            <w:tcW w:w="1373" w:type="dxa"/>
            <w:noWrap w:val="0"/>
            <w:vAlign w:val="center"/>
          </w:tcPr>
          <w:p w14:paraId="14EE354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hint="eastAsia" w:ascii="Times New Roman" w:hAnsi="Times New Roman" w:eastAsia="宋体"/>
                <w:sz w:val="21"/>
              </w:rPr>
              <w:t>院区空气</w:t>
            </w:r>
          </w:p>
        </w:tc>
        <w:tc>
          <w:tcPr>
            <w:tcW w:w="1546" w:type="dxa"/>
            <w:noWrap w:val="0"/>
            <w:vAlign w:val="center"/>
          </w:tcPr>
          <w:p w14:paraId="0F9725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hint="eastAsia" w:ascii="Times New Roman" w:hAnsi="Times New Roman" w:eastAsia="宋体"/>
                <w:sz w:val="21"/>
              </w:rPr>
              <w:t>病区带菌空气</w:t>
            </w:r>
          </w:p>
        </w:tc>
        <w:tc>
          <w:tcPr>
            <w:tcW w:w="3092" w:type="dxa"/>
            <w:noWrap w:val="0"/>
            <w:vAlign w:val="center"/>
          </w:tcPr>
          <w:p w14:paraId="54C850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hint="eastAsia" w:ascii="Times New Roman" w:hAnsi="Times New Roman" w:eastAsia="宋体"/>
                <w:sz w:val="21"/>
              </w:rPr>
              <w:t>对室内定期进行紫外消毒灭菌（每日至少一次）以降低空气中含菌量；同时加强室内通风，靠窗办公室及病房采用自然通风，其他区域拟采用机械通风，利用空调系统送风，排风口均置于本项目所在大楼屋顶平台</w:t>
            </w:r>
          </w:p>
        </w:tc>
        <w:tc>
          <w:tcPr>
            <w:tcW w:w="2113" w:type="dxa"/>
            <w:noWrap w:val="0"/>
            <w:vAlign w:val="center"/>
          </w:tcPr>
          <w:p w14:paraId="2B25022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sz w:val="21"/>
              </w:rPr>
            </w:pPr>
            <w:r>
              <w:rPr>
                <w:rStyle w:val="17"/>
                <w:rFonts w:ascii="Times New Roman" w:hAnsi="Times New Roman" w:eastAsia="宋体"/>
                <w:sz w:val="21"/>
              </w:rPr>
              <w:t>/</w:t>
            </w:r>
          </w:p>
        </w:tc>
      </w:tr>
      <w:tr w14:paraId="504C0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6" w:type="dxa"/>
            <w:gridSpan w:val="2"/>
            <w:vMerge w:val="continue"/>
            <w:noWrap w:val="0"/>
            <w:vAlign w:val="center"/>
          </w:tcPr>
          <w:p w14:paraId="2EBFE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b/>
                <w:sz w:val="21"/>
              </w:rPr>
            </w:pPr>
          </w:p>
        </w:tc>
        <w:tc>
          <w:tcPr>
            <w:tcW w:w="1373" w:type="dxa"/>
            <w:noWrap w:val="0"/>
            <w:vAlign w:val="center"/>
          </w:tcPr>
          <w:p w14:paraId="7AC6AA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hint="eastAsia" w:ascii="Times New Roman" w:hAnsi="Times New Roman" w:eastAsia="宋体"/>
                <w:sz w:val="21"/>
              </w:rPr>
              <w:t>柴油发电机</w:t>
            </w:r>
          </w:p>
        </w:tc>
        <w:tc>
          <w:tcPr>
            <w:tcW w:w="1546" w:type="dxa"/>
            <w:noWrap w:val="0"/>
            <w:vAlign w:val="center"/>
          </w:tcPr>
          <w:p w14:paraId="386ADB1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hint="eastAsia" w:ascii="Times New Roman" w:hAnsi="Times New Roman" w:eastAsia="宋体"/>
                <w:sz w:val="21"/>
              </w:rPr>
              <w:t>燃油废气</w:t>
            </w:r>
          </w:p>
        </w:tc>
        <w:tc>
          <w:tcPr>
            <w:tcW w:w="3092" w:type="dxa"/>
            <w:noWrap w:val="0"/>
            <w:vAlign w:val="center"/>
          </w:tcPr>
          <w:p w14:paraId="3B0989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hint="eastAsia" w:ascii="Times New Roman" w:hAnsi="Times New Roman" w:eastAsia="宋体"/>
                <w:sz w:val="21"/>
              </w:rPr>
              <w:t>经柴油发电机自带烟气处理装置处置，由专用风管抽至高于楼顶排放</w:t>
            </w:r>
          </w:p>
        </w:tc>
        <w:tc>
          <w:tcPr>
            <w:tcW w:w="2113" w:type="dxa"/>
            <w:noWrap w:val="0"/>
            <w:vAlign w:val="center"/>
          </w:tcPr>
          <w:p w14:paraId="082162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sz w:val="21"/>
              </w:rPr>
            </w:pPr>
            <w:r>
              <w:rPr>
                <w:rStyle w:val="17"/>
                <w:rFonts w:ascii="Times New Roman" w:hAnsi="Times New Roman" w:eastAsia="宋体"/>
                <w:sz w:val="21"/>
              </w:rPr>
              <w:t>《大气污染物综合排放标准》（GB16297-1996）中表2各污染物最高允许排放浓度</w:t>
            </w:r>
          </w:p>
        </w:tc>
      </w:tr>
      <w:tr w14:paraId="44ADA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6" w:type="dxa"/>
            <w:gridSpan w:val="2"/>
            <w:noWrap w:val="0"/>
            <w:vAlign w:val="center"/>
          </w:tcPr>
          <w:p w14:paraId="3E080E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b/>
                <w:sz w:val="21"/>
              </w:rPr>
            </w:pPr>
            <w:r>
              <w:rPr>
                <w:rStyle w:val="17"/>
                <w:rFonts w:ascii="Times New Roman" w:hAnsi="Times New Roman" w:eastAsia="宋体"/>
                <w:b/>
                <w:sz w:val="21"/>
              </w:rPr>
              <w:t>地表水环境</w:t>
            </w:r>
          </w:p>
        </w:tc>
        <w:tc>
          <w:tcPr>
            <w:tcW w:w="1373" w:type="dxa"/>
            <w:noWrap w:val="0"/>
            <w:vAlign w:val="center"/>
          </w:tcPr>
          <w:p w14:paraId="6C7F38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sz w:val="21"/>
              </w:rPr>
            </w:pPr>
            <w:r>
              <w:rPr>
                <w:rStyle w:val="17"/>
                <w:rFonts w:hint="eastAsia" w:ascii="Times New Roman" w:hAnsi="Times New Roman" w:eastAsia="宋体"/>
                <w:sz w:val="21"/>
              </w:rPr>
              <w:t>遂宁益民医院废水</w:t>
            </w:r>
            <w:r>
              <w:rPr>
                <w:rStyle w:val="17"/>
                <w:rFonts w:ascii="Times New Roman" w:hAnsi="Times New Roman" w:eastAsia="宋体"/>
                <w:sz w:val="21"/>
              </w:rPr>
              <w:t>排放口</w:t>
            </w:r>
          </w:p>
        </w:tc>
        <w:tc>
          <w:tcPr>
            <w:tcW w:w="1546" w:type="dxa"/>
            <w:noWrap w:val="0"/>
            <w:vAlign w:val="center"/>
          </w:tcPr>
          <w:p w14:paraId="285C3D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sz w:val="21"/>
              </w:rPr>
            </w:pPr>
            <w:r>
              <w:rPr>
                <w:rStyle w:val="17"/>
                <w:rFonts w:ascii="Times New Roman" w:hAnsi="Times New Roman" w:eastAsia="宋体"/>
                <w:sz w:val="21"/>
              </w:rPr>
              <w:t>pH、CODcr</w:t>
            </w:r>
          </w:p>
          <w:p w14:paraId="134DD2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sz w:val="21"/>
              </w:rPr>
            </w:pPr>
            <w:r>
              <w:rPr>
                <w:rStyle w:val="17"/>
                <w:rFonts w:ascii="Times New Roman" w:hAnsi="Times New Roman" w:eastAsia="宋体"/>
                <w:sz w:val="21"/>
              </w:rPr>
              <w:t>BOD5</w:t>
            </w:r>
          </w:p>
          <w:p w14:paraId="0280C9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ascii="Times New Roman" w:hAnsi="Times New Roman" w:eastAsia="宋体"/>
                <w:sz w:val="21"/>
              </w:rPr>
              <w:t>SS、氨氮、总磷、总氮</w:t>
            </w:r>
            <w:r>
              <w:rPr>
                <w:rStyle w:val="17"/>
                <w:rFonts w:hint="eastAsia" w:ascii="Times New Roman" w:hAnsi="Times New Roman" w:eastAsia="宋体"/>
                <w:sz w:val="21"/>
              </w:rPr>
              <w:t>、总大肠菌群数</w:t>
            </w:r>
          </w:p>
        </w:tc>
        <w:tc>
          <w:tcPr>
            <w:tcW w:w="3092" w:type="dxa"/>
            <w:noWrap w:val="0"/>
            <w:vAlign w:val="center"/>
          </w:tcPr>
          <w:p w14:paraId="4A2ADA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sz w:val="21"/>
              </w:rPr>
            </w:pPr>
            <w:r>
              <w:rPr>
                <w:rStyle w:val="17"/>
                <w:rFonts w:hint="eastAsia" w:ascii="Times New Roman" w:hAnsi="Times New Roman" w:eastAsia="宋体"/>
                <w:sz w:val="21"/>
              </w:rPr>
              <w:t>本</w:t>
            </w:r>
            <w:r>
              <w:rPr>
                <w:rStyle w:val="17"/>
                <w:rFonts w:ascii="Times New Roman" w:hAnsi="Times New Roman" w:eastAsia="宋体"/>
                <w:sz w:val="21"/>
              </w:rPr>
              <w:t>项目医疗废水</w:t>
            </w:r>
            <w:r>
              <w:rPr>
                <w:rStyle w:val="17"/>
                <w:rFonts w:hint="eastAsia" w:ascii="Times New Roman" w:hAnsi="Times New Roman" w:eastAsia="宋体"/>
                <w:sz w:val="21"/>
                <w:lang w:eastAsia="zh-CN"/>
              </w:rPr>
              <w:t>和</w:t>
            </w:r>
            <w:r>
              <w:rPr>
                <w:rStyle w:val="17"/>
                <w:rFonts w:ascii="Times New Roman" w:hAnsi="Times New Roman" w:eastAsia="宋体"/>
                <w:sz w:val="21"/>
              </w:rPr>
              <w:t>办公生活污水经</w:t>
            </w:r>
            <w:r>
              <w:rPr>
                <w:rStyle w:val="17"/>
                <w:rFonts w:hint="eastAsia" w:ascii="Times New Roman" w:hAnsi="Times New Roman" w:eastAsia="宋体"/>
                <w:sz w:val="21"/>
              </w:rPr>
              <w:t>现有院区预处理池+污水处理站（一</w:t>
            </w:r>
            <w:r>
              <w:rPr>
                <w:rStyle w:val="17"/>
                <w:rFonts w:hint="eastAsia" w:ascii="Times New Roman" w:hAnsi="Times New Roman" w:eastAsia="宋体"/>
                <w:sz w:val="21"/>
                <w:lang w:val="en-US" w:eastAsia="zh-CN"/>
              </w:rPr>
              <w:t>格栅调节+接触氧化+沉淀+消毒</w:t>
            </w:r>
            <w:r>
              <w:rPr>
                <w:rStyle w:val="17"/>
                <w:rFonts w:hint="eastAsia" w:ascii="Times New Roman" w:hAnsi="Times New Roman" w:eastAsia="宋体"/>
                <w:sz w:val="21"/>
              </w:rPr>
              <w:t>）处理后，通过市政管网</w:t>
            </w:r>
            <w:r>
              <w:rPr>
                <w:rStyle w:val="17"/>
                <w:rFonts w:ascii="Times New Roman" w:hAnsi="Times New Roman" w:eastAsia="宋体"/>
                <w:sz w:val="21"/>
              </w:rPr>
              <w:t>进入</w:t>
            </w:r>
            <w:r>
              <w:rPr>
                <w:rStyle w:val="17"/>
                <w:rFonts w:hint="eastAsia" w:ascii="Times New Roman" w:hAnsi="Times New Roman" w:eastAsia="宋体"/>
                <w:sz w:val="21"/>
                <w:lang w:eastAsia="zh-CN"/>
              </w:rPr>
              <w:t>遂宁市城南第一污水处理厂</w:t>
            </w:r>
            <w:r>
              <w:rPr>
                <w:rStyle w:val="17"/>
                <w:rFonts w:hint="eastAsia" w:ascii="Times New Roman" w:hAnsi="Times New Roman" w:eastAsia="宋体"/>
                <w:sz w:val="21"/>
              </w:rPr>
              <w:t>处理达《医疗机构水污染物排放标准》（GB18466-2005）中表2预处理标准后排入涪江。</w:t>
            </w:r>
          </w:p>
        </w:tc>
        <w:tc>
          <w:tcPr>
            <w:tcW w:w="2113" w:type="dxa"/>
            <w:noWrap w:val="0"/>
            <w:vAlign w:val="center"/>
          </w:tcPr>
          <w:p w14:paraId="494550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ascii="Times New Roman" w:hAnsi="Times New Roman" w:eastAsia="宋体"/>
                <w:sz w:val="21"/>
              </w:rPr>
              <w:t>《医疗机构水污染物排放标准》（GB18466-2005）表2中的预处理标准</w:t>
            </w:r>
          </w:p>
        </w:tc>
      </w:tr>
      <w:tr w14:paraId="0A0CA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6" w:type="dxa"/>
            <w:gridSpan w:val="2"/>
            <w:vMerge w:val="restart"/>
            <w:noWrap w:val="0"/>
            <w:vAlign w:val="center"/>
          </w:tcPr>
          <w:p w14:paraId="69174E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b/>
                <w:sz w:val="21"/>
              </w:rPr>
            </w:pPr>
            <w:r>
              <w:rPr>
                <w:rStyle w:val="17"/>
                <w:rFonts w:ascii="Times New Roman" w:hAnsi="Times New Roman" w:eastAsia="宋体"/>
                <w:b/>
                <w:sz w:val="21"/>
              </w:rPr>
              <w:t>声环境</w:t>
            </w:r>
          </w:p>
        </w:tc>
        <w:tc>
          <w:tcPr>
            <w:tcW w:w="1373" w:type="dxa"/>
            <w:noWrap w:val="0"/>
            <w:vAlign w:val="center"/>
          </w:tcPr>
          <w:p w14:paraId="4ABA65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hint="eastAsia" w:ascii="Times New Roman" w:hAnsi="Times New Roman" w:eastAsia="宋体"/>
                <w:sz w:val="21"/>
              </w:rPr>
              <w:t>设备运行</w:t>
            </w:r>
          </w:p>
        </w:tc>
        <w:tc>
          <w:tcPr>
            <w:tcW w:w="1546" w:type="dxa"/>
            <w:noWrap w:val="0"/>
            <w:vAlign w:val="center"/>
          </w:tcPr>
          <w:p w14:paraId="25E3EDD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sz w:val="21"/>
              </w:rPr>
            </w:pPr>
            <w:r>
              <w:rPr>
                <w:rStyle w:val="17"/>
                <w:rFonts w:hint="eastAsia" w:ascii="Times New Roman" w:hAnsi="Times New Roman" w:eastAsia="宋体"/>
                <w:sz w:val="21"/>
              </w:rPr>
              <w:t>设备</w:t>
            </w:r>
            <w:r>
              <w:rPr>
                <w:rStyle w:val="17"/>
                <w:rFonts w:ascii="Times New Roman" w:hAnsi="Times New Roman" w:eastAsia="宋体"/>
                <w:sz w:val="21"/>
              </w:rPr>
              <w:t>噪声</w:t>
            </w:r>
          </w:p>
        </w:tc>
        <w:tc>
          <w:tcPr>
            <w:tcW w:w="3092" w:type="dxa"/>
            <w:noWrap w:val="0"/>
            <w:vAlign w:val="center"/>
          </w:tcPr>
          <w:p w14:paraId="30E2CFE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sz w:val="21"/>
              </w:rPr>
            </w:pPr>
            <w:r>
              <w:rPr>
                <w:rStyle w:val="17"/>
                <w:rFonts w:ascii="Times New Roman" w:hAnsi="Times New Roman" w:eastAsia="宋体"/>
                <w:sz w:val="21"/>
              </w:rPr>
              <w:t>选用先进低噪设备，合理布置噪声源，对产噪设备进行减震、厂房隔声、加强运行管理措施</w:t>
            </w:r>
          </w:p>
        </w:tc>
        <w:tc>
          <w:tcPr>
            <w:tcW w:w="2113" w:type="dxa"/>
            <w:vMerge w:val="restart"/>
            <w:noWrap w:val="0"/>
            <w:vAlign w:val="center"/>
          </w:tcPr>
          <w:p w14:paraId="0C2471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sz w:val="21"/>
              </w:rPr>
            </w:pPr>
            <w:r>
              <w:rPr>
                <w:rStyle w:val="17"/>
                <w:rFonts w:ascii="Times New Roman" w:hAnsi="Times New Roman" w:eastAsia="宋体"/>
                <w:sz w:val="21"/>
              </w:rPr>
              <w:t>《工业企业厂界环境噪声排放标准》（GB12348-2008）中2</w:t>
            </w:r>
            <w:r>
              <w:rPr>
                <w:rStyle w:val="17"/>
                <w:rFonts w:hint="eastAsia" w:ascii="Times New Roman" w:hAnsi="Times New Roman" w:eastAsia="宋体"/>
                <w:sz w:val="21"/>
                <w:lang w:eastAsia="zh-CN"/>
              </w:rPr>
              <w:t>和</w:t>
            </w:r>
            <w:r>
              <w:rPr>
                <w:rStyle w:val="17"/>
                <w:rFonts w:hint="eastAsia" w:ascii="Times New Roman" w:hAnsi="Times New Roman" w:eastAsia="宋体"/>
                <w:sz w:val="21"/>
                <w:lang w:val="en-US" w:eastAsia="zh-CN"/>
              </w:rPr>
              <w:t>4</w:t>
            </w:r>
            <w:r>
              <w:rPr>
                <w:rStyle w:val="17"/>
                <w:rFonts w:ascii="Times New Roman" w:hAnsi="Times New Roman" w:eastAsia="宋体"/>
                <w:sz w:val="21"/>
              </w:rPr>
              <w:t>类标准</w:t>
            </w:r>
          </w:p>
        </w:tc>
      </w:tr>
      <w:tr w14:paraId="22CE8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6" w:type="dxa"/>
            <w:gridSpan w:val="2"/>
            <w:vMerge w:val="continue"/>
            <w:noWrap w:val="0"/>
            <w:vAlign w:val="center"/>
          </w:tcPr>
          <w:p w14:paraId="6F4849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b/>
                <w:sz w:val="21"/>
              </w:rPr>
            </w:pPr>
          </w:p>
        </w:tc>
        <w:tc>
          <w:tcPr>
            <w:tcW w:w="1373" w:type="dxa"/>
            <w:noWrap w:val="0"/>
            <w:vAlign w:val="center"/>
          </w:tcPr>
          <w:p w14:paraId="7779E52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hint="eastAsia" w:ascii="Times New Roman" w:hAnsi="Times New Roman" w:eastAsia="宋体"/>
                <w:sz w:val="21"/>
              </w:rPr>
              <w:t>社会人员</w:t>
            </w:r>
          </w:p>
        </w:tc>
        <w:tc>
          <w:tcPr>
            <w:tcW w:w="1546" w:type="dxa"/>
            <w:noWrap w:val="0"/>
            <w:vAlign w:val="center"/>
          </w:tcPr>
          <w:p w14:paraId="049AF3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hint="eastAsia" w:ascii="Times New Roman" w:hAnsi="Times New Roman" w:eastAsia="宋体"/>
                <w:sz w:val="21"/>
              </w:rPr>
              <w:t>社会噪声</w:t>
            </w:r>
          </w:p>
        </w:tc>
        <w:tc>
          <w:tcPr>
            <w:tcW w:w="3092" w:type="dxa"/>
            <w:noWrap w:val="0"/>
            <w:vAlign w:val="center"/>
          </w:tcPr>
          <w:p w14:paraId="1A7FE4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Style w:val="17"/>
                <w:rFonts w:hint="eastAsia" w:ascii="Times New Roman" w:hAnsi="Times New Roman" w:eastAsia="宋体"/>
                <w:sz w:val="21"/>
              </w:rPr>
            </w:pPr>
            <w:r>
              <w:rPr>
                <w:rStyle w:val="17"/>
                <w:rFonts w:hint="eastAsia" w:ascii="Times New Roman" w:hAnsi="Times New Roman" w:eastAsia="宋体"/>
                <w:sz w:val="21"/>
              </w:rPr>
              <w:t>加强医院内部管理，粘贴提示标语，院内禁止喧哗、吵闹</w:t>
            </w:r>
          </w:p>
        </w:tc>
        <w:tc>
          <w:tcPr>
            <w:tcW w:w="2113" w:type="dxa"/>
            <w:vMerge w:val="continue"/>
            <w:noWrap w:val="0"/>
            <w:vAlign w:val="center"/>
          </w:tcPr>
          <w:p w14:paraId="3F44713B">
            <w:pPr>
              <w:pageBreakBefore w:val="0"/>
              <w:wordWrap/>
              <w:bidi w:val="0"/>
              <w:adjustRightInd w:val="0"/>
              <w:snapToGrid w:val="0"/>
              <w:jc w:val="center"/>
              <w:rPr>
                <w:rStyle w:val="17"/>
                <w:rFonts w:ascii="Times New Roman" w:hAnsi="Times New Roman" w:eastAsia="宋体"/>
                <w:sz w:val="21"/>
              </w:rPr>
            </w:pPr>
          </w:p>
        </w:tc>
      </w:tr>
      <w:tr w14:paraId="0C953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463" w:type="dxa"/>
            <w:noWrap w:val="0"/>
            <w:vAlign w:val="center"/>
          </w:tcPr>
          <w:p w14:paraId="6886A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b/>
                <w:sz w:val="21"/>
              </w:rPr>
            </w:pPr>
            <w:r>
              <w:rPr>
                <w:rStyle w:val="17"/>
                <w:rFonts w:ascii="Times New Roman" w:hAnsi="Times New Roman" w:eastAsia="宋体"/>
                <w:b/>
                <w:sz w:val="21"/>
              </w:rPr>
              <w:t>固体废物</w:t>
            </w:r>
          </w:p>
        </w:tc>
        <w:tc>
          <w:tcPr>
            <w:tcW w:w="8597" w:type="dxa"/>
            <w:gridSpan w:val="5"/>
            <w:noWrap w:val="0"/>
            <w:vAlign w:val="center"/>
          </w:tcPr>
          <w:p w14:paraId="54E2DDAB">
            <w:pPr>
              <w:bidi w:val="0"/>
              <w:rPr>
                <w:rStyle w:val="17"/>
                <w:rFonts w:ascii="Times New Roman" w:hAnsi="Times New Roman" w:eastAsia="宋体"/>
                <w:sz w:val="21"/>
              </w:rPr>
            </w:pPr>
            <w:r>
              <w:rPr>
                <w:rFonts w:hint="eastAsia" w:ascii="Times New Roman" w:hAnsi="Times New Roman" w:eastAsia="宋体"/>
                <w:sz w:val="21"/>
                <w:lang w:eastAsia="zh-CN"/>
              </w:rPr>
              <w:t>①</w:t>
            </w:r>
            <w:r>
              <w:rPr>
                <w:rFonts w:ascii="Times New Roman" w:hAnsi="Times New Roman" w:eastAsia="宋体"/>
                <w:sz w:val="21"/>
              </w:rPr>
              <w:t>项目一般固体废物</w:t>
            </w:r>
            <w:r>
              <w:rPr>
                <w:rFonts w:hint="eastAsia" w:ascii="Times New Roman" w:hAnsi="Times New Roman" w:eastAsia="宋体"/>
                <w:sz w:val="21"/>
              </w:rPr>
              <w:t>为生</w:t>
            </w:r>
            <w:r>
              <w:rPr>
                <w:rFonts w:ascii="Times New Roman" w:hAnsi="Times New Roman" w:eastAsia="宋体"/>
                <w:sz w:val="21"/>
              </w:rPr>
              <w:t>活垃圾。办公生活垃圾交由环卫部门统一清运处置</w:t>
            </w:r>
            <w:r>
              <w:rPr>
                <w:rFonts w:hint="eastAsia" w:ascii="Times New Roman" w:hAnsi="Times New Roman" w:eastAsia="宋体"/>
                <w:sz w:val="21"/>
                <w:lang w:eastAsia="zh-CN"/>
              </w:rPr>
              <w:t>；②</w:t>
            </w:r>
            <w:r>
              <w:rPr>
                <w:rFonts w:hint="eastAsia" w:ascii="Times New Roman" w:hAnsi="Times New Roman" w:eastAsia="宋体"/>
                <w:sz w:val="21"/>
              </w:rPr>
              <w:t>医疗废物</w:t>
            </w:r>
            <w:r>
              <w:rPr>
                <w:rFonts w:ascii="Times New Roman" w:hAnsi="Times New Roman" w:eastAsia="宋体"/>
                <w:sz w:val="21"/>
              </w:rPr>
              <w:t>包括</w:t>
            </w:r>
            <w:r>
              <w:rPr>
                <w:rFonts w:hint="eastAsia" w:ascii="Times New Roman" w:hAnsi="Times New Roman" w:eastAsia="宋体"/>
                <w:sz w:val="21"/>
              </w:rPr>
              <w:t>医疗固废主要为感染性废物、损伤性废物、病理性废物、药物性废物和化学性废物</w:t>
            </w:r>
            <w:r>
              <w:rPr>
                <w:rFonts w:ascii="Times New Roman" w:hAnsi="Times New Roman" w:eastAsia="宋体"/>
                <w:sz w:val="21"/>
              </w:rPr>
              <w:t>。医疗废物由专门收集容器分类收集，暂存于医疗废物暂存间，定期交由具有医疗废物处理资质的单位处置</w:t>
            </w:r>
            <w:r>
              <w:rPr>
                <w:rFonts w:hint="eastAsia" w:ascii="Times New Roman" w:hAnsi="Times New Roman" w:eastAsia="宋体"/>
                <w:sz w:val="21"/>
                <w:lang w:eastAsia="zh-CN"/>
              </w:rPr>
              <w:t>；③</w:t>
            </w:r>
            <w:r>
              <w:rPr>
                <w:rFonts w:hint="eastAsia" w:ascii="Times New Roman" w:hAnsi="Times New Roman" w:eastAsia="宋体"/>
                <w:sz w:val="21"/>
              </w:rPr>
              <w:t>其他危险废物包括废水处理站污泥。项目产生的污泥由建设单位委托资质单位进行清掏、消毒及转运处置，不在院区内暂存。</w:t>
            </w:r>
            <w:r>
              <w:rPr>
                <w:rFonts w:ascii="Times New Roman" w:hAnsi="Times New Roman" w:eastAsia="宋体"/>
                <w:sz w:val="21"/>
              </w:rPr>
              <w:t>采取上述措施处理后，项目营运期固体废弃物均能得到有效收集处置，不会对周边环境造成影响。</w:t>
            </w:r>
          </w:p>
        </w:tc>
      </w:tr>
      <w:tr w14:paraId="1BD26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463" w:type="dxa"/>
            <w:noWrap w:val="0"/>
            <w:vAlign w:val="center"/>
          </w:tcPr>
          <w:p w14:paraId="2E70A6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b/>
                <w:sz w:val="21"/>
              </w:rPr>
            </w:pPr>
            <w:r>
              <w:rPr>
                <w:rStyle w:val="17"/>
                <w:rFonts w:ascii="Times New Roman" w:hAnsi="Times New Roman" w:eastAsia="宋体"/>
                <w:b/>
                <w:sz w:val="21"/>
              </w:rPr>
              <w:t>土壤及地下水污染防治措施</w:t>
            </w:r>
          </w:p>
        </w:tc>
        <w:tc>
          <w:tcPr>
            <w:tcW w:w="8597" w:type="dxa"/>
            <w:gridSpan w:val="5"/>
            <w:noWrap w:val="0"/>
            <w:vAlign w:val="center"/>
          </w:tcPr>
          <w:p w14:paraId="16EEBDE5">
            <w:pPr>
              <w:bidi w:val="0"/>
              <w:rPr>
                <w:rFonts w:ascii="Times New Roman" w:hAnsi="Times New Roman" w:eastAsia="宋体"/>
                <w:sz w:val="21"/>
              </w:rPr>
            </w:pPr>
            <w:r>
              <w:rPr>
                <w:rFonts w:ascii="Times New Roman" w:hAnsi="Times New Roman" w:eastAsia="宋体"/>
                <w:sz w:val="21"/>
              </w:rPr>
              <w:t>项目院内实施“清污分流、雨污分流”，整个院区分区防渗，将其分为简单防渗区</w:t>
            </w:r>
            <w:r>
              <w:rPr>
                <w:rFonts w:hint="eastAsia" w:ascii="Times New Roman" w:hAnsi="Times New Roman" w:eastAsia="宋体"/>
                <w:sz w:val="21"/>
                <w:lang w:eastAsia="zh-CN"/>
              </w:rPr>
              <w:t>、一般防渗区</w:t>
            </w:r>
            <w:r>
              <w:rPr>
                <w:rFonts w:ascii="Times New Roman" w:hAnsi="Times New Roman" w:eastAsia="宋体"/>
                <w:sz w:val="21"/>
              </w:rPr>
              <w:t>和重点防渗区。</w:t>
            </w:r>
            <w:r>
              <w:rPr>
                <w:rFonts w:hint="eastAsia"/>
                <w:sz w:val="21"/>
                <w:lang w:eastAsia="zh-CN"/>
              </w:rPr>
              <w:t>环评要求</w:t>
            </w:r>
            <w:r>
              <w:rPr>
                <w:rFonts w:ascii="Times New Roman" w:hAnsi="Times New Roman" w:eastAsia="宋体"/>
                <w:sz w:val="21"/>
              </w:rPr>
              <w:t>本项目实施过程中，全厂的防渗区划如下表所示：</w:t>
            </w:r>
          </w:p>
          <w:p w14:paraId="6E6278CF">
            <w:pPr>
              <w:pStyle w:val="22"/>
              <w:bidi w:val="0"/>
            </w:pPr>
            <w:r>
              <w:t>厂区分区分级防渗区域对照表内容</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2428"/>
              <w:gridCol w:w="2065"/>
              <w:gridCol w:w="3872"/>
            </w:tblGrid>
            <w:tr w14:paraId="5240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1451" w:type="pct"/>
                  <w:noWrap w:val="0"/>
                  <w:vAlign w:val="center"/>
                </w:tcPr>
                <w:p w14:paraId="4242941E">
                  <w:pPr>
                    <w:pStyle w:val="23"/>
                    <w:bidi w:val="0"/>
                    <w:rPr>
                      <w:rFonts w:ascii="Times New Roman" w:hAnsi="Times New Roman" w:eastAsia="宋体"/>
                      <w:sz w:val="21"/>
                    </w:rPr>
                  </w:pPr>
                  <w:r>
                    <w:rPr>
                      <w:rFonts w:ascii="Times New Roman" w:hAnsi="Times New Roman" w:eastAsia="宋体"/>
                      <w:sz w:val="21"/>
                    </w:rPr>
                    <w:t>区域名称</w:t>
                  </w:r>
                </w:p>
              </w:tc>
              <w:tc>
                <w:tcPr>
                  <w:tcW w:w="1234" w:type="pct"/>
                  <w:noWrap w:val="0"/>
                  <w:vAlign w:val="center"/>
                </w:tcPr>
                <w:p w14:paraId="4F4A9124">
                  <w:pPr>
                    <w:pStyle w:val="23"/>
                    <w:bidi w:val="0"/>
                    <w:rPr>
                      <w:rFonts w:ascii="Times New Roman" w:hAnsi="Times New Roman" w:eastAsia="宋体"/>
                      <w:sz w:val="21"/>
                    </w:rPr>
                  </w:pPr>
                  <w:r>
                    <w:rPr>
                      <w:rFonts w:ascii="Times New Roman" w:hAnsi="Times New Roman" w:eastAsia="宋体"/>
                      <w:sz w:val="21"/>
                    </w:rPr>
                    <w:t>分区类别</w:t>
                  </w:r>
                </w:p>
              </w:tc>
              <w:tc>
                <w:tcPr>
                  <w:tcW w:w="2313" w:type="pct"/>
                  <w:noWrap w:val="0"/>
                  <w:vAlign w:val="center"/>
                </w:tcPr>
                <w:p w14:paraId="5E999FB9">
                  <w:pPr>
                    <w:pStyle w:val="23"/>
                    <w:bidi w:val="0"/>
                    <w:rPr>
                      <w:rFonts w:ascii="Times New Roman" w:hAnsi="Times New Roman" w:eastAsia="宋体"/>
                      <w:sz w:val="21"/>
                    </w:rPr>
                  </w:pPr>
                  <w:r>
                    <w:rPr>
                      <w:rFonts w:ascii="Times New Roman" w:hAnsi="Times New Roman" w:eastAsia="宋体"/>
                      <w:sz w:val="21"/>
                    </w:rPr>
                    <w:t>防渗措施</w:t>
                  </w:r>
                </w:p>
              </w:tc>
            </w:tr>
            <w:tr w14:paraId="0D07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36" w:hRule="atLeast"/>
                <w:jc w:val="center"/>
              </w:trPr>
              <w:tc>
                <w:tcPr>
                  <w:tcW w:w="1451" w:type="pct"/>
                  <w:noWrap w:val="0"/>
                  <w:vAlign w:val="center"/>
                </w:tcPr>
                <w:p w14:paraId="4DA39990">
                  <w:pPr>
                    <w:pStyle w:val="23"/>
                    <w:bidi w:val="0"/>
                    <w:rPr>
                      <w:rFonts w:hint="eastAsia" w:ascii="Times New Roman" w:hAnsi="Times New Roman" w:eastAsia="宋体"/>
                      <w:sz w:val="21"/>
                    </w:rPr>
                  </w:pPr>
                  <w:r>
                    <w:rPr>
                      <w:rFonts w:hint="eastAsia" w:ascii="Times New Roman" w:hAnsi="Times New Roman" w:eastAsia="宋体"/>
                      <w:sz w:val="21"/>
                    </w:rPr>
                    <w:t>医疗废物暂存间、一体化污水处理站和发电机房</w:t>
                  </w:r>
                </w:p>
              </w:tc>
              <w:tc>
                <w:tcPr>
                  <w:tcW w:w="1234" w:type="pct"/>
                  <w:noWrap w:val="0"/>
                  <w:vAlign w:val="center"/>
                </w:tcPr>
                <w:p w14:paraId="40B0ABCA">
                  <w:pPr>
                    <w:pStyle w:val="23"/>
                    <w:bidi w:val="0"/>
                    <w:rPr>
                      <w:rFonts w:ascii="Times New Roman" w:hAnsi="Times New Roman" w:eastAsia="宋体"/>
                      <w:sz w:val="21"/>
                    </w:rPr>
                  </w:pPr>
                  <w:r>
                    <w:rPr>
                      <w:rFonts w:ascii="Times New Roman" w:hAnsi="Times New Roman" w:eastAsia="宋体"/>
                      <w:sz w:val="21"/>
                    </w:rPr>
                    <w:t>重点防渗区</w:t>
                  </w:r>
                </w:p>
              </w:tc>
              <w:tc>
                <w:tcPr>
                  <w:tcW w:w="2313" w:type="pct"/>
                  <w:noWrap w:val="0"/>
                  <w:vAlign w:val="center"/>
                </w:tcPr>
                <w:p w14:paraId="0B3472B8">
                  <w:pPr>
                    <w:pStyle w:val="23"/>
                    <w:bidi w:val="0"/>
                    <w:rPr>
                      <w:rFonts w:ascii="Times New Roman" w:hAnsi="Times New Roman" w:eastAsia="宋体"/>
                      <w:sz w:val="21"/>
                    </w:rPr>
                  </w:pPr>
                  <w:r>
                    <w:rPr>
                      <w:rFonts w:ascii="Times New Roman" w:hAnsi="Times New Roman" w:eastAsia="宋体"/>
                      <w:sz w:val="21"/>
                    </w:rPr>
                    <w:t>防渗措施采用防渗混凝土+环氧地坪漆+地沟、收集池，等效黏土防渗层Mb≥6.0</w:t>
                  </w:r>
                  <w:r>
                    <w:rPr>
                      <w:rFonts w:hint="eastAsia" w:ascii="Times New Roman" w:hAnsi="Times New Roman" w:eastAsia="宋体"/>
                      <w:sz w:val="21"/>
                    </w:rPr>
                    <w:t>m</w:t>
                  </w:r>
                  <w:r>
                    <w:rPr>
                      <w:rFonts w:ascii="Times New Roman" w:hAnsi="Times New Roman" w:eastAsia="宋体"/>
                      <w:sz w:val="21"/>
                    </w:rPr>
                    <w:t>，K≤10</w:t>
                  </w:r>
                  <w:r>
                    <w:rPr>
                      <w:rFonts w:ascii="Times New Roman" w:hAnsi="Times New Roman" w:eastAsia="宋体"/>
                      <w:sz w:val="21"/>
                      <w:vertAlign w:val="superscript"/>
                    </w:rPr>
                    <w:t>-10</w:t>
                  </w:r>
                  <w:r>
                    <w:rPr>
                      <w:rFonts w:ascii="Times New Roman" w:hAnsi="Times New Roman" w:eastAsia="宋体"/>
                      <w:sz w:val="21"/>
                    </w:rPr>
                    <w:t>cm/s；或参照GB18598执行</w:t>
                  </w:r>
                </w:p>
              </w:tc>
            </w:tr>
            <w:tr w14:paraId="4E4B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36" w:hRule="atLeast"/>
                <w:jc w:val="center"/>
              </w:trPr>
              <w:tc>
                <w:tcPr>
                  <w:tcW w:w="1451" w:type="pct"/>
                  <w:noWrap w:val="0"/>
                  <w:vAlign w:val="center"/>
                </w:tcPr>
                <w:p w14:paraId="1C876DFE">
                  <w:pPr>
                    <w:pStyle w:val="23"/>
                    <w:bidi w:val="0"/>
                    <w:rPr>
                      <w:rFonts w:ascii="Times New Roman" w:hAnsi="Times New Roman" w:eastAsia="宋体"/>
                      <w:sz w:val="21"/>
                    </w:rPr>
                  </w:pPr>
                  <w:r>
                    <w:rPr>
                      <w:rFonts w:hint="eastAsia" w:ascii="Times New Roman" w:hAnsi="Times New Roman" w:eastAsia="宋体"/>
                      <w:sz w:val="21"/>
                    </w:rPr>
                    <w:t>手术室</w:t>
                  </w:r>
                </w:p>
              </w:tc>
              <w:tc>
                <w:tcPr>
                  <w:tcW w:w="1234" w:type="pct"/>
                  <w:noWrap w:val="0"/>
                  <w:vAlign w:val="center"/>
                </w:tcPr>
                <w:p w14:paraId="2C6F8360">
                  <w:pPr>
                    <w:pStyle w:val="23"/>
                    <w:bidi w:val="0"/>
                    <w:rPr>
                      <w:rFonts w:ascii="Times New Roman" w:hAnsi="Times New Roman" w:eastAsia="宋体"/>
                      <w:sz w:val="21"/>
                    </w:rPr>
                  </w:pPr>
                  <w:r>
                    <w:rPr>
                      <w:rFonts w:hint="eastAsia" w:ascii="Times New Roman" w:hAnsi="Times New Roman" w:eastAsia="宋体"/>
                      <w:sz w:val="21"/>
                    </w:rPr>
                    <w:t>一般防渗区</w:t>
                  </w:r>
                </w:p>
              </w:tc>
              <w:tc>
                <w:tcPr>
                  <w:tcW w:w="2313" w:type="pct"/>
                  <w:noWrap w:val="0"/>
                  <w:vAlign w:val="center"/>
                </w:tcPr>
                <w:p w14:paraId="1D5827AA">
                  <w:pPr>
                    <w:pStyle w:val="23"/>
                    <w:bidi w:val="0"/>
                    <w:rPr>
                      <w:rFonts w:ascii="Times New Roman" w:hAnsi="Times New Roman" w:eastAsia="宋体"/>
                      <w:sz w:val="21"/>
                    </w:rPr>
                  </w:pPr>
                  <w:r>
                    <w:rPr>
                      <w:rFonts w:hint="eastAsia" w:ascii="Times New Roman" w:hAnsi="Times New Roman" w:eastAsia="宋体"/>
                      <w:sz w:val="21"/>
                    </w:rPr>
                    <w:t>防渗层采取10~15cm的水泥进行硬化，渗透系数≤10</w:t>
                  </w:r>
                  <w:r>
                    <w:rPr>
                      <w:rFonts w:hint="eastAsia" w:ascii="Times New Roman" w:hAnsi="Times New Roman" w:eastAsia="宋体"/>
                      <w:sz w:val="21"/>
                      <w:vertAlign w:val="superscript"/>
                    </w:rPr>
                    <w:t>-7</w:t>
                  </w:r>
                  <w:r>
                    <w:rPr>
                      <w:rFonts w:hint="eastAsia" w:ascii="Times New Roman" w:hAnsi="Times New Roman" w:eastAsia="宋体"/>
                      <w:sz w:val="21"/>
                    </w:rPr>
                    <w:t>cm/s</w:t>
                  </w:r>
                </w:p>
              </w:tc>
            </w:tr>
            <w:tr w14:paraId="0EBA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25" w:hRule="atLeast"/>
                <w:jc w:val="center"/>
              </w:trPr>
              <w:tc>
                <w:tcPr>
                  <w:tcW w:w="1451" w:type="pct"/>
                  <w:noWrap w:val="0"/>
                  <w:vAlign w:val="center"/>
                </w:tcPr>
                <w:p w14:paraId="07180DE8">
                  <w:pPr>
                    <w:pStyle w:val="23"/>
                    <w:bidi w:val="0"/>
                    <w:rPr>
                      <w:rFonts w:ascii="Times New Roman" w:hAnsi="Times New Roman" w:eastAsia="宋体"/>
                      <w:sz w:val="21"/>
                    </w:rPr>
                  </w:pPr>
                  <w:r>
                    <w:rPr>
                      <w:rFonts w:ascii="Times New Roman" w:hAnsi="Times New Roman" w:eastAsia="宋体"/>
                      <w:sz w:val="21"/>
                    </w:rPr>
                    <w:t>办公楼、道路</w:t>
                  </w:r>
                </w:p>
              </w:tc>
              <w:tc>
                <w:tcPr>
                  <w:tcW w:w="1234" w:type="pct"/>
                  <w:noWrap w:val="0"/>
                  <w:vAlign w:val="center"/>
                </w:tcPr>
                <w:p w14:paraId="5F2E8A3D">
                  <w:pPr>
                    <w:pStyle w:val="23"/>
                    <w:bidi w:val="0"/>
                    <w:rPr>
                      <w:rFonts w:ascii="Times New Roman" w:hAnsi="Times New Roman" w:eastAsia="宋体"/>
                      <w:sz w:val="21"/>
                    </w:rPr>
                  </w:pPr>
                  <w:r>
                    <w:rPr>
                      <w:rFonts w:ascii="Times New Roman" w:hAnsi="Times New Roman" w:eastAsia="宋体"/>
                      <w:sz w:val="21"/>
                    </w:rPr>
                    <w:t>简单防渗区</w:t>
                  </w:r>
                </w:p>
              </w:tc>
              <w:tc>
                <w:tcPr>
                  <w:tcW w:w="2313" w:type="pct"/>
                  <w:noWrap w:val="0"/>
                  <w:vAlign w:val="center"/>
                </w:tcPr>
                <w:p w14:paraId="0EC3CDE7">
                  <w:pPr>
                    <w:pStyle w:val="23"/>
                    <w:bidi w:val="0"/>
                    <w:rPr>
                      <w:rFonts w:ascii="Times New Roman" w:hAnsi="Times New Roman" w:eastAsia="宋体"/>
                      <w:sz w:val="21"/>
                    </w:rPr>
                  </w:pPr>
                  <w:r>
                    <w:rPr>
                      <w:rFonts w:ascii="Times New Roman" w:hAnsi="Times New Roman" w:eastAsia="宋体"/>
                      <w:sz w:val="21"/>
                    </w:rPr>
                    <w:t>地面进行硬化</w:t>
                  </w:r>
                </w:p>
              </w:tc>
            </w:tr>
          </w:tbl>
          <w:p w14:paraId="09D13909">
            <w:pPr>
              <w:pageBreakBefore w:val="0"/>
              <w:wordWrap/>
              <w:bidi w:val="0"/>
              <w:adjustRightInd w:val="0"/>
              <w:snapToGrid w:val="0"/>
              <w:rPr>
                <w:rStyle w:val="17"/>
                <w:rFonts w:ascii="Times New Roman" w:hAnsi="Times New Roman" w:eastAsia="宋体"/>
                <w:sz w:val="21"/>
              </w:rPr>
            </w:pPr>
          </w:p>
        </w:tc>
      </w:tr>
      <w:tr w14:paraId="40DD5F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63" w:type="dxa"/>
            <w:noWrap w:val="0"/>
            <w:vAlign w:val="center"/>
          </w:tcPr>
          <w:p w14:paraId="72839F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b/>
                <w:sz w:val="21"/>
              </w:rPr>
            </w:pPr>
            <w:r>
              <w:rPr>
                <w:rStyle w:val="17"/>
                <w:rFonts w:ascii="Times New Roman" w:hAnsi="Times New Roman" w:eastAsia="宋体"/>
                <w:b/>
                <w:sz w:val="21"/>
              </w:rPr>
              <w:t>生态保护措施</w:t>
            </w:r>
          </w:p>
        </w:tc>
        <w:tc>
          <w:tcPr>
            <w:tcW w:w="8597" w:type="dxa"/>
            <w:gridSpan w:val="5"/>
            <w:noWrap w:val="0"/>
            <w:vAlign w:val="center"/>
          </w:tcPr>
          <w:p w14:paraId="3AE0F37A">
            <w:pPr>
              <w:pageBreakBefore w:val="0"/>
              <w:wordWrap/>
              <w:bidi w:val="0"/>
              <w:adjustRightInd w:val="0"/>
              <w:snapToGrid w:val="0"/>
              <w:jc w:val="center"/>
              <w:rPr>
                <w:rStyle w:val="17"/>
                <w:rFonts w:ascii="Times New Roman" w:hAnsi="Times New Roman" w:eastAsia="宋体"/>
                <w:sz w:val="21"/>
              </w:rPr>
            </w:pPr>
            <w:r>
              <w:rPr>
                <w:rFonts w:ascii="Times New Roman" w:hAnsi="Times New Roman" w:eastAsia="宋体"/>
                <w:sz w:val="21"/>
              </w:rPr>
              <w:t>通过人工绿化方式进行区域绿化并恢复植被</w:t>
            </w:r>
            <w:r>
              <w:rPr>
                <w:rStyle w:val="17"/>
                <w:rFonts w:ascii="Times New Roman" w:hAnsi="Times New Roman" w:eastAsia="宋体"/>
                <w:sz w:val="21"/>
              </w:rPr>
              <w:t>。</w:t>
            </w:r>
          </w:p>
        </w:tc>
      </w:tr>
      <w:tr w14:paraId="26E3D2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63" w:type="dxa"/>
            <w:noWrap w:val="0"/>
            <w:vAlign w:val="center"/>
          </w:tcPr>
          <w:p w14:paraId="7CF0AE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17"/>
                <w:rFonts w:ascii="Times New Roman" w:hAnsi="Times New Roman" w:eastAsia="宋体"/>
                <w:b/>
                <w:sz w:val="21"/>
              </w:rPr>
            </w:pPr>
            <w:r>
              <w:rPr>
                <w:rStyle w:val="17"/>
                <w:rFonts w:ascii="Times New Roman" w:hAnsi="Times New Roman" w:eastAsia="宋体"/>
                <w:b/>
                <w:sz w:val="21"/>
              </w:rPr>
              <w:t>环境风险防范措施</w:t>
            </w:r>
          </w:p>
        </w:tc>
        <w:tc>
          <w:tcPr>
            <w:tcW w:w="8597" w:type="dxa"/>
            <w:gridSpan w:val="5"/>
            <w:noWrap w:val="0"/>
            <w:vAlign w:val="center"/>
          </w:tcPr>
          <w:p w14:paraId="347BFB41">
            <w:pPr>
              <w:bidi w:val="0"/>
              <w:rPr>
                <w:rFonts w:hint="eastAsia" w:ascii="Times New Roman" w:hAnsi="Times New Roman" w:eastAsia="宋体"/>
                <w:sz w:val="21"/>
                <w:lang w:eastAsia="zh-CN"/>
              </w:rPr>
            </w:pPr>
            <w:r>
              <w:rPr>
                <w:rFonts w:hint="eastAsia" w:ascii="Times New Roman" w:hAnsi="Times New Roman" w:eastAsia="宋体"/>
                <w:sz w:val="21"/>
                <w:lang w:eastAsia="zh-CN"/>
              </w:rPr>
              <w:t>（</w:t>
            </w:r>
            <w:r>
              <w:rPr>
                <w:rFonts w:hint="eastAsia" w:ascii="Times New Roman" w:hAnsi="Times New Roman" w:eastAsia="宋体"/>
                <w:sz w:val="21"/>
                <w:lang w:val="en-US" w:eastAsia="zh-CN"/>
              </w:rPr>
              <w:t>1</w:t>
            </w:r>
            <w:r>
              <w:rPr>
                <w:rFonts w:hint="eastAsia" w:ascii="Times New Roman" w:hAnsi="Times New Roman" w:eastAsia="宋体"/>
                <w:sz w:val="21"/>
                <w:lang w:eastAsia="zh-CN"/>
              </w:rPr>
              <w:t>）火灾风险：</w:t>
            </w:r>
          </w:p>
          <w:p w14:paraId="0F6EC8C1">
            <w:pPr>
              <w:bidi w:val="0"/>
              <w:rPr>
                <w:rFonts w:hint="eastAsia" w:ascii="Times New Roman" w:hAnsi="Times New Roman" w:eastAsia="宋体"/>
                <w:sz w:val="21"/>
                <w:lang w:eastAsia="zh-CN"/>
              </w:rPr>
            </w:pPr>
            <w:r>
              <w:rPr>
                <w:rFonts w:hint="eastAsia" w:ascii="Times New Roman" w:hAnsi="Times New Roman" w:eastAsia="宋体"/>
                <w:sz w:val="21"/>
                <w:lang w:eastAsia="zh-CN"/>
              </w:rPr>
              <w:t>①设立严禁烟火的标示，厂区内严禁烟火；</w:t>
            </w:r>
          </w:p>
          <w:p w14:paraId="785B24D1">
            <w:pPr>
              <w:bidi w:val="0"/>
              <w:rPr>
                <w:rFonts w:hint="eastAsia" w:ascii="Times New Roman" w:hAnsi="Times New Roman" w:eastAsia="宋体"/>
                <w:sz w:val="21"/>
                <w:lang w:eastAsia="zh-CN"/>
              </w:rPr>
            </w:pPr>
            <w:r>
              <w:rPr>
                <w:rFonts w:hint="eastAsia" w:ascii="Times New Roman" w:hAnsi="Times New Roman" w:eastAsia="宋体"/>
                <w:sz w:val="21"/>
                <w:lang w:eastAsia="zh-CN"/>
              </w:rPr>
              <w:t>②配备足够数量的相应消防设施；</w:t>
            </w:r>
          </w:p>
          <w:p w14:paraId="56EAD0BA">
            <w:pPr>
              <w:bidi w:val="0"/>
              <w:rPr>
                <w:rFonts w:hint="eastAsia" w:ascii="Times New Roman" w:hAnsi="Times New Roman" w:eastAsia="宋体"/>
                <w:sz w:val="21"/>
                <w:lang w:eastAsia="zh-CN"/>
              </w:rPr>
            </w:pPr>
            <w:r>
              <w:rPr>
                <w:rFonts w:hint="eastAsia" w:ascii="Times New Roman" w:hAnsi="Times New Roman" w:eastAsia="宋体"/>
                <w:sz w:val="21"/>
                <w:lang w:eastAsia="zh-CN"/>
              </w:rPr>
              <w:t>③一切消防器材不准挪动、乱用，并要定期检查，灭火器要按时换药。</w:t>
            </w:r>
          </w:p>
          <w:p w14:paraId="0A415E86">
            <w:pPr>
              <w:bidi w:val="0"/>
              <w:rPr>
                <w:rFonts w:hint="eastAsia" w:ascii="Times New Roman" w:hAnsi="Times New Roman" w:eastAsia="宋体"/>
                <w:sz w:val="21"/>
                <w:lang w:eastAsia="zh-CN"/>
              </w:rPr>
            </w:pPr>
            <w:r>
              <w:rPr>
                <w:rFonts w:hint="eastAsia" w:ascii="Times New Roman" w:hAnsi="Times New Roman" w:eastAsia="宋体"/>
                <w:sz w:val="21"/>
                <w:lang w:eastAsia="zh-CN"/>
              </w:rPr>
              <w:t>（</w:t>
            </w:r>
            <w:r>
              <w:rPr>
                <w:rFonts w:hint="eastAsia" w:ascii="Times New Roman" w:hAnsi="Times New Roman" w:eastAsia="宋体"/>
                <w:sz w:val="21"/>
                <w:lang w:val="en-US" w:eastAsia="zh-CN"/>
              </w:rPr>
              <w:t>2</w:t>
            </w:r>
            <w:r>
              <w:rPr>
                <w:rFonts w:hint="eastAsia" w:ascii="Times New Roman" w:hAnsi="Times New Roman" w:eastAsia="宋体"/>
                <w:sz w:val="21"/>
                <w:lang w:eastAsia="zh-CN"/>
              </w:rPr>
              <w:t>）医疗废物泄露风险：</w:t>
            </w:r>
          </w:p>
          <w:p w14:paraId="6BF25225">
            <w:pPr>
              <w:bidi w:val="0"/>
              <w:rPr>
                <w:rFonts w:hint="eastAsia" w:ascii="Times New Roman" w:hAnsi="Times New Roman" w:eastAsia="宋体"/>
                <w:sz w:val="21"/>
                <w:lang w:eastAsia="zh-CN"/>
              </w:rPr>
            </w:pPr>
            <w:r>
              <w:rPr>
                <w:rFonts w:hint="eastAsia" w:ascii="Times New Roman" w:hAnsi="Times New Roman" w:eastAsia="宋体"/>
                <w:sz w:val="21"/>
                <w:lang w:eastAsia="zh-CN"/>
              </w:rPr>
              <w:t>①门口贴标识标牌，设防火提示牌，门口设置警示牌；</w:t>
            </w:r>
          </w:p>
          <w:p w14:paraId="54FE694B">
            <w:pPr>
              <w:bidi w:val="0"/>
              <w:rPr>
                <w:rFonts w:hint="eastAsia" w:ascii="Times New Roman" w:hAnsi="Times New Roman" w:eastAsia="宋体"/>
                <w:sz w:val="21"/>
                <w:lang w:eastAsia="zh-CN"/>
              </w:rPr>
            </w:pPr>
            <w:r>
              <w:rPr>
                <w:rFonts w:hint="eastAsia" w:ascii="Times New Roman" w:hAnsi="Times New Roman" w:eastAsia="宋体"/>
                <w:sz w:val="21"/>
                <w:lang w:eastAsia="zh-CN"/>
              </w:rPr>
              <w:t>②采用专用容器，明确各类废弃物标识，分类包装，分类堆放；</w:t>
            </w:r>
          </w:p>
          <w:p w14:paraId="445D2364">
            <w:pPr>
              <w:bidi w:val="0"/>
              <w:rPr>
                <w:rFonts w:hint="eastAsia" w:ascii="Times New Roman" w:hAnsi="Times New Roman" w:eastAsia="宋体"/>
                <w:sz w:val="21"/>
                <w:lang w:eastAsia="zh-CN"/>
              </w:rPr>
            </w:pPr>
            <w:r>
              <w:rPr>
                <w:rFonts w:hint="eastAsia" w:ascii="Times New Roman" w:hAnsi="Times New Roman" w:eastAsia="宋体"/>
                <w:sz w:val="21"/>
                <w:lang w:eastAsia="zh-CN"/>
              </w:rPr>
              <w:t>③各科室及时收集处理；</w:t>
            </w:r>
          </w:p>
          <w:p w14:paraId="0EA48844">
            <w:pPr>
              <w:bidi w:val="0"/>
              <w:rPr>
                <w:rFonts w:hint="eastAsia" w:ascii="Times New Roman" w:hAnsi="Times New Roman" w:eastAsia="宋体"/>
                <w:sz w:val="21"/>
                <w:lang w:eastAsia="zh-CN"/>
              </w:rPr>
            </w:pPr>
            <w:r>
              <w:rPr>
                <w:rFonts w:hint="eastAsia" w:ascii="Times New Roman" w:hAnsi="Times New Roman" w:eastAsia="宋体"/>
                <w:sz w:val="21"/>
                <w:lang w:eastAsia="zh-CN"/>
              </w:rPr>
              <w:t>④作业人员须了解其接触的危险废物的性质、危害特性、包装容器的使用特性和发生意外时的应急措施，并配备必要的应急处理器材和防护用品；</w:t>
            </w:r>
          </w:p>
          <w:p w14:paraId="38DCF434">
            <w:pPr>
              <w:bidi w:val="0"/>
              <w:rPr>
                <w:rFonts w:hint="eastAsia" w:ascii="Times New Roman" w:hAnsi="Times New Roman" w:eastAsia="宋体"/>
                <w:sz w:val="21"/>
                <w:lang w:eastAsia="zh-CN"/>
              </w:rPr>
            </w:pPr>
            <w:r>
              <w:rPr>
                <w:rFonts w:hint="eastAsia" w:ascii="Times New Roman" w:hAnsi="Times New Roman" w:eastAsia="宋体"/>
                <w:sz w:val="21"/>
                <w:lang w:eastAsia="zh-CN"/>
              </w:rPr>
              <w:t>⑤危险废物暂存间地面全部进行重点防渗处理，危废间门口设置10cm高门槛。</w:t>
            </w:r>
          </w:p>
          <w:p w14:paraId="5027872A">
            <w:pPr>
              <w:bidi w:val="0"/>
              <w:rPr>
                <w:rFonts w:hint="eastAsia" w:ascii="Times New Roman" w:hAnsi="Times New Roman" w:eastAsia="宋体"/>
                <w:sz w:val="21"/>
                <w:lang w:eastAsia="zh-CN"/>
              </w:rPr>
            </w:pPr>
            <w:r>
              <w:rPr>
                <w:rFonts w:hint="eastAsia" w:ascii="Times New Roman" w:hAnsi="Times New Roman" w:eastAsia="宋体"/>
                <w:sz w:val="21"/>
                <w:lang w:eastAsia="zh-CN"/>
              </w:rPr>
              <w:t>（</w:t>
            </w:r>
            <w:r>
              <w:rPr>
                <w:rFonts w:hint="eastAsia" w:ascii="Times New Roman" w:hAnsi="Times New Roman" w:eastAsia="宋体"/>
                <w:sz w:val="21"/>
                <w:lang w:val="en-US" w:eastAsia="zh-CN"/>
              </w:rPr>
              <w:t>3</w:t>
            </w:r>
            <w:r>
              <w:rPr>
                <w:rFonts w:hint="eastAsia" w:ascii="Times New Roman" w:hAnsi="Times New Roman" w:eastAsia="宋体"/>
                <w:sz w:val="21"/>
                <w:lang w:eastAsia="zh-CN"/>
              </w:rPr>
              <w:t>）废水事故排放风险：</w:t>
            </w:r>
          </w:p>
          <w:p w14:paraId="4CB8920F">
            <w:pPr>
              <w:bidi w:val="0"/>
              <w:rPr>
                <w:rFonts w:hint="eastAsia" w:ascii="Times New Roman" w:hAnsi="Times New Roman" w:eastAsia="宋体"/>
                <w:sz w:val="21"/>
                <w:lang w:eastAsia="zh-CN"/>
              </w:rPr>
            </w:pPr>
            <w:r>
              <w:rPr>
                <w:rFonts w:hint="eastAsia" w:ascii="Times New Roman" w:hAnsi="Times New Roman" w:eastAsia="宋体"/>
                <w:sz w:val="21"/>
                <w:lang w:eastAsia="zh-CN"/>
              </w:rPr>
              <w:t>①发生污水处理站事故时，立即通知医院内各用水科室，采取停止或减少用水的措施，减少污水处理站处理负荷；</w:t>
            </w:r>
          </w:p>
          <w:p w14:paraId="7415467B">
            <w:pPr>
              <w:bidi w:val="0"/>
              <w:rPr>
                <w:rFonts w:hint="eastAsia" w:ascii="Times New Roman" w:hAnsi="Times New Roman" w:eastAsia="宋体"/>
                <w:sz w:val="21"/>
                <w:lang w:eastAsia="zh-CN"/>
              </w:rPr>
            </w:pPr>
            <w:r>
              <w:rPr>
                <w:rFonts w:hint="eastAsia" w:ascii="Times New Roman" w:hAnsi="Times New Roman" w:eastAsia="宋体"/>
                <w:sz w:val="21"/>
                <w:lang w:eastAsia="zh-CN"/>
              </w:rPr>
              <w:t>②当污水处理间发生事故停运时，应将污水立即引入调节池中暂存，并立即停止用水，对污水处理间进行紧急抢修。待其污水处理站恢复正常工作后，将该部分临时储存的污水经污水处理站处理达标后再外排进入市政污水管网。严禁项目污水未经有效处理就直接外排进入市政污水管网；</w:t>
            </w:r>
          </w:p>
          <w:p w14:paraId="2EC1CC48">
            <w:pPr>
              <w:bidi w:val="0"/>
              <w:rPr>
                <w:rFonts w:hint="eastAsia" w:ascii="Times New Roman" w:hAnsi="Times New Roman" w:eastAsia="宋体"/>
                <w:sz w:val="21"/>
                <w:lang w:eastAsia="zh-CN"/>
              </w:rPr>
            </w:pPr>
            <w:r>
              <w:rPr>
                <w:rFonts w:hint="eastAsia" w:ascii="Times New Roman" w:hAnsi="Times New Roman" w:eastAsia="宋体"/>
                <w:sz w:val="21"/>
                <w:lang w:eastAsia="zh-CN"/>
              </w:rPr>
              <w:t>③污水处理间运行自动化，采用自动投药、数据记录、专人专岗等，发生故障时，及时停止向外排放废水。加药工应接受培训并严格按照操作规程进行消毒粉投加，负责消毒粉日常运输条件及存贮环境，负责投药设备的日常维护使用；</w:t>
            </w:r>
          </w:p>
          <w:p w14:paraId="0E4CEC4E">
            <w:pPr>
              <w:bidi w:val="0"/>
              <w:rPr>
                <w:rFonts w:hint="eastAsia" w:ascii="Times New Roman" w:hAnsi="Times New Roman" w:eastAsia="宋体"/>
                <w:sz w:val="21"/>
                <w:lang w:eastAsia="zh-CN"/>
              </w:rPr>
            </w:pPr>
            <w:r>
              <w:rPr>
                <w:rFonts w:hint="eastAsia" w:ascii="Times New Roman" w:hAnsi="Times New Roman" w:eastAsia="宋体"/>
                <w:sz w:val="21"/>
                <w:lang w:eastAsia="zh-CN"/>
              </w:rPr>
              <w:t>④在污水处理站旁设置容积为2.5t的事故应急桶</w:t>
            </w:r>
          </w:p>
          <w:p w14:paraId="5475DFC1">
            <w:pPr>
              <w:bidi w:val="0"/>
              <w:rPr>
                <w:rFonts w:hint="eastAsia" w:ascii="Times New Roman" w:hAnsi="Times New Roman" w:eastAsia="宋体"/>
                <w:sz w:val="21"/>
                <w:lang w:eastAsia="zh-CN"/>
              </w:rPr>
            </w:pPr>
            <w:r>
              <w:rPr>
                <w:rFonts w:hint="eastAsia" w:ascii="Times New Roman" w:hAnsi="Times New Roman" w:eastAsia="宋体"/>
                <w:sz w:val="21"/>
                <w:lang w:eastAsia="zh-CN"/>
              </w:rPr>
              <w:t>（</w:t>
            </w:r>
            <w:r>
              <w:rPr>
                <w:rFonts w:hint="eastAsia" w:ascii="Times New Roman" w:hAnsi="Times New Roman" w:eastAsia="宋体"/>
                <w:sz w:val="21"/>
                <w:lang w:val="en-US" w:eastAsia="zh-CN"/>
              </w:rPr>
              <w:t>4</w:t>
            </w:r>
            <w:r>
              <w:rPr>
                <w:rFonts w:hint="eastAsia" w:ascii="Times New Roman" w:hAnsi="Times New Roman" w:eastAsia="宋体"/>
                <w:sz w:val="21"/>
                <w:lang w:eastAsia="zh-CN"/>
              </w:rPr>
              <w:t>）</w:t>
            </w:r>
            <w:r>
              <w:rPr>
                <w:rFonts w:hint="eastAsia" w:ascii="Times New Roman" w:hAnsi="Times New Roman" w:eastAsia="宋体"/>
                <w:sz w:val="21"/>
                <w:lang w:val="en-US" w:eastAsia="zh-CN"/>
              </w:rPr>
              <w:t>柴油暂存风险</w:t>
            </w:r>
          </w:p>
          <w:p w14:paraId="3035AE9D">
            <w:pPr>
              <w:bidi w:val="0"/>
              <w:rPr>
                <w:rFonts w:hint="eastAsia" w:ascii="Times New Roman" w:hAnsi="Times New Roman" w:eastAsia="宋体"/>
                <w:sz w:val="21"/>
                <w:lang w:eastAsia="zh-CN"/>
              </w:rPr>
            </w:pPr>
            <w:r>
              <w:rPr>
                <w:rFonts w:hint="eastAsia" w:ascii="Times New Roman" w:hAnsi="Times New Roman" w:eastAsia="宋体"/>
                <w:sz w:val="21"/>
                <w:lang w:eastAsia="zh-CN"/>
              </w:rPr>
              <w:t>柴油储油房储罐周围设置防火堤，内设置消防设施</w:t>
            </w:r>
          </w:p>
          <w:p w14:paraId="51454257">
            <w:pPr>
              <w:bidi w:val="0"/>
              <w:rPr>
                <w:rFonts w:hint="eastAsia" w:ascii="Times New Roman" w:hAnsi="Times New Roman" w:eastAsia="宋体"/>
                <w:sz w:val="21"/>
                <w:lang w:eastAsia="zh-CN"/>
              </w:rPr>
            </w:pPr>
            <w:r>
              <w:rPr>
                <w:rFonts w:hint="eastAsia" w:ascii="Times New Roman" w:hAnsi="Times New Roman" w:eastAsia="宋体"/>
                <w:sz w:val="21"/>
                <w:lang w:eastAsia="zh-CN"/>
              </w:rPr>
              <w:t>（</w:t>
            </w:r>
            <w:r>
              <w:rPr>
                <w:rFonts w:hint="eastAsia" w:ascii="Times New Roman" w:hAnsi="Times New Roman" w:eastAsia="宋体"/>
                <w:sz w:val="21"/>
                <w:lang w:val="en-US" w:eastAsia="zh-CN"/>
              </w:rPr>
              <w:t>5</w:t>
            </w:r>
            <w:r>
              <w:rPr>
                <w:rFonts w:hint="eastAsia" w:ascii="Times New Roman" w:hAnsi="Times New Roman" w:eastAsia="宋体"/>
                <w:sz w:val="21"/>
                <w:lang w:eastAsia="zh-CN"/>
              </w:rPr>
              <w:t>）</w:t>
            </w:r>
            <w:r>
              <w:rPr>
                <w:rFonts w:hint="eastAsia" w:ascii="Times New Roman" w:hAnsi="Times New Roman" w:eastAsia="宋体"/>
                <w:sz w:val="21"/>
                <w:lang w:val="en-US" w:eastAsia="zh-CN"/>
              </w:rPr>
              <w:t>氧气泄露防范措施</w:t>
            </w:r>
          </w:p>
          <w:p w14:paraId="64E353CF">
            <w:pPr>
              <w:bidi w:val="0"/>
              <w:rPr>
                <w:rFonts w:hint="eastAsia" w:ascii="Times New Roman" w:hAnsi="Times New Roman" w:eastAsia="宋体"/>
                <w:sz w:val="21"/>
                <w:lang w:eastAsia="zh-CN"/>
              </w:rPr>
            </w:pPr>
            <w:r>
              <w:rPr>
                <w:rFonts w:hint="eastAsia" w:ascii="Times New Roman" w:hAnsi="Times New Roman" w:eastAsia="宋体"/>
                <w:sz w:val="21"/>
                <w:lang w:eastAsia="zh-CN"/>
              </w:rPr>
              <w:t>①医院采购具有相应设计、制造资格的单位制造的压力容器，其产品必须附有制造厂的“产品质量证明书”和当地压力容器监检机构签发的“监检证书”；</w:t>
            </w:r>
          </w:p>
          <w:p w14:paraId="441226DB">
            <w:pPr>
              <w:bidi w:val="0"/>
              <w:rPr>
                <w:rFonts w:hint="eastAsia" w:ascii="Times New Roman" w:hAnsi="Times New Roman" w:eastAsia="宋体"/>
                <w:sz w:val="21"/>
                <w:lang w:eastAsia="zh-CN"/>
              </w:rPr>
            </w:pPr>
            <w:r>
              <w:rPr>
                <w:rFonts w:hint="eastAsia" w:ascii="Times New Roman" w:hAnsi="Times New Roman" w:eastAsia="宋体"/>
                <w:sz w:val="21"/>
                <w:lang w:eastAsia="zh-CN"/>
              </w:rPr>
              <w:t>②压力容器使用前必须办理注册登记手续，申领使用证，否则严禁使用；</w:t>
            </w:r>
          </w:p>
          <w:p w14:paraId="1794AAC9">
            <w:pPr>
              <w:bidi w:val="0"/>
              <w:rPr>
                <w:rFonts w:hint="eastAsia" w:ascii="Times New Roman" w:hAnsi="Times New Roman" w:eastAsia="宋体"/>
                <w:sz w:val="21"/>
                <w:lang w:eastAsia="zh-CN"/>
              </w:rPr>
            </w:pPr>
            <w:r>
              <w:rPr>
                <w:rFonts w:hint="eastAsia" w:ascii="Times New Roman" w:hAnsi="Times New Roman" w:eastAsia="宋体"/>
                <w:sz w:val="21"/>
                <w:lang w:eastAsia="zh-CN"/>
              </w:rPr>
              <w:t>③气瓶充装单位应经省特种设备安全监督管理部门许可，方可从事充装活动；</w:t>
            </w:r>
          </w:p>
          <w:p w14:paraId="656774C8">
            <w:pPr>
              <w:bidi w:val="0"/>
              <w:rPr>
                <w:rFonts w:hint="eastAsia" w:ascii="Times New Roman" w:hAnsi="Times New Roman" w:eastAsia="宋体"/>
                <w:sz w:val="21"/>
                <w:lang w:eastAsia="zh-CN"/>
              </w:rPr>
            </w:pPr>
            <w:r>
              <w:rPr>
                <w:rFonts w:hint="eastAsia" w:ascii="Times New Roman" w:hAnsi="Times New Roman" w:eastAsia="宋体"/>
                <w:sz w:val="21"/>
                <w:lang w:eastAsia="zh-CN"/>
              </w:rPr>
              <w:t>④应按照《压力容器安全技术监察规程》的规定，定期进行检验。对于安全状况等级达不到监督使用标准三级的压力容器，必须要在最近一次大修中治理升级；评定为五级的容器应按报废处理，决不能再继续使用；停用2年及以上的压力容器，需要重新启用时，要进行再次检验，确认合格后才能使用；</w:t>
            </w:r>
          </w:p>
          <w:p w14:paraId="0D9E362C">
            <w:pPr>
              <w:bidi w:val="0"/>
              <w:rPr>
                <w:rFonts w:hint="eastAsia" w:ascii="Times New Roman" w:hAnsi="Times New Roman" w:eastAsia="宋体"/>
                <w:sz w:val="21"/>
                <w:lang w:eastAsia="zh-CN"/>
              </w:rPr>
            </w:pPr>
            <w:r>
              <w:rPr>
                <w:rFonts w:hint="eastAsia" w:ascii="Times New Roman" w:hAnsi="Times New Roman" w:eastAsia="宋体"/>
                <w:sz w:val="21"/>
                <w:lang w:eastAsia="zh-CN"/>
              </w:rPr>
              <w:t>⑤氧气瓶罐存放的地点，严禁烟火，禁止易燃易爆，油类等危险物品入内或混放。须有专人负责管理，做好安全防火防爆工作，备有灭火器材；</w:t>
            </w:r>
          </w:p>
          <w:p w14:paraId="2BA19FEA">
            <w:pPr>
              <w:bidi w:val="0"/>
              <w:rPr>
                <w:rFonts w:hint="eastAsia" w:ascii="Times New Roman" w:hAnsi="Times New Roman" w:eastAsia="宋体"/>
                <w:sz w:val="21"/>
                <w:lang w:eastAsia="zh-CN"/>
              </w:rPr>
            </w:pPr>
            <w:r>
              <w:rPr>
                <w:rFonts w:hint="eastAsia" w:ascii="Times New Roman" w:hAnsi="Times New Roman" w:eastAsia="宋体"/>
                <w:sz w:val="21"/>
                <w:lang w:eastAsia="zh-CN"/>
              </w:rPr>
              <w:t>⑥同一储存间严禁存放其他可燃气瓶和油脂类物品；</w:t>
            </w:r>
          </w:p>
          <w:p w14:paraId="26C4F8E9">
            <w:pPr>
              <w:bidi w:val="0"/>
              <w:rPr>
                <w:rFonts w:hint="eastAsia" w:ascii="Times New Roman" w:hAnsi="Times New Roman" w:eastAsia="宋体"/>
                <w:sz w:val="21"/>
                <w:lang w:eastAsia="zh-CN"/>
              </w:rPr>
            </w:pPr>
            <w:r>
              <w:rPr>
                <w:rFonts w:hint="eastAsia" w:ascii="Times New Roman" w:hAnsi="Times New Roman" w:eastAsia="宋体"/>
                <w:sz w:val="21"/>
                <w:lang w:eastAsia="zh-CN"/>
              </w:rPr>
              <w:t>⑦使用氧气过程中要提供良好的自然通风条件。操作人员必须经过专门培训，严格遵守操作规程。生产和使用时，应远离火种、热源，远离易燃、可燃物，避免与活性金属粉末接触。工作场所严禁吸烟，还要避免高浓度吸入；</w:t>
            </w:r>
          </w:p>
          <w:p w14:paraId="16A03F59">
            <w:pPr>
              <w:bidi w:val="0"/>
              <w:rPr>
                <w:rStyle w:val="17"/>
                <w:rFonts w:hint="eastAsia" w:ascii="Times New Roman" w:hAnsi="Times New Roman" w:eastAsia="宋体"/>
                <w:sz w:val="21"/>
                <w:lang w:eastAsia="zh-CN"/>
              </w:rPr>
            </w:pPr>
            <w:r>
              <w:rPr>
                <w:rFonts w:hint="eastAsia" w:ascii="Times New Roman" w:hAnsi="Times New Roman" w:eastAsia="宋体"/>
                <w:sz w:val="21"/>
                <w:lang w:eastAsia="zh-CN"/>
              </w:rPr>
              <w:t>⑧氧气瓶罐的管理、搬运人员严格执行安全操作规程和安全制度。氧气瓶搬运谨防撞击，使用人员须注意安全，不准吸烟。氧气瓶阀门和管道开关须勤查，关闭好，不允许有漏气现象。非工作人员不准动用</w:t>
            </w:r>
            <w:r>
              <w:rPr>
                <w:rStyle w:val="17"/>
                <w:rFonts w:hint="eastAsia" w:ascii="Times New Roman" w:hAnsi="Times New Roman" w:eastAsia="宋体"/>
                <w:sz w:val="21"/>
                <w:lang w:eastAsia="zh-CN"/>
              </w:rPr>
              <w:t>。</w:t>
            </w:r>
          </w:p>
        </w:tc>
      </w:tr>
      <w:tr w14:paraId="3482B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63" w:type="dxa"/>
            <w:noWrap w:val="0"/>
            <w:vAlign w:val="center"/>
          </w:tcPr>
          <w:p w14:paraId="199B1D41">
            <w:pPr>
              <w:pageBreakBefore w:val="0"/>
              <w:wordWrap/>
              <w:bidi w:val="0"/>
              <w:adjustRightInd w:val="0"/>
              <w:snapToGrid w:val="0"/>
              <w:jc w:val="center"/>
              <w:rPr>
                <w:rStyle w:val="17"/>
                <w:rFonts w:ascii="Times New Roman" w:hAnsi="Times New Roman" w:eastAsia="宋体"/>
                <w:sz w:val="21"/>
              </w:rPr>
            </w:pPr>
            <w:r>
              <w:rPr>
                <w:rStyle w:val="17"/>
                <w:rFonts w:ascii="Times New Roman" w:hAnsi="Times New Roman" w:eastAsia="宋体"/>
                <w:sz w:val="21"/>
              </w:rPr>
              <w:t>其他环境管理要求</w:t>
            </w:r>
          </w:p>
        </w:tc>
        <w:tc>
          <w:tcPr>
            <w:tcW w:w="8597" w:type="dxa"/>
            <w:gridSpan w:val="5"/>
            <w:noWrap w:val="0"/>
            <w:vAlign w:val="center"/>
          </w:tcPr>
          <w:p w14:paraId="2B25710C">
            <w:pPr>
              <w:numPr>
                <w:ilvl w:val="0"/>
                <w:numId w:val="8"/>
              </w:numPr>
              <w:bidi w:val="0"/>
              <w:rPr>
                <w:rFonts w:hint="eastAsia" w:ascii="Times New Roman" w:hAnsi="Times New Roman" w:eastAsia="宋体"/>
                <w:sz w:val="21"/>
              </w:rPr>
            </w:pPr>
            <w:r>
              <w:rPr>
                <w:rFonts w:hint="eastAsia" w:ascii="Times New Roman" w:hAnsi="Times New Roman" w:eastAsia="宋体"/>
                <w:sz w:val="21"/>
              </w:rPr>
              <w:t>环境管理要求及管理职责</w:t>
            </w:r>
          </w:p>
          <w:p w14:paraId="22DBB5B6">
            <w:pPr>
              <w:numPr>
                <w:ilvl w:val="0"/>
                <w:numId w:val="8"/>
              </w:numPr>
              <w:bidi w:val="0"/>
              <w:rPr>
                <w:rFonts w:ascii="Times New Roman" w:hAnsi="Times New Roman" w:eastAsia="宋体"/>
                <w:sz w:val="21"/>
              </w:rPr>
            </w:pPr>
            <w:r>
              <w:rPr>
                <w:rFonts w:hint="eastAsia" w:ascii="Times New Roman" w:hAnsi="Times New Roman" w:eastAsia="宋体"/>
                <w:sz w:val="21"/>
              </w:rPr>
              <w:t>本项目应设置专门的环境管理机构和制度，企业必须由专人负责环境保护，建立废水、噪声、固废等各个方面的环境管理制度；经常进行环境意识宣传教育，培养职工的环保意识。</w:t>
            </w:r>
          </w:p>
          <w:p w14:paraId="26A68601">
            <w:pPr>
              <w:numPr>
                <w:ilvl w:val="0"/>
                <w:numId w:val="8"/>
              </w:numPr>
              <w:bidi w:val="0"/>
              <w:rPr>
                <w:rFonts w:ascii="Times New Roman" w:hAnsi="Times New Roman" w:eastAsia="宋体"/>
                <w:sz w:val="21"/>
              </w:rPr>
            </w:pPr>
            <w:r>
              <w:rPr>
                <w:rFonts w:hint="eastAsia" w:ascii="Times New Roman" w:hAnsi="Times New Roman" w:eastAsia="宋体"/>
                <w:sz w:val="21"/>
              </w:rPr>
              <w:t>企业环境保护责任人应充分发挥企业赋予的权力，认真履行相应职责，关心并积极听取可能受项目影响的附近单位及群众的反映，定期向当地环保部门汇报项目环境保护工作的情况，同时接受当地环境保护部门的监督和管理。</w:t>
            </w:r>
          </w:p>
          <w:p w14:paraId="051F35D1">
            <w:pPr>
              <w:numPr>
                <w:ilvl w:val="0"/>
                <w:numId w:val="8"/>
              </w:numPr>
              <w:bidi w:val="0"/>
              <w:rPr>
                <w:rStyle w:val="17"/>
                <w:rFonts w:ascii="Times New Roman" w:hAnsi="Times New Roman" w:eastAsia="宋体"/>
                <w:sz w:val="21"/>
              </w:rPr>
            </w:pPr>
            <w:r>
              <w:rPr>
                <w:rFonts w:hint="eastAsia" w:ascii="Times New Roman" w:hAnsi="Times New Roman" w:eastAsia="宋体"/>
                <w:sz w:val="21"/>
              </w:rPr>
              <w:t>对环境影响</w:t>
            </w:r>
            <w:r>
              <w:rPr>
                <w:rFonts w:hint="eastAsia" w:ascii="Times New Roman" w:hAnsi="Times New Roman" w:eastAsia="宋体"/>
                <w:sz w:val="21"/>
                <w:lang w:eastAsia="zh-CN"/>
              </w:rPr>
              <w:t>档案</w:t>
            </w:r>
            <w:r>
              <w:rPr>
                <w:rFonts w:hint="eastAsia" w:ascii="Times New Roman" w:hAnsi="Times New Roman" w:eastAsia="宋体"/>
                <w:sz w:val="21"/>
              </w:rPr>
              <w:t>、环保验收档</w:t>
            </w:r>
            <w:r>
              <w:rPr>
                <w:rFonts w:hint="eastAsia" w:ascii="Times New Roman" w:hAnsi="Times New Roman" w:eastAsia="宋体"/>
                <w:sz w:val="21"/>
                <w:lang w:eastAsia="zh-CN"/>
              </w:rPr>
              <w:t>案</w:t>
            </w:r>
            <w:r>
              <w:rPr>
                <w:rFonts w:hint="eastAsia" w:ascii="Times New Roman" w:hAnsi="Times New Roman" w:eastAsia="宋体"/>
                <w:sz w:val="21"/>
              </w:rPr>
              <w:t>、排污许可证、监测资料</w:t>
            </w:r>
            <w:r>
              <w:rPr>
                <w:rFonts w:hint="eastAsia" w:ascii="Times New Roman" w:hAnsi="Times New Roman" w:eastAsia="宋体"/>
                <w:sz w:val="21"/>
                <w:lang w:eastAsia="zh-CN"/>
              </w:rPr>
              <w:t>和</w:t>
            </w:r>
            <w:r>
              <w:rPr>
                <w:rFonts w:hint="eastAsia" w:ascii="Times New Roman" w:hAnsi="Times New Roman" w:eastAsia="宋体"/>
                <w:sz w:val="21"/>
              </w:rPr>
              <w:t>环境风险应急预案等环保相关手续进行分类存档。</w:t>
            </w:r>
          </w:p>
        </w:tc>
      </w:tr>
    </w:tbl>
    <w:p w14:paraId="22E5E172">
      <w:pPr>
        <w:pStyle w:val="2"/>
        <w:bidi w:val="0"/>
      </w:pPr>
      <w:r>
        <w:br w:type="page"/>
      </w:r>
      <w:bookmarkStart w:id="24" w:name="_Toc31865"/>
      <w:bookmarkStart w:id="25" w:name="_Toc17189"/>
      <w:r>
        <w:rPr>
          <w:rFonts w:hint="eastAsia"/>
        </w:rPr>
        <w:t>结论</w:t>
      </w:r>
      <w:bookmarkEnd w:id="24"/>
      <w:bookmarkEnd w:id="25"/>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82B1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32DBE6C9">
            <w:pPr>
              <w:bidi w:val="0"/>
              <w:jc w:val="both"/>
              <w:rPr>
                <w:rFonts w:hint="eastAsia"/>
              </w:rPr>
            </w:pPr>
            <w:r>
              <w:rPr>
                <w:rFonts w:hint="eastAsia"/>
              </w:rPr>
              <w:t>遂宁益民医院建设项目</w:t>
            </w:r>
            <w:r>
              <w:t>符合国家产业政策，项目选址和用地符合规划。</w:t>
            </w:r>
            <w:r>
              <w:rPr>
                <w:rFonts w:hint="eastAsia"/>
              </w:rPr>
              <w:t>区域环境质量现状良好。项目符合清洁生产原则，满足总量控制要求，采取的污染防治措施和对策经济技术可行，能实现各类污染物达标排放。项目建成运行后不会改变项目区域现有的环境</w:t>
            </w:r>
            <w:r>
              <w:rPr>
                <w:rFonts w:hint="eastAsia"/>
                <w:lang w:eastAsia="zh-CN"/>
              </w:rPr>
              <w:t>功能区划</w:t>
            </w:r>
            <w:r>
              <w:rPr>
                <w:rFonts w:hint="eastAsia"/>
              </w:rPr>
              <w:t>。本评价认为：项目在全面落实环保设施及环评要求（含风险事故防范应急措施）前提下，遂宁益民医院建设项目在遂宁市船山区开善东路32</w:t>
            </w:r>
            <w:r>
              <w:rPr>
                <w:rFonts w:hint="eastAsia"/>
                <w:lang w:val="en-US" w:eastAsia="zh-CN"/>
              </w:rPr>
              <w:t>7</w:t>
            </w:r>
            <w:r>
              <w:rPr>
                <w:rFonts w:hint="eastAsia"/>
              </w:rPr>
              <w:t>号建设是可行的。</w:t>
            </w:r>
          </w:p>
        </w:tc>
      </w:tr>
    </w:tbl>
    <w:p w14:paraId="086FD77C">
      <w:pPr>
        <w:pageBreakBefore w:val="0"/>
        <w:wordWrap/>
        <w:bidi w:val="0"/>
        <w:adjustRightInd w:val="0"/>
        <w:snapToGrid w:val="0"/>
        <w:rPr>
          <w:rFonts w:ascii="宋体"/>
        </w:rPr>
        <w:sectPr>
          <w:pgSz w:w="11906" w:h="16838"/>
          <w:pgMar w:top="1701" w:right="1531" w:bottom="1701" w:left="1531" w:header="1247" w:footer="1361" w:gutter="0"/>
          <w:pgBorders>
            <w:top w:val="none" w:sz="0" w:space="0"/>
            <w:left w:val="none" w:sz="0" w:space="0"/>
            <w:bottom w:val="none" w:sz="0" w:space="0"/>
            <w:right w:val="none" w:sz="0" w:space="0"/>
          </w:pgBorders>
          <w:pgNumType w:fmt="decimal"/>
          <w:cols w:space="720" w:num="1"/>
          <w:docGrid w:linePitch="312" w:charSpace="0"/>
        </w:sectPr>
      </w:pPr>
    </w:p>
    <w:p w14:paraId="639D75EB">
      <w:pPr>
        <w:pageBreakBefore w:val="0"/>
        <w:wordWrap/>
        <w:bidi w:val="0"/>
        <w:adjustRightInd w:val="0"/>
        <w:snapToGrid w:val="0"/>
        <w:spacing w:before="0" w:beforeAutospacing="0" w:after="0" w:afterAutospacing="0" w:line="648" w:lineRule="auto"/>
        <w:outlineLvl w:val="0"/>
        <w:rPr>
          <w:rFonts w:ascii="黑体" w:hAnsi="黑体" w:eastAsia="黑体"/>
          <w:snapToGrid w:val="0"/>
          <w:sz w:val="32"/>
          <w:szCs w:val="32"/>
        </w:rPr>
      </w:pPr>
      <w:bookmarkStart w:id="26" w:name="_Toc15789"/>
      <w:bookmarkStart w:id="27" w:name="_Toc1932"/>
      <w:r>
        <w:rPr>
          <w:rFonts w:hint="eastAsia" w:ascii="黑体" w:hAnsi="黑体" w:eastAsia="黑体"/>
          <w:snapToGrid w:val="0"/>
          <w:sz w:val="32"/>
          <w:szCs w:val="32"/>
        </w:rPr>
        <w:t>附表</w:t>
      </w:r>
      <w:bookmarkEnd w:id="26"/>
      <w:bookmarkEnd w:id="27"/>
    </w:p>
    <w:p w14:paraId="5C41FD92">
      <w:pPr>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auto"/>
        <w:jc w:val="center"/>
        <w:textAlignment w:val="auto"/>
        <w:outlineLvl w:val="9"/>
        <w:rPr>
          <w:rFonts w:hint="eastAsia" w:ascii="方正小标宋_GBK" w:hAnsi="黑体" w:eastAsia="方正小标宋_GBK"/>
          <w:snapToGrid w:val="0"/>
          <w:sz w:val="38"/>
          <w:szCs w:val="38"/>
        </w:rPr>
      </w:pPr>
      <w:bookmarkStart w:id="28" w:name="_Toc9352"/>
      <w:r>
        <w:rPr>
          <w:rFonts w:hint="eastAsia" w:ascii="方正小标宋_GBK" w:hAnsi="黑体" w:eastAsia="方正小标宋_GBK"/>
          <w:snapToGrid w:val="0"/>
          <w:sz w:val="38"/>
          <w:szCs w:val="38"/>
        </w:rPr>
        <w:t>建设项目污染物排放量汇总表</w:t>
      </w:r>
      <w:bookmarkEnd w:id="28"/>
    </w:p>
    <w:tbl>
      <w:tblPr>
        <w:tblStyle w:val="1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2178"/>
        <w:gridCol w:w="1444"/>
        <w:gridCol w:w="1447"/>
        <w:gridCol w:w="1447"/>
        <w:gridCol w:w="1447"/>
        <w:gridCol w:w="1447"/>
        <w:gridCol w:w="1452"/>
        <w:gridCol w:w="1452"/>
      </w:tblGrid>
      <w:tr w14:paraId="47814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34" w:type="pct"/>
            <w:tcBorders>
              <w:tl2br w:val="single" w:color="auto" w:sz="4" w:space="0"/>
            </w:tcBorders>
            <w:noWrap w:val="0"/>
            <w:tcMar>
              <w:left w:w="28" w:type="dxa"/>
              <w:right w:w="28" w:type="dxa"/>
            </w:tcMar>
            <w:vAlign w:val="bottom"/>
          </w:tcPr>
          <w:p w14:paraId="1A2A528E">
            <w:pPr>
              <w:keepNext w:val="0"/>
              <w:keepLines w:val="0"/>
              <w:pageBreakBefore w:val="0"/>
              <w:widowControl w:val="0"/>
              <w:suppressLineNumbers w:val="0"/>
              <w:tabs>
                <w:tab w:val="left" w:pos="958"/>
                <w:tab w:val="left" w:pos="7320"/>
                <w:tab w:val="left" w:pos="8160"/>
              </w:tabs>
              <w:kinsoku/>
              <w:wordWrap/>
              <w:overflowPunct/>
              <w:topLinePunct w:val="0"/>
              <w:autoSpaceDE/>
              <w:autoSpaceDN/>
              <w:bidi w:val="0"/>
              <w:adjustRightInd w:val="0"/>
              <w:snapToGrid w:val="0"/>
              <w:spacing w:before="60" w:beforeAutospacing="0" w:after="60" w:afterAutospacing="0" w:line="240" w:lineRule="auto"/>
              <w:ind w:left="0" w:right="0" w:firstLine="0" w:firstLineChars="0"/>
              <w:jc w:val="right"/>
              <w:textAlignment w:val="auto"/>
              <w:rPr>
                <w:rFonts w:hint="eastAsia" w:ascii="Times New Roman" w:hAnsi="Times New Roman" w:eastAsia="宋体" w:cs="宋体"/>
                <w:b/>
                <w:bCs/>
                <w:snapToGrid w:val="0"/>
                <w:color w:val="auto"/>
                <w:spacing w:val="-6"/>
                <w:kern w:val="21"/>
                <w:sz w:val="21"/>
                <w:szCs w:val="21"/>
              </w:rPr>
            </w:pPr>
            <w:r>
              <w:rPr>
                <w:rFonts w:hint="eastAsia" w:ascii="Times New Roman" w:hAnsi="Times New Roman" w:eastAsia="宋体" w:cs="宋体"/>
                <w:b/>
                <w:bCs/>
                <w:snapToGrid w:val="0"/>
                <w:color w:val="auto"/>
                <w:spacing w:val="-6"/>
                <w:kern w:val="21"/>
                <w:sz w:val="21"/>
                <w:szCs w:val="21"/>
              </w:rPr>
              <w:t>项目</w:t>
            </w:r>
          </w:p>
          <w:p w14:paraId="045BB127">
            <w:pPr>
              <w:keepNext w:val="0"/>
              <w:keepLines w:val="0"/>
              <w:pageBreakBefore w:val="0"/>
              <w:widowControl w:val="0"/>
              <w:suppressLineNumbers w:val="0"/>
              <w:tabs>
                <w:tab w:val="left" w:pos="958"/>
                <w:tab w:val="left" w:pos="7320"/>
                <w:tab w:val="left" w:pos="8160"/>
              </w:tabs>
              <w:kinsoku/>
              <w:wordWrap/>
              <w:overflowPunct/>
              <w:topLinePunct w:val="0"/>
              <w:autoSpaceDE/>
              <w:autoSpaceDN/>
              <w:bidi w:val="0"/>
              <w:adjustRightInd w:val="0"/>
              <w:snapToGrid w:val="0"/>
              <w:spacing w:before="60" w:beforeAutospacing="0" w:after="60" w:afterAutospacing="0" w:line="240" w:lineRule="auto"/>
              <w:ind w:left="0" w:right="0" w:firstLine="0" w:firstLineChars="0"/>
              <w:jc w:val="both"/>
              <w:textAlignment w:val="auto"/>
              <w:rPr>
                <w:rFonts w:hint="eastAsia" w:ascii="Times New Roman" w:hAnsi="Times New Roman" w:eastAsia="宋体" w:cs="宋体"/>
                <w:b/>
                <w:bCs/>
                <w:snapToGrid w:val="0"/>
                <w:color w:val="auto"/>
                <w:spacing w:val="-6"/>
                <w:kern w:val="21"/>
                <w:sz w:val="21"/>
                <w:szCs w:val="21"/>
              </w:rPr>
            </w:pPr>
            <w:r>
              <w:rPr>
                <w:rFonts w:hint="eastAsia" w:ascii="Times New Roman" w:hAnsi="Times New Roman" w:eastAsia="宋体" w:cs="宋体"/>
                <w:b/>
                <w:bCs/>
                <w:snapToGrid w:val="0"/>
                <w:color w:val="auto"/>
                <w:spacing w:val="-6"/>
                <w:kern w:val="21"/>
                <w:sz w:val="21"/>
                <w:szCs w:val="21"/>
              </w:rPr>
              <w:t>分类</w:t>
            </w:r>
          </w:p>
        </w:tc>
        <w:tc>
          <w:tcPr>
            <w:tcW w:w="807" w:type="pct"/>
            <w:noWrap w:val="0"/>
            <w:tcMar>
              <w:left w:w="28" w:type="dxa"/>
              <w:right w:w="28" w:type="dxa"/>
            </w:tcMar>
            <w:vAlign w:val="center"/>
          </w:tcPr>
          <w:p w14:paraId="03BC41FD">
            <w:pPr>
              <w:keepNext w:val="0"/>
              <w:keepLines w:val="0"/>
              <w:pageBreakBefore w:val="0"/>
              <w:widowControl w:val="0"/>
              <w:suppressLineNumbers w:val="0"/>
              <w:tabs>
                <w:tab w:val="left" w:pos="958"/>
                <w:tab w:val="left" w:pos="7320"/>
                <w:tab w:val="left" w:pos="8160"/>
              </w:tabs>
              <w:kinsoku/>
              <w:wordWrap/>
              <w:overflowPunct/>
              <w:topLinePunct w:val="0"/>
              <w:autoSpaceDE/>
              <w:autoSpaceDN/>
              <w:bidi w:val="0"/>
              <w:adjustRightInd w:val="0"/>
              <w:snapToGrid w:val="0"/>
              <w:spacing w:before="60" w:beforeAutospacing="0" w:after="60" w:afterAutospacing="0" w:line="240" w:lineRule="auto"/>
              <w:ind w:left="0" w:right="0" w:firstLine="0" w:firstLineChars="0"/>
              <w:jc w:val="center"/>
              <w:textAlignment w:val="auto"/>
              <w:rPr>
                <w:rFonts w:hint="eastAsia" w:ascii="Times New Roman" w:hAnsi="Times New Roman" w:eastAsia="宋体" w:cs="宋体"/>
                <w:b/>
                <w:bCs/>
                <w:snapToGrid w:val="0"/>
                <w:color w:val="auto"/>
                <w:spacing w:val="-6"/>
                <w:kern w:val="21"/>
                <w:sz w:val="21"/>
                <w:szCs w:val="21"/>
              </w:rPr>
            </w:pPr>
            <w:r>
              <w:rPr>
                <w:rFonts w:hint="eastAsia" w:ascii="Times New Roman" w:hAnsi="Times New Roman" w:eastAsia="宋体" w:cs="宋体"/>
                <w:b/>
                <w:bCs/>
                <w:snapToGrid w:val="0"/>
                <w:color w:val="auto"/>
                <w:spacing w:val="-6"/>
                <w:kern w:val="21"/>
                <w:sz w:val="21"/>
                <w:szCs w:val="21"/>
              </w:rPr>
              <w:t>污染物名称</w:t>
            </w:r>
          </w:p>
        </w:tc>
        <w:tc>
          <w:tcPr>
            <w:tcW w:w="535" w:type="pct"/>
            <w:noWrap w:val="0"/>
            <w:tcMar>
              <w:left w:w="28" w:type="dxa"/>
              <w:right w:w="28" w:type="dxa"/>
            </w:tcMar>
            <w:vAlign w:val="center"/>
          </w:tcPr>
          <w:p w14:paraId="024310D6">
            <w:pPr>
              <w:keepNext w:val="0"/>
              <w:keepLines w:val="0"/>
              <w:pageBreakBefore w:val="0"/>
              <w:widowControl w:val="0"/>
              <w:suppressLineNumbers w:val="0"/>
              <w:tabs>
                <w:tab w:val="left" w:pos="958"/>
                <w:tab w:val="left" w:pos="7320"/>
                <w:tab w:val="left" w:pos="8160"/>
              </w:tabs>
              <w:kinsoku/>
              <w:wordWrap/>
              <w:overflowPunct/>
              <w:topLinePunct w:val="0"/>
              <w:autoSpaceDE/>
              <w:autoSpaceDN/>
              <w:bidi w:val="0"/>
              <w:adjustRightInd w:val="0"/>
              <w:snapToGrid w:val="0"/>
              <w:spacing w:before="60" w:beforeAutospacing="0" w:after="60" w:afterAutospacing="0" w:line="240" w:lineRule="auto"/>
              <w:ind w:left="0" w:right="0" w:firstLine="0" w:firstLineChars="0"/>
              <w:jc w:val="center"/>
              <w:textAlignment w:val="auto"/>
              <w:rPr>
                <w:rFonts w:hint="eastAsia" w:ascii="Times New Roman" w:hAnsi="Times New Roman" w:eastAsia="宋体" w:cs="等线"/>
                <w:b/>
                <w:bCs/>
                <w:snapToGrid w:val="0"/>
                <w:color w:val="auto"/>
                <w:spacing w:val="-6"/>
                <w:kern w:val="21"/>
                <w:sz w:val="21"/>
                <w:szCs w:val="21"/>
              </w:rPr>
            </w:pPr>
            <w:r>
              <w:rPr>
                <w:rFonts w:hint="eastAsia" w:ascii="Times New Roman" w:hAnsi="Times New Roman" w:eastAsia="宋体" w:cs="等线"/>
                <w:b/>
                <w:bCs/>
                <w:snapToGrid w:val="0"/>
                <w:color w:val="auto"/>
                <w:spacing w:val="-6"/>
                <w:kern w:val="21"/>
                <w:sz w:val="21"/>
                <w:szCs w:val="21"/>
              </w:rPr>
              <w:t>现有工程排放量（固体废物产生量）</w:t>
            </w:r>
            <w:r>
              <w:rPr>
                <w:rFonts w:hint="eastAsia" w:ascii="Times New Roman" w:hAnsi="Times New Roman" w:eastAsia="宋体" w:cs="等线"/>
                <w:b/>
                <w:bCs/>
                <w:snapToGrid w:val="0"/>
                <w:color w:val="auto"/>
                <w:spacing w:val="-6"/>
                <w:kern w:val="21"/>
                <w:sz w:val="21"/>
                <w:szCs w:val="21"/>
              </w:rPr>
              <w:fldChar w:fldCharType="begin"/>
            </w:r>
            <w:r>
              <w:rPr>
                <w:rFonts w:hint="eastAsia" w:ascii="Times New Roman" w:hAnsi="Times New Roman" w:eastAsia="宋体" w:cs="等线"/>
                <w:b/>
                <w:bCs/>
                <w:snapToGrid w:val="0"/>
                <w:color w:val="auto"/>
                <w:spacing w:val="-6"/>
                <w:kern w:val="21"/>
                <w:sz w:val="21"/>
                <w:szCs w:val="21"/>
              </w:rPr>
              <w:instrText xml:space="preserve"> = 1 \* GB3 \* MERGEFORMAT </w:instrText>
            </w:r>
            <w:r>
              <w:rPr>
                <w:rFonts w:hint="eastAsia" w:ascii="Times New Roman" w:hAnsi="Times New Roman" w:eastAsia="宋体" w:cs="等线"/>
                <w:b/>
                <w:bCs/>
                <w:snapToGrid w:val="0"/>
                <w:color w:val="auto"/>
                <w:spacing w:val="-6"/>
                <w:kern w:val="21"/>
                <w:sz w:val="21"/>
                <w:szCs w:val="21"/>
              </w:rPr>
              <w:fldChar w:fldCharType="separate"/>
            </w:r>
            <w:r>
              <w:rPr>
                <w:rFonts w:hint="eastAsia" w:ascii="Times New Roman" w:hAnsi="Times New Roman" w:eastAsia="宋体" w:cs="宋体"/>
                <w:b/>
                <w:bCs/>
                <w:color w:val="auto"/>
                <w:kern w:val="2"/>
                <w:sz w:val="21"/>
                <w:szCs w:val="21"/>
              </w:rPr>
              <w:t>①</w:t>
            </w:r>
            <w:r>
              <w:rPr>
                <w:rFonts w:hint="eastAsia" w:ascii="Times New Roman" w:hAnsi="Times New Roman" w:eastAsia="宋体" w:cs="等线"/>
                <w:b/>
                <w:bCs/>
                <w:snapToGrid w:val="0"/>
                <w:color w:val="auto"/>
                <w:spacing w:val="-6"/>
                <w:kern w:val="21"/>
                <w:sz w:val="21"/>
                <w:szCs w:val="21"/>
              </w:rPr>
              <w:fldChar w:fldCharType="end"/>
            </w:r>
          </w:p>
        </w:tc>
        <w:tc>
          <w:tcPr>
            <w:tcW w:w="536" w:type="pct"/>
            <w:noWrap w:val="0"/>
            <w:tcMar>
              <w:left w:w="28" w:type="dxa"/>
              <w:right w:w="28" w:type="dxa"/>
            </w:tcMar>
            <w:vAlign w:val="center"/>
          </w:tcPr>
          <w:p w14:paraId="5C840326">
            <w:pPr>
              <w:keepNext w:val="0"/>
              <w:keepLines w:val="0"/>
              <w:pageBreakBefore w:val="0"/>
              <w:widowControl w:val="0"/>
              <w:suppressLineNumbers w:val="0"/>
              <w:tabs>
                <w:tab w:val="left" w:pos="958"/>
                <w:tab w:val="left" w:pos="7320"/>
                <w:tab w:val="left" w:pos="8160"/>
              </w:tabs>
              <w:kinsoku/>
              <w:wordWrap/>
              <w:overflowPunct/>
              <w:topLinePunct w:val="0"/>
              <w:autoSpaceDE/>
              <w:autoSpaceDN/>
              <w:bidi w:val="0"/>
              <w:adjustRightInd w:val="0"/>
              <w:snapToGrid w:val="0"/>
              <w:spacing w:before="60" w:beforeAutospacing="0" w:after="60" w:afterAutospacing="0" w:line="240" w:lineRule="auto"/>
              <w:ind w:left="0" w:right="0" w:firstLine="0" w:firstLineChars="0"/>
              <w:jc w:val="center"/>
              <w:textAlignment w:val="auto"/>
              <w:rPr>
                <w:rFonts w:hint="eastAsia" w:ascii="Times New Roman" w:hAnsi="Times New Roman" w:eastAsia="宋体" w:cs="等线"/>
                <w:b/>
                <w:bCs/>
                <w:snapToGrid w:val="0"/>
                <w:color w:val="auto"/>
                <w:spacing w:val="-6"/>
                <w:kern w:val="21"/>
                <w:sz w:val="21"/>
                <w:szCs w:val="21"/>
              </w:rPr>
            </w:pPr>
            <w:r>
              <w:rPr>
                <w:rFonts w:hint="eastAsia" w:ascii="Times New Roman" w:hAnsi="Times New Roman" w:eastAsia="宋体" w:cs="等线"/>
                <w:b/>
                <w:bCs/>
                <w:snapToGrid w:val="0"/>
                <w:color w:val="auto"/>
                <w:spacing w:val="-6"/>
                <w:kern w:val="21"/>
                <w:sz w:val="21"/>
                <w:szCs w:val="21"/>
              </w:rPr>
              <w:t>现有工程许可排放量</w:t>
            </w:r>
            <w:r>
              <w:rPr>
                <w:rFonts w:hint="eastAsia" w:ascii="Times New Roman" w:hAnsi="Times New Roman" w:eastAsia="宋体" w:cs="等线"/>
                <w:b/>
                <w:bCs/>
                <w:snapToGrid w:val="0"/>
                <w:color w:val="auto"/>
                <w:spacing w:val="-6"/>
                <w:kern w:val="21"/>
                <w:sz w:val="21"/>
                <w:szCs w:val="21"/>
              </w:rPr>
              <w:fldChar w:fldCharType="begin"/>
            </w:r>
            <w:r>
              <w:rPr>
                <w:rFonts w:hint="eastAsia" w:ascii="Times New Roman" w:hAnsi="Times New Roman" w:eastAsia="宋体" w:cs="等线"/>
                <w:b/>
                <w:bCs/>
                <w:snapToGrid w:val="0"/>
                <w:color w:val="auto"/>
                <w:spacing w:val="-6"/>
                <w:kern w:val="21"/>
                <w:sz w:val="21"/>
                <w:szCs w:val="21"/>
              </w:rPr>
              <w:instrText xml:space="preserve"> = 2 \* GB3 \* MERGEFORMAT </w:instrText>
            </w:r>
            <w:r>
              <w:rPr>
                <w:rFonts w:hint="eastAsia" w:ascii="Times New Roman" w:hAnsi="Times New Roman" w:eastAsia="宋体" w:cs="等线"/>
                <w:b/>
                <w:bCs/>
                <w:snapToGrid w:val="0"/>
                <w:color w:val="auto"/>
                <w:spacing w:val="-6"/>
                <w:kern w:val="21"/>
                <w:sz w:val="21"/>
                <w:szCs w:val="21"/>
              </w:rPr>
              <w:fldChar w:fldCharType="separate"/>
            </w:r>
            <w:r>
              <w:rPr>
                <w:rFonts w:hint="eastAsia" w:ascii="Times New Roman" w:hAnsi="Times New Roman" w:eastAsia="宋体" w:cs="宋体"/>
                <w:b/>
                <w:bCs/>
                <w:snapToGrid w:val="0"/>
                <w:color w:val="auto"/>
                <w:spacing w:val="-6"/>
                <w:kern w:val="21"/>
                <w:sz w:val="21"/>
                <w:szCs w:val="21"/>
              </w:rPr>
              <w:t>②</w:t>
            </w:r>
            <w:r>
              <w:rPr>
                <w:rFonts w:hint="eastAsia" w:ascii="Times New Roman" w:hAnsi="Times New Roman" w:eastAsia="宋体" w:cs="等线"/>
                <w:b/>
                <w:bCs/>
                <w:snapToGrid w:val="0"/>
                <w:color w:val="auto"/>
                <w:spacing w:val="-6"/>
                <w:kern w:val="21"/>
                <w:sz w:val="21"/>
                <w:szCs w:val="21"/>
              </w:rPr>
              <w:fldChar w:fldCharType="end"/>
            </w:r>
          </w:p>
        </w:tc>
        <w:tc>
          <w:tcPr>
            <w:tcW w:w="536" w:type="pct"/>
            <w:noWrap w:val="0"/>
            <w:tcMar>
              <w:left w:w="28" w:type="dxa"/>
              <w:right w:w="28" w:type="dxa"/>
            </w:tcMar>
            <w:vAlign w:val="center"/>
          </w:tcPr>
          <w:p w14:paraId="279A4237">
            <w:pPr>
              <w:keepNext w:val="0"/>
              <w:keepLines w:val="0"/>
              <w:pageBreakBefore w:val="0"/>
              <w:widowControl w:val="0"/>
              <w:suppressLineNumbers w:val="0"/>
              <w:tabs>
                <w:tab w:val="left" w:pos="958"/>
                <w:tab w:val="left" w:pos="7320"/>
                <w:tab w:val="left" w:pos="8160"/>
              </w:tabs>
              <w:kinsoku/>
              <w:wordWrap/>
              <w:overflowPunct/>
              <w:topLinePunct w:val="0"/>
              <w:autoSpaceDE/>
              <w:autoSpaceDN/>
              <w:bidi w:val="0"/>
              <w:adjustRightInd w:val="0"/>
              <w:snapToGrid w:val="0"/>
              <w:spacing w:before="60" w:beforeAutospacing="0" w:after="60" w:afterAutospacing="0" w:line="240" w:lineRule="auto"/>
              <w:ind w:left="0" w:right="0" w:firstLine="0" w:firstLineChars="0"/>
              <w:jc w:val="center"/>
              <w:textAlignment w:val="auto"/>
              <w:rPr>
                <w:rFonts w:hint="eastAsia" w:ascii="Times New Roman" w:hAnsi="Times New Roman" w:eastAsia="宋体" w:cs="等线"/>
                <w:b/>
                <w:bCs/>
                <w:snapToGrid w:val="0"/>
                <w:color w:val="auto"/>
                <w:spacing w:val="-6"/>
                <w:kern w:val="21"/>
                <w:sz w:val="21"/>
                <w:szCs w:val="21"/>
              </w:rPr>
            </w:pPr>
            <w:r>
              <w:rPr>
                <w:rFonts w:hint="eastAsia" w:ascii="Times New Roman" w:hAnsi="Times New Roman" w:eastAsia="宋体" w:cs="等线"/>
                <w:b/>
                <w:bCs/>
                <w:snapToGrid w:val="0"/>
                <w:color w:val="auto"/>
                <w:spacing w:val="-6"/>
                <w:kern w:val="21"/>
                <w:sz w:val="21"/>
                <w:szCs w:val="21"/>
              </w:rPr>
              <w:t>在建工程排放量（固体废物产生量）</w:t>
            </w:r>
            <w:r>
              <w:rPr>
                <w:rFonts w:hint="eastAsia" w:ascii="Times New Roman" w:hAnsi="Times New Roman" w:eastAsia="宋体" w:cs="等线"/>
                <w:b/>
                <w:bCs/>
                <w:snapToGrid w:val="0"/>
                <w:color w:val="auto"/>
                <w:spacing w:val="-6"/>
                <w:kern w:val="21"/>
                <w:sz w:val="21"/>
                <w:szCs w:val="21"/>
              </w:rPr>
              <w:fldChar w:fldCharType="begin"/>
            </w:r>
            <w:r>
              <w:rPr>
                <w:rFonts w:hint="eastAsia" w:ascii="Times New Roman" w:hAnsi="Times New Roman" w:eastAsia="宋体" w:cs="等线"/>
                <w:b/>
                <w:bCs/>
                <w:snapToGrid w:val="0"/>
                <w:color w:val="auto"/>
                <w:spacing w:val="-6"/>
                <w:kern w:val="21"/>
                <w:sz w:val="21"/>
                <w:szCs w:val="21"/>
              </w:rPr>
              <w:instrText xml:space="preserve"> = 3 \* GB3 \* MERGEFORMAT </w:instrText>
            </w:r>
            <w:r>
              <w:rPr>
                <w:rFonts w:hint="eastAsia" w:ascii="Times New Roman" w:hAnsi="Times New Roman" w:eastAsia="宋体" w:cs="等线"/>
                <w:b/>
                <w:bCs/>
                <w:snapToGrid w:val="0"/>
                <w:color w:val="auto"/>
                <w:spacing w:val="-6"/>
                <w:kern w:val="21"/>
                <w:sz w:val="21"/>
                <w:szCs w:val="21"/>
              </w:rPr>
              <w:fldChar w:fldCharType="separate"/>
            </w:r>
            <w:r>
              <w:rPr>
                <w:rFonts w:hint="eastAsia" w:ascii="Times New Roman" w:hAnsi="Times New Roman" w:eastAsia="宋体" w:cs="宋体"/>
                <w:b/>
                <w:bCs/>
                <w:color w:val="auto"/>
                <w:kern w:val="2"/>
                <w:sz w:val="21"/>
                <w:szCs w:val="21"/>
              </w:rPr>
              <w:t>③</w:t>
            </w:r>
            <w:r>
              <w:rPr>
                <w:rFonts w:hint="eastAsia" w:ascii="Times New Roman" w:hAnsi="Times New Roman" w:eastAsia="宋体" w:cs="等线"/>
                <w:b/>
                <w:bCs/>
                <w:snapToGrid w:val="0"/>
                <w:color w:val="auto"/>
                <w:spacing w:val="-6"/>
                <w:kern w:val="21"/>
                <w:sz w:val="21"/>
                <w:szCs w:val="21"/>
              </w:rPr>
              <w:fldChar w:fldCharType="end"/>
            </w:r>
          </w:p>
        </w:tc>
        <w:tc>
          <w:tcPr>
            <w:tcW w:w="536" w:type="pct"/>
            <w:noWrap w:val="0"/>
            <w:tcMar>
              <w:left w:w="28" w:type="dxa"/>
              <w:right w:w="28" w:type="dxa"/>
            </w:tcMar>
            <w:vAlign w:val="center"/>
          </w:tcPr>
          <w:p w14:paraId="6A7EE31E">
            <w:pPr>
              <w:keepNext w:val="0"/>
              <w:keepLines w:val="0"/>
              <w:pageBreakBefore w:val="0"/>
              <w:widowControl w:val="0"/>
              <w:suppressLineNumbers w:val="0"/>
              <w:tabs>
                <w:tab w:val="left" w:pos="958"/>
                <w:tab w:val="left" w:pos="7320"/>
                <w:tab w:val="left" w:pos="8160"/>
              </w:tabs>
              <w:kinsoku/>
              <w:wordWrap/>
              <w:overflowPunct/>
              <w:topLinePunct w:val="0"/>
              <w:autoSpaceDE/>
              <w:autoSpaceDN/>
              <w:bidi w:val="0"/>
              <w:adjustRightInd w:val="0"/>
              <w:snapToGrid w:val="0"/>
              <w:spacing w:before="60" w:beforeAutospacing="0" w:after="60" w:afterAutospacing="0" w:line="240" w:lineRule="auto"/>
              <w:ind w:left="0" w:right="0" w:firstLine="0" w:firstLineChars="0"/>
              <w:jc w:val="center"/>
              <w:textAlignment w:val="auto"/>
              <w:rPr>
                <w:rFonts w:hint="eastAsia" w:ascii="Times New Roman" w:hAnsi="Times New Roman" w:eastAsia="宋体" w:cs="等线"/>
                <w:b/>
                <w:bCs/>
                <w:snapToGrid w:val="0"/>
                <w:color w:val="auto"/>
                <w:spacing w:val="-6"/>
                <w:kern w:val="21"/>
                <w:sz w:val="21"/>
                <w:szCs w:val="21"/>
              </w:rPr>
            </w:pPr>
            <w:r>
              <w:rPr>
                <w:rFonts w:hint="eastAsia" w:ascii="Times New Roman" w:hAnsi="Times New Roman" w:eastAsia="宋体" w:cs="等线"/>
                <w:b/>
                <w:bCs/>
                <w:snapToGrid w:val="0"/>
                <w:color w:val="auto"/>
                <w:spacing w:val="-6"/>
                <w:kern w:val="21"/>
                <w:sz w:val="21"/>
                <w:szCs w:val="21"/>
              </w:rPr>
              <w:t>本项目排放量（固体废物产生量）</w:t>
            </w:r>
            <w:r>
              <w:rPr>
                <w:rFonts w:hint="eastAsia" w:ascii="Times New Roman" w:hAnsi="Times New Roman" w:eastAsia="宋体" w:cs="等线"/>
                <w:b/>
                <w:bCs/>
                <w:snapToGrid w:val="0"/>
                <w:color w:val="auto"/>
                <w:spacing w:val="-6"/>
                <w:kern w:val="21"/>
                <w:sz w:val="21"/>
                <w:szCs w:val="21"/>
              </w:rPr>
              <w:fldChar w:fldCharType="begin"/>
            </w:r>
            <w:r>
              <w:rPr>
                <w:rFonts w:hint="eastAsia" w:ascii="Times New Roman" w:hAnsi="Times New Roman" w:eastAsia="宋体" w:cs="等线"/>
                <w:b/>
                <w:bCs/>
                <w:snapToGrid w:val="0"/>
                <w:color w:val="auto"/>
                <w:spacing w:val="-6"/>
                <w:kern w:val="21"/>
                <w:sz w:val="21"/>
                <w:szCs w:val="21"/>
              </w:rPr>
              <w:instrText xml:space="preserve"> = 4 \* GB3 \* MERGEFORMAT </w:instrText>
            </w:r>
            <w:r>
              <w:rPr>
                <w:rFonts w:hint="eastAsia" w:ascii="Times New Roman" w:hAnsi="Times New Roman" w:eastAsia="宋体" w:cs="等线"/>
                <w:b/>
                <w:bCs/>
                <w:snapToGrid w:val="0"/>
                <w:color w:val="auto"/>
                <w:spacing w:val="-6"/>
                <w:kern w:val="21"/>
                <w:sz w:val="21"/>
                <w:szCs w:val="21"/>
              </w:rPr>
              <w:fldChar w:fldCharType="separate"/>
            </w:r>
            <w:r>
              <w:rPr>
                <w:rFonts w:hint="eastAsia" w:ascii="Times New Roman" w:hAnsi="Times New Roman" w:eastAsia="宋体" w:cs="宋体"/>
                <w:b/>
                <w:bCs/>
                <w:color w:val="auto"/>
                <w:kern w:val="2"/>
                <w:sz w:val="21"/>
                <w:szCs w:val="21"/>
              </w:rPr>
              <w:t>④</w:t>
            </w:r>
            <w:r>
              <w:rPr>
                <w:rFonts w:hint="eastAsia" w:ascii="Times New Roman" w:hAnsi="Times New Roman" w:eastAsia="宋体" w:cs="等线"/>
                <w:b/>
                <w:bCs/>
                <w:snapToGrid w:val="0"/>
                <w:color w:val="auto"/>
                <w:spacing w:val="-6"/>
                <w:kern w:val="21"/>
                <w:sz w:val="21"/>
                <w:szCs w:val="21"/>
              </w:rPr>
              <w:fldChar w:fldCharType="end"/>
            </w:r>
          </w:p>
        </w:tc>
        <w:tc>
          <w:tcPr>
            <w:tcW w:w="536" w:type="pct"/>
            <w:noWrap w:val="0"/>
            <w:tcMar>
              <w:left w:w="28" w:type="dxa"/>
              <w:right w:w="28" w:type="dxa"/>
            </w:tcMar>
            <w:vAlign w:val="center"/>
          </w:tcPr>
          <w:p w14:paraId="51D0DD33">
            <w:pPr>
              <w:keepNext w:val="0"/>
              <w:keepLines w:val="0"/>
              <w:pageBreakBefore w:val="0"/>
              <w:widowControl w:val="0"/>
              <w:suppressLineNumbers w:val="0"/>
              <w:tabs>
                <w:tab w:val="left" w:pos="958"/>
                <w:tab w:val="left" w:pos="7320"/>
                <w:tab w:val="left" w:pos="8160"/>
              </w:tabs>
              <w:kinsoku/>
              <w:wordWrap/>
              <w:overflowPunct/>
              <w:topLinePunct w:val="0"/>
              <w:autoSpaceDE/>
              <w:autoSpaceDN/>
              <w:bidi w:val="0"/>
              <w:adjustRightInd w:val="0"/>
              <w:snapToGrid w:val="0"/>
              <w:spacing w:before="60" w:beforeAutospacing="0" w:after="60" w:afterAutospacing="0" w:line="240" w:lineRule="auto"/>
              <w:ind w:left="0" w:right="0" w:firstLine="0" w:firstLineChars="0"/>
              <w:jc w:val="center"/>
              <w:textAlignment w:val="auto"/>
              <w:rPr>
                <w:rFonts w:hint="eastAsia" w:ascii="Times New Roman" w:hAnsi="Times New Roman" w:eastAsia="宋体" w:cs="等线"/>
                <w:b/>
                <w:bCs/>
                <w:snapToGrid w:val="0"/>
                <w:color w:val="auto"/>
                <w:spacing w:val="-16"/>
                <w:kern w:val="21"/>
                <w:sz w:val="21"/>
                <w:szCs w:val="21"/>
              </w:rPr>
            </w:pPr>
            <w:r>
              <w:rPr>
                <w:rFonts w:hint="eastAsia" w:ascii="Times New Roman" w:hAnsi="Times New Roman" w:eastAsia="宋体" w:cs="等线"/>
                <w:b/>
                <w:bCs/>
                <w:snapToGrid w:val="0"/>
                <w:color w:val="auto"/>
                <w:spacing w:val="-16"/>
                <w:kern w:val="21"/>
                <w:sz w:val="21"/>
                <w:szCs w:val="21"/>
              </w:rPr>
              <w:t>以新带老削减量（新建项目不填）</w:t>
            </w:r>
            <w:r>
              <w:rPr>
                <w:rFonts w:hint="eastAsia" w:ascii="Times New Roman" w:hAnsi="Times New Roman" w:eastAsia="宋体" w:cs="等线"/>
                <w:b/>
                <w:bCs/>
                <w:snapToGrid w:val="0"/>
                <w:color w:val="auto"/>
                <w:spacing w:val="-16"/>
                <w:kern w:val="21"/>
                <w:sz w:val="21"/>
                <w:szCs w:val="21"/>
              </w:rPr>
              <w:fldChar w:fldCharType="begin"/>
            </w:r>
            <w:r>
              <w:rPr>
                <w:rFonts w:hint="eastAsia" w:ascii="Times New Roman" w:hAnsi="Times New Roman" w:eastAsia="宋体" w:cs="等线"/>
                <w:b/>
                <w:bCs/>
                <w:snapToGrid w:val="0"/>
                <w:color w:val="auto"/>
                <w:spacing w:val="-16"/>
                <w:kern w:val="21"/>
                <w:sz w:val="21"/>
                <w:szCs w:val="21"/>
              </w:rPr>
              <w:instrText xml:space="preserve"> = 5 \* GB3 \* MERGEFORMAT </w:instrText>
            </w:r>
            <w:r>
              <w:rPr>
                <w:rFonts w:hint="eastAsia" w:ascii="Times New Roman" w:hAnsi="Times New Roman" w:eastAsia="宋体" w:cs="等线"/>
                <w:b/>
                <w:bCs/>
                <w:snapToGrid w:val="0"/>
                <w:color w:val="auto"/>
                <w:spacing w:val="-16"/>
                <w:kern w:val="21"/>
                <w:sz w:val="21"/>
                <w:szCs w:val="21"/>
              </w:rPr>
              <w:fldChar w:fldCharType="separate"/>
            </w:r>
            <w:r>
              <w:rPr>
                <w:rFonts w:hint="eastAsia" w:ascii="Times New Roman" w:hAnsi="Times New Roman" w:eastAsia="宋体" w:cs="宋体"/>
                <w:b/>
                <w:bCs/>
                <w:color w:val="auto"/>
                <w:kern w:val="2"/>
                <w:sz w:val="21"/>
                <w:szCs w:val="21"/>
              </w:rPr>
              <w:t>⑤</w:t>
            </w:r>
            <w:r>
              <w:rPr>
                <w:rFonts w:hint="eastAsia" w:ascii="Times New Roman" w:hAnsi="Times New Roman" w:eastAsia="宋体" w:cs="等线"/>
                <w:b/>
                <w:bCs/>
                <w:snapToGrid w:val="0"/>
                <w:color w:val="auto"/>
                <w:spacing w:val="-16"/>
                <w:kern w:val="21"/>
                <w:sz w:val="21"/>
                <w:szCs w:val="21"/>
              </w:rPr>
              <w:fldChar w:fldCharType="end"/>
            </w:r>
          </w:p>
        </w:tc>
        <w:tc>
          <w:tcPr>
            <w:tcW w:w="538" w:type="pct"/>
            <w:noWrap w:val="0"/>
            <w:tcMar>
              <w:left w:w="28" w:type="dxa"/>
              <w:right w:w="28" w:type="dxa"/>
            </w:tcMar>
            <w:vAlign w:val="center"/>
          </w:tcPr>
          <w:p w14:paraId="1097C73B">
            <w:pPr>
              <w:keepNext w:val="0"/>
              <w:keepLines w:val="0"/>
              <w:pageBreakBefore w:val="0"/>
              <w:widowControl w:val="0"/>
              <w:suppressLineNumbers w:val="0"/>
              <w:tabs>
                <w:tab w:val="left" w:pos="958"/>
                <w:tab w:val="left" w:pos="7320"/>
                <w:tab w:val="left" w:pos="8160"/>
              </w:tabs>
              <w:kinsoku/>
              <w:wordWrap/>
              <w:overflowPunct/>
              <w:topLinePunct w:val="0"/>
              <w:autoSpaceDE/>
              <w:autoSpaceDN/>
              <w:bidi w:val="0"/>
              <w:adjustRightInd w:val="0"/>
              <w:snapToGrid w:val="0"/>
              <w:spacing w:before="60" w:beforeAutospacing="0" w:after="60" w:afterAutospacing="0" w:line="240" w:lineRule="auto"/>
              <w:ind w:left="0" w:right="0" w:firstLine="0" w:firstLineChars="0"/>
              <w:jc w:val="center"/>
              <w:textAlignment w:val="auto"/>
              <w:rPr>
                <w:rFonts w:hint="eastAsia" w:ascii="Times New Roman" w:hAnsi="Times New Roman" w:eastAsia="宋体" w:cs="等线"/>
                <w:b/>
                <w:bCs/>
                <w:snapToGrid w:val="0"/>
                <w:color w:val="auto"/>
                <w:spacing w:val="-16"/>
                <w:kern w:val="21"/>
                <w:sz w:val="21"/>
                <w:szCs w:val="21"/>
              </w:rPr>
            </w:pPr>
            <w:r>
              <w:rPr>
                <w:rFonts w:hint="eastAsia" w:ascii="Times New Roman" w:hAnsi="Times New Roman" w:eastAsia="宋体" w:cs="等线"/>
                <w:b/>
                <w:bCs/>
                <w:snapToGrid w:val="0"/>
                <w:color w:val="auto"/>
                <w:spacing w:val="-16"/>
                <w:kern w:val="21"/>
                <w:sz w:val="21"/>
                <w:szCs w:val="21"/>
              </w:rPr>
              <w:t>本项目建成后全厂排放量（固体废物产生量）</w:t>
            </w:r>
            <w:r>
              <w:rPr>
                <w:rFonts w:hint="eastAsia" w:ascii="Times New Roman" w:hAnsi="Times New Roman" w:eastAsia="宋体" w:cs="等线"/>
                <w:b/>
                <w:bCs/>
                <w:snapToGrid w:val="0"/>
                <w:color w:val="auto"/>
                <w:spacing w:val="-16"/>
                <w:kern w:val="21"/>
                <w:sz w:val="21"/>
                <w:szCs w:val="21"/>
              </w:rPr>
              <w:fldChar w:fldCharType="begin"/>
            </w:r>
            <w:r>
              <w:rPr>
                <w:rFonts w:hint="eastAsia" w:ascii="Times New Roman" w:hAnsi="Times New Roman" w:eastAsia="宋体" w:cs="等线"/>
                <w:b/>
                <w:bCs/>
                <w:snapToGrid w:val="0"/>
                <w:color w:val="auto"/>
                <w:spacing w:val="-16"/>
                <w:kern w:val="21"/>
                <w:sz w:val="21"/>
                <w:szCs w:val="21"/>
              </w:rPr>
              <w:instrText xml:space="preserve"> = 6 \* GB3 \* MERGEFORMAT </w:instrText>
            </w:r>
            <w:r>
              <w:rPr>
                <w:rFonts w:hint="eastAsia" w:ascii="Times New Roman" w:hAnsi="Times New Roman" w:eastAsia="宋体" w:cs="等线"/>
                <w:b/>
                <w:bCs/>
                <w:snapToGrid w:val="0"/>
                <w:color w:val="auto"/>
                <w:spacing w:val="-16"/>
                <w:kern w:val="21"/>
                <w:sz w:val="21"/>
                <w:szCs w:val="21"/>
              </w:rPr>
              <w:fldChar w:fldCharType="separate"/>
            </w:r>
            <w:r>
              <w:rPr>
                <w:rFonts w:hint="eastAsia" w:ascii="Times New Roman" w:hAnsi="Times New Roman" w:eastAsia="宋体" w:cs="宋体"/>
                <w:b/>
                <w:bCs/>
                <w:color w:val="auto"/>
                <w:kern w:val="2"/>
                <w:sz w:val="21"/>
                <w:szCs w:val="21"/>
              </w:rPr>
              <w:t>⑥</w:t>
            </w:r>
            <w:r>
              <w:rPr>
                <w:rFonts w:hint="eastAsia" w:ascii="Times New Roman" w:hAnsi="Times New Roman" w:eastAsia="宋体" w:cs="等线"/>
                <w:b/>
                <w:bCs/>
                <w:snapToGrid w:val="0"/>
                <w:color w:val="auto"/>
                <w:spacing w:val="-16"/>
                <w:kern w:val="21"/>
                <w:sz w:val="21"/>
                <w:szCs w:val="21"/>
              </w:rPr>
              <w:fldChar w:fldCharType="end"/>
            </w:r>
          </w:p>
        </w:tc>
        <w:tc>
          <w:tcPr>
            <w:tcW w:w="538" w:type="pct"/>
            <w:noWrap w:val="0"/>
            <w:tcMar>
              <w:left w:w="28" w:type="dxa"/>
              <w:right w:w="28" w:type="dxa"/>
            </w:tcMar>
            <w:vAlign w:val="center"/>
          </w:tcPr>
          <w:p w14:paraId="4F04427F">
            <w:pPr>
              <w:keepNext w:val="0"/>
              <w:keepLines w:val="0"/>
              <w:pageBreakBefore w:val="0"/>
              <w:widowControl w:val="0"/>
              <w:suppressLineNumbers w:val="0"/>
              <w:tabs>
                <w:tab w:val="left" w:pos="958"/>
                <w:tab w:val="left" w:pos="7320"/>
                <w:tab w:val="left" w:pos="8160"/>
              </w:tabs>
              <w:kinsoku/>
              <w:wordWrap/>
              <w:overflowPunct/>
              <w:topLinePunct w:val="0"/>
              <w:autoSpaceDE/>
              <w:autoSpaceDN/>
              <w:bidi w:val="0"/>
              <w:adjustRightInd w:val="0"/>
              <w:snapToGrid w:val="0"/>
              <w:spacing w:before="60" w:beforeAutospacing="0" w:after="60" w:afterAutospacing="0" w:line="240" w:lineRule="auto"/>
              <w:ind w:left="0" w:right="0" w:firstLine="0" w:firstLineChars="0"/>
              <w:jc w:val="center"/>
              <w:textAlignment w:val="auto"/>
              <w:rPr>
                <w:rFonts w:hint="eastAsia" w:ascii="Times New Roman" w:hAnsi="Times New Roman" w:eastAsia="宋体" w:cs="等线"/>
                <w:b/>
                <w:bCs/>
                <w:snapToGrid w:val="0"/>
                <w:color w:val="auto"/>
                <w:spacing w:val="-6"/>
                <w:kern w:val="21"/>
                <w:sz w:val="21"/>
                <w:szCs w:val="21"/>
              </w:rPr>
            </w:pPr>
            <w:r>
              <w:rPr>
                <w:rFonts w:hint="eastAsia" w:ascii="Times New Roman" w:hAnsi="Times New Roman" w:eastAsia="宋体" w:cs="等线"/>
                <w:b/>
                <w:bCs/>
                <w:snapToGrid w:val="0"/>
                <w:color w:val="auto"/>
                <w:spacing w:val="-6"/>
                <w:kern w:val="21"/>
                <w:sz w:val="21"/>
                <w:szCs w:val="21"/>
              </w:rPr>
              <w:t>变化量</w:t>
            </w:r>
            <w:r>
              <w:rPr>
                <w:rFonts w:hint="eastAsia" w:ascii="Times New Roman" w:hAnsi="Times New Roman" w:eastAsia="宋体" w:cs="等线"/>
                <w:b/>
                <w:bCs/>
                <w:snapToGrid w:val="0"/>
                <w:color w:val="auto"/>
                <w:spacing w:val="-6"/>
                <w:kern w:val="21"/>
                <w:sz w:val="21"/>
                <w:szCs w:val="21"/>
              </w:rPr>
              <w:fldChar w:fldCharType="begin"/>
            </w:r>
            <w:r>
              <w:rPr>
                <w:rFonts w:hint="eastAsia" w:ascii="Times New Roman" w:hAnsi="Times New Roman" w:eastAsia="宋体" w:cs="等线"/>
                <w:b/>
                <w:bCs/>
                <w:snapToGrid w:val="0"/>
                <w:color w:val="auto"/>
                <w:spacing w:val="-6"/>
                <w:kern w:val="21"/>
                <w:sz w:val="21"/>
                <w:szCs w:val="21"/>
              </w:rPr>
              <w:instrText xml:space="preserve"> = 7 \* GB3 \* MERGEFORMAT </w:instrText>
            </w:r>
            <w:r>
              <w:rPr>
                <w:rFonts w:hint="eastAsia" w:ascii="Times New Roman" w:hAnsi="Times New Roman" w:eastAsia="宋体" w:cs="等线"/>
                <w:b/>
                <w:bCs/>
                <w:snapToGrid w:val="0"/>
                <w:color w:val="auto"/>
                <w:spacing w:val="-6"/>
                <w:kern w:val="21"/>
                <w:sz w:val="21"/>
                <w:szCs w:val="21"/>
              </w:rPr>
              <w:fldChar w:fldCharType="separate"/>
            </w:r>
            <w:r>
              <w:rPr>
                <w:rFonts w:hint="eastAsia" w:ascii="Times New Roman" w:hAnsi="Times New Roman" w:eastAsia="宋体" w:cs="宋体"/>
                <w:b/>
                <w:bCs/>
                <w:color w:val="auto"/>
                <w:kern w:val="2"/>
                <w:sz w:val="21"/>
                <w:szCs w:val="21"/>
              </w:rPr>
              <w:t>⑦</w:t>
            </w:r>
            <w:r>
              <w:rPr>
                <w:rFonts w:hint="eastAsia" w:ascii="Times New Roman" w:hAnsi="Times New Roman" w:eastAsia="宋体" w:cs="等线"/>
                <w:b/>
                <w:bCs/>
                <w:snapToGrid w:val="0"/>
                <w:color w:val="auto"/>
                <w:spacing w:val="-6"/>
                <w:kern w:val="21"/>
                <w:sz w:val="21"/>
                <w:szCs w:val="21"/>
              </w:rPr>
              <w:fldChar w:fldCharType="end"/>
            </w:r>
          </w:p>
        </w:tc>
      </w:tr>
      <w:tr w14:paraId="7BEA3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4" w:type="pct"/>
            <w:vMerge w:val="restart"/>
            <w:noWrap w:val="0"/>
            <w:vAlign w:val="center"/>
          </w:tcPr>
          <w:p w14:paraId="7CA66682">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rPr>
            </w:pPr>
            <w:r>
              <w:rPr>
                <w:rFonts w:hint="eastAsia" w:ascii="Times New Roman" w:hAnsi="Times New Roman" w:eastAsia="宋体"/>
                <w:b w:val="0"/>
                <w:color w:val="auto"/>
                <w:sz w:val="21"/>
              </w:rPr>
              <w:t>废水</w:t>
            </w:r>
          </w:p>
        </w:tc>
        <w:tc>
          <w:tcPr>
            <w:tcW w:w="807" w:type="pct"/>
            <w:shd w:val="clear" w:color="auto" w:fill="auto"/>
            <w:noWrap w:val="0"/>
            <w:vAlign w:val="center"/>
          </w:tcPr>
          <w:p w14:paraId="730D5599">
            <w:pPr>
              <w:keepNext w:val="0"/>
              <w:keepLines w:val="0"/>
              <w:pageBreakBefore w:val="0"/>
              <w:kinsoku/>
              <w:wordWrap/>
              <w:overflowPunct/>
              <w:topLinePunct w:val="0"/>
              <w:autoSpaceDE/>
              <w:autoSpaceDN/>
              <w:bidi w:val="0"/>
              <w:adjustRightInd w:val="0"/>
              <w:snapToGrid w:val="0"/>
              <w:spacing w:before="60" w:after="60" w:line="240" w:lineRule="auto"/>
              <w:ind w:firstLine="0" w:firstLineChars="0"/>
              <w:contextualSpacing/>
              <w:jc w:val="center"/>
              <w:textAlignment w:val="auto"/>
              <w:rPr>
                <w:rFonts w:hint="default" w:ascii="Times New Roman" w:hAnsi="Times New Roman" w:eastAsia="宋体" w:cs="Times New Roman"/>
                <w:snapToGrid w:val="0"/>
                <w:kern w:val="21"/>
                <w:sz w:val="21"/>
                <w:szCs w:val="21"/>
                <w:lang w:val="en-US" w:eastAsia="zh-CN" w:bidi="ar-SA"/>
              </w:rPr>
            </w:pPr>
            <w:r>
              <w:rPr>
                <w:rFonts w:ascii="Times New Roman" w:hAnsi="Times New Roman" w:eastAsia="宋体"/>
                <w:bCs/>
                <w:sz w:val="21"/>
                <w:szCs w:val="21"/>
              </w:rPr>
              <w:t>COD</w:t>
            </w:r>
            <w:r>
              <w:rPr>
                <w:rFonts w:hint="eastAsia"/>
                <w:bCs/>
                <w:sz w:val="21"/>
                <w:szCs w:val="21"/>
                <w:vertAlign w:val="subscript"/>
                <w:lang w:val="en-US" w:eastAsia="zh-CN"/>
              </w:rPr>
              <w:t>C</w:t>
            </w:r>
            <w:r>
              <w:rPr>
                <w:rFonts w:ascii="Times New Roman" w:hAnsi="Times New Roman" w:eastAsia="宋体"/>
                <w:bCs/>
                <w:sz w:val="21"/>
                <w:szCs w:val="21"/>
                <w:vertAlign w:val="subscript"/>
              </w:rPr>
              <w:t>r</w:t>
            </w:r>
          </w:p>
        </w:tc>
        <w:tc>
          <w:tcPr>
            <w:tcW w:w="535" w:type="pct"/>
            <w:noWrap w:val="0"/>
            <w:vAlign w:val="center"/>
          </w:tcPr>
          <w:p w14:paraId="088DA391">
            <w:pPr>
              <w:keepNext w:val="0"/>
              <w:keepLines w:val="0"/>
              <w:pageBreakBefore w:val="0"/>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0.135</w:t>
            </w:r>
          </w:p>
        </w:tc>
        <w:tc>
          <w:tcPr>
            <w:tcW w:w="536" w:type="pct"/>
            <w:noWrap w:val="0"/>
            <w:vAlign w:val="center"/>
          </w:tcPr>
          <w:p w14:paraId="2364AADD">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536" w:type="pct"/>
            <w:noWrap w:val="0"/>
            <w:vAlign w:val="center"/>
          </w:tcPr>
          <w:p w14:paraId="0D5FDF3A">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536" w:type="pct"/>
            <w:shd w:val="clear" w:color="auto" w:fill="auto"/>
            <w:noWrap w:val="0"/>
            <w:vAlign w:val="center"/>
          </w:tcPr>
          <w:p w14:paraId="6DCCD89F">
            <w:pPr>
              <w:keepNext w:val="0"/>
              <w:keepLines w:val="0"/>
              <w:pageBreakBefore w:val="0"/>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eastAsia" w:ascii="Times New Roman" w:hAnsi="Times New Roman" w:eastAsia="宋体"/>
                <w:b w:val="0"/>
                <w:color w:val="auto"/>
                <w:sz w:val="21"/>
                <w:lang w:val="en-US" w:eastAsia="zh-CN"/>
              </w:rPr>
              <w:t>0.135</w:t>
            </w:r>
          </w:p>
        </w:tc>
        <w:tc>
          <w:tcPr>
            <w:tcW w:w="536" w:type="pct"/>
            <w:noWrap w:val="0"/>
            <w:vAlign w:val="center"/>
          </w:tcPr>
          <w:p w14:paraId="371A9217">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538" w:type="pct"/>
            <w:shd w:val="clear" w:color="auto" w:fill="auto"/>
            <w:noWrap w:val="0"/>
            <w:vAlign w:val="center"/>
          </w:tcPr>
          <w:p w14:paraId="128D5FCD">
            <w:pPr>
              <w:keepNext w:val="0"/>
              <w:keepLines w:val="0"/>
              <w:pageBreakBefore w:val="0"/>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cs="Times New Roman"/>
                <w:b w:val="0"/>
                <w:color w:val="auto"/>
                <w:kern w:val="0"/>
                <w:sz w:val="21"/>
                <w:szCs w:val="20"/>
                <w:lang w:val="en-US" w:eastAsia="zh-CN" w:bidi="ar-SA"/>
              </w:rPr>
            </w:pPr>
            <w:r>
              <w:rPr>
                <w:rFonts w:hint="eastAsia" w:ascii="Times New Roman" w:hAnsi="Times New Roman" w:eastAsia="宋体"/>
                <w:b w:val="0"/>
                <w:color w:val="auto"/>
                <w:sz w:val="21"/>
                <w:lang w:val="en-US" w:eastAsia="zh-CN"/>
              </w:rPr>
              <w:t>0.135</w:t>
            </w:r>
          </w:p>
        </w:tc>
        <w:tc>
          <w:tcPr>
            <w:tcW w:w="538" w:type="pct"/>
            <w:shd w:val="clear" w:color="auto" w:fill="auto"/>
            <w:noWrap w:val="0"/>
            <w:vAlign w:val="center"/>
          </w:tcPr>
          <w:p w14:paraId="4B63D85D">
            <w:pPr>
              <w:keepNext w:val="0"/>
              <w:keepLines w:val="0"/>
              <w:pageBreakBefore w:val="0"/>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eastAsia" w:ascii="Times New Roman" w:hAnsi="Times New Roman" w:eastAsia="宋体"/>
                <w:b w:val="0"/>
                <w:color w:val="auto"/>
                <w:sz w:val="21"/>
                <w:lang w:val="en-US" w:eastAsia="zh-CN"/>
              </w:rPr>
              <w:t>+0.135</w:t>
            </w:r>
          </w:p>
        </w:tc>
      </w:tr>
      <w:tr w14:paraId="389464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4" w:type="pct"/>
            <w:vMerge w:val="continue"/>
            <w:noWrap w:val="0"/>
            <w:vAlign w:val="center"/>
          </w:tcPr>
          <w:p w14:paraId="5C8D81DA">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rPr>
            </w:pPr>
          </w:p>
        </w:tc>
        <w:tc>
          <w:tcPr>
            <w:tcW w:w="807" w:type="pct"/>
            <w:shd w:val="clear" w:color="auto" w:fill="auto"/>
            <w:noWrap w:val="0"/>
            <w:vAlign w:val="center"/>
          </w:tcPr>
          <w:p w14:paraId="70AE4735">
            <w:pPr>
              <w:keepNext w:val="0"/>
              <w:keepLines w:val="0"/>
              <w:pageBreakBefore w:val="0"/>
              <w:kinsoku/>
              <w:wordWrap/>
              <w:overflowPunct/>
              <w:topLinePunct w:val="0"/>
              <w:autoSpaceDE/>
              <w:autoSpaceDN/>
              <w:bidi w:val="0"/>
              <w:adjustRightInd w:val="0"/>
              <w:snapToGrid w:val="0"/>
              <w:spacing w:before="60" w:after="60" w:line="240" w:lineRule="auto"/>
              <w:ind w:firstLine="0" w:firstLineChars="0"/>
              <w:contextualSpacing/>
              <w:jc w:val="center"/>
              <w:textAlignment w:val="auto"/>
              <w:rPr>
                <w:rFonts w:hint="default" w:ascii="Times New Roman" w:hAnsi="Times New Roman" w:eastAsia="宋体" w:cs="Times New Roman"/>
                <w:snapToGrid w:val="0"/>
                <w:kern w:val="21"/>
                <w:sz w:val="21"/>
                <w:szCs w:val="21"/>
                <w:lang w:val="en-US" w:eastAsia="zh-CN" w:bidi="ar-SA"/>
              </w:rPr>
            </w:pPr>
            <w:r>
              <w:rPr>
                <w:rFonts w:ascii="Times New Roman" w:hAnsi="Times New Roman" w:eastAsia="宋体"/>
                <w:bCs/>
                <w:sz w:val="21"/>
                <w:szCs w:val="21"/>
              </w:rPr>
              <w:t>氨氮</w:t>
            </w:r>
          </w:p>
        </w:tc>
        <w:tc>
          <w:tcPr>
            <w:tcW w:w="535" w:type="pct"/>
            <w:noWrap w:val="0"/>
            <w:vAlign w:val="center"/>
          </w:tcPr>
          <w:p w14:paraId="15A80BDC">
            <w:pPr>
              <w:keepNext w:val="0"/>
              <w:keepLines w:val="0"/>
              <w:pageBreakBefore w:val="0"/>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rPr>
            </w:pPr>
            <w:r>
              <w:rPr>
                <w:rFonts w:hint="eastAsia" w:ascii="Times New Roman" w:hAnsi="Times New Roman" w:eastAsia="宋体" w:cs="宋体"/>
                <w:i w:val="0"/>
                <w:iCs w:val="0"/>
                <w:color w:val="000000"/>
                <w:kern w:val="0"/>
                <w:sz w:val="21"/>
                <w:szCs w:val="21"/>
                <w:u w:val="none"/>
                <w:lang w:val="en-US" w:eastAsia="zh-CN" w:bidi="ar"/>
              </w:rPr>
              <w:t>0.014（0.022）</w:t>
            </w:r>
          </w:p>
        </w:tc>
        <w:tc>
          <w:tcPr>
            <w:tcW w:w="536" w:type="pct"/>
            <w:noWrap w:val="0"/>
            <w:vAlign w:val="center"/>
          </w:tcPr>
          <w:p w14:paraId="150A2131">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rPr>
            </w:pPr>
            <w:r>
              <w:rPr>
                <w:rFonts w:hint="eastAsia" w:ascii="Times New Roman" w:hAnsi="Times New Roman" w:eastAsia="宋体"/>
                <w:b w:val="0"/>
                <w:color w:val="auto"/>
                <w:sz w:val="21"/>
                <w:lang w:val="en-US" w:eastAsia="zh-CN"/>
              </w:rPr>
              <w:t>/</w:t>
            </w:r>
          </w:p>
        </w:tc>
        <w:tc>
          <w:tcPr>
            <w:tcW w:w="536" w:type="pct"/>
            <w:noWrap w:val="0"/>
            <w:vAlign w:val="center"/>
          </w:tcPr>
          <w:p w14:paraId="69243394">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rPr>
            </w:pPr>
            <w:r>
              <w:rPr>
                <w:rFonts w:hint="eastAsia" w:ascii="Times New Roman" w:hAnsi="Times New Roman" w:eastAsia="宋体"/>
                <w:b w:val="0"/>
                <w:color w:val="auto"/>
                <w:sz w:val="21"/>
                <w:lang w:val="en-US" w:eastAsia="zh-CN"/>
              </w:rPr>
              <w:t>/</w:t>
            </w:r>
          </w:p>
        </w:tc>
        <w:tc>
          <w:tcPr>
            <w:tcW w:w="536" w:type="pct"/>
            <w:shd w:val="clear" w:color="auto" w:fill="auto"/>
            <w:noWrap w:val="0"/>
            <w:vAlign w:val="center"/>
          </w:tcPr>
          <w:p w14:paraId="60AF7B11">
            <w:pPr>
              <w:keepNext w:val="0"/>
              <w:keepLines w:val="0"/>
              <w:pageBreakBefore w:val="0"/>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0.014（0.022）</w:t>
            </w:r>
          </w:p>
        </w:tc>
        <w:tc>
          <w:tcPr>
            <w:tcW w:w="536" w:type="pct"/>
            <w:noWrap w:val="0"/>
            <w:vAlign w:val="center"/>
          </w:tcPr>
          <w:p w14:paraId="695DB3D6">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rPr>
            </w:pPr>
            <w:r>
              <w:rPr>
                <w:rFonts w:hint="eastAsia" w:ascii="Times New Roman" w:hAnsi="Times New Roman" w:eastAsia="宋体"/>
                <w:b w:val="0"/>
                <w:color w:val="auto"/>
                <w:sz w:val="21"/>
                <w:lang w:val="en-US" w:eastAsia="zh-CN"/>
              </w:rPr>
              <w:t>/</w:t>
            </w:r>
          </w:p>
        </w:tc>
        <w:tc>
          <w:tcPr>
            <w:tcW w:w="538" w:type="pct"/>
            <w:shd w:val="clear" w:color="auto" w:fill="auto"/>
            <w:noWrap w:val="0"/>
            <w:vAlign w:val="center"/>
          </w:tcPr>
          <w:p w14:paraId="7026FF65">
            <w:pPr>
              <w:keepNext w:val="0"/>
              <w:keepLines w:val="0"/>
              <w:pageBreakBefore w:val="0"/>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cs="Times New Roman"/>
                <w:b w:val="0"/>
                <w:color w:val="auto"/>
                <w:kern w:val="0"/>
                <w:sz w:val="21"/>
                <w:szCs w:val="20"/>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0.014（0.022）</w:t>
            </w:r>
          </w:p>
        </w:tc>
        <w:tc>
          <w:tcPr>
            <w:tcW w:w="538" w:type="pct"/>
            <w:shd w:val="clear" w:color="auto" w:fill="auto"/>
            <w:noWrap w:val="0"/>
            <w:vAlign w:val="center"/>
          </w:tcPr>
          <w:p w14:paraId="724EE9EB">
            <w:pPr>
              <w:keepNext w:val="0"/>
              <w:keepLines w:val="0"/>
              <w:pageBreakBefore w:val="0"/>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cs="Times New Roman"/>
                <w:b w:val="0"/>
                <w:color w:val="auto"/>
                <w:kern w:val="0"/>
                <w:sz w:val="21"/>
                <w:szCs w:val="20"/>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+0.014（0.022）</w:t>
            </w:r>
          </w:p>
        </w:tc>
      </w:tr>
      <w:tr w14:paraId="185C2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restart"/>
            <w:noWrap w:val="0"/>
            <w:vAlign w:val="center"/>
          </w:tcPr>
          <w:p w14:paraId="14635C30">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rPr>
            </w:pPr>
            <w:r>
              <w:rPr>
                <w:rFonts w:hint="eastAsia" w:ascii="Times New Roman" w:hAnsi="Times New Roman" w:eastAsia="宋体"/>
                <w:b w:val="0"/>
                <w:color w:val="auto"/>
                <w:sz w:val="21"/>
              </w:rPr>
              <w:t>危险废物</w:t>
            </w:r>
          </w:p>
        </w:tc>
        <w:tc>
          <w:tcPr>
            <w:tcW w:w="807" w:type="pct"/>
            <w:shd w:val="clear" w:color="auto" w:fill="auto"/>
            <w:noWrap w:val="0"/>
            <w:vAlign w:val="center"/>
          </w:tcPr>
          <w:p w14:paraId="62CAE353">
            <w:pPr>
              <w:keepNext w:val="0"/>
              <w:keepLines w:val="0"/>
              <w:pageBreakBefore w:val="0"/>
              <w:widowControl/>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cs="Times New Roman"/>
                <w:snapToGrid w:val="0"/>
                <w:kern w:val="21"/>
                <w:sz w:val="21"/>
                <w:szCs w:val="21"/>
                <w:lang w:val="en-US" w:eastAsia="zh-CN" w:bidi="ar-SA"/>
              </w:rPr>
            </w:pPr>
            <w:r>
              <w:rPr>
                <w:rFonts w:ascii="Times New Roman" w:hAnsi="Times New Roman" w:eastAsia="宋体"/>
                <w:sz w:val="21"/>
                <w:szCs w:val="21"/>
              </w:rPr>
              <w:t>医疗固废</w:t>
            </w:r>
          </w:p>
        </w:tc>
        <w:tc>
          <w:tcPr>
            <w:tcW w:w="535" w:type="pct"/>
            <w:noWrap w:val="0"/>
            <w:vAlign w:val="center"/>
          </w:tcPr>
          <w:p w14:paraId="6D3EE948">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11.315</w:t>
            </w:r>
          </w:p>
        </w:tc>
        <w:tc>
          <w:tcPr>
            <w:tcW w:w="536" w:type="pct"/>
            <w:noWrap w:val="0"/>
            <w:vAlign w:val="center"/>
          </w:tcPr>
          <w:p w14:paraId="12EA29DA">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536" w:type="pct"/>
            <w:noWrap w:val="0"/>
            <w:vAlign w:val="center"/>
          </w:tcPr>
          <w:p w14:paraId="2E9D9514">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536" w:type="pct"/>
            <w:noWrap w:val="0"/>
            <w:vAlign w:val="center"/>
          </w:tcPr>
          <w:p w14:paraId="1C5C17CE">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default" w:ascii="Times New Roman" w:hAnsi="Times New Roman" w:eastAsia="宋体"/>
                <w:b w:val="0"/>
                <w:color w:val="auto"/>
                <w:sz w:val="21"/>
                <w:lang w:val="en-US"/>
              </w:rPr>
            </w:pPr>
            <w:r>
              <w:rPr>
                <w:rFonts w:hint="eastAsia" w:ascii="Times New Roman" w:hAnsi="Times New Roman" w:eastAsia="宋体"/>
                <w:b w:val="0"/>
                <w:color w:val="auto"/>
                <w:sz w:val="21"/>
                <w:lang w:val="en-US" w:eastAsia="zh-CN"/>
              </w:rPr>
              <w:t>11.315</w:t>
            </w:r>
          </w:p>
        </w:tc>
        <w:tc>
          <w:tcPr>
            <w:tcW w:w="536" w:type="pct"/>
            <w:noWrap w:val="0"/>
            <w:vAlign w:val="center"/>
          </w:tcPr>
          <w:p w14:paraId="6241B810">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538" w:type="pct"/>
            <w:noWrap w:val="0"/>
            <w:vAlign w:val="center"/>
          </w:tcPr>
          <w:p w14:paraId="68F95520">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default" w:ascii="Times New Roman" w:hAnsi="Times New Roman" w:eastAsia="宋体"/>
                <w:b w:val="0"/>
                <w:color w:val="auto"/>
                <w:sz w:val="21"/>
                <w:lang w:val="en-US"/>
              </w:rPr>
            </w:pPr>
            <w:r>
              <w:rPr>
                <w:rFonts w:hint="eastAsia" w:ascii="Times New Roman" w:hAnsi="Times New Roman" w:eastAsia="宋体"/>
                <w:b w:val="0"/>
                <w:color w:val="auto"/>
                <w:sz w:val="21"/>
                <w:lang w:val="en-US" w:eastAsia="zh-CN"/>
              </w:rPr>
              <w:t>11.315</w:t>
            </w:r>
          </w:p>
        </w:tc>
        <w:tc>
          <w:tcPr>
            <w:tcW w:w="538" w:type="pct"/>
            <w:noWrap w:val="0"/>
            <w:vAlign w:val="center"/>
          </w:tcPr>
          <w:p w14:paraId="391C8F3D">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+11.315</w:t>
            </w:r>
          </w:p>
        </w:tc>
      </w:tr>
      <w:tr w14:paraId="12CC5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4" w:type="pct"/>
            <w:vMerge w:val="continue"/>
            <w:noWrap w:val="0"/>
            <w:vAlign w:val="center"/>
          </w:tcPr>
          <w:p w14:paraId="4783A5E0">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rPr>
            </w:pPr>
          </w:p>
        </w:tc>
        <w:tc>
          <w:tcPr>
            <w:tcW w:w="807" w:type="pct"/>
            <w:shd w:val="clear" w:color="auto" w:fill="auto"/>
            <w:noWrap w:val="0"/>
            <w:vAlign w:val="center"/>
          </w:tcPr>
          <w:p w14:paraId="3F344BB7">
            <w:pPr>
              <w:keepNext w:val="0"/>
              <w:keepLines w:val="0"/>
              <w:pageBreakBefore w:val="0"/>
              <w:widowControl/>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ascii="Times New Roman" w:hAnsi="Times New Roman" w:eastAsia="宋体"/>
                <w:spacing w:val="-2"/>
                <w:sz w:val="21"/>
                <w:szCs w:val="21"/>
              </w:rPr>
              <w:t>污水处理站污泥</w:t>
            </w:r>
          </w:p>
        </w:tc>
        <w:tc>
          <w:tcPr>
            <w:tcW w:w="535" w:type="pct"/>
            <w:noWrap w:val="0"/>
            <w:vAlign w:val="center"/>
          </w:tcPr>
          <w:p w14:paraId="528F6594">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1.622</w:t>
            </w:r>
          </w:p>
        </w:tc>
        <w:tc>
          <w:tcPr>
            <w:tcW w:w="536" w:type="pct"/>
            <w:noWrap w:val="0"/>
            <w:vAlign w:val="center"/>
          </w:tcPr>
          <w:p w14:paraId="5C7900B1">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rPr>
            </w:pPr>
            <w:r>
              <w:rPr>
                <w:rFonts w:hint="eastAsia" w:ascii="Times New Roman" w:hAnsi="Times New Roman" w:eastAsia="宋体"/>
                <w:b w:val="0"/>
                <w:color w:val="auto"/>
                <w:sz w:val="21"/>
                <w:lang w:val="en-US" w:eastAsia="zh-CN"/>
              </w:rPr>
              <w:t>/</w:t>
            </w:r>
          </w:p>
        </w:tc>
        <w:tc>
          <w:tcPr>
            <w:tcW w:w="536" w:type="pct"/>
            <w:noWrap w:val="0"/>
            <w:vAlign w:val="center"/>
          </w:tcPr>
          <w:p w14:paraId="3D0BAE29">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rPr>
            </w:pPr>
            <w:r>
              <w:rPr>
                <w:rFonts w:hint="eastAsia" w:ascii="Times New Roman" w:hAnsi="Times New Roman" w:eastAsia="宋体"/>
                <w:b w:val="0"/>
                <w:color w:val="auto"/>
                <w:sz w:val="21"/>
                <w:lang w:val="en-US" w:eastAsia="zh-CN"/>
              </w:rPr>
              <w:t>/</w:t>
            </w:r>
          </w:p>
        </w:tc>
        <w:tc>
          <w:tcPr>
            <w:tcW w:w="536" w:type="pct"/>
            <w:noWrap w:val="0"/>
            <w:vAlign w:val="center"/>
          </w:tcPr>
          <w:p w14:paraId="417A9394">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default" w:ascii="Times New Roman" w:hAnsi="Times New Roman" w:eastAsia="宋体"/>
                <w:b w:val="0"/>
                <w:color w:val="auto"/>
                <w:sz w:val="21"/>
                <w:lang w:val="en-US"/>
              </w:rPr>
            </w:pPr>
            <w:r>
              <w:rPr>
                <w:rFonts w:hint="eastAsia" w:ascii="Times New Roman" w:hAnsi="Times New Roman" w:eastAsia="宋体"/>
                <w:b w:val="0"/>
                <w:color w:val="auto"/>
                <w:sz w:val="21"/>
                <w:lang w:val="en-US" w:eastAsia="zh-CN"/>
              </w:rPr>
              <w:t>1.622</w:t>
            </w:r>
          </w:p>
        </w:tc>
        <w:tc>
          <w:tcPr>
            <w:tcW w:w="536" w:type="pct"/>
            <w:noWrap w:val="0"/>
            <w:vAlign w:val="center"/>
          </w:tcPr>
          <w:p w14:paraId="73DFF85C">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rPr>
            </w:pPr>
            <w:r>
              <w:rPr>
                <w:rFonts w:hint="eastAsia" w:ascii="Times New Roman" w:hAnsi="Times New Roman" w:eastAsia="宋体"/>
                <w:b w:val="0"/>
                <w:color w:val="auto"/>
                <w:sz w:val="21"/>
                <w:lang w:val="en-US" w:eastAsia="zh-CN"/>
              </w:rPr>
              <w:t>/</w:t>
            </w:r>
          </w:p>
        </w:tc>
        <w:tc>
          <w:tcPr>
            <w:tcW w:w="538" w:type="pct"/>
            <w:noWrap w:val="0"/>
            <w:vAlign w:val="center"/>
          </w:tcPr>
          <w:p w14:paraId="18B948E0">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rPr>
            </w:pPr>
            <w:r>
              <w:rPr>
                <w:rFonts w:hint="eastAsia" w:ascii="Times New Roman" w:hAnsi="Times New Roman" w:eastAsia="宋体"/>
                <w:b w:val="0"/>
                <w:color w:val="auto"/>
                <w:sz w:val="21"/>
                <w:lang w:val="en-US" w:eastAsia="zh-CN"/>
              </w:rPr>
              <w:t>1.622</w:t>
            </w:r>
          </w:p>
        </w:tc>
        <w:tc>
          <w:tcPr>
            <w:tcW w:w="538" w:type="pct"/>
            <w:noWrap w:val="0"/>
            <w:vAlign w:val="center"/>
          </w:tcPr>
          <w:p w14:paraId="39238247">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+1.622</w:t>
            </w:r>
          </w:p>
        </w:tc>
      </w:tr>
      <w:tr w14:paraId="117164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4" w:type="pct"/>
            <w:noWrap w:val="0"/>
            <w:vAlign w:val="center"/>
          </w:tcPr>
          <w:p w14:paraId="78871040">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生活垃圾</w:t>
            </w:r>
          </w:p>
        </w:tc>
        <w:tc>
          <w:tcPr>
            <w:tcW w:w="807" w:type="pct"/>
            <w:shd w:val="clear" w:color="auto" w:fill="auto"/>
            <w:noWrap w:val="0"/>
            <w:vAlign w:val="center"/>
          </w:tcPr>
          <w:p w14:paraId="01E8BAE0">
            <w:pPr>
              <w:keepNext w:val="0"/>
              <w:keepLines w:val="0"/>
              <w:pageBreakBefore w:val="0"/>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生活垃圾</w:t>
            </w:r>
          </w:p>
        </w:tc>
        <w:tc>
          <w:tcPr>
            <w:tcW w:w="535" w:type="pct"/>
            <w:noWrap w:val="0"/>
            <w:vAlign w:val="center"/>
          </w:tcPr>
          <w:p w14:paraId="623AD5B1">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7.67</w:t>
            </w:r>
          </w:p>
        </w:tc>
        <w:tc>
          <w:tcPr>
            <w:tcW w:w="536" w:type="pct"/>
            <w:noWrap w:val="0"/>
            <w:vAlign w:val="center"/>
          </w:tcPr>
          <w:p w14:paraId="4D27F088">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536" w:type="pct"/>
            <w:noWrap w:val="0"/>
            <w:vAlign w:val="center"/>
          </w:tcPr>
          <w:p w14:paraId="59DD53DB">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w:t>
            </w:r>
          </w:p>
        </w:tc>
        <w:tc>
          <w:tcPr>
            <w:tcW w:w="536" w:type="pct"/>
            <w:noWrap w:val="0"/>
            <w:vAlign w:val="center"/>
          </w:tcPr>
          <w:p w14:paraId="1BD7D053">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7.67</w:t>
            </w:r>
          </w:p>
        </w:tc>
        <w:tc>
          <w:tcPr>
            <w:tcW w:w="536" w:type="pct"/>
            <w:noWrap w:val="0"/>
            <w:vAlign w:val="center"/>
          </w:tcPr>
          <w:p w14:paraId="2247F5A2">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lang w:val="en-US" w:eastAsia="zh-CN"/>
              </w:rPr>
            </w:pPr>
          </w:p>
        </w:tc>
        <w:tc>
          <w:tcPr>
            <w:tcW w:w="538" w:type="pct"/>
            <w:noWrap w:val="0"/>
            <w:vAlign w:val="center"/>
          </w:tcPr>
          <w:p w14:paraId="06762D42">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eastAsia"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7.67</w:t>
            </w:r>
          </w:p>
        </w:tc>
        <w:tc>
          <w:tcPr>
            <w:tcW w:w="538" w:type="pct"/>
            <w:noWrap w:val="0"/>
            <w:vAlign w:val="center"/>
          </w:tcPr>
          <w:p w14:paraId="554EDD9E">
            <w:pPr>
              <w:keepNext w:val="0"/>
              <w:keepLines w:val="0"/>
              <w:pageBreakBefore w:val="0"/>
              <w:widowControl/>
              <w:tabs>
                <w:tab w:val="left" w:pos="958"/>
                <w:tab w:val="left" w:pos="7320"/>
                <w:tab w:val="left" w:pos="8160"/>
              </w:tabs>
              <w:kinsoku/>
              <w:wordWrap/>
              <w:overflowPunct/>
              <w:topLinePunct w:val="0"/>
              <w:autoSpaceDE/>
              <w:autoSpaceDN/>
              <w:bidi w:val="0"/>
              <w:adjustRightInd w:val="0"/>
              <w:snapToGrid w:val="0"/>
              <w:spacing w:before="60" w:after="60" w:line="240" w:lineRule="auto"/>
              <w:ind w:firstLine="0" w:firstLineChars="0"/>
              <w:jc w:val="center"/>
              <w:textAlignment w:val="auto"/>
              <w:rPr>
                <w:rFonts w:hint="default" w:ascii="Times New Roman" w:hAnsi="Times New Roman" w:eastAsia="宋体"/>
                <w:b w:val="0"/>
                <w:color w:val="auto"/>
                <w:sz w:val="21"/>
                <w:lang w:val="en-US" w:eastAsia="zh-CN"/>
              </w:rPr>
            </w:pPr>
            <w:r>
              <w:rPr>
                <w:rFonts w:hint="eastAsia" w:ascii="Times New Roman" w:hAnsi="Times New Roman" w:eastAsia="宋体"/>
                <w:b w:val="0"/>
                <w:color w:val="auto"/>
                <w:sz w:val="21"/>
                <w:lang w:val="en-US" w:eastAsia="zh-CN"/>
              </w:rPr>
              <w:t>+7.67</w:t>
            </w:r>
          </w:p>
        </w:tc>
      </w:tr>
    </w:tbl>
    <w:p w14:paraId="18647AA3">
      <w:pPr>
        <w:pageBreakBefore w:val="0"/>
        <w:wordWrap/>
        <w:bidi w:val="0"/>
        <w:adjustRightInd w:val="0"/>
        <w:snapToGrid w:val="0"/>
        <w:spacing w:before="192" w:beforeLines="80" w:after="24"/>
        <w:jc w:val="left"/>
        <w:rPr>
          <w:rFonts w:hint="eastAsia" w:hAnsi="宋体"/>
        </w:rPr>
        <w:sectPr>
          <w:footerReference r:id="rId8" w:type="default"/>
          <w:pgSz w:w="16838" w:h="11906" w:orient="landscape"/>
          <w:pgMar w:top="1531" w:right="1701" w:bottom="1531" w:left="1701" w:header="1191" w:footer="1191" w:gutter="0"/>
          <w:pgBorders>
            <w:top w:val="none" w:sz="0" w:space="0"/>
            <w:left w:val="none" w:sz="0" w:space="0"/>
            <w:bottom w:val="none" w:sz="0" w:space="0"/>
            <w:right w:val="none" w:sz="0" w:space="0"/>
          </w:pgBorders>
          <w:pgNumType w:fmt="decimal"/>
          <w:cols w:space="720" w:num="1"/>
          <w:docGrid w:linePitch="312" w:charSpace="0"/>
        </w:sectPr>
      </w:pPr>
    </w:p>
    <w:p w14:paraId="717F16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hAnsi="宋体" w:eastAsia="宋体"/>
          <w:lang w:eastAsia="zh-CN"/>
        </w:rPr>
      </w:pPr>
      <w:r>
        <w:rPr>
          <w:rFonts w:hint="eastAsia" w:hAnsi="宋体" w:eastAsia="宋体"/>
          <w:lang w:eastAsia="zh-CN"/>
        </w:rPr>
        <w:drawing>
          <wp:inline distT="0" distB="0" distL="114300" distR="114300">
            <wp:extent cx="5610860" cy="7773670"/>
            <wp:effectExtent l="0" t="0" r="0" b="0"/>
            <wp:docPr id="1" name="图片 1" descr="附图1  项目地理位置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图1  项目地理位置图_00"/>
                    <pic:cNvPicPr>
                      <a:picLocks noChangeAspect="1"/>
                    </pic:cNvPicPr>
                  </pic:nvPicPr>
                  <pic:blipFill>
                    <a:blip r:embed="rId187"/>
                    <a:srcRect b="2009"/>
                    <a:stretch>
                      <a:fillRect/>
                    </a:stretch>
                  </pic:blipFill>
                  <pic:spPr>
                    <a:xfrm>
                      <a:off x="0" y="0"/>
                      <a:ext cx="5610860" cy="7773670"/>
                    </a:xfrm>
                    <a:prstGeom prst="rect">
                      <a:avLst/>
                    </a:prstGeom>
                  </pic:spPr>
                </pic:pic>
              </a:graphicData>
            </a:graphic>
          </wp:inline>
        </w:drawing>
      </w:r>
    </w:p>
    <w:p w14:paraId="33A2D92F">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eastAsia" w:ascii="Times New Roman" w:hAnsi="Times New Roman" w:eastAsia="宋体" w:cs="宋体"/>
          <w:b/>
          <w:bCs/>
          <w:kern w:val="2"/>
          <w:sz w:val="24"/>
          <w:szCs w:val="24"/>
          <w:lang w:val="en-US" w:eastAsia="zh-CN" w:bidi="ar-SA"/>
        </w:rPr>
      </w:pPr>
      <w:r>
        <w:rPr>
          <w:rFonts w:hint="eastAsia" w:ascii="Times New Roman" w:hAnsi="Times New Roman" w:eastAsia="宋体" w:cs="宋体"/>
          <w:b/>
          <w:bCs/>
          <w:kern w:val="2"/>
          <w:sz w:val="24"/>
          <w:szCs w:val="24"/>
          <w:lang w:val="en-US" w:eastAsia="zh-CN" w:bidi="ar-SA"/>
        </w:rPr>
        <w:t>附图 1 项目地理位置图</w:t>
      </w:r>
    </w:p>
    <w:p w14:paraId="20556808">
      <w:pPr>
        <w:rPr>
          <w:rFonts w:hint="eastAsia" w:ascii="Times New Roman" w:hAnsi="Times New Roman" w:eastAsia="宋体" w:cs="宋体"/>
          <w:b/>
          <w:bCs/>
          <w:kern w:val="2"/>
          <w:sz w:val="24"/>
          <w:szCs w:val="24"/>
          <w:lang w:val="en-US" w:eastAsia="zh-CN" w:bidi="ar-SA"/>
        </w:rPr>
      </w:pPr>
      <w:r>
        <w:rPr>
          <w:rFonts w:hint="eastAsia" w:ascii="Times New Roman" w:hAnsi="Times New Roman" w:eastAsia="宋体" w:cs="宋体"/>
          <w:b/>
          <w:bCs/>
          <w:kern w:val="2"/>
          <w:sz w:val="24"/>
          <w:szCs w:val="24"/>
          <w:lang w:val="en-US" w:eastAsia="zh-CN" w:bidi="ar-SA"/>
        </w:rPr>
        <w:br w:type="page"/>
      </w:r>
    </w:p>
    <w:p w14:paraId="5D22518B">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9"/>
        <w:rPr>
          <w:rFonts w:hint="eastAsia" w:hAnsi="宋体" w:eastAsia="宋体"/>
          <w:lang w:eastAsia="zh-CN"/>
        </w:rPr>
      </w:pPr>
      <w:r>
        <w:rPr>
          <w:rFonts w:hint="eastAsia" w:hAnsi="宋体" w:eastAsia="宋体"/>
          <w:lang w:eastAsia="zh-CN"/>
        </w:rPr>
        <w:drawing>
          <wp:inline distT="0" distB="0" distL="114300" distR="114300">
            <wp:extent cx="5610860" cy="6671945"/>
            <wp:effectExtent l="0" t="0" r="0" b="0"/>
            <wp:docPr id="2" name="图片 2" descr="附图2  遂宁市城市总体规划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图2  遂宁市城市总体规划图_00"/>
                    <pic:cNvPicPr>
                      <a:picLocks noChangeAspect="1"/>
                    </pic:cNvPicPr>
                  </pic:nvPicPr>
                  <pic:blipFill>
                    <a:blip r:embed="rId188"/>
                    <a:srcRect b="15917"/>
                    <a:stretch>
                      <a:fillRect/>
                    </a:stretch>
                  </pic:blipFill>
                  <pic:spPr>
                    <a:xfrm>
                      <a:off x="0" y="0"/>
                      <a:ext cx="5610860" cy="6671945"/>
                    </a:xfrm>
                    <a:prstGeom prst="rect">
                      <a:avLst/>
                    </a:prstGeom>
                  </pic:spPr>
                </pic:pic>
              </a:graphicData>
            </a:graphic>
          </wp:inline>
        </w:drawing>
      </w:r>
    </w:p>
    <w:p w14:paraId="53F42D81">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eastAsia" w:ascii="Times New Roman" w:hAnsi="Times New Roman" w:eastAsia="宋体" w:cs="宋体"/>
          <w:b/>
          <w:bCs/>
          <w:kern w:val="2"/>
          <w:sz w:val="24"/>
          <w:szCs w:val="24"/>
          <w:lang w:val="en-US" w:eastAsia="zh-CN" w:bidi="ar-SA"/>
        </w:rPr>
        <w:sectPr>
          <w:pgSz w:w="11906" w:h="16838"/>
          <w:pgMar w:top="1440" w:right="1134" w:bottom="1440" w:left="1417" w:header="851" w:footer="992" w:gutter="0"/>
          <w:cols w:space="425" w:num="1"/>
          <w:docGrid w:type="lines" w:linePitch="312" w:charSpace="0"/>
        </w:sectPr>
      </w:pPr>
      <w:r>
        <w:rPr>
          <w:rFonts w:hint="eastAsia" w:ascii="Times New Roman" w:hAnsi="Times New Roman" w:eastAsia="宋体" w:cs="宋体"/>
          <w:b/>
          <w:bCs/>
          <w:kern w:val="2"/>
          <w:sz w:val="24"/>
          <w:szCs w:val="24"/>
          <w:lang w:val="en-US" w:eastAsia="zh-CN" w:bidi="ar-SA"/>
        </w:rPr>
        <w:t>附图 2 遂宁市城市总体规划图</w:t>
      </w:r>
    </w:p>
    <w:p w14:paraId="0C6A6C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hAnsi="宋体" w:eastAsia="宋体"/>
          <w:lang w:eastAsia="zh-CN"/>
        </w:rPr>
      </w:pPr>
      <w:r>
        <w:rPr>
          <w:rFonts w:hint="eastAsia" w:hAnsi="宋体" w:eastAsia="宋体"/>
          <w:lang w:eastAsia="zh-CN"/>
        </w:rPr>
        <w:drawing>
          <wp:inline distT="0" distB="0" distL="114300" distR="114300">
            <wp:extent cx="7764145" cy="5147310"/>
            <wp:effectExtent l="0" t="0" r="0" b="0"/>
            <wp:docPr id="3" name="图片 3" descr="附图3  外环境关系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图3  外环境关系图_00"/>
                    <pic:cNvPicPr>
                      <a:picLocks noChangeAspect="1"/>
                    </pic:cNvPicPr>
                  </pic:nvPicPr>
                  <pic:blipFill>
                    <a:blip r:embed="rId189"/>
                    <a:srcRect b="6246"/>
                    <a:stretch>
                      <a:fillRect/>
                    </a:stretch>
                  </pic:blipFill>
                  <pic:spPr>
                    <a:xfrm>
                      <a:off x="0" y="0"/>
                      <a:ext cx="7764145" cy="5147310"/>
                    </a:xfrm>
                    <a:prstGeom prst="rect">
                      <a:avLst/>
                    </a:prstGeom>
                  </pic:spPr>
                </pic:pic>
              </a:graphicData>
            </a:graphic>
          </wp:inline>
        </w:drawing>
      </w:r>
    </w:p>
    <w:p w14:paraId="552C2A8E">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eastAsia" w:ascii="Times New Roman" w:hAnsi="Times New Roman" w:eastAsia="宋体" w:cs="宋体"/>
          <w:b/>
          <w:bCs/>
          <w:kern w:val="2"/>
          <w:sz w:val="24"/>
          <w:szCs w:val="24"/>
          <w:lang w:val="en-US" w:eastAsia="zh-CN" w:bidi="ar-SA"/>
        </w:rPr>
      </w:pPr>
      <w:r>
        <w:rPr>
          <w:rFonts w:hint="eastAsia" w:ascii="Times New Roman" w:hAnsi="Times New Roman" w:eastAsia="宋体" w:cs="宋体"/>
          <w:b/>
          <w:bCs/>
          <w:kern w:val="2"/>
          <w:sz w:val="24"/>
          <w:szCs w:val="24"/>
          <w:lang w:val="en-US" w:eastAsia="zh-CN" w:bidi="ar-SA"/>
        </w:rPr>
        <w:t>附图 3 外环境关系图</w:t>
      </w:r>
    </w:p>
    <w:p w14:paraId="3ED52AAE">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9"/>
        <w:rPr>
          <w:rFonts w:hint="eastAsia" w:hAnsi="宋体" w:eastAsia="宋体"/>
          <w:lang w:eastAsia="zh-CN"/>
        </w:rPr>
      </w:pPr>
      <w:r>
        <w:drawing>
          <wp:inline distT="0" distB="0" distL="114300" distR="114300">
            <wp:extent cx="7339330" cy="5272405"/>
            <wp:effectExtent l="0" t="0" r="13970" b="4445"/>
            <wp:docPr id="5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9"/>
                    <pic:cNvPicPr>
                      <a:picLocks noChangeAspect="1"/>
                    </pic:cNvPicPr>
                  </pic:nvPicPr>
                  <pic:blipFill>
                    <a:blip r:embed="rId190"/>
                    <a:stretch>
                      <a:fillRect/>
                    </a:stretch>
                  </pic:blipFill>
                  <pic:spPr>
                    <a:xfrm>
                      <a:off x="0" y="0"/>
                      <a:ext cx="7339330" cy="5272405"/>
                    </a:xfrm>
                    <a:prstGeom prst="rect">
                      <a:avLst/>
                    </a:prstGeom>
                    <a:noFill/>
                    <a:ln>
                      <a:noFill/>
                    </a:ln>
                  </pic:spPr>
                </pic:pic>
              </a:graphicData>
            </a:graphic>
          </wp:inline>
        </w:drawing>
      </w:r>
    </w:p>
    <w:p w14:paraId="47DC7A38">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eastAsia" w:ascii="Times New Roman" w:hAnsi="Times New Roman" w:eastAsia="宋体" w:cs="宋体"/>
          <w:b/>
          <w:bCs/>
          <w:kern w:val="2"/>
          <w:sz w:val="24"/>
          <w:szCs w:val="24"/>
          <w:lang w:val="en-US" w:eastAsia="zh-CN" w:bidi="ar-SA"/>
        </w:rPr>
      </w:pPr>
      <w:r>
        <w:rPr>
          <w:rFonts w:hint="eastAsia" w:ascii="Times New Roman" w:hAnsi="Times New Roman" w:eastAsia="宋体" w:cs="宋体"/>
          <w:b/>
          <w:bCs/>
          <w:kern w:val="2"/>
          <w:sz w:val="24"/>
          <w:szCs w:val="24"/>
          <w:lang w:val="en-US" w:eastAsia="zh-CN" w:bidi="ar-SA"/>
        </w:rPr>
        <w:t>附图 4-1 项目一层平面布置图</w:t>
      </w:r>
    </w:p>
    <w:p w14:paraId="54BF2D7D">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9"/>
        <w:rPr>
          <w:rFonts w:hint="eastAsia" w:hAnsi="宋体" w:eastAsia="宋体"/>
          <w:lang w:eastAsia="zh-CN"/>
        </w:rPr>
      </w:pPr>
      <w:r>
        <w:rPr>
          <w:rFonts w:hint="eastAsia" w:hAnsi="宋体" w:eastAsia="宋体"/>
          <w:lang w:eastAsia="zh-CN"/>
        </w:rPr>
        <w:drawing>
          <wp:inline distT="0" distB="0" distL="114300" distR="114300">
            <wp:extent cx="7394575" cy="5234305"/>
            <wp:effectExtent l="0" t="0" r="0" b="0"/>
            <wp:docPr id="7" name="图片 7" descr="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楼"/>
                    <pic:cNvPicPr>
                      <a:picLocks noChangeAspect="1"/>
                    </pic:cNvPicPr>
                  </pic:nvPicPr>
                  <pic:blipFill>
                    <a:blip r:embed="rId191"/>
                    <a:srcRect b="4694"/>
                    <a:stretch>
                      <a:fillRect/>
                    </a:stretch>
                  </pic:blipFill>
                  <pic:spPr>
                    <a:xfrm>
                      <a:off x="0" y="0"/>
                      <a:ext cx="7394575" cy="5234305"/>
                    </a:xfrm>
                    <a:prstGeom prst="rect">
                      <a:avLst/>
                    </a:prstGeom>
                  </pic:spPr>
                </pic:pic>
              </a:graphicData>
            </a:graphic>
          </wp:inline>
        </w:drawing>
      </w:r>
    </w:p>
    <w:p w14:paraId="72D5D6B2">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eastAsia" w:ascii="Times New Roman" w:hAnsi="Times New Roman" w:eastAsia="宋体" w:cs="宋体"/>
          <w:b/>
          <w:bCs/>
          <w:kern w:val="2"/>
          <w:sz w:val="24"/>
          <w:szCs w:val="24"/>
          <w:lang w:val="en-US" w:eastAsia="zh-CN" w:bidi="ar-SA"/>
        </w:rPr>
      </w:pPr>
      <w:r>
        <w:rPr>
          <w:rFonts w:hint="eastAsia" w:ascii="Times New Roman" w:hAnsi="Times New Roman" w:eastAsia="宋体" w:cs="宋体"/>
          <w:b/>
          <w:bCs/>
          <w:kern w:val="2"/>
          <w:sz w:val="24"/>
          <w:szCs w:val="24"/>
          <w:lang w:val="en-US" w:eastAsia="zh-CN" w:bidi="ar-SA"/>
        </w:rPr>
        <w:t>附图 4-2 项目二层平面布置图</w:t>
      </w:r>
    </w:p>
    <w:p w14:paraId="2710B4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hAnsi="宋体" w:eastAsia="宋体"/>
          <w:lang w:eastAsia="zh-CN"/>
        </w:rPr>
      </w:pPr>
      <w:r>
        <w:rPr>
          <w:rFonts w:hint="eastAsia" w:hAnsi="宋体" w:eastAsia="宋体"/>
          <w:lang w:eastAsia="zh-CN"/>
        </w:rPr>
        <w:drawing>
          <wp:inline distT="0" distB="0" distL="114300" distR="114300">
            <wp:extent cx="7328535" cy="5222240"/>
            <wp:effectExtent l="0" t="0" r="0" b="0"/>
            <wp:docPr id="8" name="图片 8" descr="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楼"/>
                    <pic:cNvPicPr>
                      <a:picLocks noChangeAspect="1"/>
                    </pic:cNvPicPr>
                  </pic:nvPicPr>
                  <pic:blipFill>
                    <a:blip r:embed="rId192"/>
                    <a:srcRect b="4881"/>
                    <a:stretch>
                      <a:fillRect/>
                    </a:stretch>
                  </pic:blipFill>
                  <pic:spPr>
                    <a:xfrm>
                      <a:off x="0" y="0"/>
                      <a:ext cx="7328535" cy="5222240"/>
                    </a:xfrm>
                    <a:prstGeom prst="rect">
                      <a:avLst/>
                    </a:prstGeom>
                  </pic:spPr>
                </pic:pic>
              </a:graphicData>
            </a:graphic>
          </wp:inline>
        </w:drawing>
      </w:r>
    </w:p>
    <w:p w14:paraId="473710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hint="eastAsia" w:hAnsi="宋体" w:eastAsia="宋体"/>
          <w:lang w:eastAsia="zh-CN"/>
        </w:rPr>
      </w:pPr>
      <w:r>
        <w:rPr>
          <w:rFonts w:hint="eastAsia" w:ascii="Times New Roman" w:hAnsi="Times New Roman" w:eastAsia="宋体" w:cs="宋体"/>
          <w:b/>
          <w:bCs/>
          <w:kern w:val="2"/>
          <w:sz w:val="24"/>
          <w:szCs w:val="24"/>
          <w:lang w:val="en-US" w:eastAsia="zh-CN" w:bidi="ar-SA"/>
        </w:rPr>
        <w:t>附图 4-3 项目三层平面布置图</w:t>
      </w:r>
    </w:p>
    <w:p w14:paraId="1683D0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hAnsi="宋体" w:eastAsia="宋体"/>
          <w:lang w:eastAsia="zh-CN"/>
        </w:rPr>
      </w:pPr>
      <w:r>
        <w:rPr>
          <w:rFonts w:hint="eastAsia" w:hAnsi="宋体" w:eastAsia="宋体"/>
          <w:lang w:eastAsia="zh-CN"/>
        </w:rPr>
        <w:drawing>
          <wp:inline distT="0" distB="0" distL="114300" distR="114300">
            <wp:extent cx="7322185" cy="5288915"/>
            <wp:effectExtent l="0" t="0" r="0" b="0"/>
            <wp:docPr id="13" name="图片 13" descr="4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楼"/>
                    <pic:cNvPicPr>
                      <a:picLocks noChangeAspect="1"/>
                    </pic:cNvPicPr>
                  </pic:nvPicPr>
                  <pic:blipFill>
                    <a:blip r:embed="rId193"/>
                    <a:srcRect b="3666"/>
                    <a:stretch>
                      <a:fillRect/>
                    </a:stretch>
                  </pic:blipFill>
                  <pic:spPr>
                    <a:xfrm>
                      <a:off x="0" y="0"/>
                      <a:ext cx="7322185" cy="5288915"/>
                    </a:xfrm>
                    <a:prstGeom prst="rect">
                      <a:avLst/>
                    </a:prstGeom>
                  </pic:spPr>
                </pic:pic>
              </a:graphicData>
            </a:graphic>
          </wp:inline>
        </w:drawing>
      </w:r>
    </w:p>
    <w:p w14:paraId="3A920E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hint="eastAsia" w:hAnsi="宋体" w:eastAsia="宋体"/>
          <w:lang w:eastAsia="zh-CN"/>
        </w:rPr>
      </w:pPr>
      <w:r>
        <w:rPr>
          <w:rFonts w:hint="eastAsia" w:ascii="Times New Roman" w:hAnsi="Times New Roman" w:eastAsia="宋体" w:cs="宋体"/>
          <w:b/>
          <w:bCs/>
          <w:kern w:val="2"/>
          <w:sz w:val="24"/>
          <w:szCs w:val="24"/>
          <w:lang w:val="en-US" w:eastAsia="zh-CN" w:bidi="ar-SA"/>
        </w:rPr>
        <w:t>附图 4-4 项目四层平面布置图</w:t>
      </w:r>
    </w:p>
    <w:p w14:paraId="4A1940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hAnsi="宋体" w:eastAsia="宋体"/>
          <w:lang w:eastAsia="zh-CN"/>
        </w:rPr>
      </w:pPr>
      <w:r>
        <w:rPr>
          <w:rFonts w:hint="eastAsia" w:hAnsi="宋体" w:eastAsia="宋体"/>
          <w:lang w:eastAsia="zh-CN"/>
        </w:rPr>
        <w:drawing>
          <wp:inline distT="0" distB="0" distL="114300" distR="114300">
            <wp:extent cx="7339965" cy="5295900"/>
            <wp:effectExtent l="0" t="0" r="0" b="0"/>
            <wp:docPr id="22" name="图片 22" descr="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楼"/>
                    <pic:cNvPicPr>
                      <a:picLocks noChangeAspect="1"/>
                    </pic:cNvPicPr>
                  </pic:nvPicPr>
                  <pic:blipFill>
                    <a:blip r:embed="rId194"/>
                    <a:srcRect b="3573"/>
                    <a:stretch>
                      <a:fillRect/>
                    </a:stretch>
                  </pic:blipFill>
                  <pic:spPr>
                    <a:xfrm>
                      <a:off x="0" y="0"/>
                      <a:ext cx="7339965" cy="5295900"/>
                    </a:xfrm>
                    <a:prstGeom prst="rect">
                      <a:avLst/>
                    </a:prstGeom>
                  </pic:spPr>
                </pic:pic>
              </a:graphicData>
            </a:graphic>
          </wp:inline>
        </w:drawing>
      </w:r>
    </w:p>
    <w:p w14:paraId="505422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hint="eastAsia" w:ascii="Times New Roman" w:hAnsi="Times New Roman" w:eastAsia="宋体" w:cs="宋体"/>
          <w:b/>
          <w:bCs/>
          <w:kern w:val="2"/>
          <w:sz w:val="24"/>
          <w:szCs w:val="24"/>
          <w:lang w:val="en-US" w:eastAsia="zh-CN" w:bidi="ar-SA"/>
        </w:rPr>
        <w:sectPr>
          <w:pgSz w:w="16838" w:h="11906" w:orient="landscape"/>
          <w:pgMar w:top="1531" w:right="1701" w:bottom="1531" w:left="1701" w:header="1191" w:footer="119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宋体"/>
          <w:b/>
          <w:bCs/>
          <w:kern w:val="2"/>
          <w:sz w:val="24"/>
          <w:szCs w:val="24"/>
          <w:lang w:val="en-US" w:eastAsia="zh-CN" w:bidi="ar-SA"/>
        </w:rPr>
        <w:t>附图 4-5 项目五层平面布置图</w:t>
      </w:r>
    </w:p>
    <w:p w14:paraId="273975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bCs/>
          <w:kern w:val="2"/>
          <w:sz w:val="24"/>
          <w:szCs w:val="24"/>
          <w:lang w:val="en-US" w:eastAsia="zh-CN" w:bidi="ar-SA"/>
        </w:rPr>
      </w:pPr>
      <w:r>
        <w:rPr>
          <w:rFonts w:hint="eastAsia" w:ascii="Times New Roman" w:hAnsi="Times New Roman" w:eastAsia="宋体" w:cs="宋体"/>
          <w:b/>
          <w:bCs/>
          <w:kern w:val="2"/>
          <w:sz w:val="24"/>
          <w:szCs w:val="24"/>
          <w:lang w:val="en-US" w:eastAsia="zh-CN" w:bidi="ar-SA"/>
        </w:rPr>
        <w:drawing>
          <wp:inline distT="0" distB="0" distL="114300" distR="114300">
            <wp:extent cx="5610860" cy="7934960"/>
            <wp:effectExtent l="0" t="0" r="8890" b="8890"/>
            <wp:docPr id="23" name="图片 23" descr="附图5  项目现场勘察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附图5  项目现场勘察图_00"/>
                    <pic:cNvPicPr>
                      <a:picLocks noChangeAspect="1"/>
                    </pic:cNvPicPr>
                  </pic:nvPicPr>
                  <pic:blipFill>
                    <a:blip r:embed="rId195"/>
                    <a:stretch>
                      <a:fillRect/>
                    </a:stretch>
                  </pic:blipFill>
                  <pic:spPr>
                    <a:xfrm>
                      <a:off x="0" y="0"/>
                      <a:ext cx="5610860" cy="7934960"/>
                    </a:xfrm>
                    <a:prstGeom prst="rect">
                      <a:avLst/>
                    </a:prstGeom>
                  </pic:spPr>
                </pic:pic>
              </a:graphicData>
            </a:graphic>
          </wp:inline>
        </w:drawing>
      </w:r>
    </w:p>
    <w:p w14:paraId="05C161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hint="eastAsia" w:hAnsi="宋体" w:eastAsia="宋体"/>
          <w:lang w:eastAsia="zh-CN"/>
        </w:rPr>
      </w:pPr>
      <w:r>
        <w:rPr>
          <w:rFonts w:hint="eastAsia" w:ascii="Times New Roman" w:hAnsi="Times New Roman" w:eastAsia="宋体" w:cs="宋体"/>
          <w:b/>
          <w:bCs/>
          <w:kern w:val="2"/>
          <w:sz w:val="24"/>
          <w:szCs w:val="24"/>
          <w:lang w:val="en-US" w:eastAsia="zh-CN" w:bidi="ar-SA"/>
        </w:rPr>
        <w:t>附图 5 项目现场勘查照片</w:t>
      </w:r>
      <w:r>
        <w:rPr>
          <w:rFonts w:hint="eastAsia" w:hAnsi="宋体" w:eastAsia="宋体"/>
          <w:lang w:eastAsia="zh-CN"/>
        </w:rPr>
        <w:drawing>
          <wp:inline distT="0" distB="0" distL="114300" distR="114300">
            <wp:extent cx="5610860" cy="7934960"/>
            <wp:effectExtent l="0" t="0" r="8890" b="8890"/>
            <wp:docPr id="24" name="图片 24" descr="附图6声环境功能区划分成果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附图6声环境功能区划分成果图_00"/>
                    <pic:cNvPicPr>
                      <a:picLocks noChangeAspect="1"/>
                    </pic:cNvPicPr>
                  </pic:nvPicPr>
                  <pic:blipFill>
                    <a:blip r:embed="rId196"/>
                    <a:stretch>
                      <a:fillRect/>
                    </a:stretch>
                  </pic:blipFill>
                  <pic:spPr>
                    <a:xfrm>
                      <a:off x="0" y="0"/>
                      <a:ext cx="5610860" cy="7934960"/>
                    </a:xfrm>
                    <a:prstGeom prst="rect">
                      <a:avLst/>
                    </a:prstGeom>
                  </pic:spPr>
                </pic:pic>
              </a:graphicData>
            </a:graphic>
          </wp:inline>
        </w:drawing>
      </w:r>
    </w:p>
    <w:p w14:paraId="19E7E9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hint="eastAsia" w:ascii="Times New Roman" w:hAnsi="Times New Roman" w:eastAsia="宋体" w:cs="宋体"/>
          <w:b/>
          <w:bCs/>
          <w:kern w:val="2"/>
          <w:sz w:val="24"/>
          <w:szCs w:val="24"/>
          <w:lang w:val="en-US" w:eastAsia="zh-CN" w:bidi="ar-SA"/>
        </w:rPr>
        <w:sectPr>
          <w:pgSz w:w="11906" w:h="16838"/>
          <w:pgMar w:top="1701" w:right="1531" w:bottom="1701" w:left="1531" w:header="1191" w:footer="119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宋体"/>
          <w:b/>
          <w:bCs/>
          <w:kern w:val="2"/>
          <w:sz w:val="24"/>
          <w:szCs w:val="24"/>
          <w:lang w:val="en-US" w:eastAsia="zh-CN" w:bidi="ar-SA"/>
        </w:rPr>
        <w:t>附图 6 声环境功能区划分成果图</w:t>
      </w:r>
    </w:p>
    <w:p w14:paraId="70FD6D08">
      <w:pPr>
        <w:pStyle w:val="11"/>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outlineLvl w:val="0"/>
        <w:rPr>
          <w:rFonts w:hint="eastAsia"/>
          <w:b/>
          <w:sz w:val="24"/>
          <w:szCs w:val="22"/>
          <w:lang w:val="en-US" w:eastAsia="zh-CN"/>
        </w:rPr>
      </w:pPr>
      <w:bookmarkStart w:id="29" w:name="_Toc17724"/>
      <w:bookmarkStart w:id="30" w:name="_Toc11666"/>
      <w:r>
        <w:rPr>
          <w:rFonts w:hint="eastAsia" w:ascii="Times New Roman" w:hAnsi="Times New Roman" w:eastAsia="宋体"/>
          <w:b/>
          <w:sz w:val="24"/>
          <w:szCs w:val="22"/>
          <w:lang w:val="en-US" w:eastAsia="zh-CN"/>
        </w:rPr>
        <w:t>附件</w:t>
      </w:r>
      <w:r>
        <w:rPr>
          <w:rFonts w:hint="eastAsia"/>
          <w:b/>
          <w:sz w:val="24"/>
          <w:szCs w:val="22"/>
          <w:lang w:val="en-US" w:eastAsia="zh-CN"/>
        </w:rPr>
        <w:t xml:space="preserve"> </w:t>
      </w:r>
      <w:r>
        <w:rPr>
          <w:rFonts w:hint="eastAsia" w:ascii="Times New Roman" w:hAnsi="Times New Roman" w:eastAsia="宋体"/>
          <w:b/>
          <w:sz w:val="24"/>
          <w:szCs w:val="22"/>
          <w:lang w:val="en-US" w:eastAsia="zh-CN"/>
        </w:rPr>
        <w:t>1</w:t>
      </w:r>
      <w:r>
        <w:rPr>
          <w:rFonts w:hint="eastAsia"/>
          <w:b/>
          <w:sz w:val="24"/>
          <w:szCs w:val="22"/>
          <w:lang w:val="en-US" w:eastAsia="zh-CN"/>
        </w:rPr>
        <w:t xml:space="preserve"> </w:t>
      </w:r>
      <w:bookmarkEnd w:id="29"/>
      <w:bookmarkEnd w:id="30"/>
      <w:r>
        <w:rPr>
          <w:rFonts w:hint="eastAsia"/>
          <w:b/>
          <w:sz w:val="24"/>
          <w:szCs w:val="22"/>
          <w:lang w:val="en-US" w:eastAsia="zh-CN"/>
        </w:rPr>
        <w:t>环评委托书</w:t>
      </w:r>
    </w:p>
    <w:p w14:paraId="557D7C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bCs/>
          <w:kern w:val="2"/>
          <w:sz w:val="24"/>
          <w:szCs w:val="24"/>
          <w:lang w:val="en-US" w:eastAsia="zh-CN" w:bidi="ar-SA"/>
        </w:rPr>
        <w:sectPr>
          <w:pgSz w:w="11906" w:h="16838"/>
          <w:pgMar w:top="1701" w:right="1531" w:bottom="1701" w:left="1531" w:header="1191" w:footer="119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宋体"/>
          <w:b/>
          <w:bCs/>
          <w:kern w:val="2"/>
          <w:sz w:val="24"/>
          <w:szCs w:val="24"/>
          <w:lang w:val="en-US" w:eastAsia="zh-CN" w:bidi="ar-SA"/>
        </w:rPr>
        <w:drawing>
          <wp:inline distT="0" distB="0" distL="114300" distR="114300">
            <wp:extent cx="5610860" cy="7934960"/>
            <wp:effectExtent l="0" t="0" r="8890" b="8890"/>
            <wp:docPr id="25" name="图片 25" descr="附件1  委托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附件1  委托书_00"/>
                    <pic:cNvPicPr>
                      <a:picLocks noChangeAspect="1"/>
                    </pic:cNvPicPr>
                  </pic:nvPicPr>
                  <pic:blipFill>
                    <a:blip r:embed="rId197"/>
                    <a:stretch>
                      <a:fillRect/>
                    </a:stretch>
                  </pic:blipFill>
                  <pic:spPr>
                    <a:xfrm>
                      <a:off x="0" y="0"/>
                      <a:ext cx="5610860" cy="7934960"/>
                    </a:xfrm>
                    <a:prstGeom prst="rect">
                      <a:avLst/>
                    </a:prstGeom>
                  </pic:spPr>
                </pic:pic>
              </a:graphicData>
            </a:graphic>
          </wp:inline>
        </w:drawing>
      </w:r>
    </w:p>
    <w:p w14:paraId="15107CF4">
      <w:pPr>
        <w:pStyle w:val="11"/>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outlineLvl w:val="0"/>
        <w:rPr>
          <w:rFonts w:hint="eastAsia"/>
          <w:b/>
          <w:sz w:val="24"/>
          <w:szCs w:val="22"/>
          <w:lang w:val="en-US" w:eastAsia="zh-CN"/>
        </w:rPr>
      </w:pPr>
      <w:r>
        <w:rPr>
          <w:rFonts w:hint="eastAsia" w:ascii="Times New Roman" w:hAnsi="Times New Roman" w:eastAsia="宋体"/>
          <w:b/>
          <w:sz w:val="24"/>
          <w:szCs w:val="22"/>
          <w:lang w:val="en-US" w:eastAsia="zh-CN"/>
        </w:rPr>
        <w:t>附件</w:t>
      </w:r>
      <w:r>
        <w:rPr>
          <w:rFonts w:hint="eastAsia"/>
          <w:b/>
          <w:sz w:val="24"/>
          <w:szCs w:val="22"/>
          <w:lang w:val="en-US" w:eastAsia="zh-CN"/>
        </w:rPr>
        <w:t xml:space="preserve"> 2 医疗机构执业许可证</w:t>
      </w:r>
    </w:p>
    <w:p w14:paraId="650949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bCs/>
          <w:kern w:val="2"/>
          <w:sz w:val="24"/>
          <w:szCs w:val="24"/>
          <w:lang w:val="en-US" w:eastAsia="zh-CN" w:bidi="ar-SA"/>
        </w:rPr>
        <w:sectPr>
          <w:pgSz w:w="16838" w:h="11906" w:orient="landscape"/>
          <w:pgMar w:top="1531" w:right="1701" w:bottom="1531" w:left="1701" w:header="1191" w:footer="119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宋体"/>
          <w:b/>
          <w:bCs/>
          <w:kern w:val="2"/>
          <w:sz w:val="24"/>
          <w:szCs w:val="24"/>
          <w:lang w:val="en-US" w:eastAsia="zh-CN" w:bidi="ar-SA"/>
        </w:rPr>
        <w:drawing>
          <wp:inline distT="0" distB="0" distL="114300" distR="114300">
            <wp:extent cx="7764145" cy="4519930"/>
            <wp:effectExtent l="0" t="0" r="0" b="0"/>
            <wp:docPr id="26" name="图片 26" descr="附件2  医疗机构执业许可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附件2  医疗机构执业许可证_00"/>
                    <pic:cNvPicPr>
                      <a:picLocks noChangeAspect="1"/>
                    </pic:cNvPicPr>
                  </pic:nvPicPr>
                  <pic:blipFill>
                    <a:blip r:embed="rId198"/>
                    <a:srcRect t="17673"/>
                    <a:stretch>
                      <a:fillRect/>
                    </a:stretch>
                  </pic:blipFill>
                  <pic:spPr>
                    <a:xfrm>
                      <a:off x="0" y="0"/>
                      <a:ext cx="7764145" cy="4519930"/>
                    </a:xfrm>
                    <a:prstGeom prst="rect">
                      <a:avLst/>
                    </a:prstGeom>
                  </pic:spPr>
                </pic:pic>
              </a:graphicData>
            </a:graphic>
          </wp:inline>
        </w:drawing>
      </w:r>
      <w:r>
        <w:rPr>
          <w:rFonts w:hint="eastAsia" w:ascii="Times New Roman" w:hAnsi="Times New Roman" w:eastAsia="宋体" w:cs="宋体"/>
          <w:b/>
          <w:bCs/>
          <w:kern w:val="2"/>
          <w:sz w:val="24"/>
          <w:szCs w:val="24"/>
          <w:lang w:val="en-US" w:eastAsia="zh-CN" w:bidi="ar-SA"/>
        </w:rPr>
        <w:drawing>
          <wp:inline distT="0" distB="0" distL="114300" distR="114300">
            <wp:extent cx="7764145" cy="5490210"/>
            <wp:effectExtent l="0" t="0" r="8255" b="15240"/>
            <wp:docPr id="27" name="图片 27" descr="附件2  医疗机构执业许可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附件2  医疗机构执业许可证_01"/>
                    <pic:cNvPicPr>
                      <a:picLocks noChangeAspect="1"/>
                    </pic:cNvPicPr>
                  </pic:nvPicPr>
                  <pic:blipFill>
                    <a:blip r:embed="rId199"/>
                    <a:stretch>
                      <a:fillRect/>
                    </a:stretch>
                  </pic:blipFill>
                  <pic:spPr>
                    <a:xfrm>
                      <a:off x="0" y="0"/>
                      <a:ext cx="7764145" cy="5490210"/>
                    </a:xfrm>
                    <a:prstGeom prst="rect">
                      <a:avLst/>
                    </a:prstGeom>
                  </pic:spPr>
                </pic:pic>
              </a:graphicData>
            </a:graphic>
          </wp:inline>
        </w:drawing>
      </w:r>
      <w:r>
        <w:rPr>
          <w:rFonts w:hint="eastAsia" w:ascii="Times New Roman" w:hAnsi="Times New Roman" w:eastAsia="宋体" w:cs="宋体"/>
          <w:b/>
          <w:bCs/>
          <w:kern w:val="2"/>
          <w:sz w:val="24"/>
          <w:szCs w:val="24"/>
          <w:lang w:val="en-US" w:eastAsia="zh-CN" w:bidi="ar-SA"/>
        </w:rPr>
        <w:drawing>
          <wp:inline distT="0" distB="0" distL="114300" distR="114300">
            <wp:extent cx="7764145" cy="5490210"/>
            <wp:effectExtent l="0" t="0" r="8255" b="15240"/>
            <wp:docPr id="28" name="图片 28" descr="附件2  医疗机构执业许可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附件2  医疗机构执业许可证_02"/>
                    <pic:cNvPicPr>
                      <a:picLocks noChangeAspect="1"/>
                    </pic:cNvPicPr>
                  </pic:nvPicPr>
                  <pic:blipFill>
                    <a:blip r:embed="rId200"/>
                    <a:stretch>
                      <a:fillRect/>
                    </a:stretch>
                  </pic:blipFill>
                  <pic:spPr>
                    <a:xfrm>
                      <a:off x="0" y="0"/>
                      <a:ext cx="7764145" cy="5490210"/>
                    </a:xfrm>
                    <a:prstGeom prst="rect">
                      <a:avLst/>
                    </a:prstGeom>
                  </pic:spPr>
                </pic:pic>
              </a:graphicData>
            </a:graphic>
          </wp:inline>
        </w:drawing>
      </w:r>
    </w:p>
    <w:p w14:paraId="021DF1D3">
      <w:pPr>
        <w:pStyle w:val="11"/>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outlineLvl w:val="0"/>
        <w:rPr>
          <w:rFonts w:hint="eastAsia"/>
          <w:b/>
          <w:sz w:val="24"/>
          <w:szCs w:val="22"/>
          <w:lang w:val="en-US" w:eastAsia="zh-CN"/>
        </w:rPr>
      </w:pPr>
      <w:r>
        <w:rPr>
          <w:rFonts w:hint="eastAsia" w:ascii="Times New Roman" w:hAnsi="Times New Roman" w:eastAsia="宋体"/>
          <w:b/>
          <w:sz w:val="24"/>
          <w:szCs w:val="22"/>
          <w:lang w:val="en-US" w:eastAsia="zh-CN"/>
        </w:rPr>
        <w:t>附件</w:t>
      </w:r>
      <w:r>
        <w:rPr>
          <w:rFonts w:hint="eastAsia"/>
          <w:b/>
          <w:sz w:val="24"/>
          <w:szCs w:val="22"/>
          <w:lang w:val="en-US" w:eastAsia="zh-CN"/>
        </w:rPr>
        <w:t xml:space="preserve"> 3 建设用地规划许可证</w:t>
      </w:r>
    </w:p>
    <w:p w14:paraId="656F3E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bCs/>
          <w:kern w:val="2"/>
          <w:sz w:val="24"/>
          <w:szCs w:val="24"/>
          <w:lang w:val="en-US" w:eastAsia="zh-CN" w:bidi="ar-SA"/>
        </w:rPr>
        <w:sectPr>
          <w:pgSz w:w="16838" w:h="11906" w:orient="landscape"/>
          <w:pgMar w:top="1531" w:right="1701" w:bottom="1531" w:left="1701" w:header="1191" w:footer="119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宋体"/>
          <w:b/>
          <w:bCs/>
          <w:kern w:val="2"/>
          <w:sz w:val="24"/>
          <w:szCs w:val="24"/>
          <w:lang w:val="en-US" w:eastAsia="zh-CN" w:bidi="ar-SA"/>
        </w:rPr>
        <w:drawing>
          <wp:inline distT="0" distB="0" distL="114300" distR="114300">
            <wp:extent cx="7764145" cy="4502785"/>
            <wp:effectExtent l="0" t="0" r="0" b="0"/>
            <wp:docPr id="29" name="图片 29" descr="附件3  建设用地规划许可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附件3  建设用地规划许可证_00"/>
                    <pic:cNvPicPr>
                      <a:picLocks noChangeAspect="1"/>
                    </pic:cNvPicPr>
                  </pic:nvPicPr>
                  <pic:blipFill>
                    <a:blip r:embed="rId201"/>
                    <a:srcRect t="17985"/>
                    <a:stretch>
                      <a:fillRect/>
                    </a:stretch>
                  </pic:blipFill>
                  <pic:spPr>
                    <a:xfrm>
                      <a:off x="0" y="0"/>
                      <a:ext cx="7764145" cy="4502785"/>
                    </a:xfrm>
                    <a:prstGeom prst="rect">
                      <a:avLst/>
                    </a:prstGeom>
                  </pic:spPr>
                </pic:pic>
              </a:graphicData>
            </a:graphic>
          </wp:inline>
        </w:drawing>
      </w:r>
    </w:p>
    <w:p w14:paraId="5F0C2EDB">
      <w:pPr>
        <w:pStyle w:val="11"/>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outlineLvl w:val="0"/>
        <w:rPr>
          <w:rFonts w:hint="eastAsia"/>
          <w:b/>
          <w:sz w:val="24"/>
          <w:szCs w:val="22"/>
          <w:lang w:val="en-US" w:eastAsia="zh-CN"/>
        </w:rPr>
      </w:pPr>
      <w:r>
        <w:rPr>
          <w:rFonts w:hint="eastAsia" w:ascii="Times New Roman" w:hAnsi="Times New Roman" w:eastAsia="宋体"/>
          <w:b/>
          <w:sz w:val="24"/>
          <w:szCs w:val="22"/>
          <w:lang w:val="en-US" w:eastAsia="zh-CN"/>
        </w:rPr>
        <w:t>附件</w:t>
      </w:r>
      <w:r>
        <w:rPr>
          <w:rFonts w:hint="eastAsia"/>
          <w:b/>
          <w:sz w:val="24"/>
          <w:szCs w:val="22"/>
          <w:lang w:val="en-US" w:eastAsia="zh-CN"/>
        </w:rPr>
        <w:t xml:space="preserve"> 4 建设用地批准书</w:t>
      </w:r>
    </w:p>
    <w:p w14:paraId="0156D9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bCs/>
          <w:kern w:val="2"/>
          <w:sz w:val="24"/>
          <w:szCs w:val="24"/>
          <w:lang w:val="en-US" w:eastAsia="zh-CN" w:bidi="ar-SA"/>
        </w:rPr>
        <w:sectPr>
          <w:pgSz w:w="11906" w:h="16838"/>
          <w:pgMar w:top="1701" w:right="1531" w:bottom="1701" w:left="1531" w:header="1191" w:footer="119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宋体"/>
          <w:b/>
          <w:bCs/>
          <w:kern w:val="2"/>
          <w:sz w:val="24"/>
          <w:szCs w:val="24"/>
          <w:lang w:val="en-US" w:eastAsia="zh-CN" w:bidi="ar-SA"/>
        </w:rPr>
        <w:drawing>
          <wp:inline distT="0" distB="0" distL="114300" distR="114300">
            <wp:extent cx="5610860" cy="7087870"/>
            <wp:effectExtent l="0" t="0" r="0" b="0"/>
            <wp:docPr id="30" name="图片 30" descr="附件4  建设用地批准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附件4  建设用地批准书_00"/>
                    <pic:cNvPicPr>
                      <a:picLocks noChangeAspect="1"/>
                    </pic:cNvPicPr>
                  </pic:nvPicPr>
                  <pic:blipFill>
                    <a:blip r:embed="rId202"/>
                    <a:srcRect t="10675"/>
                    <a:stretch>
                      <a:fillRect/>
                    </a:stretch>
                  </pic:blipFill>
                  <pic:spPr>
                    <a:xfrm>
                      <a:off x="0" y="0"/>
                      <a:ext cx="5610860" cy="7087870"/>
                    </a:xfrm>
                    <a:prstGeom prst="rect">
                      <a:avLst/>
                    </a:prstGeom>
                  </pic:spPr>
                </pic:pic>
              </a:graphicData>
            </a:graphic>
          </wp:inline>
        </w:drawing>
      </w:r>
    </w:p>
    <w:p w14:paraId="7BE1BEE1">
      <w:pPr>
        <w:pStyle w:val="11"/>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outlineLvl w:val="0"/>
        <w:rPr>
          <w:rFonts w:hint="eastAsia"/>
          <w:b/>
          <w:sz w:val="24"/>
          <w:szCs w:val="22"/>
          <w:lang w:val="en-US" w:eastAsia="zh-CN"/>
        </w:rPr>
      </w:pPr>
      <w:r>
        <w:rPr>
          <w:rFonts w:hint="eastAsia" w:ascii="Times New Roman" w:hAnsi="Times New Roman" w:eastAsia="宋体"/>
          <w:b/>
          <w:sz w:val="24"/>
          <w:szCs w:val="22"/>
          <w:lang w:val="en-US" w:eastAsia="zh-CN"/>
        </w:rPr>
        <w:t>附件</w:t>
      </w:r>
      <w:r>
        <w:rPr>
          <w:rFonts w:hint="eastAsia"/>
          <w:b/>
          <w:sz w:val="24"/>
          <w:szCs w:val="22"/>
          <w:lang w:val="en-US" w:eastAsia="zh-CN"/>
        </w:rPr>
        <w:t xml:space="preserve"> 5 房产证</w:t>
      </w:r>
    </w:p>
    <w:p w14:paraId="41B9E6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bCs/>
          <w:kern w:val="2"/>
          <w:sz w:val="24"/>
          <w:szCs w:val="24"/>
          <w:lang w:val="en-US" w:eastAsia="zh-CN" w:bidi="ar-SA"/>
        </w:rPr>
      </w:pPr>
      <w:r>
        <w:rPr>
          <w:rFonts w:hint="eastAsia" w:ascii="Times New Roman" w:hAnsi="Times New Roman" w:eastAsia="宋体" w:cs="宋体"/>
          <w:b/>
          <w:bCs/>
          <w:kern w:val="2"/>
          <w:sz w:val="24"/>
          <w:szCs w:val="24"/>
          <w:lang w:val="en-US" w:eastAsia="zh-CN" w:bidi="ar-SA"/>
        </w:rPr>
        <w:drawing>
          <wp:inline distT="0" distB="0" distL="114300" distR="114300">
            <wp:extent cx="7764145" cy="4566285"/>
            <wp:effectExtent l="0" t="0" r="0" b="0"/>
            <wp:docPr id="31" name="图片 31" descr="附件5  益民医院房产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附件5  益民医院房产证_00"/>
                    <pic:cNvPicPr>
                      <a:picLocks noChangeAspect="1"/>
                    </pic:cNvPicPr>
                  </pic:nvPicPr>
                  <pic:blipFill>
                    <a:blip r:embed="rId203"/>
                    <a:srcRect t="16829"/>
                    <a:stretch>
                      <a:fillRect/>
                    </a:stretch>
                  </pic:blipFill>
                  <pic:spPr>
                    <a:xfrm>
                      <a:off x="0" y="0"/>
                      <a:ext cx="7764145" cy="4566285"/>
                    </a:xfrm>
                    <a:prstGeom prst="rect">
                      <a:avLst/>
                    </a:prstGeom>
                  </pic:spPr>
                </pic:pic>
              </a:graphicData>
            </a:graphic>
          </wp:inline>
        </w:drawing>
      </w:r>
    </w:p>
    <w:p w14:paraId="057A05B2">
      <w:pPr>
        <w:rPr>
          <w:rFonts w:hint="eastAsia" w:ascii="Times New Roman" w:hAnsi="Times New Roman" w:eastAsia="宋体" w:cs="宋体"/>
          <w:b/>
          <w:bCs/>
          <w:kern w:val="2"/>
          <w:sz w:val="24"/>
          <w:szCs w:val="24"/>
          <w:lang w:val="en-US" w:eastAsia="zh-CN" w:bidi="ar-SA"/>
        </w:rPr>
      </w:pPr>
      <w:r>
        <w:rPr>
          <w:rFonts w:hint="eastAsia" w:ascii="Times New Roman" w:hAnsi="Times New Roman" w:eastAsia="宋体" w:cs="宋体"/>
          <w:b/>
          <w:bCs/>
          <w:kern w:val="2"/>
          <w:sz w:val="24"/>
          <w:szCs w:val="24"/>
          <w:lang w:val="en-US" w:eastAsia="zh-CN" w:bidi="ar-SA"/>
        </w:rPr>
        <w:br w:type="page"/>
      </w:r>
    </w:p>
    <w:p w14:paraId="1DB71A70">
      <w:pPr>
        <w:pStyle w:val="11"/>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outlineLvl w:val="0"/>
        <w:rPr>
          <w:rFonts w:hint="eastAsia"/>
          <w:b/>
          <w:sz w:val="24"/>
          <w:szCs w:val="22"/>
          <w:lang w:val="en-US" w:eastAsia="zh-CN"/>
        </w:rPr>
      </w:pPr>
      <w:r>
        <w:rPr>
          <w:rFonts w:hint="eastAsia" w:ascii="Times New Roman" w:hAnsi="Times New Roman" w:eastAsia="宋体"/>
          <w:b/>
          <w:sz w:val="24"/>
          <w:szCs w:val="22"/>
          <w:lang w:val="en-US" w:eastAsia="zh-CN"/>
        </w:rPr>
        <w:t>附件</w:t>
      </w:r>
      <w:r>
        <w:rPr>
          <w:rFonts w:hint="eastAsia"/>
          <w:b/>
          <w:sz w:val="24"/>
          <w:szCs w:val="22"/>
          <w:lang w:val="en-US" w:eastAsia="zh-CN"/>
        </w:rPr>
        <w:t xml:space="preserve"> 6 土地使用证</w:t>
      </w:r>
    </w:p>
    <w:p w14:paraId="4D1333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bCs/>
          <w:kern w:val="2"/>
          <w:sz w:val="24"/>
          <w:szCs w:val="24"/>
          <w:lang w:val="en-US" w:eastAsia="zh-CN" w:bidi="ar-SA"/>
        </w:rPr>
        <w:sectPr>
          <w:pgSz w:w="16838" w:h="11906" w:orient="landscape"/>
          <w:pgMar w:top="1531" w:right="1701" w:bottom="1531" w:left="1701" w:header="1191" w:footer="119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宋体"/>
          <w:b/>
          <w:bCs/>
          <w:kern w:val="2"/>
          <w:sz w:val="24"/>
          <w:szCs w:val="24"/>
          <w:lang w:val="en-US" w:eastAsia="zh-CN" w:bidi="ar-SA"/>
        </w:rPr>
        <w:drawing>
          <wp:inline distT="0" distB="0" distL="114300" distR="114300">
            <wp:extent cx="7764145" cy="4553585"/>
            <wp:effectExtent l="0" t="0" r="0" b="0"/>
            <wp:docPr id="33" name="图片 33" descr="附件6  益民医院土地使用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附件6  益民医院土地使用证_00"/>
                    <pic:cNvPicPr>
                      <a:picLocks noChangeAspect="1"/>
                    </pic:cNvPicPr>
                  </pic:nvPicPr>
                  <pic:blipFill>
                    <a:blip r:embed="rId204"/>
                    <a:srcRect t="17060"/>
                    <a:stretch>
                      <a:fillRect/>
                    </a:stretch>
                  </pic:blipFill>
                  <pic:spPr>
                    <a:xfrm>
                      <a:off x="0" y="0"/>
                      <a:ext cx="7764145" cy="4553585"/>
                    </a:xfrm>
                    <a:prstGeom prst="rect">
                      <a:avLst/>
                    </a:prstGeom>
                  </pic:spPr>
                </pic:pic>
              </a:graphicData>
            </a:graphic>
          </wp:inline>
        </w:drawing>
      </w:r>
    </w:p>
    <w:p w14:paraId="65B0776C">
      <w:pPr>
        <w:pStyle w:val="11"/>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outlineLvl w:val="0"/>
        <w:rPr>
          <w:rFonts w:hint="eastAsia"/>
          <w:b/>
          <w:sz w:val="24"/>
          <w:szCs w:val="22"/>
          <w:lang w:val="en-US" w:eastAsia="zh-CN"/>
        </w:rPr>
      </w:pPr>
      <w:r>
        <w:rPr>
          <w:rFonts w:hint="eastAsia" w:ascii="Times New Roman" w:hAnsi="Times New Roman" w:eastAsia="宋体"/>
          <w:b/>
          <w:sz w:val="24"/>
          <w:szCs w:val="22"/>
          <w:lang w:val="en-US" w:eastAsia="zh-CN"/>
        </w:rPr>
        <w:t>附件</w:t>
      </w:r>
      <w:r>
        <w:rPr>
          <w:rFonts w:hint="eastAsia"/>
          <w:b/>
          <w:sz w:val="24"/>
          <w:szCs w:val="22"/>
          <w:lang w:val="en-US" w:eastAsia="zh-CN"/>
        </w:rPr>
        <w:t xml:space="preserve"> 7 企业投资项目备案通知书</w:t>
      </w:r>
    </w:p>
    <w:p w14:paraId="6E73BD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bCs/>
          <w:kern w:val="2"/>
          <w:sz w:val="24"/>
          <w:szCs w:val="24"/>
          <w:lang w:val="en-US" w:eastAsia="zh-CN" w:bidi="ar-SA"/>
        </w:rPr>
      </w:pPr>
      <w:r>
        <w:rPr>
          <w:rFonts w:hint="eastAsia" w:ascii="Times New Roman" w:hAnsi="Times New Roman" w:eastAsia="宋体" w:cs="宋体"/>
          <w:b/>
          <w:bCs/>
          <w:kern w:val="2"/>
          <w:sz w:val="24"/>
          <w:szCs w:val="24"/>
          <w:lang w:val="en-US" w:eastAsia="zh-CN" w:bidi="ar-SA"/>
        </w:rPr>
        <w:drawing>
          <wp:inline distT="0" distB="0" distL="114300" distR="114300">
            <wp:extent cx="5610860" cy="7113905"/>
            <wp:effectExtent l="0" t="0" r="0" b="0"/>
            <wp:docPr id="34" name="图片 34" descr="附件7  企业投资项目备案通知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附件7  企业投资项目备案通知书_00"/>
                    <pic:cNvPicPr>
                      <a:picLocks noChangeAspect="1"/>
                    </pic:cNvPicPr>
                  </pic:nvPicPr>
                  <pic:blipFill>
                    <a:blip r:embed="rId205"/>
                    <a:srcRect t="10347"/>
                    <a:stretch>
                      <a:fillRect/>
                    </a:stretch>
                  </pic:blipFill>
                  <pic:spPr>
                    <a:xfrm>
                      <a:off x="0" y="0"/>
                      <a:ext cx="5610860" cy="7113905"/>
                    </a:xfrm>
                    <a:prstGeom prst="rect">
                      <a:avLst/>
                    </a:prstGeom>
                  </pic:spPr>
                </pic:pic>
              </a:graphicData>
            </a:graphic>
          </wp:inline>
        </w:drawing>
      </w:r>
    </w:p>
    <w:p w14:paraId="63FC4D5A">
      <w:pPr>
        <w:rPr>
          <w:rFonts w:hint="eastAsia" w:ascii="Times New Roman" w:hAnsi="Times New Roman" w:eastAsia="宋体" w:cs="宋体"/>
          <w:b/>
          <w:bCs/>
          <w:kern w:val="2"/>
          <w:sz w:val="24"/>
          <w:szCs w:val="24"/>
          <w:lang w:val="en-US" w:eastAsia="zh-CN" w:bidi="ar-SA"/>
        </w:rPr>
      </w:pPr>
      <w:r>
        <w:rPr>
          <w:rFonts w:hint="eastAsia" w:ascii="Times New Roman" w:hAnsi="Times New Roman" w:eastAsia="宋体" w:cs="宋体"/>
          <w:b/>
          <w:bCs/>
          <w:kern w:val="2"/>
          <w:sz w:val="24"/>
          <w:szCs w:val="24"/>
          <w:lang w:val="en-US" w:eastAsia="zh-CN" w:bidi="ar-SA"/>
        </w:rPr>
        <w:br w:type="page"/>
      </w:r>
    </w:p>
    <w:p w14:paraId="495AC8F9">
      <w:pPr>
        <w:pStyle w:val="11"/>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outlineLvl w:val="0"/>
        <w:rPr>
          <w:rFonts w:hint="eastAsia"/>
          <w:b/>
          <w:sz w:val="24"/>
          <w:szCs w:val="22"/>
          <w:lang w:val="en-US" w:eastAsia="zh-CN"/>
        </w:rPr>
      </w:pPr>
      <w:r>
        <w:rPr>
          <w:rFonts w:hint="eastAsia" w:ascii="Times New Roman" w:hAnsi="Times New Roman" w:eastAsia="宋体"/>
          <w:b/>
          <w:sz w:val="24"/>
          <w:szCs w:val="22"/>
          <w:lang w:val="en-US" w:eastAsia="zh-CN"/>
        </w:rPr>
        <w:t>附件</w:t>
      </w:r>
      <w:r>
        <w:rPr>
          <w:rFonts w:hint="eastAsia"/>
          <w:b/>
          <w:sz w:val="24"/>
          <w:szCs w:val="22"/>
          <w:lang w:val="en-US" w:eastAsia="zh-CN"/>
        </w:rPr>
        <w:t xml:space="preserve"> 8 废水检测报告</w:t>
      </w:r>
    </w:p>
    <w:p w14:paraId="351B73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bCs/>
          <w:kern w:val="2"/>
          <w:sz w:val="24"/>
          <w:szCs w:val="24"/>
          <w:lang w:val="en-US" w:eastAsia="zh-CN" w:bidi="ar-SA"/>
        </w:rPr>
      </w:pPr>
      <w:r>
        <w:rPr>
          <w:rFonts w:hint="eastAsia" w:ascii="Times New Roman" w:hAnsi="Times New Roman" w:eastAsia="宋体" w:cs="宋体"/>
          <w:b/>
          <w:bCs/>
          <w:kern w:val="2"/>
          <w:sz w:val="24"/>
          <w:szCs w:val="24"/>
          <w:lang w:val="en-US" w:eastAsia="zh-CN" w:bidi="ar-SA"/>
        </w:rPr>
        <w:drawing>
          <wp:inline distT="0" distB="0" distL="114300" distR="114300">
            <wp:extent cx="5615305" cy="7942580"/>
            <wp:effectExtent l="0" t="0" r="4445" b="1270"/>
            <wp:docPr id="35" name="图片 35" descr="附件8  检测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附件8  检测报告_00"/>
                    <pic:cNvPicPr>
                      <a:picLocks noChangeAspect="1"/>
                    </pic:cNvPicPr>
                  </pic:nvPicPr>
                  <pic:blipFill>
                    <a:blip r:embed="rId206"/>
                    <a:stretch>
                      <a:fillRect/>
                    </a:stretch>
                  </pic:blipFill>
                  <pic:spPr>
                    <a:xfrm>
                      <a:off x="0" y="0"/>
                      <a:ext cx="5615305" cy="7942580"/>
                    </a:xfrm>
                    <a:prstGeom prst="rect">
                      <a:avLst/>
                    </a:prstGeom>
                  </pic:spPr>
                </pic:pic>
              </a:graphicData>
            </a:graphic>
          </wp:inline>
        </w:drawing>
      </w:r>
      <w:r>
        <w:rPr>
          <w:rFonts w:hint="eastAsia" w:ascii="Times New Roman" w:hAnsi="Times New Roman" w:eastAsia="宋体" w:cs="宋体"/>
          <w:b/>
          <w:bCs/>
          <w:kern w:val="2"/>
          <w:sz w:val="24"/>
          <w:szCs w:val="24"/>
          <w:lang w:val="en-US" w:eastAsia="zh-CN" w:bidi="ar-SA"/>
        </w:rPr>
        <w:drawing>
          <wp:inline distT="0" distB="0" distL="114300" distR="114300">
            <wp:extent cx="5615305" cy="7942580"/>
            <wp:effectExtent l="0" t="0" r="4445" b="1270"/>
            <wp:docPr id="36" name="图片 36" descr="附件8  检测报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附件8  检测报告_01"/>
                    <pic:cNvPicPr>
                      <a:picLocks noChangeAspect="1"/>
                    </pic:cNvPicPr>
                  </pic:nvPicPr>
                  <pic:blipFill>
                    <a:blip r:embed="rId207"/>
                    <a:stretch>
                      <a:fillRect/>
                    </a:stretch>
                  </pic:blipFill>
                  <pic:spPr>
                    <a:xfrm>
                      <a:off x="0" y="0"/>
                      <a:ext cx="5615305" cy="7942580"/>
                    </a:xfrm>
                    <a:prstGeom prst="rect">
                      <a:avLst/>
                    </a:prstGeom>
                  </pic:spPr>
                </pic:pic>
              </a:graphicData>
            </a:graphic>
          </wp:inline>
        </w:drawing>
      </w:r>
      <w:r>
        <w:rPr>
          <w:rFonts w:hint="eastAsia" w:ascii="Times New Roman" w:hAnsi="Times New Roman" w:eastAsia="宋体" w:cs="宋体"/>
          <w:b/>
          <w:bCs/>
          <w:kern w:val="2"/>
          <w:sz w:val="24"/>
          <w:szCs w:val="24"/>
          <w:lang w:val="en-US" w:eastAsia="zh-CN" w:bidi="ar-SA"/>
        </w:rPr>
        <w:drawing>
          <wp:inline distT="0" distB="0" distL="114300" distR="114300">
            <wp:extent cx="5615305" cy="7942580"/>
            <wp:effectExtent l="0" t="0" r="4445" b="1270"/>
            <wp:docPr id="37" name="图片 37" descr="附件8  检测报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附件8  检测报告_02"/>
                    <pic:cNvPicPr>
                      <a:picLocks noChangeAspect="1"/>
                    </pic:cNvPicPr>
                  </pic:nvPicPr>
                  <pic:blipFill>
                    <a:blip r:embed="rId208"/>
                    <a:stretch>
                      <a:fillRect/>
                    </a:stretch>
                  </pic:blipFill>
                  <pic:spPr>
                    <a:xfrm>
                      <a:off x="0" y="0"/>
                      <a:ext cx="5615305" cy="7942580"/>
                    </a:xfrm>
                    <a:prstGeom prst="rect">
                      <a:avLst/>
                    </a:prstGeom>
                  </pic:spPr>
                </pic:pic>
              </a:graphicData>
            </a:graphic>
          </wp:inline>
        </w:drawing>
      </w:r>
      <w:r>
        <w:rPr>
          <w:rFonts w:hint="eastAsia" w:ascii="Times New Roman" w:hAnsi="Times New Roman" w:eastAsia="宋体" w:cs="宋体"/>
          <w:b/>
          <w:bCs/>
          <w:kern w:val="2"/>
          <w:sz w:val="24"/>
          <w:szCs w:val="24"/>
          <w:lang w:val="en-US" w:eastAsia="zh-CN" w:bidi="ar-SA"/>
        </w:rPr>
        <w:drawing>
          <wp:inline distT="0" distB="0" distL="114300" distR="114300">
            <wp:extent cx="5615305" cy="7942580"/>
            <wp:effectExtent l="0" t="0" r="4445" b="1270"/>
            <wp:docPr id="38" name="图片 38" descr="附件8  检测报告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附件8  检测报告_03"/>
                    <pic:cNvPicPr>
                      <a:picLocks noChangeAspect="1"/>
                    </pic:cNvPicPr>
                  </pic:nvPicPr>
                  <pic:blipFill>
                    <a:blip r:embed="rId209"/>
                    <a:stretch>
                      <a:fillRect/>
                    </a:stretch>
                  </pic:blipFill>
                  <pic:spPr>
                    <a:xfrm>
                      <a:off x="0" y="0"/>
                      <a:ext cx="5615305" cy="7942580"/>
                    </a:xfrm>
                    <a:prstGeom prst="rect">
                      <a:avLst/>
                    </a:prstGeom>
                  </pic:spPr>
                </pic:pic>
              </a:graphicData>
            </a:graphic>
          </wp:inline>
        </w:drawing>
      </w:r>
      <w:r>
        <w:rPr>
          <w:rFonts w:hint="eastAsia" w:ascii="Times New Roman" w:hAnsi="Times New Roman" w:eastAsia="宋体" w:cs="宋体"/>
          <w:b/>
          <w:bCs/>
          <w:kern w:val="2"/>
          <w:sz w:val="24"/>
          <w:szCs w:val="24"/>
          <w:lang w:val="en-US" w:eastAsia="zh-CN" w:bidi="ar-SA"/>
        </w:rPr>
        <w:drawing>
          <wp:inline distT="0" distB="0" distL="114300" distR="114300">
            <wp:extent cx="5615305" cy="7942580"/>
            <wp:effectExtent l="0" t="0" r="4445" b="1270"/>
            <wp:docPr id="39" name="图片 39" descr="附件8  检测报告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附件8  检测报告_04"/>
                    <pic:cNvPicPr>
                      <a:picLocks noChangeAspect="1"/>
                    </pic:cNvPicPr>
                  </pic:nvPicPr>
                  <pic:blipFill>
                    <a:blip r:embed="rId210"/>
                    <a:stretch>
                      <a:fillRect/>
                    </a:stretch>
                  </pic:blipFill>
                  <pic:spPr>
                    <a:xfrm>
                      <a:off x="0" y="0"/>
                      <a:ext cx="5615305" cy="7942580"/>
                    </a:xfrm>
                    <a:prstGeom prst="rect">
                      <a:avLst/>
                    </a:prstGeom>
                  </pic:spPr>
                </pic:pic>
              </a:graphicData>
            </a:graphic>
          </wp:inline>
        </w:drawing>
      </w:r>
    </w:p>
    <w:p w14:paraId="43A0C36B">
      <w:pPr>
        <w:rPr>
          <w:rFonts w:hint="eastAsia" w:ascii="Times New Roman" w:hAnsi="Times New Roman" w:eastAsia="宋体" w:cs="宋体"/>
          <w:b/>
          <w:bCs/>
          <w:kern w:val="2"/>
          <w:sz w:val="24"/>
          <w:szCs w:val="24"/>
          <w:lang w:val="en-US" w:eastAsia="zh-CN" w:bidi="ar-SA"/>
        </w:rPr>
      </w:pPr>
      <w:r>
        <w:rPr>
          <w:rFonts w:hint="eastAsia" w:ascii="Times New Roman" w:hAnsi="Times New Roman" w:eastAsia="宋体" w:cs="宋体"/>
          <w:b/>
          <w:bCs/>
          <w:kern w:val="2"/>
          <w:sz w:val="24"/>
          <w:szCs w:val="24"/>
          <w:lang w:val="en-US" w:eastAsia="zh-CN" w:bidi="ar-SA"/>
        </w:rPr>
        <w:br w:type="page"/>
      </w:r>
    </w:p>
    <w:p w14:paraId="1CABEC45">
      <w:pPr>
        <w:pStyle w:val="11"/>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outlineLvl w:val="0"/>
        <w:rPr>
          <w:rFonts w:hint="eastAsia"/>
          <w:b/>
          <w:sz w:val="24"/>
          <w:szCs w:val="22"/>
          <w:lang w:val="en-US" w:eastAsia="zh-CN"/>
        </w:rPr>
      </w:pPr>
      <w:r>
        <w:rPr>
          <w:rFonts w:hint="eastAsia" w:ascii="Times New Roman" w:hAnsi="Times New Roman" w:eastAsia="宋体"/>
          <w:b/>
          <w:sz w:val="24"/>
          <w:szCs w:val="22"/>
          <w:lang w:val="en-US" w:eastAsia="zh-CN"/>
        </w:rPr>
        <w:t>附件</w:t>
      </w:r>
      <w:r>
        <w:rPr>
          <w:rFonts w:hint="eastAsia"/>
          <w:b/>
          <w:sz w:val="24"/>
          <w:szCs w:val="22"/>
          <w:lang w:val="en-US" w:eastAsia="zh-CN"/>
        </w:rPr>
        <w:t xml:space="preserve"> 9 遂宁市船山生态环境局关于遂宁市益民医院涉嫌环境违法行为的函</w:t>
      </w:r>
    </w:p>
    <w:p w14:paraId="67DD9A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bCs/>
          <w:kern w:val="2"/>
          <w:sz w:val="24"/>
          <w:szCs w:val="24"/>
          <w:lang w:val="en-US" w:eastAsia="zh-CN" w:bidi="ar-SA"/>
        </w:rPr>
        <w:sectPr>
          <w:pgSz w:w="11906" w:h="16838"/>
          <w:pgMar w:top="1701" w:right="1531" w:bottom="1701" w:left="1531" w:header="1191" w:footer="119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宋体"/>
          <w:b/>
          <w:bCs/>
          <w:kern w:val="2"/>
          <w:sz w:val="24"/>
          <w:szCs w:val="24"/>
          <w:lang w:val="en-US" w:eastAsia="zh-CN" w:bidi="ar-SA"/>
        </w:rPr>
        <w:drawing>
          <wp:inline distT="0" distB="0" distL="114300" distR="114300">
            <wp:extent cx="5610860" cy="7117080"/>
            <wp:effectExtent l="0" t="0" r="0" b="0"/>
            <wp:docPr id="40" name="图片 40" descr="附件9  遂宁市船山生态环境局关于遂宁市益民医院涉嫌环境违法行为的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附件9  遂宁市船山生态环境局关于遂宁市益民医院涉嫌环境违法行为的函_00"/>
                    <pic:cNvPicPr>
                      <a:picLocks noChangeAspect="1"/>
                    </pic:cNvPicPr>
                  </pic:nvPicPr>
                  <pic:blipFill>
                    <a:blip r:embed="rId211"/>
                    <a:srcRect t="10307"/>
                    <a:stretch>
                      <a:fillRect/>
                    </a:stretch>
                  </pic:blipFill>
                  <pic:spPr>
                    <a:xfrm>
                      <a:off x="0" y="0"/>
                      <a:ext cx="5610860" cy="7117080"/>
                    </a:xfrm>
                    <a:prstGeom prst="rect">
                      <a:avLst/>
                    </a:prstGeom>
                  </pic:spPr>
                </pic:pic>
              </a:graphicData>
            </a:graphic>
          </wp:inline>
        </w:drawing>
      </w:r>
      <w:r>
        <w:rPr>
          <w:rFonts w:hint="eastAsia" w:ascii="Times New Roman" w:hAnsi="Times New Roman" w:eastAsia="宋体" w:cs="宋体"/>
          <w:b/>
          <w:bCs/>
          <w:kern w:val="2"/>
          <w:sz w:val="24"/>
          <w:szCs w:val="24"/>
          <w:lang w:val="en-US" w:eastAsia="zh-CN" w:bidi="ar-SA"/>
        </w:rPr>
        <w:drawing>
          <wp:inline distT="0" distB="0" distL="114300" distR="114300">
            <wp:extent cx="5610860" cy="7934960"/>
            <wp:effectExtent l="0" t="0" r="8890" b="8890"/>
            <wp:docPr id="41" name="图片 41" descr="附件9  遂宁市船山生态环境局关于遂宁市益民医院涉嫌环境违法行为的函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附件9  遂宁市船山生态环境局关于遂宁市益民医院涉嫌环境违法行为的函_01"/>
                    <pic:cNvPicPr>
                      <a:picLocks noChangeAspect="1"/>
                    </pic:cNvPicPr>
                  </pic:nvPicPr>
                  <pic:blipFill>
                    <a:blip r:embed="rId212"/>
                    <a:stretch>
                      <a:fillRect/>
                    </a:stretch>
                  </pic:blipFill>
                  <pic:spPr>
                    <a:xfrm>
                      <a:off x="0" y="0"/>
                      <a:ext cx="5610860" cy="7934960"/>
                    </a:xfrm>
                    <a:prstGeom prst="rect">
                      <a:avLst/>
                    </a:prstGeom>
                  </pic:spPr>
                </pic:pic>
              </a:graphicData>
            </a:graphic>
          </wp:inline>
        </w:drawing>
      </w:r>
    </w:p>
    <w:p w14:paraId="57A42DD2">
      <w:pPr>
        <w:pStyle w:val="11"/>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outlineLvl w:val="0"/>
        <w:rPr>
          <w:rFonts w:hint="eastAsia"/>
          <w:b/>
          <w:sz w:val="24"/>
          <w:szCs w:val="22"/>
          <w:lang w:val="en-US" w:eastAsia="zh-CN"/>
        </w:rPr>
      </w:pPr>
      <w:r>
        <w:rPr>
          <w:rFonts w:hint="eastAsia" w:ascii="Times New Roman" w:hAnsi="Times New Roman" w:eastAsia="宋体"/>
          <w:b/>
          <w:sz w:val="24"/>
          <w:szCs w:val="22"/>
          <w:lang w:val="en-US" w:eastAsia="zh-CN"/>
        </w:rPr>
        <w:t>附件</w:t>
      </w:r>
      <w:r>
        <w:rPr>
          <w:rFonts w:hint="eastAsia"/>
          <w:b/>
          <w:sz w:val="24"/>
          <w:szCs w:val="22"/>
          <w:lang w:val="en-US" w:eastAsia="zh-CN"/>
        </w:rPr>
        <w:t xml:space="preserve"> 10 民办非企业单位登记证书</w:t>
      </w:r>
    </w:p>
    <w:p w14:paraId="6031A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bCs/>
          <w:kern w:val="2"/>
          <w:sz w:val="24"/>
          <w:szCs w:val="24"/>
          <w:lang w:val="en-US" w:eastAsia="zh-CN" w:bidi="ar-SA"/>
        </w:rPr>
      </w:pPr>
      <w:r>
        <w:rPr>
          <w:rFonts w:hint="eastAsia" w:ascii="Times New Roman" w:hAnsi="Times New Roman" w:eastAsia="宋体" w:cs="宋体"/>
          <w:b/>
          <w:bCs/>
          <w:kern w:val="2"/>
          <w:sz w:val="24"/>
          <w:szCs w:val="24"/>
          <w:lang w:val="en-US" w:eastAsia="zh-CN" w:bidi="ar-SA"/>
        </w:rPr>
        <w:drawing>
          <wp:inline distT="0" distB="0" distL="114300" distR="114300">
            <wp:extent cx="7764145" cy="4491355"/>
            <wp:effectExtent l="0" t="0" r="0" b="0"/>
            <wp:docPr id="42" name="图片 42" descr="附件10  民办非企业单位登记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附件10  民办非企业单位登记证书_00"/>
                    <pic:cNvPicPr>
                      <a:picLocks noChangeAspect="1"/>
                    </pic:cNvPicPr>
                  </pic:nvPicPr>
                  <pic:blipFill>
                    <a:blip r:embed="rId213"/>
                    <a:srcRect t="18193"/>
                    <a:stretch>
                      <a:fillRect/>
                    </a:stretch>
                  </pic:blipFill>
                  <pic:spPr>
                    <a:xfrm>
                      <a:off x="0" y="0"/>
                      <a:ext cx="7764145" cy="4491355"/>
                    </a:xfrm>
                    <a:prstGeom prst="rect">
                      <a:avLst/>
                    </a:prstGeom>
                  </pic:spPr>
                </pic:pic>
              </a:graphicData>
            </a:graphic>
          </wp:inline>
        </w:drawing>
      </w:r>
      <w:r>
        <w:rPr>
          <w:rFonts w:hint="eastAsia" w:ascii="Times New Roman" w:hAnsi="Times New Roman" w:eastAsia="宋体" w:cs="宋体"/>
          <w:b/>
          <w:bCs/>
          <w:kern w:val="2"/>
          <w:sz w:val="24"/>
          <w:szCs w:val="24"/>
          <w:lang w:val="en-US" w:eastAsia="zh-CN" w:bidi="ar-SA"/>
        </w:rPr>
        <w:drawing>
          <wp:inline distT="0" distB="0" distL="114300" distR="114300">
            <wp:extent cx="7764145" cy="5490210"/>
            <wp:effectExtent l="0" t="0" r="8255" b="15240"/>
            <wp:docPr id="43" name="图片 43" descr="附件10  民办非企业单位登记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附件10  民办非企业单位登记证书_01"/>
                    <pic:cNvPicPr>
                      <a:picLocks noChangeAspect="1"/>
                    </pic:cNvPicPr>
                  </pic:nvPicPr>
                  <pic:blipFill>
                    <a:blip r:embed="rId214"/>
                    <a:stretch>
                      <a:fillRect/>
                    </a:stretch>
                  </pic:blipFill>
                  <pic:spPr>
                    <a:xfrm>
                      <a:off x="0" y="0"/>
                      <a:ext cx="7764145" cy="5490210"/>
                    </a:xfrm>
                    <a:prstGeom prst="rect">
                      <a:avLst/>
                    </a:prstGeom>
                  </pic:spPr>
                </pic:pic>
              </a:graphicData>
            </a:graphic>
          </wp:inline>
        </w:drawing>
      </w:r>
    </w:p>
    <w:p w14:paraId="466ECA60">
      <w:pPr>
        <w:pStyle w:val="11"/>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outlineLvl w:val="0"/>
        <w:rPr>
          <w:rFonts w:hint="eastAsia"/>
          <w:b/>
          <w:sz w:val="24"/>
          <w:szCs w:val="22"/>
          <w:lang w:val="en-US" w:eastAsia="zh-CN"/>
        </w:rPr>
      </w:pPr>
      <w:r>
        <w:rPr>
          <w:rFonts w:hint="eastAsia" w:ascii="Times New Roman" w:hAnsi="Times New Roman" w:eastAsia="宋体"/>
          <w:b/>
          <w:sz w:val="24"/>
          <w:szCs w:val="22"/>
          <w:lang w:val="en-US" w:eastAsia="zh-CN"/>
        </w:rPr>
        <w:t>附件</w:t>
      </w:r>
      <w:r>
        <w:rPr>
          <w:rFonts w:hint="eastAsia"/>
          <w:b/>
          <w:sz w:val="24"/>
          <w:szCs w:val="22"/>
          <w:lang w:val="en-US" w:eastAsia="zh-CN"/>
        </w:rPr>
        <w:t xml:space="preserve"> 11 医疗废物处置委托合同</w:t>
      </w:r>
    </w:p>
    <w:p w14:paraId="056290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bCs/>
          <w:kern w:val="2"/>
          <w:sz w:val="24"/>
          <w:szCs w:val="24"/>
          <w:lang w:val="en-US" w:eastAsia="zh-CN" w:bidi="ar-SA"/>
        </w:rPr>
        <w:sectPr>
          <w:pgSz w:w="16838" w:h="11906" w:orient="landscape"/>
          <w:pgMar w:top="1531" w:right="1701" w:bottom="1531" w:left="1701" w:header="1191" w:footer="119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宋体"/>
          <w:b/>
          <w:bCs/>
          <w:kern w:val="2"/>
          <w:sz w:val="24"/>
          <w:szCs w:val="24"/>
          <w:lang w:val="en-US" w:eastAsia="zh-CN" w:bidi="ar-SA"/>
        </w:rPr>
        <w:drawing>
          <wp:inline distT="0" distB="0" distL="114300" distR="114300">
            <wp:extent cx="7771130" cy="5028565"/>
            <wp:effectExtent l="0" t="0" r="0" b="0"/>
            <wp:docPr id="44" name="图片 44" descr="附件11 污水处理站危险性废物清掏、处理服务合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附件11 污水处理站危险性废物清掏、处理服务合同_00"/>
                    <pic:cNvPicPr>
                      <a:picLocks noChangeAspect="1"/>
                    </pic:cNvPicPr>
                  </pic:nvPicPr>
                  <pic:blipFill>
                    <a:blip r:embed="rId215"/>
                    <a:srcRect t="3363" b="5120"/>
                    <a:stretch>
                      <a:fillRect/>
                    </a:stretch>
                  </pic:blipFill>
                  <pic:spPr>
                    <a:xfrm>
                      <a:off x="0" y="0"/>
                      <a:ext cx="7771130" cy="5028565"/>
                    </a:xfrm>
                    <a:prstGeom prst="rect">
                      <a:avLst/>
                    </a:prstGeom>
                  </pic:spPr>
                </pic:pic>
              </a:graphicData>
            </a:graphic>
          </wp:inline>
        </w:drawing>
      </w:r>
      <w:r>
        <w:rPr>
          <w:rFonts w:hint="eastAsia" w:ascii="Times New Roman" w:hAnsi="Times New Roman" w:eastAsia="宋体" w:cs="宋体"/>
          <w:b/>
          <w:bCs/>
          <w:kern w:val="2"/>
          <w:sz w:val="24"/>
          <w:szCs w:val="24"/>
          <w:lang w:val="en-US" w:eastAsia="zh-CN" w:bidi="ar-SA"/>
        </w:rPr>
        <w:drawing>
          <wp:inline distT="0" distB="0" distL="114300" distR="114300">
            <wp:extent cx="7771130" cy="5494655"/>
            <wp:effectExtent l="0" t="0" r="1270" b="10795"/>
            <wp:docPr id="45" name="图片 45" descr="附件11 污水处理站危险性废物清掏、处理服务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附件11 污水处理站危险性废物清掏、处理服务合同_01"/>
                    <pic:cNvPicPr>
                      <a:picLocks noChangeAspect="1"/>
                    </pic:cNvPicPr>
                  </pic:nvPicPr>
                  <pic:blipFill>
                    <a:blip r:embed="rId216"/>
                    <a:stretch>
                      <a:fillRect/>
                    </a:stretch>
                  </pic:blipFill>
                  <pic:spPr>
                    <a:xfrm>
                      <a:off x="0" y="0"/>
                      <a:ext cx="7771130" cy="5494655"/>
                    </a:xfrm>
                    <a:prstGeom prst="rect">
                      <a:avLst/>
                    </a:prstGeom>
                  </pic:spPr>
                </pic:pic>
              </a:graphicData>
            </a:graphic>
          </wp:inline>
        </w:drawing>
      </w:r>
    </w:p>
    <w:p w14:paraId="1161B564">
      <w:pPr>
        <w:pStyle w:val="11"/>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outlineLvl w:val="0"/>
        <w:rPr>
          <w:rFonts w:hint="eastAsia"/>
          <w:b/>
          <w:sz w:val="24"/>
          <w:szCs w:val="22"/>
          <w:lang w:val="en-US" w:eastAsia="zh-CN"/>
        </w:rPr>
      </w:pPr>
      <w:r>
        <w:rPr>
          <w:rFonts w:hint="eastAsia" w:ascii="Times New Roman" w:hAnsi="Times New Roman" w:eastAsia="宋体"/>
          <w:b/>
          <w:sz w:val="24"/>
          <w:szCs w:val="22"/>
          <w:lang w:val="en-US" w:eastAsia="zh-CN"/>
        </w:rPr>
        <w:t>附件</w:t>
      </w:r>
      <w:r>
        <w:rPr>
          <w:rFonts w:hint="eastAsia"/>
          <w:b/>
          <w:sz w:val="24"/>
          <w:szCs w:val="22"/>
          <w:lang w:val="en-US" w:eastAsia="zh-CN"/>
        </w:rPr>
        <w:t xml:space="preserve"> 12 污水处理站危险性废物清掏、处理服务合同</w:t>
      </w:r>
    </w:p>
    <w:p w14:paraId="0BD5A9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宋体"/>
          <w:b/>
          <w:bCs/>
          <w:kern w:val="2"/>
          <w:sz w:val="24"/>
          <w:szCs w:val="24"/>
          <w:lang w:val="en-US" w:eastAsia="zh-CN" w:bidi="ar-SA"/>
        </w:rPr>
      </w:pPr>
      <w:r>
        <w:rPr>
          <w:rFonts w:hint="eastAsia" w:ascii="Times New Roman" w:hAnsi="Times New Roman" w:eastAsia="宋体" w:cs="宋体"/>
          <w:b/>
          <w:bCs/>
          <w:kern w:val="2"/>
          <w:sz w:val="24"/>
          <w:szCs w:val="24"/>
          <w:lang w:val="en-US" w:eastAsia="zh-CN" w:bidi="ar-SA"/>
        </w:rPr>
        <w:drawing>
          <wp:inline distT="0" distB="0" distL="114300" distR="114300">
            <wp:extent cx="5610860" cy="7934960"/>
            <wp:effectExtent l="0" t="0" r="8890" b="8890"/>
            <wp:docPr id="46" name="图片 46" descr="附件12 医疗废物处置委托合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附件12 医疗废物处置委托合同_00"/>
                    <pic:cNvPicPr>
                      <a:picLocks noChangeAspect="1"/>
                    </pic:cNvPicPr>
                  </pic:nvPicPr>
                  <pic:blipFill>
                    <a:blip r:embed="rId217"/>
                    <a:stretch>
                      <a:fillRect/>
                    </a:stretch>
                  </pic:blipFill>
                  <pic:spPr>
                    <a:xfrm>
                      <a:off x="0" y="0"/>
                      <a:ext cx="5610860" cy="7934960"/>
                    </a:xfrm>
                    <a:prstGeom prst="rect">
                      <a:avLst/>
                    </a:prstGeom>
                  </pic:spPr>
                </pic:pic>
              </a:graphicData>
            </a:graphic>
          </wp:inline>
        </w:drawing>
      </w:r>
      <w:r>
        <w:rPr>
          <w:rFonts w:hint="eastAsia" w:ascii="Times New Roman" w:hAnsi="Times New Roman" w:eastAsia="宋体" w:cs="宋体"/>
          <w:b/>
          <w:bCs/>
          <w:kern w:val="2"/>
          <w:sz w:val="24"/>
          <w:szCs w:val="24"/>
          <w:lang w:val="en-US" w:eastAsia="zh-CN" w:bidi="ar-SA"/>
        </w:rPr>
        <w:drawing>
          <wp:inline distT="0" distB="0" distL="114300" distR="114300">
            <wp:extent cx="5610860" cy="7934960"/>
            <wp:effectExtent l="0" t="0" r="8890" b="8890"/>
            <wp:docPr id="47" name="图片 47" descr="附件12 医疗废物处置委托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附件12 医疗废物处置委托合同_01"/>
                    <pic:cNvPicPr>
                      <a:picLocks noChangeAspect="1"/>
                    </pic:cNvPicPr>
                  </pic:nvPicPr>
                  <pic:blipFill>
                    <a:blip r:embed="rId218"/>
                    <a:stretch>
                      <a:fillRect/>
                    </a:stretch>
                  </pic:blipFill>
                  <pic:spPr>
                    <a:xfrm>
                      <a:off x="0" y="0"/>
                      <a:ext cx="5610860" cy="7934960"/>
                    </a:xfrm>
                    <a:prstGeom prst="rect">
                      <a:avLst/>
                    </a:prstGeom>
                  </pic:spPr>
                </pic:pic>
              </a:graphicData>
            </a:graphic>
          </wp:inline>
        </w:drawing>
      </w:r>
    </w:p>
    <w:sectPr>
      <w:pgSz w:w="11906" w:h="16838"/>
      <w:pgMar w:top="1701" w:right="1531" w:bottom="1701" w:left="1531" w:header="1191" w:footer="119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504020202030204"/>
    <w:charset w:val="00"/>
    <w:family w:val="swiss"/>
    <w:pitch w:val="default"/>
    <w:sig w:usb0="00000000" w:usb1="00000000" w:usb2="00000000" w:usb3="00000000" w:csb0="000001FF"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ABC3">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3A5CD">
    <w:pPr>
      <w:keepNext w:val="0"/>
      <w:keepLines w:val="0"/>
      <w:pageBreakBefore w:val="0"/>
      <w:widowControl w:val="0"/>
      <w:tabs>
        <w:tab w:val="center" w:pos="4153"/>
        <w:tab w:val="right" w:pos="8306"/>
      </w:tabs>
      <w:kinsoku/>
      <w:wordWrap/>
      <w:overflowPunct/>
      <w:topLinePunct w:val="0"/>
      <w:bidi w:val="0"/>
      <w:adjustRightInd w:val="0"/>
      <w:snapToGrid w:val="0"/>
      <w:spacing w:line="240" w:lineRule="auto"/>
      <w:ind w:firstLine="0" w:firstLineChars="0"/>
      <w:jc w:val="center"/>
      <w:textAlignment w:val="auto"/>
      <w:rPr>
        <w:b/>
        <w:sz w:val="24"/>
      </w:rPr>
    </w:pPr>
    <w:r>
      <w:rPr>
        <w:b/>
        <w:sz w:val="24"/>
      </w:rPr>
      <w:fldChar w:fldCharType="begin"/>
    </w:r>
    <w:r>
      <w:rPr>
        <w:b/>
        <w:sz w:val="24"/>
      </w:rPr>
      <w:instrText xml:space="preserve"> PAGE  \* MERGEFORMAT </w:instrText>
    </w:r>
    <w:r>
      <w:rPr>
        <w:b/>
        <w:sz w:val="24"/>
      </w:rPr>
      <w:fldChar w:fldCharType="separate"/>
    </w:r>
    <w:r>
      <w:rPr>
        <w:b/>
        <w:sz w:val="24"/>
      </w:rPr>
      <w:t>1</w:t>
    </w:r>
    <w:r>
      <w:rPr>
        <w:b/>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41B0F">
    <w:pPr>
      <w:tabs>
        <w:tab w:val="center" w:pos="4153"/>
        <w:tab w:val="right" w:pos="8306"/>
      </w:tabs>
      <w:ind w:right="360" w:firstLine="360"/>
      <w:jc w:val="left"/>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B7FA9">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86B7FA9">
                    <w:r>
                      <w:fldChar w:fldCharType="begin"/>
                    </w:r>
                    <w:r>
                      <w:instrText xml:space="preserve"> PAGE  \* MERGEFORMAT </w:instrText>
                    </w:r>
                    <w:r>
                      <w:fldChar w:fldCharType="separate"/>
                    </w:r>
                    <w:r>
                      <w:t>65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C4FEB">
    <w:pPr>
      <w:widowControl w:val="0"/>
      <w:pBdr>
        <w:top w:val="none" w:color="auto" w:sz="0" w:space="1"/>
        <w:left w:val="none" w:color="auto" w:sz="0" w:space="4"/>
        <w:bottom w:val="none" w:color="auto" w:sz="0" w:space="1"/>
        <w:right w:val="none" w:color="auto" w:sz="0" w:space="4"/>
        <w:between w:val="none" w:color="auto" w:sz="0" w:space="0"/>
      </w:pBdr>
      <w:tabs>
        <w:tab w:val="center" w:pos="4153"/>
        <w:tab w:val="right" w:pos="8306"/>
      </w:tabs>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0BD494"/>
    <w:multiLevelType w:val="multilevel"/>
    <w:tmpl w:val="C00BD494"/>
    <w:lvl w:ilvl="0" w:tentative="0">
      <w:start w:val="1"/>
      <w:numFmt w:val="chineseCounting"/>
      <w:pStyle w:val="2"/>
      <w:suff w:val="nothing"/>
      <w:lvlText w:val="%1."/>
      <w:lvlJc w:val="center"/>
      <w:pPr>
        <w:tabs>
          <w:tab w:val="left" w:pos="420"/>
        </w:tabs>
        <w:ind w:left="0" w:leftChars="0" w:firstLine="0" w:firstLineChars="0"/>
      </w:pPr>
      <w:rPr>
        <w:rFonts w:hint="eastAsia"/>
      </w:rPr>
    </w:lvl>
    <w:lvl w:ilvl="1" w:tentative="0">
      <w:start w:val="1"/>
      <w:numFmt w:val="decimal"/>
      <w:pStyle w:val="3"/>
      <w:isLgl/>
      <w:suff w:val="nothing"/>
      <w:lvlText w:val="%1.%2."/>
      <w:lvlJc w:val="left"/>
      <w:pPr>
        <w:tabs>
          <w:tab w:val="left" w:pos="420"/>
        </w:tabs>
        <w:ind w:left="0" w:leftChars="0" w:firstLine="0" w:firstLineChars="0"/>
      </w:pPr>
      <w:rPr>
        <w:rFonts w:hint="eastAsia"/>
      </w:rPr>
    </w:lvl>
    <w:lvl w:ilvl="2" w:tentative="0">
      <w:start w:val="1"/>
      <w:numFmt w:val="decimal"/>
      <w:pStyle w:val="4"/>
      <w:isLgl/>
      <w:suff w:val="nothing"/>
      <w:lvlText w:val="%1.%2.%3."/>
      <w:lvlJc w:val="left"/>
      <w:pPr>
        <w:tabs>
          <w:tab w:val="left" w:pos="420"/>
        </w:tabs>
        <w:ind w:left="0" w:leftChars="0" w:firstLine="0" w:firstLineChars="0"/>
      </w:pPr>
      <w:rPr>
        <w:rFonts w:hint="eastAsia"/>
      </w:rPr>
    </w:lvl>
    <w:lvl w:ilvl="3" w:tentative="0">
      <w:start w:val="1"/>
      <w:numFmt w:val="decimal"/>
      <w:lvlRestart w:val="1"/>
      <w:pStyle w:val="22"/>
      <w:isLgl/>
      <w:suff w:val="space"/>
      <w:lvlText w:val="表%1-%4"/>
      <w:lvlJc w:val="center"/>
      <w:pPr>
        <w:tabs>
          <w:tab w:val="left" w:pos="420"/>
        </w:tabs>
        <w:ind w:left="0" w:leftChars="0" w:firstLine="0" w:firstLineChars="0"/>
      </w:pPr>
      <w:rPr>
        <w:rFonts w:hint="eastAsia"/>
      </w:rPr>
    </w:lvl>
    <w:lvl w:ilvl="4" w:tentative="0">
      <w:start w:val="1"/>
      <w:numFmt w:val="decimal"/>
      <w:lvlRestart w:val="1"/>
      <w:pStyle w:val="27"/>
      <w:isLgl/>
      <w:suff w:val="space"/>
      <w:lvlText w:val="图%1-%5"/>
      <w:lvlJc w:val="center"/>
      <w:pPr>
        <w:tabs>
          <w:tab w:val="left" w:pos="420"/>
        </w:tabs>
        <w:ind w:left="0" w:leftChars="0" w:firstLine="0" w:firstLineChars="0"/>
      </w:pPr>
      <w:rPr>
        <w:rFonts w:hint="eastAsia"/>
      </w:rPr>
    </w:lvl>
    <w:lvl w:ilvl="5" w:tentative="0">
      <w:start w:val="1"/>
      <w:numFmt w:val="decimal"/>
      <w:pStyle w:val="6"/>
      <w:lvlText w:val="%1.%2.%3.%4.%5.%6."/>
      <w:lvlJc w:val="left"/>
      <w:pPr>
        <w:ind w:left="1151" w:hanging="1151"/>
      </w:pPr>
      <w:rPr>
        <w:rFonts w:hint="eastAsia"/>
      </w:rPr>
    </w:lvl>
    <w:lvl w:ilvl="6" w:tentative="0">
      <w:start w:val="1"/>
      <w:numFmt w:val="decimal"/>
      <w:pStyle w:val="7"/>
      <w:lvlText w:val="%1.%2.%3.%4.%5.%6.%7."/>
      <w:lvlJc w:val="left"/>
      <w:pPr>
        <w:ind w:left="1296" w:hanging="1296"/>
      </w:pPr>
      <w:rPr>
        <w:rFonts w:hint="eastAsia"/>
      </w:rPr>
    </w:lvl>
    <w:lvl w:ilvl="7" w:tentative="0">
      <w:start w:val="1"/>
      <w:numFmt w:val="decimal"/>
      <w:pStyle w:val="8"/>
      <w:lvlText w:val="%1.%2.%3.%4.%5.%6.%7.%8."/>
      <w:lvlJc w:val="left"/>
      <w:pPr>
        <w:ind w:left="1440" w:hanging="1440"/>
      </w:pPr>
      <w:rPr>
        <w:rFonts w:hint="eastAsia"/>
      </w:rPr>
    </w:lvl>
    <w:lvl w:ilvl="8" w:tentative="0">
      <w:start w:val="1"/>
      <w:numFmt w:val="decimal"/>
      <w:pStyle w:val="9"/>
      <w:lvlText w:val="%1.%2.%3.%4.%5.%6.%7.%8.%9."/>
      <w:lvlJc w:val="left"/>
      <w:pPr>
        <w:ind w:left="1583" w:hanging="1583"/>
      </w:pPr>
      <w:rPr>
        <w:rFonts w:hint="eastAsia"/>
      </w:rPr>
    </w:lvl>
  </w:abstractNum>
  <w:abstractNum w:abstractNumId="1">
    <w:nsid w:val="D20B0DB9"/>
    <w:multiLevelType w:val="singleLevel"/>
    <w:tmpl w:val="D20B0DB9"/>
    <w:lvl w:ilvl="0" w:tentative="0">
      <w:start w:val="1"/>
      <w:numFmt w:val="decimal"/>
      <w:suff w:val="nothing"/>
      <w:lvlText w:val="%1."/>
      <w:lvlJc w:val="left"/>
      <w:pPr>
        <w:ind w:left="0" w:firstLine="0"/>
      </w:pPr>
    </w:lvl>
  </w:abstractNum>
  <w:abstractNum w:abstractNumId="2">
    <w:nsid w:val="DA55657B"/>
    <w:multiLevelType w:val="singleLevel"/>
    <w:tmpl w:val="DA55657B"/>
    <w:lvl w:ilvl="0" w:tentative="0">
      <w:start w:val="1"/>
      <w:numFmt w:val="decimal"/>
      <w:suff w:val="nothing"/>
      <w:lvlText w:val="%1、"/>
      <w:lvlJc w:val="left"/>
    </w:lvl>
  </w:abstractNum>
  <w:abstractNum w:abstractNumId="3">
    <w:nsid w:val="2880103A"/>
    <w:multiLevelType w:val="multilevel"/>
    <w:tmpl w:val="2880103A"/>
    <w:lvl w:ilvl="0" w:tentative="0">
      <w:start w:val="1"/>
      <w:numFmt w:val="chineseCounting"/>
      <w:suff w:val="space"/>
      <w:lvlText w:val="%1."/>
      <w:lvlJc w:val="center"/>
      <w:pPr>
        <w:tabs>
          <w:tab w:val="left" w:pos="0"/>
        </w:tabs>
        <w:ind w:left="0" w:leftChars="0" w:firstLine="0" w:firstLineChars="0"/>
      </w:pPr>
      <w:rPr>
        <w:rFonts w:hint="eastAsia"/>
      </w:rPr>
    </w:lvl>
    <w:lvl w:ilvl="1" w:tentative="0">
      <w:start w:val="1"/>
      <w:numFmt w:val="decimal"/>
      <w:isLgl/>
      <w:suff w:val="space"/>
      <w:lvlText w:val="%1.%2."/>
      <w:lvlJc w:val="left"/>
      <w:pPr>
        <w:tabs>
          <w:tab w:val="left" w:pos="420"/>
        </w:tabs>
        <w:ind w:left="0" w:leftChars="0" w:firstLine="0" w:firstLineChars="0"/>
      </w:pPr>
      <w:rPr>
        <w:rFonts w:hint="eastAsia"/>
      </w:rPr>
    </w:lvl>
    <w:lvl w:ilvl="2" w:tentative="0">
      <w:start w:val="1"/>
      <w:numFmt w:val="decimal"/>
      <w:isLgl/>
      <w:suff w:val="nothing"/>
      <w:lvlText w:val="%1.%2.%3."/>
      <w:lvlJc w:val="left"/>
      <w:pPr>
        <w:tabs>
          <w:tab w:val="left" w:pos="420"/>
        </w:tabs>
        <w:ind w:left="0" w:leftChars="0" w:firstLine="0" w:firstLineChars="0"/>
      </w:pPr>
      <w:rPr>
        <w:rFonts w:hint="eastAsia"/>
      </w:rPr>
    </w:lvl>
    <w:lvl w:ilvl="3" w:tentative="0">
      <w:start w:val="1"/>
      <w:numFmt w:val="decimal"/>
      <w:lvlRestart w:val="1"/>
      <w:isLgl/>
      <w:suff w:val="space"/>
      <w:lvlText w:val="表%1-%4"/>
      <w:lvlJc w:val="center"/>
      <w:pPr>
        <w:tabs>
          <w:tab w:val="left" w:pos="0"/>
        </w:tabs>
        <w:ind w:left="0" w:leftChars="0" w:firstLine="0" w:firstLineChars="0"/>
      </w:pPr>
      <w:rPr>
        <w:rFonts w:hint="eastAsia"/>
      </w:rPr>
    </w:lvl>
    <w:lvl w:ilvl="4" w:tentative="0">
      <w:start w:val="1"/>
      <w:numFmt w:val="decimal"/>
      <w:isLgl/>
      <w:suff w:val="space"/>
      <w:lvlText w:val="图%1-%5"/>
      <w:lvlJc w:val="center"/>
      <w:pPr>
        <w:tabs>
          <w:tab w:val="left" w:pos="420"/>
        </w:tabs>
        <w:ind w:left="0" w:leftChars="0" w:firstLine="0" w:firstLineChars="0"/>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4">
    <w:nsid w:val="376CAA09"/>
    <w:multiLevelType w:val="singleLevel"/>
    <w:tmpl w:val="376CAA09"/>
    <w:lvl w:ilvl="0" w:tentative="0">
      <w:start w:val="1"/>
      <w:numFmt w:val="decimal"/>
      <w:suff w:val="nothing"/>
      <w:lvlText w:val="%1."/>
      <w:lvlJc w:val="left"/>
      <w:pPr>
        <w:ind w:left="0" w:firstLine="420"/>
      </w:pPr>
    </w:lvl>
  </w:abstractNum>
  <w:abstractNum w:abstractNumId="5">
    <w:nsid w:val="5ADA2F26"/>
    <w:multiLevelType w:val="singleLevel"/>
    <w:tmpl w:val="5ADA2F26"/>
    <w:lvl w:ilvl="0" w:tentative="0">
      <w:start w:val="1"/>
      <w:numFmt w:val="decimal"/>
      <w:suff w:val="nothing"/>
      <w:lvlText w:val="%1."/>
      <w:lvlJc w:val="left"/>
      <w:pPr>
        <w:ind w:left="0" w:firstLine="495"/>
      </w:pPr>
    </w:lvl>
  </w:abstractNum>
  <w:abstractNum w:abstractNumId="6">
    <w:nsid w:val="5C942549"/>
    <w:multiLevelType w:val="multilevel"/>
    <w:tmpl w:val="5C942549"/>
    <w:lvl w:ilvl="0" w:tentative="0">
      <w:start w:val="1"/>
      <w:numFmt w:val="chineseCounting"/>
      <w:suff w:val="nothing"/>
      <w:lvlText w:val="%1、"/>
      <w:lvlJc w:val="center"/>
      <w:pPr>
        <w:tabs>
          <w:tab w:val="left" w:pos="420"/>
        </w:tabs>
        <w:ind w:left="0" w:firstLine="0"/>
      </w:pPr>
      <w:rPr>
        <w:rFonts w:hint="eastAsia"/>
      </w:rPr>
    </w:lvl>
    <w:lvl w:ilvl="1" w:tentative="0">
      <w:start w:val="1"/>
      <w:numFmt w:val="decimal"/>
      <w:isLgl/>
      <w:suff w:val="nothing"/>
      <w:lvlText w:val="%1.%2."/>
      <w:lvlJc w:val="left"/>
      <w:pPr>
        <w:tabs>
          <w:tab w:val="left" w:pos="420"/>
        </w:tabs>
        <w:ind w:left="0" w:firstLine="0"/>
      </w:pPr>
      <w:rPr>
        <w:rFonts w:hint="eastAsia"/>
      </w:rPr>
    </w:lvl>
    <w:lvl w:ilvl="2" w:tentative="0">
      <w:start w:val="1"/>
      <w:numFmt w:val="decimal"/>
      <w:isLgl/>
      <w:suff w:val="nothing"/>
      <w:lvlText w:val="%1.%2.%3."/>
      <w:lvlJc w:val="left"/>
      <w:pPr>
        <w:tabs>
          <w:tab w:val="left" w:pos="420"/>
        </w:tabs>
        <w:ind w:left="0" w:firstLine="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0"/>
  </w:num>
  <w:num w:numId="2">
    <w:abstractNumId w:val="6"/>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5NTBhMjAxNmExNWU0MGQ1YjIxNDAyZGQyYmQ3ZDQifQ=="/>
  </w:docVars>
  <w:rsids>
    <w:rsidRoot w:val="00A14947"/>
    <w:rsid w:val="000060B3"/>
    <w:rsid w:val="00021F08"/>
    <w:rsid w:val="00036E0F"/>
    <w:rsid w:val="00042134"/>
    <w:rsid w:val="0004364B"/>
    <w:rsid w:val="00045055"/>
    <w:rsid w:val="00061B1F"/>
    <w:rsid w:val="00065593"/>
    <w:rsid w:val="000733C4"/>
    <w:rsid w:val="00074783"/>
    <w:rsid w:val="0008070B"/>
    <w:rsid w:val="000810AC"/>
    <w:rsid w:val="00081A02"/>
    <w:rsid w:val="00082231"/>
    <w:rsid w:val="00092D38"/>
    <w:rsid w:val="0009377B"/>
    <w:rsid w:val="0009429E"/>
    <w:rsid w:val="000A05CD"/>
    <w:rsid w:val="000A20C9"/>
    <w:rsid w:val="000B058F"/>
    <w:rsid w:val="000B4467"/>
    <w:rsid w:val="000B4B85"/>
    <w:rsid w:val="000B4DB9"/>
    <w:rsid w:val="000C09AC"/>
    <w:rsid w:val="000C767F"/>
    <w:rsid w:val="000D06DA"/>
    <w:rsid w:val="000D33E9"/>
    <w:rsid w:val="000D4A76"/>
    <w:rsid w:val="000D5A44"/>
    <w:rsid w:val="000E3ED2"/>
    <w:rsid w:val="000F6D81"/>
    <w:rsid w:val="00111BD1"/>
    <w:rsid w:val="001157FD"/>
    <w:rsid w:val="0011646B"/>
    <w:rsid w:val="001179D2"/>
    <w:rsid w:val="00131F42"/>
    <w:rsid w:val="001357F1"/>
    <w:rsid w:val="00140FA8"/>
    <w:rsid w:val="00142774"/>
    <w:rsid w:val="00142FEB"/>
    <w:rsid w:val="00143A2D"/>
    <w:rsid w:val="00145A41"/>
    <w:rsid w:val="00151675"/>
    <w:rsid w:val="00157435"/>
    <w:rsid w:val="00161424"/>
    <w:rsid w:val="0017504D"/>
    <w:rsid w:val="0017671A"/>
    <w:rsid w:val="00177422"/>
    <w:rsid w:val="00177729"/>
    <w:rsid w:val="00184590"/>
    <w:rsid w:val="001870D1"/>
    <w:rsid w:val="0018781E"/>
    <w:rsid w:val="0019262D"/>
    <w:rsid w:val="001A1B35"/>
    <w:rsid w:val="001A48A2"/>
    <w:rsid w:val="001A6F61"/>
    <w:rsid w:val="001B6C06"/>
    <w:rsid w:val="001B72B8"/>
    <w:rsid w:val="001C122A"/>
    <w:rsid w:val="001C69B3"/>
    <w:rsid w:val="001D5595"/>
    <w:rsid w:val="001D7874"/>
    <w:rsid w:val="001D7F22"/>
    <w:rsid w:val="001F0F17"/>
    <w:rsid w:val="001F3347"/>
    <w:rsid w:val="001F69E4"/>
    <w:rsid w:val="001F7D35"/>
    <w:rsid w:val="002125B4"/>
    <w:rsid w:val="002155B8"/>
    <w:rsid w:val="0021744C"/>
    <w:rsid w:val="00224839"/>
    <w:rsid w:val="002249B2"/>
    <w:rsid w:val="00226574"/>
    <w:rsid w:val="002278EC"/>
    <w:rsid w:val="00230BEB"/>
    <w:rsid w:val="0023280E"/>
    <w:rsid w:val="00234236"/>
    <w:rsid w:val="002377D1"/>
    <w:rsid w:val="002506BC"/>
    <w:rsid w:val="00254345"/>
    <w:rsid w:val="00254554"/>
    <w:rsid w:val="00264557"/>
    <w:rsid w:val="002805AB"/>
    <w:rsid w:val="00284204"/>
    <w:rsid w:val="00291773"/>
    <w:rsid w:val="0029670C"/>
    <w:rsid w:val="002977D9"/>
    <w:rsid w:val="002A0B43"/>
    <w:rsid w:val="002A168C"/>
    <w:rsid w:val="002A3DC7"/>
    <w:rsid w:val="002B3C05"/>
    <w:rsid w:val="002B49E2"/>
    <w:rsid w:val="002B4CBD"/>
    <w:rsid w:val="002B7B00"/>
    <w:rsid w:val="002B7C44"/>
    <w:rsid w:val="002C2B17"/>
    <w:rsid w:val="002C5B44"/>
    <w:rsid w:val="002D2FC3"/>
    <w:rsid w:val="002D3DD0"/>
    <w:rsid w:val="002E056C"/>
    <w:rsid w:val="002E1F3A"/>
    <w:rsid w:val="002E298A"/>
    <w:rsid w:val="00301978"/>
    <w:rsid w:val="0030332C"/>
    <w:rsid w:val="003051C2"/>
    <w:rsid w:val="003062BB"/>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66E28"/>
    <w:rsid w:val="00381A72"/>
    <w:rsid w:val="00384676"/>
    <w:rsid w:val="00390857"/>
    <w:rsid w:val="00393489"/>
    <w:rsid w:val="003A4BF3"/>
    <w:rsid w:val="003B420D"/>
    <w:rsid w:val="003B4920"/>
    <w:rsid w:val="003C6C16"/>
    <w:rsid w:val="003D794D"/>
    <w:rsid w:val="003E3058"/>
    <w:rsid w:val="003E6897"/>
    <w:rsid w:val="003E76A9"/>
    <w:rsid w:val="003F0809"/>
    <w:rsid w:val="003F6A8C"/>
    <w:rsid w:val="003F755C"/>
    <w:rsid w:val="00400BA1"/>
    <w:rsid w:val="00406F01"/>
    <w:rsid w:val="00416D50"/>
    <w:rsid w:val="00416FD5"/>
    <w:rsid w:val="00417772"/>
    <w:rsid w:val="00420E6A"/>
    <w:rsid w:val="00425A9E"/>
    <w:rsid w:val="00426D6B"/>
    <w:rsid w:val="00431E6C"/>
    <w:rsid w:val="00433CE7"/>
    <w:rsid w:val="00442086"/>
    <w:rsid w:val="00452738"/>
    <w:rsid w:val="00456091"/>
    <w:rsid w:val="004622E0"/>
    <w:rsid w:val="00466321"/>
    <w:rsid w:val="00470738"/>
    <w:rsid w:val="00482743"/>
    <w:rsid w:val="00484B9B"/>
    <w:rsid w:val="004855F6"/>
    <w:rsid w:val="0048661E"/>
    <w:rsid w:val="00494670"/>
    <w:rsid w:val="004A3823"/>
    <w:rsid w:val="004B069E"/>
    <w:rsid w:val="004B3E7C"/>
    <w:rsid w:val="004D3149"/>
    <w:rsid w:val="004E6946"/>
    <w:rsid w:val="004E6F3E"/>
    <w:rsid w:val="004F1AD8"/>
    <w:rsid w:val="004F797C"/>
    <w:rsid w:val="00500FA7"/>
    <w:rsid w:val="005039CB"/>
    <w:rsid w:val="0050558F"/>
    <w:rsid w:val="00506286"/>
    <w:rsid w:val="00510813"/>
    <w:rsid w:val="00511990"/>
    <w:rsid w:val="00511DE0"/>
    <w:rsid w:val="00514870"/>
    <w:rsid w:val="00514B9B"/>
    <w:rsid w:val="00517F02"/>
    <w:rsid w:val="00524303"/>
    <w:rsid w:val="005258A2"/>
    <w:rsid w:val="0053740D"/>
    <w:rsid w:val="00537A8D"/>
    <w:rsid w:val="005401AE"/>
    <w:rsid w:val="00542E07"/>
    <w:rsid w:val="00545424"/>
    <w:rsid w:val="00554A7B"/>
    <w:rsid w:val="0055572C"/>
    <w:rsid w:val="0056106A"/>
    <w:rsid w:val="005720AE"/>
    <w:rsid w:val="00594D77"/>
    <w:rsid w:val="005969E4"/>
    <w:rsid w:val="005A06B7"/>
    <w:rsid w:val="005A1759"/>
    <w:rsid w:val="005A2007"/>
    <w:rsid w:val="005A68A7"/>
    <w:rsid w:val="005C7760"/>
    <w:rsid w:val="005D2979"/>
    <w:rsid w:val="005D36AB"/>
    <w:rsid w:val="00617CC3"/>
    <w:rsid w:val="006377A6"/>
    <w:rsid w:val="00637A3D"/>
    <w:rsid w:val="006411EF"/>
    <w:rsid w:val="00641D80"/>
    <w:rsid w:val="006437F9"/>
    <w:rsid w:val="00660FDC"/>
    <w:rsid w:val="00663CC9"/>
    <w:rsid w:val="0066402B"/>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6F0C51"/>
    <w:rsid w:val="007033B7"/>
    <w:rsid w:val="00706C5D"/>
    <w:rsid w:val="00732922"/>
    <w:rsid w:val="0075162E"/>
    <w:rsid w:val="00754034"/>
    <w:rsid w:val="00756556"/>
    <w:rsid w:val="007618C4"/>
    <w:rsid w:val="00765F91"/>
    <w:rsid w:val="00766B2F"/>
    <w:rsid w:val="00767980"/>
    <w:rsid w:val="00770B19"/>
    <w:rsid w:val="0077463F"/>
    <w:rsid w:val="007836EA"/>
    <w:rsid w:val="00784CDA"/>
    <w:rsid w:val="007906C4"/>
    <w:rsid w:val="007940EA"/>
    <w:rsid w:val="007967E8"/>
    <w:rsid w:val="007A0821"/>
    <w:rsid w:val="007A2170"/>
    <w:rsid w:val="007A22BF"/>
    <w:rsid w:val="007A3323"/>
    <w:rsid w:val="007B72B8"/>
    <w:rsid w:val="007B7A58"/>
    <w:rsid w:val="007C21B5"/>
    <w:rsid w:val="007E4BD2"/>
    <w:rsid w:val="00801393"/>
    <w:rsid w:val="00802F88"/>
    <w:rsid w:val="00804C3F"/>
    <w:rsid w:val="0081293E"/>
    <w:rsid w:val="00815465"/>
    <w:rsid w:val="00817E9A"/>
    <w:rsid w:val="008306BD"/>
    <w:rsid w:val="00830F52"/>
    <w:rsid w:val="00831A80"/>
    <w:rsid w:val="00833743"/>
    <w:rsid w:val="008340A4"/>
    <w:rsid w:val="008371E6"/>
    <w:rsid w:val="008441FC"/>
    <w:rsid w:val="00844CDC"/>
    <w:rsid w:val="008465D6"/>
    <w:rsid w:val="008523B7"/>
    <w:rsid w:val="008678C0"/>
    <w:rsid w:val="0087135F"/>
    <w:rsid w:val="00872D94"/>
    <w:rsid w:val="00880364"/>
    <w:rsid w:val="00882627"/>
    <w:rsid w:val="00886E75"/>
    <w:rsid w:val="00891592"/>
    <w:rsid w:val="00891E9E"/>
    <w:rsid w:val="0089569C"/>
    <w:rsid w:val="008A2F68"/>
    <w:rsid w:val="008B3B8A"/>
    <w:rsid w:val="008B4FA6"/>
    <w:rsid w:val="008B5282"/>
    <w:rsid w:val="008B7C17"/>
    <w:rsid w:val="008C2D01"/>
    <w:rsid w:val="008C40E6"/>
    <w:rsid w:val="008D0F7A"/>
    <w:rsid w:val="008D11CE"/>
    <w:rsid w:val="008D4617"/>
    <w:rsid w:val="008D68E4"/>
    <w:rsid w:val="008E0506"/>
    <w:rsid w:val="008E0CFF"/>
    <w:rsid w:val="008E5D6B"/>
    <w:rsid w:val="008E76F0"/>
    <w:rsid w:val="008F15FE"/>
    <w:rsid w:val="008F2D29"/>
    <w:rsid w:val="008F5187"/>
    <w:rsid w:val="008F60D8"/>
    <w:rsid w:val="00902727"/>
    <w:rsid w:val="0090312B"/>
    <w:rsid w:val="009148C8"/>
    <w:rsid w:val="0091736D"/>
    <w:rsid w:val="009219FA"/>
    <w:rsid w:val="0093037A"/>
    <w:rsid w:val="00936F3A"/>
    <w:rsid w:val="00940EB1"/>
    <w:rsid w:val="0094154D"/>
    <w:rsid w:val="009416FA"/>
    <w:rsid w:val="00950C9B"/>
    <w:rsid w:val="0095155F"/>
    <w:rsid w:val="00954429"/>
    <w:rsid w:val="009563CE"/>
    <w:rsid w:val="009717DC"/>
    <w:rsid w:val="00976328"/>
    <w:rsid w:val="0097680D"/>
    <w:rsid w:val="00982438"/>
    <w:rsid w:val="0098404C"/>
    <w:rsid w:val="009849BE"/>
    <w:rsid w:val="00985283"/>
    <w:rsid w:val="00995992"/>
    <w:rsid w:val="009A03E5"/>
    <w:rsid w:val="009A0F3B"/>
    <w:rsid w:val="009A1BB4"/>
    <w:rsid w:val="009A2628"/>
    <w:rsid w:val="009A3200"/>
    <w:rsid w:val="009B0897"/>
    <w:rsid w:val="009B0949"/>
    <w:rsid w:val="009B5DD0"/>
    <w:rsid w:val="009B7BD9"/>
    <w:rsid w:val="009C53E8"/>
    <w:rsid w:val="009C649D"/>
    <w:rsid w:val="009C7DD5"/>
    <w:rsid w:val="009D2241"/>
    <w:rsid w:val="009E227D"/>
    <w:rsid w:val="009E5019"/>
    <w:rsid w:val="009F4A41"/>
    <w:rsid w:val="00A04F1B"/>
    <w:rsid w:val="00A0501B"/>
    <w:rsid w:val="00A14947"/>
    <w:rsid w:val="00A16FB7"/>
    <w:rsid w:val="00A31D62"/>
    <w:rsid w:val="00A32A83"/>
    <w:rsid w:val="00A368DB"/>
    <w:rsid w:val="00A40F6E"/>
    <w:rsid w:val="00A423AA"/>
    <w:rsid w:val="00A43B3E"/>
    <w:rsid w:val="00A43FE3"/>
    <w:rsid w:val="00A53EC6"/>
    <w:rsid w:val="00A55C0F"/>
    <w:rsid w:val="00A73B7F"/>
    <w:rsid w:val="00A741FD"/>
    <w:rsid w:val="00A8713F"/>
    <w:rsid w:val="00A8722C"/>
    <w:rsid w:val="00A90BA1"/>
    <w:rsid w:val="00A97A9A"/>
    <w:rsid w:val="00AA0671"/>
    <w:rsid w:val="00AA2531"/>
    <w:rsid w:val="00AB1E09"/>
    <w:rsid w:val="00AB5330"/>
    <w:rsid w:val="00AB7747"/>
    <w:rsid w:val="00AC14CE"/>
    <w:rsid w:val="00AC2A56"/>
    <w:rsid w:val="00AD055E"/>
    <w:rsid w:val="00AD4149"/>
    <w:rsid w:val="00AD47A7"/>
    <w:rsid w:val="00AE23F2"/>
    <w:rsid w:val="00AE485A"/>
    <w:rsid w:val="00AF0CBF"/>
    <w:rsid w:val="00AF257F"/>
    <w:rsid w:val="00AF33CF"/>
    <w:rsid w:val="00AF4D50"/>
    <w:rsid w:val="00AF6179"/>
    <w:rsid w:val="00B1295A"/>
    <w:rsid w:val="00B20A45"/>
    <w:rsid w:val="00B22C5C"/>
    <w:rsid w:val="00B24F30"/>
    <w:rsid w:val="00B24F35"/>
    <w:rsid w:val="00B27873"/>
    <w:rsid w:val="00B307D8"/>
    <w:rsid w:val="00B31ABF"/>
    <w:rsid w:val="00B33BE3"/>
    <w:rsid w:val="00B53B5D"/>
    <w:rsid w:val="00B6055E"/>
    <w:rsid w:val="00B6317D"/>
    <w:rsid w:val="00B6588C"/>
    <w:rsid w:val="00B70071"/>
    <w:rsid w:val="00B71FFB"/>
    <w:rsid w:val="00B7723F"/>
    <w:rsid w:val="00B77417"/>
    <w:rsid w:val="00B80534"/>
    <w:rsid w:val="00B8061D"/>
    <w:rsid w:val="00B8433C"/>
    <w:rsid w:val="00B87491"/>
    <w:rsid w:val="00BA29E9"/>
    <w:rsid w:val="00BA706C"/>
    <w:rsid w:val="00BA7142"/>
    <w:rsid w:val="00BB237C"/>
    <w:rsid w:val="00BB2A11"/>
    <w:rsid w:val="00BB41A3"/>
    <w:rsid w:val="00BB5306"/>
    <w:rsid w:val="00BC32DC"/>
    <w:rsid w:val="00BC35B6"/>
    <w:rsid w:val="00BC6703"/>
    <w:rsid w:val="00BC7897"/>
    <w:rsid w:val="00BD1B51"/>
    <w:rsid w:val="00BD4596"/>
    <w:rsid w:val="00BE1405"/>
    <w:rsid w:val="00BE312D"/>
    <w:rsid w:val="00BF1C20"/>
    <w:rsid w:val="00C00E44"/>
    <w:rsid w:val="00C01509"/>
    <w:rsid w:val="00C10578"/>
    <w:rsid w:val="00C13358"/>
    <w:rsid w:val="00C135BC"/>
    <w:rsid w:val="00C15C95"/>
    <w:rsid w:val="00C17232"/>
    <w:rsid w:val="00C2596A"/>
    <w:rsid w:val="00C27537"/>
    <w:rsid w:val="00C32354"/>
    <w:rsid w:val="00C328FE"/>
    <w:rsid w:val="00C33507"/>
    <w:rsid w:val="00C4409D"/>
    <w:rsid w:val="00C44E72"/>
    <w:rsid w:val="00C45A06"/>
    <w:rsid w:val="00C47E5B"/>
    <w:rsid w:val="00C61E4B"/>
    <w:rsid w:val="00C64BFF"/>
    <w:rsid w:val="00C704E9"/>
    <w:rsid w:val="00C763C9"/>
    <w:rsid w:val="00C80057"/>
    <w:rsid w:val="00C81928"/>
    <w:rsid w:val="00C82232"/>
    <w:rsid w:val="00C82913"/>
    <w:rsid w:val="00C972B1"/>
    <w:rsid w:val="00CA24EB"/>
    <w:rsid w:val="00CA2CCE"/>
    <w:rsid w:val="00CA43FD"/>
    <w:rsid w:val="00CA7EF8"/>
    <w:rsid w:val="00CC0C4F"/>
    <w:rsid w:val="00CC489B"/>
    <w:rsid w:val="00CC7275"/>
    <w:rsid w:val="00CD1BA0"/>
    <w:rsid w:val="00CD2BCD"/>
    <w:rsid w:val="00CD3A4C"/>
    <w:rsid w:val="00CE10E9"/>
    <w:rsid w:val="00CE2910"/>
    <w:rsid w:val="00CE5393"/>
    <w:rsid w:val="00CF36BE"/>
    <w:rsid w:val="00CF3B02"/>
    <w:rsid w:val="00CF6000"/>
    <w:rsid w:val="00D003F3"/>
    <w:rsid w:val="00D0364F"/>
    <w:rsid w:val="00D06834"/>
    <w:rsid w:val="00D30321"/>
    <w:rsid w:val="00D308ED"/>
    <w:rsid w:val="00D36D86"/>
    <w:rsid w:val="00D42205"/>
    <w:rsid w:val="00D428AA"/>
    <w:rsid w:val="00D42C30"/>
    <w:rsid w:val="00D50A34"/>
    <w:rsid w:val="00D53EFA"/>
    <w:rsid w:val="00D85F87"/>
    <w:rsid w:val="00D94A7C"/>
    <w:rsid w:val="00D95896"/>
    <w:rsid w:val="00DA63AB"/>
    <w:rsid w:val="00DB2983"/>
    <w:rsid w:val="00DC1257"/>
    <w:rsid w:val="00DC3DC0"/>
    <w:rsid w:val="00DC5B2B"/>
    <w:rsid w:val="00DD318D"/>
    <w:rsid w:val="00DF04A3"/>
    <w:rsid w:val="00DF2E12"/>
    <w:rsid w:val="00DF514A"/>
    <w:rsid w:val="00DF6690"/>
    <w:rsid w:val="00DF6804"/>
    <w:rsid w:val="00E0358D"/>
    <w:rsid w:val="00E0387F"/>
    <w:rsid w:val="00E04323"/>
    <w:rsid w:val="00E070A2"/>
    <w:rsid w:val="00E16FD4"/>
    <w:rsid w:val="00E25245"/>
    <w:rsid w:val="00E2656A"/>
    <w:rsid w:val="00E32B92"/>
    <w:rsid w:val="00E412D0"/>
    <w:rsid w:val="00E41B5D"/>
    <w:rsid w:val="00E45F17"/>
    <w:rsid w:val="00E47578"/>
    <w:rsid w:val="00E56322"/>
    <w:rsid w:val="00E60982"/>
    <w:rsid w:val="00E62C62"/>
    <w:rsid w:val="00E654C1"/>
    <w:rsid w:val="00E65D97"/>
    <w:rsid w:val="00E71920"/>
    <w:rsid w:val="00E72A5A"/>
    <w:rsid w:val="00E73354"/>
    <w:rsid w:val="00E9242D"/>
    <w:rsid w:val="00EB504B"/>
    <w:rsid w:val="00EB5255"/>
    <w:rsid w:val="00EB5C47"/>
    <w:rsid w:val="00ED0639"/>
    <w:rsid w:val="00EE0E5E"/>
    <w:rsid w:val="00EF4755"/>
    <w:rsid w:val="00EF7135"/>
    <w:rsid w:val="00F027DB"/>
    <w:rsid w:val="00F14A7A"/>
    <w:rsid w:val="00F171ED"/>
    <w:rsid w:val="00F219B4"/>
    <w:rsid w:val="00F22985"/>
    <w:rsid w:val="00F3383E"/>
    <w:rsid w:val="00F465A7"/>
    <w:rsid w:val="00F47811"/>
    <w:rsid w:val="00F50B7C"/>
    <w:rsid w:val="00F550E6"/>
    <w:rsid w:val="00F74345"/>
    <w:rsid w:val="00F80A0A"/>
    <w:rsid w:val="00F82299"/>
    <w:rsid w:val="00F82B19"/>
    <w:rsid w:val="00F9212D"/>
    <w:rsid w:val="00F965DA"/>
    <w:rsid w:val="00FA406A"/>
    <w:rsid w:val="00FA4A85"/>
    <w:rsid w:val="00FA573E"/>
    <w:rsid w:val="00FB40DA"/>
    <w:rsid w:val="00FB503A"/>
    <w:rsid w:val="00FB516C"/>
    <w:rsid w:val="00FB51E1"/>
    <w:rsid w:val="00FC550E"/>
    <w:rsid w:val="00FD0236"/>
    <w:rsid w:val="00FD18F4"/>
    <w:rsid w:val="00FD54DB"/>
    <w:rsid w:val="00FD619F"/>
    <w:rsid w:val="00FD6B2E"/>
    <w:rsid w:val="00FF036D"/>
    <w:rsid w:val="010F7CA7"/>
    <w:rsid w:val="01176EA7"/>
    <w:rsid w:val="01290F7E"/>
    <w:rsid w:val="015D1E09"/>
    <w:rsid w:val="01A067CE"/>
    <w:rsid w:val="01BC1336"/>
    <w:rsid w:val="01CA0E9A"/>
    <w:rsid w:val="01D14011"/>
    <w:rsid w:val="01D92137"/>
    <w:rsid w:val="01FD7007"/>
    <w:rsid w:val="020F6402"/>
    <w:rsid w:val="025B1A26"/>
    <w:rsid w:val="02697903"/>
    <w:rsid w:val="02A4476B"/>
    <w:rsid w:val="02C1356F"/>
    <w:rsid w:val="02DC1E3B"/>
    <w:rsid w:val="02F96569"/>
    <w:rsid w:val="02FA082F"/>
    <w:rsid w:val="03031491"/>
    <w:rsid w:val="030B7250"/>
    <w:rsid w:val="030C1069"/>
    <w:rsid w:val="032719A6"/>
    <w:rsid w:val="037A1FB8"/>
    <w:rsid w:val="03EA7B21"/>
    <w:rsid w:val="042C63D5"/>
    <w:rsid w:val="0478383A"/>
    <w:rsid w:val="04877A20"/>
    <w:rsid w:val="04A034FD"/>
    <w:rsid w:val="04EB4A7D"/>
    <w:rsid w:val="0575419C"/>
    <w:rsid w:val="05953EC9"/>
    <w:rsid w:val="05F83EAE"/>
    <w:rsid w:val="05FD0760"/>
    <w:rsid w:val="06187E8D"/>
    <w:rsid w:val="063E7D85"/>
    <w:rsid w:val="06413071"/>
    <w:rsid w:val="064E6EC7"/>
    <w:rsid w:val="067A7606"/>
    <w:rsid w:val="06CD75B4"/>
    <w:rsid w:val="06F25221"/>
    <w:rsid w:val="06F93F04"/>
    <w:rsid w:val="06FE135B"/>
    <w:rsid w:val="07140111"/>
    <w:rsid w:val="07286CCD"/>
    <w:rsid w:val="07293586"/>
    <w:rsid w:val="07295285"/>
    <w:rsid w:val="07636392"/>
    <w:rsid w:val="07770C56"/>
    <w:rsid w:val="07E35D35"/>
    <w:rsid w:val="07FE4A62"/>
    <w:rsid w:val="082E6C32"/>
    <w:rsid w:val="083B12F8"/>
    <w:rsid w:val="083F3A9B"/>
    <w:rsid w:val="086850EF"/>
    <w:rsid w:val="0874333F"/>
    <w:rsid w:val="087702EC"/>
    <w:rsid w:val="08894E5C"/>
    <w:rsid w:val="08966904"/>
    <w:rsid w:val="08C310E2"/>
    <w:rsid w:val="08EB16EF"/>
    <w:rsid w:val="091B7589"/>
    <w:rsid w:val="092217DD"/>
    <w:rsid w:val="092B34F0"/>
    <w:rsid w:val="093A7294"/>
    <w:rsid w:val="09AD0110"/>
    <w:rsid w:val="09C340D7"/>
    <w:rsid w:val="0A263993"/>
    <w:rsid w:val="0A2D3AC2"/>
    <w:rsid w:val="0A4D5864"/>
    <w:rsid w:val="0A8F3FB4"/>
    <w:rsid w:val="0AA755DF"/>
    <w:rsid w:val="0AE87A32"/>
    <w:rsid w:val="0AFD3B06"/>
    <w:rsid w:val="0B120D44"/>
    <w:rsid w:val="0B9D0BBB"/>
    <w:rsid w:val="0BD27BF6"/>
    <w:rsid w:val="0C3B3C7D"/>
    <w:rsid w:val="0CAB2EAE"/>
    <w:rsid w:val="0CD36E5E"/>
    <w:rsid w:val="0CE85DBD"/>
    <w:rsid w:val="0D621C7D"/>
    <w:rsid w:val="0DC13976"/>
    <w:rsid w:val="0E0B09CE"/>
    <w:rsid w:val="0E5C414B"/>
    <w:rsid w:val="0E73034D"/>
    <w:rsid w:val="0E8A0033"/>
    <w:rsid w:val="0EFB0B3F"/>
    <w:rsid w:val="0F0E6172"/>
    <w:rsid w:val="0F13775A"/>
    <w:rsid w:val="0F380715"/>
    <w:rsid w:val="0F5F45FE"/>
    <w:rsid w:val="0F5F5CA1"/>
    <w:rsid w:val="0F944883"/>
    <w:rsid w:val="0F9A112B"/>
    <w:rsid w:val="0FAB4FA7"/>
    <w:rsid w:val="0FC4774E"/>
    <w:rsid w:val="0FFF7484"/>
    <w:rsid w:val="105477AE"/>
    <w:rsid w:val="106D2F64"/>
    <w:rsid w:val="10804E89"/>
    <w:rsid w:val="10B63710"/>
    <w:rsid w:val="10C9135F"/>
    <w:rsid w:val="10D17073"/>
    <w:rsid w:val="10D75D0B"/>
    <w:rsid w:val="10F10820"/>
    <w:rsid w:val="111C2F7A"/>
    <w:rsid w:val="11665CA1"/>
    <w:rsid w:val="11716160"/>
    <w:rsid w:val="11F14A74"/>
    <w:rsid w:val="124E5710"/>
    <w:rsid w:val="128C697D"/>
    <w:rsid w:val="12BD696F"/>
    <w:rsid w:val="138123FF"/>
    <w:rsid w:val="13951726"/>
    <w:rsid w:val="13B12973"/>
    <w:rsid w:val="13BD6CB8"/>
    <w:rsid w:val="14396509"/>
    <w:rsid w:val="1458293C"/>
    <w:rsid w:val="14725C39"/>
    <w:rsid w:val="14AB3544"/>
    <w:rsid w:val="14DD2C3C"/>
    <w:rsid w:val="150572EB"/>
    <w:rsid w:val="15172B6E"/>
    <w:rsid w:val="1557566D"/>
    <w:rsid w:val="15743E1E"/>
    <w:rsid w:val="15812C34"/>
    <w:rsid w:val="15A80EAC"/>
    <w:rsid w:val="15FC6F55"/>
    <w:rsid w:val="16087E1D"/>
    <w:rsid w:val="16163ED6"/>
    <w:rsid w:val="16227A29"/>
    <w:rsid w:val="16315F4D"/>
    <w:rsid w:val="1684095F"/>
    <w:rsid w:val="170F26A3"/>
    <w:rsid w:val="173914CE"/>
    <w:rsid w:val="176F7FA8"/>
    <w:rsid w:val="17701D14"/>
    <w:rsid w:val="17735226"/>
    <w:rsid w:val="17782F89"/>
    <w:rsid w:val="17F11DA8"/>
    <w:rsid w:val="181E4C89"/>
    <w:rsid w:val="189F1804"/>
    <w:rsid w:val="189F624C"/>
    <w:rsid w:val="18C62296"/>
    <w:rsid w:val="190B1D7E"/>
    <w:rsid w:val="195C14A3"/>
    <w:rsid w:val="197153BD"/>
    <w:rsid w:val="19AC41D9"/>
    <w:rsid w:val="19DC3FCF"/>
    <w:rsid w:val="19F636A6"/>
    <w:rsid w:val="1A1C66C0"/>
    <w:rsid w:val="1A42393B"/>
    <w:rsid w:val="1A536C7D"/>
    <w:rsid w:val="1A6E0288"/>
    <w:rsid w:val="1A883503"/>
    <w:rsid w:val="1AAD45DE"/>
    <w:rsid w:val="1AD15CD9"/>
    <w:rsid w:val="1AE57E50"/>
    <w:rsid w:val="1B046F80"/>
    <w:rsid w:val="1B1A33C4"/>
    <w:rsid w:val="1B1F6C2C"/>
    <w:rsid w:val="1B3267B5"/>
    <w:rsid w:val="1B36243A"/>
    <w:rsid w:val="1B40161D"/>
    <w:rsid w:val="1B441859"/>
    <w:rsid w:val="1B5F34DA"/>
    <w:rsid w:val="1B6606B1"/>
    <w:rsid w:val="1B752565"/>
    <w:rsid w:val="1B7E6AB7"/>
    <w:rsid w:val="1BFA1724"/>
    <w:rsid w:val="1C336069"/>
    <w:rsid w:val="1C5E7925"/>
    <w:rsid w:val="1C5F1094"/>
    <w:rsid w:val="1CBB02D3"/>
    <w:rsid w:val="1CD252D5"/>
    <w:rsid w:val="1CE6106D"/>
    <w:rsid w:val="1CF739BD"/>
    <w:rsid w:val="1CFD070F"/>
    <w:rsid w:val="1CFF3F27"/>
    <w:rsid w:val="1D002579"/>
    <w:rsid w:val="1D0E0FA4"/>
    <w:rsid w:val="1D420D3D"/>
    <w:rsid w:val="1D5F6196"/>
    <w:rsid w:val="1D6132A5"/>
    <w:rsid w:val="1D735617"/>
    <w:rsid w:val="1D8E56D5"/>
    <w:rsid w:val="1DE416F2"/>
    <w:rsid w:val="1E0326AD"/>
    <w:rsid w:val="1E3F5DC9"/>
    <w:rsid w:val="1E4F46F6"/>
    <w:rsid w:val="1E5F6569"/>
    <w:rsid w:val="1E7A43DA"/>
    <w:rsid w:val="1E7B061E"/>
    <w:rsid w:val="1EA5569B"/>
    <w:rsid w:val="1EB052FF"/>
    <w:rsid w:val="1F1076EB"/>
    <w:rsid w:val="1F8D23B7"/>
    <w:rsid w:val="1F8F25AD"/>
    <w:rsid w:val="1F8F744D"/>
    <w:rsid w:val="1FA12866"/>
    <w:rsid w:val="1FC321C4"/>
    <w:rsid w:val="1FE7539E"/>
    <w:rsid w:val="20043359"/>
    <w:rsid w:val="20671BE0"/>
    <w:rsid w:val="20963CB8"/>
    <w:rsid w:val="20A81A1B"/>
    <w:rsid w:val="20B07FB6"/>
    <w:rsid w:val="20B646FB"/>
    <w:rsid w:val="20CD6FCB"/>
    <w:rsid w:val="213056EF"/>
    <w:rsid w:val="213516B2"/>
    <w:rsid w:val="213B74B1"/>
    <w:rsid w:val="21400138"/>
    <w:rsid w:val="214C578C"/>
    <w:rsid w:val="215A2310"/>
    <w:rsid w:val="21621621"/>
    <w:rsid w:val="216A0EB4"/>
    <w:rsid w:val="216C24A0"/>
    <w:rsid w:val="218D52CE"/>
    <w:rsid w:val="21B8236A"/>
    <w:rsid w:val="21DE318A"/>
    <w:rsid w:val="21EF5B80"/>
    <w:rsid w:val="22576990"/>
    <w:rsid w:val="226D4275"/>
    <w:rsid w:val="22916662"/>
    <w:rsid w:val="229677D4"/>
    <w:rsid w:val="22C95B68"/>
    <w:rsid w:val="22CC1448"/>
    <w:rsid w:val="22F47480"/>
    <w:rsid w:val="232E02C7"/>
    <w:rsid w:val="239C52BE"/>
    <w:rsid w:val="23D06A1F"/>
    <w:rsid w:val="23DE1C48"/>
    <w:rsid w:val="240210CD"/>
    <w:rsid w:val="24045F9D"/>
    <w:rsid w:val="24164F84"/>
    <w:rsid w:val="24BF09F7"/>
    <w:rsid w:val="24E25491"/>
    <w:rsid w:val="24EB0ADA"/>
    <w:rsid w:val="24F57B8D"/>
    <w:rsid w:val="252D53FE"/>
    <w:rsid w:val="254A2AF8"/>
    <w:rsid w:val="25545892"/>
    <w:rsid w:val="25904931"/>
    <w:rsid w:val="2599096C"/>
    <w:rsid w:val="25D43817"/>
    <w:rsid w:val="25EC2D81"/>
    <w:rsid w:val="26B2493E"/>
    <w:rsid w:val="26CA67D8"/>
    <w:rsid w:val="26E4648A"/>
    <w:rsid w:val="27193C41"/>
    <w:rsid w:val="2723280A"/>
    <w:rsid w:val="274209A2"/>
    <w:rsid w:val="277057A2"/>
    <w:rsid w:val="27EA37A1"/>
    <w:rsid w:val="28125A28"/>
    <w:rsid w:val="2874680A"/>
    <w:rsid w:val="28975F5C"/>
    <w:rsid w:val="28B01C40"/>
    <w:rsid w:val="28F11C08"/>
    <w:rsid w:val="28FF7D52"/>
    <w:rsid w:val="29206EB8"/>
    <w:rsid w:val="29595666"/>
    <w:rsid w:val="297E0FC2"/>
    <w:rsid w:val="29874881"/>
    <w:rsid w:val="29CF181E"/>
    <w:rsid w:val="29DC04BE"/>
    <w:rsid w:val="29E325E0"/>
    <w:rsid w:val="2A452503"/>
    <w:rsid w:val="2A810979"/>
    <w:rsid w:val="2A834AE2"/>
    <w:rsid w:val="2AB253C7"/>
    <w:rsid w:val="2AEE4B93"/>
    <w:rsid w:val="2AF710F8"/>
    <w:rsid w:val="2B25178C"/>
    <w:rsid w:val="2B2A1401"/>
    <w:rsid w:val="2B3E30FF"/>
    <w:rsid w:val="2BA936A8"/>
    <w:rsid w:val="2BBD140E"/>
    <w:rsid w:val="2C315A5A"/>
    <w:rsid w:val="2C4B1C25"/>
    <w:rsid w:val="2C4B32FC"/>
    <w:rsid w:val="2C5B55EB"/>
    <w:rsid w:val="2C6B1CD2"/>
    <w:rsid w:val="2C6E531E"/>
    <w:rsid w:val="2C781FA6"/>
    <w:rsid w:val="2D1A3BD3"/>
    <w:rsid w:val="2D9E56F5"/>
    <w:rsid w:val="2E667F96"/>
    <w:rsid w:val="2E752FEE"/>
    <w:rsid w:val="2E8226AB"/>
    <w:rsid w:val="2F000EF1"/>
    <w:rsid w:val="2F6321CD"/>
    <w:rsid w:val="2F866E22"/>
    <w:rsid w:val="2FD065E6"/>
    <w:rsid w:val="2FD96870"/>
    <w:rsid w:val="2FE845C2"/>
    <w:rsid w:val="300A7A53"/>
    <w:rsid w:val="303E4DEF"/>
    <w:rsid w:val="304E4138"/>
    <w:rsid w:val="30580BC9"/>
    <w:rsid w:val="30780B16"/>
    <w:rsid w:val="30B77FAE"/>
    <w:rsid w:val="30E563A2"/>
    <w:rsid w:val="30F51F71"/>
    <w:rsid w:val="311E2ED7"/>
    <w:rsid w:val="315619EE"/>
    <w:rsid w:val="315C449C"/>
    <w:rsid w:val="317F5425"/>
    <w:rsid w:val="31830E4B"/>
    <w:rsid w:val="31B82709"/>
    <w:rsid w:val="31BC5873"/>
    <w:rsid w:val="31D05482"/>
    <w:rsid w:val="3200512C"/>
    <w:rsid w:val="32032835"/>
    <w:rsid w:val="320F309E"/>
    <w:rsid w:val="321B1AA4"/>
    <w:rsid w:val="323001DC"/>
    <w:rsid w:val="32400B34"/>
    <w:rsid w:val="325274E3"/>
    <w:rsid w:val="326E753F"/>
    <w:rsid w:val="329E6876"/>
    <w:rsid w:val="32EE30D5"/>
    <w:rsid w:val="33134E71"/>
    <w:rsid w:val="333015F2"/>
    <w:rsid w:val="33446DD8"/>
    <w:rsid w:val="334B6320"/>
    <w:rsid w:val="334E2907"/>
    <w:rsid w:val="33546237"/>
    <w:rsid w:val="335B0766"/>
    <w:rsid w:val="33621DF2"/>
    <w:rsid w:val="33B26B54"/>
    <w:rsid w:val="33B96795"/>
    <w:rsid w:val="33D934D4"/>
    <w:rsid w:val="33FE2F6A"/>
    <w:rsid w:val="34060698"/>
    <w:rsid w:val="340E07E5"/>
    <w:rsid w:val="34235BF7"/>
    <w:rsid w:val="349166D9"/>
    <w:rsid w:val="34965013"/>
    <w:rsid w:val="34D82FC0"/>
    <w:rsid w:val="34F32864"/>
    <w:rsid w:val="35376050"/>
    <w:rsid w:val="358C5FA8"/>
    <w:rsid w:val="358E6A31"/>
    <w:rsid w:val="35934777"/>
    <w:rsid w:val="35942299"/>
    <w:rsid w:val="35A23D0E"/>
    <w:rsid w:val="35C15DF1"/>
    <w:rsid w:val="35E120F0"/>
    <w:rsid w:val="36074A7F"/>
    <w:rsid w:val="36093868"/>
    <w:rsid w:val="36167037"/>
    <w:rsid w:val="36421123"/>
    <w:rsid w:val="364C6576"/>
    <w:rsid w:val="36923549"/>
    <w:rsid w:val="36B75FBF"/>
    <w:rsid w:val="36BD0C45"/>
    <w:rsid w:val="36E237A8"/>
    <w:rsid w:val="36E9174F"/>
    <w:rsid w:val="36F771D4"/>
    <w:rsid w:val="37587AFA"/>
    <w:rsid w:val="37E00298"/>
    <w:rsid w:val="37F70F3F"/>
    <w:rsid w:val="3815151E"/>
    <w:rsid w:val="38B302F9"/>
    <w:rsid w:val="38B32855"/>
    <w:rsid w:val="38B57907"/>
    <w:rsid w:val="38DC7A5B"/>
    <w:rsid w:val="38F12CD3"/>
    <w:rsid w:val="38F54666"/>
    <w:rsid w:val="38F94775"/>
    <w:rsid w:val="392971ED"/>
    <w:rsid w:val="39325651"/>
    <w:rsid w:val="397966C9"/>
    <w:rsid w:val="39935BC8"/>
    <w:rsid w:val="39B12CEE"/>
    <w:rsid w:val="39EE7A9E"/>
    <w:rsid w:val="39F91375"/>
    <w:rsid w:val="3A872856"/>
    <w:rsid w:val="3A944AF1"/>
    <w:rsid w:val="3AA53FD5"/>
    <w:rsid w:val="3ABD15C7"/>
    <w:rsid w:val="3AE425C1"/>
    <w:rsid w:val="3B346259"/>
    <w:rsid w:val="3B3763D1"/>
    <w:rsid w:val="3B7B4E3D"/>
    <w:rsid w:val="3BB71FBE"/>
    <w:rsid w:val="3BDF08B8"/>
    <w:rsid w:val="3C0B34FD"/>
    <w:rsid w:val="3C17152E"/>
    <w:rsid w:val="3C2F01BC"/>
    <w:rsid w:val="3C2F6E1E"/>
    <w:rsid w:val="3C310A10"/>
    <w:rsid w:val="3C3814A4"/>
    <w:rsid w:val="3C4F64BA"/>
    <w:rsid w:val="3CDA245A"/>
    <w:rsid w:val="3CE55188"/>
    <w:rsid w:val="3D061A7B"/>
    <w:rsid w:val="3D0B281E"/>
    <w:rsid w:val="3D1E06B7"/>
    <w:rsid w:val="3D447FD8"/>
    <w:rsid w:val="3E180766"/>
    <w:rsid w:val="3E444130"/>
    <w:rsid w:val="3E5D08F2"/>
    <w:rsid w:val="3E820748"/>
    <w:rsid w:val="3EDA0523"/>
    <w:rsid w:val="3F0772C2"/>
    <w:rsid w:val="3F2B56DD"/>
    <w:rsid w:val="3F471802"/>
    <w:rsid w:val="3F582DB4"/>
    <w:rsid w:val="3F6C77CB"/>
    <w:rsid w:val="3FB83028"/>
    <w:rsid w:val="3FC06492"/>
    <w:rsid w:val="3FD809D4"/>
    <w:rsid w:val="3FE604A7"/>
    <w:rsid w:val="3FF7079D"/>
    <w:rsid w:val="40655236"/>
    <w:rsid w:val="407A6407"/>
    <w:rsid w:val="40A768BD"/>
    <w:rsid w:val="410F1D98"/>
    <w:rsid w:val="414F1093"/>
    <w:rsid w:val="415A640C"/>
    <w:rsid w:val="4168431A"/>
    <w:rsid w:val="41C62CEA"/>
    <w:rsid w:val="4200449D"/>
    <w:rsid w:val="420E7C76"/>
    <w:rsid w:val="42384F35"/>
    <w:rsid w:val="423A3BCC"/>
    <w:rsid w:val="424E57D2"/>
    <w:rsid w:val="42A17DA3"/>
    <w:rsid w:val="42B26C49"/>
    <w:rsid w:val="42BB570A"/>
    <w:rsid w:val="430622FC"/>
    <w:rsid w:val="430B16C1"/>
    <w:rsid w:val="433A6FE6"/>
    <w:rsid w:val="43480868"/>
    <w:rsid w:val="4349207F"/>
    <w:rsid w:val="4350713C"/>
    <w:rsid w:val="436653E0"/>
    <w:rsid w:val="43726AAA"/>
    <w:rsid w:val="43C4431A"/>
    <w:rsid w:val="43CA50D8"/>
    <w:rsid w:val="43CB741C"/>
    <w:rsid w:val="44330ECF"/>
    <w:rsid w:val="44616092"/>
    <w:rsid w:val="44A616A1"/>
    <w:rsid w:val="44B951CC"/>
    <w:rsid w:val="44CD14E0"/>
    <w:rsid w:val="44F20B0B"/>
    <w:rsid w:val="4518432D"/>
    <w:rsid w:val="452E5F4C"/>
    <w:rsid w:val="454A7F8C"/>
    <w:rsid w:val="45612018"/>
    <w:rsid w:val="456D124F"/>
    <w:rsid w:val="45770A2E"/>
    <w:rsid w:val="458946E9"/>
    <w:rsid w:val="45A47C0E"/>
    <w:rsid w:val="45A97F18"/>
    <w:rsid w:val="45AD74AC"/>
    <w:rsid w:val="45D10F69"/>
    <w:rsid w:val="46577FD6"/>
    <w:rsid w:val="46723B40"/>
    <w:rsid w:val="46753A21"/>
    <w:rsid w:val="467A1612"/>
    <w:rsid w:val="467D05C5"/>
    <w:rsid w:val="468943B1"/>
    <w:rsid w:val="468B6A6A"/>
    <w:rsid w:val="468F1C58"/>
    <w:rsid w:val="4695569F"/>
    <w:rsid w:val="46D955A7"/>
    <w:rsid w:val="470D5A07"/>
    <w:rsid w:val="47133957"/>
    <w:rsid w:val="4722231C"/>
    <w:rsid w:val="47400A64"/>
    <w:rsid w:val="477737C9"/>
    <w:rsid w:val="478D38B8"/>
    <w:rsid w:val="47A07E0C"/>
    <w:rsid w:val="480C2163"/>
    <w:rsid w:val="4870272E"/>
    <w:rsid w:val="48EE3892"/>
    <w:rsid w:val="491B0EE5"/>
    <w:rsid w:val="491D3213"/>
    <w:rsid w:val="49560EED"/>
    <w:rsid w:val="495A0EC9"/>
    <w:rsid w:val="495B7222"/>
    <w:rsid w:val="49961128"/>
    <w:rsid w:val="49D40682"/>
    <w:rsid w:val="49DC7715"/>
    <w:rsid w:val="4A023139"/>
    <w:rsid w:val="4A1E0B58"/>
    <w:rsid w:val="4A325785"/>
    <w:rsid w:val="4A7B576F"/>
    <w:rsid w:val="4A9A1CA8"/>
    <w:rsid w:val="4AAA7A11"/>
    <w:rsid w:val="4ACC2178"/>
    <w:rsid w:val="4AF561A9"/>
    <w:rsid w:val="4B257098"/>
    <w:rsid w:val="4B412124"/>
    <w:rsid w:val="4B5F25AA"/>
    <w:rsid w:val="4B842FE3"/>
    <w:rsid w:val="4B983D0E"/>
    <w:rsid w:val="4BE41FF1"/>
    <w:rsid w:val="4C0A5943"/>
    <w:rsid w:val="4C2F6420"/>
    <w:rsid w:val="4C3365E9"/>
    <w:rsid w:val="4C4A0649"/>
    <w:rsid w:val="4C7E5ECA"/>
    <w:rsid w:val="4C806C7C"/>
    <w:rsid w:val="4C815740"/>
    <w:rsid w:val="4C876AA5"/>
    <w:rsid w:val="4CA94424"/>
    <w:rsid w:val="4CAA5AA7"/>
    <w:rsid w:val="4CF11927"/>
    <w:rsid w:val="4D0E00FB"/>
    <w:rsid w:val="4D176606"/>
    <w:rsid w:val="4D5B18EB"/>
    <w:rsid w:val="4DAE15C6"/>
    <w:rsid w:val="4DEC4FB0"/>
    <w:rsid w:val="4E075D8A"/>
    <w:rsid w:val="4EB85E32"/>
    <w:rsid w:val="4EBA58F5"/>
    <w:rsid w:val="4EC00FAD"/>
    <w:rsid w:val="4EE23C1E"/>
    <w:rsid w:val="4F1315E8"/>
    <w:rsid w:val="4F3406FA"/>
    <w:rsid w:val="4F9843DC"/>
    <w:rsid w:val="4F9D6A41"/>
    <w:rsid w:val="4FAC7D88"/>
    <w:rsid w:val="4FC62A8C"/>
    <w:rsid w:val="4FE20F0D"/>
    <w:rsid w:val="4FE51552"/>
    <w:rsid w:val="503F7482"/>
    <w:rsid w:val="50504C4B"/>
    <w:rsid w:val="50974594"/>
    <w:rsid w:val="509C6E7C"/>
    <w:rsid w:val="50BE5FC4"/>
    <w:rsid w:val="50F9027C"/>
    <w:rsid w:val="51613281"/>
    <w:rsid w:val="5162104E"/>
    <w:rsid w:val="519A26E6"/>
    <w:rsid w:val="51AE60D2"/>
    <w:rsid w:val="51C63383"/>
    <w:rsid w:val="51FD310F"/>
    <w:rsid w:val="52067C23"/>
    <w:rsid w:val="52E57838"/>
    <w:rsid w:val="52F966F6"/>
    <w:rsid w:val="5322219A"/>
    <w:rsid w:val="533A4B08"/>
    <w:rsid w:val="535C082D"/>
    <w:rsid w:val="537B261C"/>
    <w:rsid w:val="539D65A6"/>
    <w:rsid w:val="53A039CC"/>
    <w:rsid w:val="53A1505A"/>
    <w:rsid w:val="53EC1C4B"/>
    <w:rsid w:val="54063E08"/>
    <w:rsid w:val="54137789"/>
    <w:rsid w:val="541423FA"/>
    <w:rsid w:val="543437E8"/>
    <w:rsid w:val="54541DA3"/>
    <w:rsid w:val="54901A26"/>
    <w:rsid w:val="54A85071"/>
    <w:rsid w:val="54AA5FF5"/>
    <w:rsid w:val="54C9229B"/>
    <w:rsid w:val="54D9517B"/>
    <w:rsid w:val="54F73313"/>
    <w:rsid w:val="54F80955"/>
    <w:rsid w:val="54FB77E7"/>
    <w:rsid w:val="551B1C37"/>
    <w:rsid w:val="554C665D"/>
    <w:rsid w:val="555170A7"/>
    <w:rsid w:val="5563538C"/>
    <w:rsid w:val="556B3A52"/>
    <w:rsid w:val="5587536D"/>
    <w:rsid w:val="559B174B"/>
    <w:rsid w:val="55AB3359"/>
    <w:rsid w:val="55C67DF5"/>
    <w:rsid w:val="55CE0CF4"/>
    <w:rsid w:val="55DF0EB7"/>
    <w:rsid w:val="55F05F11"/>
    <w:rsid w:val="560223C9"/>
    <w:rsid w:val="56306931"/>
    <w:rsid w:val="56B22A9C"/>
    <w:rsid w:val="56B87EEB"/>
    <w:rsid w:val="56C65BD3"/>
    <w:rsid w:val="56CD4950"/>
    <w:rsid w:val="56CF5286"/>
    <w:rsid w:val="56F1413C"/>
    <w:rsid w:val="56FD6278"/>
    <w:rsid w:val="57501B81"/>
    <w:rsid w:val="57603931"/>
    <w:rsid w:val="57B2605E"/>
    <w:rsid w:val="57B72A76"/>
    <w:rsid w:val="57C3426C"/>
    <w:rsid w:val="57CE1F93"/>
    <w:rsid w:val="57FB3DD9"/>
    <w:rsid w:val="582E3A6C"/>
    <w:rsid w:val="587A09A5"/>
    <w:rsid w:val="58823D7B"/>
    <w:rsid w:val="58847BE4"/>
    <w:rsid w:val="588743D1"/>
    <w:rsid w:val="5887701A"/>
    <w:rsid w:val="588A668B"/>
    <w:rsid w:val="58A525E2"/>
    <w:rsid w:val="58AD3DC0"/>
    <w:rsid w:val="58AF290B"/>
    <w:rsid w:val="58C3061C"/>
    <w:rsid w:val="58EF353A"/>
    <w:rsid w:val="58F42B22"/>
    <w:rsid w:val="593E745C"/>
    <w:rsid w:val="59893975"/>
    <w:rsid w:val="598B6C60"/>
    <w:rsid w:val="59C0439F"/>
    <w:rsid w:val="59C26D68"/>
    <w:rsid w:val="59D810DA"/>
    <w:rsid w:val="5AA41372"/>
    <w:rsid w:val="5ABE2233"/>
    <w:rsid w:val="5AF34ABD"/>
    <w:rsid w:val="5B1647AE"/>
    <w:rsid w:val="5B4F43E9"/>
    <w:rsid w:val="5B5150EA"/>
    <w:rsid w:val="5B74663D"/>
    <w:rsid w:val="5B8B3F95"/>
    <w:rsid w:val="5B922527"/>
    <w:rsid w:val="5BAF6C35"/>
    <w:rsid w:val="5BB10BFF"/>
    <w:rsid w:val="5BC94BEF"/>
    <w:rsid w:val="5BDF5D95"/>
    <w:rsid w:val="5BFE7528"/>
    <w:rsid w:val="5CC37D90"/>
    <w:rsid w:val="5CF10E3E"/>
    <w:rsid w:val="5D335644"/>
    <w:rsid w:val="5D807DF8"/>
    <w:rsid w:val="5D991D66"/>
    <w:rsid w:val="5DA937FF"/>
    <w:rsid w:val="5DCB5D10"/>
    <w:rsid w:val="5DFD637E"/>
    <w:rsid w:val="5E1C667C"/>
    <w:rsid w:val="5E2467F1"/>
    <w:rsid w:val="5E27543C"/>
    <w:rsid w:val="5E985141"/>
    <w:rsid w:val="5F0679D1"/>
    <w:rsid w:val="5F1A2B43"/>
    <w:rsid w:val="5FB837BB"/>
    <w:rsid w:val="5FBA4847"/>
    <w:rsid w:val="5FC35348"/>
    <w:rsid w:val="5FEB4543"/>
    <w:rsid w:val="60146930"/>
    <w:rsid w:val="60367248"/>
    <w:rsid w:val="604007A4"/>
    <w:rsid w:val="606424E0"/>
    <w:rsid w:val="60CC405A"/>
    <w:rsid w:val="60D82C67"/>
    <w:rsid w:val="61395C10"/>
    <w:rsid w:val="617F4816"/>
    <w:rsid w:val="619073AA"/>
    <w:rsid w:val="619C154B"/>
    <w:rsid w:val="61C000FB"/>
    <w:rsid w:val="61E215D8"/>
    <w:rsid w:val="621B3775"/>
    <w:rsid w:val="622E3843"/>
    <w:rsid w:val="62364782"/>
    <w:rsid w:val="62373E29"/>
    <w:rsid w:val="623954AB"/>
    <w:rsid w:val="626D76EE"/>
    <w:rsid w:val="628E1C9B"/>
    <w:rsid w:val="62A82630"/>
    <w:rsid w:val="62E30B38"/>
    <w:rsid w:val="62E33669"/>
    <w:rsid w:val="633E1900"/>
    <w:rsid w:val="63496E57"/>
    <w:rsid w:val="637A266F"/>
    <w:rsid w:val="63860BC4"/>
    <w:rsid w:val="6394356A"/>
    <w:rsid w:val="63B37D4E"/>
    <w:rsid w:val="63C61B2C"/>
    <w:rsid w:val="63D40BE9"/>
    <w:rsid w:val="63FC0887"/>
    <w:rsid w:val="64102431"/>
    <w:rsid w:val="64282F47"/>
    <w:rsid w:val="645D1035"/>
    <w:rsid w:val="64A5243A"/>
    <w:rsid w:val="64AA4CC5"/>
    <w:rsid w:val="64B25C4F"/>
    <w:rsid w:val="64C51278"/>
    <w:rsid w:val="64C90AE9"/>
    <w:rsid w:val="64CD3E9F"/>
    <w:rsid w:val="64CF3058"/>
    <w:rsid w:val="64F531DE"/>
    <w:rsid w:val="64F94C40"/>
    <w:rsid w:val="65291965"/>
    <w:rsid w:val="652C7549"/>
    <w:rsid w:val="65362329"/>
    <w:rsid w:val="65373578"/>
    <w:rsid w:val="65791E19"/>
    <w:rsid w:val="65B02DE4"/>
    <w:rsid w:val="65BD1F06"/>
    <w:rsid w:val="65EF2FE2"/>
    <w:rsid w:val="661324B7"/>
    <w:rsid w:val="66283A7B"/>
    <w:rsid w:val="669453A6"/>
    <w:rsid w:val="671336FE"/>
    <w:rsid w:val="671F124A"/>
    <w:rsid w:val="675D1C3B"/>
    <w:rsid w:val="677A33C6"/>
    <w:rsid w:val="67DC4A73"/>
    <w:rsid w:val="67F06EB0"/>
    <w:rsid w:val="6804655B"/>
    <w:rsid w:val="681F6961"/>
    <w:rsid w:val="684C1D2E"/>
    <w:rsid w:val="68610A2F"/>
    <w:rsid w:val="68703BF0"/>
    <w:rsid w:val="68790CF7"/>
    <w:rsid w:val="68805514"/>
    <w:rsid w:val="68A0545B"/>
    <w:rsid w:val="68A65864"/>
    <w:rsid w:val="68DB6A49"/>
    <w:rsid w:val="69316E2F"/>
    <w:rsid w:val="694E2071"/>
    <w:rsid w:val="697119CE"/>
    <w:rsid w:val="69746191"/>
    <w:rsid w:val="69766163"/>
    <w:rsid w:val="697A3B33"/>
    <w:rsid w:val="69AB67B1"/>
    <w:rsid w:val="69D44760"/>
    <w:rsid w:val="6A520EC7"/>
    <w:rsid w:val="6A833B0E"/>
    <w:rsid w:val="6A9C2A7B"/>
    <w:rsid w:val="6ABF5411"/>
    <w:rsid w:val="6ADB2223"/>
    <w:rsid w:val="6AE10DD5"/>
    <w:rsid w:val="6AF87E20"/>
    <w:rsid w:val="6B160A7F"/>
    <w:rsid w:val="6B322639"/>
    <w:rsid w:val="6BB46A94"/>
    <w:rsid w:val="6BC2557E"/>
    <w:rsid w:val="6BC769B2"/>
    <w:rsid w:val="6BEE7306"/>
    <w:rsid w:val="6C636C38"/>
    <w:rsid w:val="6C90138C"/>
    <w:rsid w:val="6D693C23"/>
    <w:rsid w:val="6D9143ED"/>
    <w:rsid w:val="6DB34098"/>
    <w:rsid w:val="6DB545B6"/>
    <w:rsid w:val="6DBC0B4D"/>
    <w:rsid w:val="6DE02FB4"/>
    <w:rsid w:val="6DE24C48"/>
    <w:rsid w:val="6E2F6B8A"/>
    <w:rsid w:val="6E514CED"/>
    <w:rsid w:val="6E671430"/>
    <w:rsid w:val="6E6935BC"/>
    <w:rsid w:val="6EA40AEA"/>
    <w:rsid w:val="6EAC4123"/>
    <w:rsid w:val="6EB563D5"/>
    <w:rsid w:val="6ED92677"/>
    <w:rsid w:val="6F111474"/>
    <w:rsid w:val="6F171A16"/>
    <w:rsid w:val="6F225983"/>
    <w:rsid w:val="6F3F6445"/>
    <w:rsid w:val="6F887A72"/>
    <w:rsid w:val="6FA07B87"/>
    <w:rsid w:val="6FDB36C7"/>
    <w:rsid w:val="6FEA6982"/>
    <w:rsid w:val="6FEC1DAE"/>
    <w:rsid w:val="6FFC5590"/>
    <w:rsid w:val="7001496F"/>
    <w:rsid w:val="70153D62"/>
    <w:rsid w:val="706D1DD0"/>
    <w:rsid w:val="707C6C0B"/>
    <w:rsid w:val="70856B87"/>
    <w:rsid w:val="70D527EE"/>
    <w:rsid w:val="70EF4E63"/>
    <w:rsid w:val="710A284E"/>
    <w:rsid w:val="715B5300"/>
    <w:rsid w:val="716E772F"/>
    <w:rsid w:val="71D27F8A"/>
    <w:rsid w:val="721750DD"/>
    <w:rsid w:val="721B697B"/>
    <w:rsid w:val="723E1B79"/>
    <w:rsid w:val="72553024"/>
    <w:rsid w:val="72850298"/>
    <w:rsid w:val="72F37A99"/>
    <w:rsid w:val="73122968"/>
    <w:rsid w:val="731F5D5E"/>
    <w:rsid w:val="73353A6C"/>
    <w:rsid w:val="737748FA"/>
    <w:rsid w:val="739F538A"/>
    <w:rsid w:val="73C51AD5"/>
    <w:rsid w:val="741E793C"/>
    <w:rsid w:val="7433258E"/>
    <w:rsid w:val="745E3944"/>
    <w:rsid w:val="746034E1"/>
    <w:rsid w:val="75FA139B"/>
    <w:rsid w:val="761D7DA7"/>
    <w:rsid w:val="7635099D"/>
    <w:rsid w:val="768A4371"/>
    <w:rsid w:val="76AD48BD"/>
    <w:rsid w:val="7701414A"/>
    <w:rsid w:val="77762421"/>
    <w:rsid w:val="77B033DE"/>
    <w:rsid w:val="77B56B1F"/>
    <w:rsid w:val="77D0488B"/>
    <w:rsid w:val="78021211"/>
    <w:rsid w:val="780F09F4"/>
    <w:rsid w:val="78611C4B"/>
    <w:rsid w:val="787D038F"/>
    <w:rsid w:val="78A90480"/>
    <w:rsid w:val="79423197"/>
    <w:rsid w:val="794E7311"/>
    <w:rsid w:val="79CB7FE6"/>
    <w:rsid w:val="7A2465E9"/>
    <w:rsid w:val="7A364017"/>
    <w:rsid w:val="7A451A22"/>
    <w:rsid w:val="7A807CC3"/>
    <w:rsid w:val="7A8265E1"/>
    <w:rsid w:val="7AAB69D1"/>
    <w:rsid w:val="7AB7490E"/>
    <w:rsid w:val="7B2A6109"/>
    <w:rsid w:val="7B383A36"/>
    <w:rsid w:val="7B5F1FCE"/>
    <w:rsid w:val="7B686D42"/>
    <w:rsid w:val="7B790AC9"/>
    <w:rsid w:val="7B841746"/>
    <w:rsid w:val="7BCB31C0"/>
    <w:rsid w:val="7BF14BCA"/>
    <w:rsid w:val="7BF25D81"/>
    <w:rsid w:val="7C4767BC"/>
    <w:rsid w:val="7C6C5AC7"/>
    <w:rsid w:val="7C9760C2"/>
    <w:rsid w:val="7CC1404A"/>
    <w:rsid w:val="7CC6544B"/>
    <w:rsid w:val="7CD10CAA"/>
    <w:rsid w:val="7D0239FF"/>
    <w:rsid w:val="7D474AC8"/>
    <w:rsid w:val="7D5E40CD"/>
    <w:rsid w:val="7D5F583E"/>
    <w:rsid w:val="7DA7330C"/>
    <w:rsid w:val="7DCD56F2"/>
    <w:rsid w:val="7DD33374"/>
    <w:rsid w:val="7E442B2F"/>
    <w:rsid w:val="7E6771EA"/>
    <w:rsid w:val="7F001CE7"/>
    <w:rsid w:val="7F084364"/>
    <w:rsid w:val="7F1A7D84"/>
    <w:rsid w:val="7F690081"/>
    <w:rsid w:val="7F89586C"/>
    <w:rsid w:val="7FCA378E"/>
    <w:rsid w:val="7FCC3CAC"/>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sdException w:unhideWhenUsed="0" w:uiPriority="0" w:semiHidden="0" w:name="toc 2" w:locked="1"/>
    <w:lsdException w:unhideWhenUsed="0" w:uiPriority="0"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ocked="1"/>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ocked="1"/>
    <w:lsdException w:qFormat="1" w:uiPriority="0" w:name="caption"/>
    <w:lsdException w:unhideWhenUsed="0" w:uiPriority="0" w:semiHidden="0" w:name="table of figures"/>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ocked="1"/>
    <w:lsdException w:unhideWhenUsed="0" w:uiPriority="0" w:semiHidden="0" w:name="Body Text First Indent 2"/>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ocked="1"/>
    <w:lsdException w:qFormat="1" w:unhideWhenUsed="0" w:uiPriority="0" w:semiHidden="0" w:name="Strong" w:locked="1"/>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1446"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4"/>
    <w:qFormat/>
    <w:locked/>
    <w:uiPriority w:val="99"/>
    <w:pPr>
      <w:keepNext/>
      <w:numPr>
        <w:ilvl w:val="0"/>
        <w:numId w:val="1"/>
      </w:numPr>
      <w:tabs>
        <w:tab w:val="left" w:pos="0"/>
        <w:tab w:val="clear" w:pos="420"/>
      </w:tabs>
      <w:overflowPunct w:val="0"/>
      <w:adjustRightInd w:val="0"/>
      <w:snapToGrid w:val="0"/>
      <w:spacing w:before="120" w:after="120" w:line="240" w:lineRule="auto"/>
      <w:ind w:left="0" w:firstLine="0" w:firstLineChars="0"/>
      <w:jc w:val="center"/>
      <w:outlineLvl w:val="0"/>
    </w:pPr>
    <w:rPr>
      <w:rFonts w:ascii="Times New Roman" w:hAnsi="Times New Roman" w:eastAsia="黑体"/>
      <w:b/>
      <w:bCs/>
      <w:color w:val="000000"/>
      <w:kern w:val="44"/>
      <w:sz w:val="30"/>
      <w:szCs w:val="30"/>
    </w:rPr>
  </w:style>
  <w:style w:type="paragraph" w:styleId="3">
    <w:name w:val="heading 2"/>
    <w:basedOn w:val="1"/>
    <w:next w:val="1"/>
    <w:unhideWhenUsed/>
    <w:qFormat/>
    <w:locked/>
    <w:uiPriority w:val="0"/>
    <w:pPr>
      <w:keepNext/>
      <w:keepLines/>
      <w:numPr>
        <w:ilvl w:val="1"/>
        <w:numId w:val="1"/>
      </w:numPr>
      <w:tabs>
        <w:tab w:val="left" w:pos="0"/>
        <w:tab w:val="clear" w:pos="420"/>
      </w:tabs>
      <w:spacing w:beforeLines="0" w:beforeAutospacing="0" w:afterLines="0" w:afterAutospacing="0" w:line="360" w:lineRule="auto"/>
      <w:ind w:firstLine="0" w:firstLineChars="0"/>
      <w:outlineLvl w:val="1"/>
    </w:pPr>
    <w:rPr>
      <w:rFonts w:ascii="Times New Roman" w:hAnsi="Times New Roman" w:eastAsia="宋体"/>
      <w:b/>
    </w:rPr>
  </w:style>
  <w:style w:type="paragraph" w:styleId="4">
    <w:name w:val="heading 3"/>
    <w:basedOn w:val="1"/>
    <w:next w:val="1"/>
    <w:qFormat/>
    <w:locked/>
    <w:uiPriority w:val="0"/>
    <w:pPr>
      <w:keepNext/>
      <w:keepLines/>
      <w:numPr>
        <w:ilvl w:val="2"/>
        <w:numId w:val="1"/>
      </w:numPr>
      <w:tabs>
        <w:tab w:val="left" w:pos="0"/>
        <w:tab w:val="clear" w:pos="420"/>
      </w:tabs>
      <w:adjustRightInd w:val="0"/>
      <w:spacing w:line="360" w:lineRule="auto"/>
      <w:ind w:firstLine="0" w:firstLineChars="0"/>
      <w:textAlignment w:val="baseline"/>
      <w:outlineLvl w:val="2"/>
    </w:pPr>
    <w:rPr>
      <w:b/>
      <w:kern w:val="32"/>
      <w:szCs w:val="30"/>
    </w:rPr>
  </w:style>
  <w:style w:type="paragraph" w:styleId="5">
    <w:name w:val="heading 4"/>
    <w:basedOn w:val="1"/>
    <w:next w:val="1"/>
    <w:qFormat/>
    <w:locked/>
    <w:uiPriority w:val="0"/>
    <w:pPr>
      <w:keepNext/>
      <w:keepLines/>
      <w:numPr>
        <w:ilvl w:val="3"/>
        <w:numId w:val="2"/>
      </w:numPr>
      <w:spacing w:before="280" w:after="290" w:line="376" w:lineRule="auto"/>
      <w:ind w:left="864" w:hanging="864" w:firstLineChars="0"/>
      <w:outlineLvl w:val="3"/>
    </w:pPr>
    <w:rPr>
      <w:rFonts w:ascii="Cambria" w:hAnsi="Cambria" w:eastAsia="宋体"/>
      <w:b/>
      <w:bCs/>
      <w:sz w:val="28"/>
      <w:szCs w:val="28"/>
    </w:rPr>
  </w:style>
  <w:style w:type="paragraph" w:styleId="6">
    <w:name w:val="heading 6"/>
    <w:basedOn w:val="1"/>
    <w:next w:val="1"/>
    <w:semiHidden/>
    <w:unhideWhenUsed/>
    <w:qFormat/>
    <w:locked/>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7">
    <w:name w:val="heading 7"/>
    <w:basedOn w:val="1"/>
    <w:next w:val="1"/>
    <w:semiHidden/>
    <w:unhideWhenUsed/>
    <w:qFormat/>
    <w:locked/>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8">
    <w:name w:val="heading 8"/>
    <w:basedOn w:val="1"/>
    <w:next w:val="1"/>
    <w:semiHidden/>
    <w:unhideWhenUsed/>
    <w:qFormat/>
    <w:locked/>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9">
    <w:name w:val="heading 9"/>
    <w:basedOn w:val="1"/>
    <w:next w:val="1"/>
    <w:semiHidden/>
    <w:unhideWhenUsed/>
    <w:qFormat/>
    <w:locked/>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7">
    <w:name w:val="Default Paragraph Font"/>
    <w:qFormat/>
    <w:uiPriority w:val="0"/>
    <w:rPr>
      <w:rFonts w:ascii="Times New Roman" w:hAnsi="Times New Roman" w:eastAsia="宋体"/>
      <w:sz w:val="24"/>
    </w:rPr>
  </w:style>
  <w:style w:type="table" w:default="1" w:styleId="15">
    <w:name w:val="Normal Table"/>
    <w:semiHidden/>
    <w:qFormat/>
    <w:uiPriority w:val="0"/>
    <w:tblPr>
      <w:tblCellMar>
        <w:top w:w="0" w:type="dxa"/>
        <w:left w:w="108" w:type="dxa"/>
        <w:bottom w:w="0" w:type="dxa"/>
        <w:right w:w="108" w:type="dxa"/>
      </w:tblCellMar>
    </w:tblPr>
  </w:style>
  <w:style w:type="paragraph" w:styleId="10">
    <w:name w:val="annotation text"/>
    <w:basedOn w:val="1"/>
    <w:qFormat/>
    <w:uiPriority w:val="0"/>
    <w:pPr>
      <w:jc w:val="left"/>
    </w:pPr>
  </w:style>
  <w:style w:type="paragraph" w:styleId="11">
    <w:name w:val="Plain Text"/>
    <w:basedOn w:val="1"/>
    <w:next w:val="12"/>
    <w:qFormat/>
    <w:uiPriority w:val="0"/>
    <w:pPr>
      <w:jc w:val="center"/>
    </w:pPr>
    <w:rPr>
      <w:b/>
      <w:szCs w:val="20"/>
    </w:rPr>
  </w:style>
  <w:style w:type="paragraph" w:styleId="12">
    <w:name w:val="toc 1"/>
    <w:basedOn w:val="1"/>
    <w:next w:val="1"/>
    <w:qFormat/>
    <w:uiPriority w:val="0"/>
  </w:style>
  <w:style w:type="paragraph" w:styleId="13">
    <w:name w:val="Subtitle"/>
    <w:basedOn w:val="1"/>
    <w:qFormat/>
    <w:locked/>
    <w:uiPriority w:val="0"/>
    <w:pPr>
      <w:adjustRightInd w:val="0"/>
      <w:spacing w:line="360" w:lineRule="auto"/>
      <w:jc w:val="left"/>
      <w:textAlignment w:val="baseline"/>
      <w:outlineLvl w:val="1"/>
    </w:pPr>
    <w:rPr>
      <w:rFonts w:ascii="Arial" w:hAnsi="Arial" w:eastAsia="Times New Roman" w:cs="Arial"/>
      <w:b/>
      <w:bCs/>
      <w:kern w:val="28"/>
      <w:sz w:val="28"/>
      <w:szCs w:val="32"/>
    </w:rPr>
  </w:style>
  <w:style w:type="paragraph" w:styleId="14">
    <w:name w:val="Normal (Web)"/>
    <w:basedOn w:val="1"/>
    <w:qFormat/>
    <w:uiPriority w:val="0"/>
    <w:pPr>
      <w:widowControl/>
      <w:spacing w:before="100" w:beforeAutospacing="1" w:after="100" w:afterAutospacing="1"/>
      <w:jc w:val="left"/>
    </w:pPr>
    <w:rPr>
      <w:rFonts w:ascii="宋体" w:hAnsi="宋体"/>
      <w:kern w:val="0"/>
      <w:sz w:val="24"/>
    </w:rPr>
  </w:style>
  <w:style w:type="table" w:styleId="16">
    <w:name w:val="Table Grid"/>
    <w:basedOn w:val="1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
    <w:name w:val="网格型浅色1"/>
    <w:basedOn w:val="15"/>
    <w:qFormat/>
    <w:uiPriority w:val="40"/>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9">
    <w:name w:val="TableGrid"/>
    <w:qFormat/>
    <w:uiPriority w:val="0"/>
    <w:rPr>
      <w:rFonts w:ascii="Calibri" w:hAnsi="Calibri"/>
      <w:kern w:val="2"/>
      <w:sz w:val="21"/>
      <w:szCs w:val="22"/>
      <w:lang w:val="en-US" w:eastAsia="zh-CN" w:bidi="ar-SA"/>
    </w:rPr>
    <w:tblPr>
      <w:tblCellMar>
        <w:top w:w="0" w:type="dxa"/>
        <w:left w:w="0" w:type="dxa"/>
        <w:bottom w:w="0" w:type="dxa"/>
        <w:right w:w="0" w:type="dxa"/>
      </w:tblCellMar>
    </w:tblPr>
  </w:style>
  <w:style w:type="table" w:customStyle="1" w:styleId="20">
    <w:name w:val="Table Grid_0"/>
    <w:basedOn w:val="15"/>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22">
    <w:name w:val="表格标题"/>
    <w:link w:val="29"/>
    <w:qFormat/>
    <w:uiPriority w:val="0"/>
    <w:pPr>
      <w:keepNext/>
      <w:numPr>
        <w:ilvl w:val="3"/>
        <w:numId w:val="1"/>
      </w:numPr>
      <w:adjustRightInd w:val="0"/>
      <w:snapToGrid w:val="0"/>
      <w:spacing w:line="240" w:lineRule="auto"/>
      <w:ind w:firstLine="0" w:firstLineChars="0"/>
      <w:jc w:val="center"/>
    </w:pPr>
    <w:rPr>
      <w:rFonts w:ascii="Times New Roman" w:hAnsi="Times New Roman" w:eastAsia="宋体" w:cs="Times New Roman"/>
      <w:b/>
      <w:color w:val="auto"/>
      <w:sz w:val="21"/>
    </w:rPr>
  </w:style>
  <w:style w:type="paragraph" w:customStyle="1" w:styleId="23">
    <w:name w:val="表格"/>
    <w:next w:val="1"/>
    <w:qFormat/>
    <w:uiPriority w:val="0"/>
    <w:pPr>
      <w:spacing w:line="240" w:lineRule="auto"/>
      <w:ind w:firstLine="0" w:firstLineChars="0"/>
      <w:jc w:val="center"/>
    </w:pPr>
    <w:rPr>
      <w:rFonts w:hint="eastAsia" w:ascii="Times New Roman" w:hAnsi="Times New Roman" w:eastAsia="宋体" w:cs="Times New Roman"/>
      <w:sz w:val="21"/>
    </w:rPr>
  </w:style>
  <w:style w:type="character" w:customStyle="1" w:styleId="24">
    <w:name w:val="标题 1 Char"/>
    <w:link w:val="2"/>
    <w:qFormat/>
    <w:uiPriority w:val="99"/>
    <w:rPr>
      <w:rFonts w:ascii="Times New Roman" w:hAnsi="Times New Roman" w:eastAsia="黑体"/>
      <w:b/>
      <w:bCs/>
      <w:color w:val="000000"/>
      <w:kern w:val="44"/>
      <w:sz w:val="30"/>
      <w:szCs w:val="30"/>
    </w:rPr>
  </w:style>
  <w:style w:type="paragraph" w:customStyle="1" w:styleId="25">
    <w:name w:val="0.5正文"/>
    <w:basedOn w:val="1"/>
    <w:next w:val="1"/>
    <w:link w:val="26"/>
    <w:qFormat/>
    <w:uiPriority w:val="0"/>
    <w:pPr>
      <w:spacing w:before="50" w:beforeLines="50"/>
    </w:pPr>
  </w:style>
  <w:style w:type="character" w:customStyle="1" w:styleId="26">
    <w:name w:val="0.5正文 Char"/>
    <w:link w:val="25"/>
    <w:qFormat/>
    <w:uiPriority w:val="0"/>
  </w:style>
  <w:style w:type="paragraph" w:customStyle="1" w:styleId="27">
    <w:name w:val="图标题"/>
    <w:basedOn w:val="1"/>
    <w:qFormat/>
    <w:uiPriority w:val="0"/>
    <w:pPr>
      <w:numPr>
        <w:ilvl w:val="4"/>
        <w:numId w:val="1"/>
      </w:numPr>
      <w:spacing w:line="240" w:lineRule="auto"/>
      <w:ind w:firstLine="0" w:firstLineChars="0"/>
      <w:jc w:val="center"/>
      <w:outlineLvl w:val="9"/>
    </w:pPr>
    <w:rPr>
      <w:rFonts w:hint="eastAsia"/>
      <w:b/>
      <w:bCs/>
      <w:color w:val="000000"/>
      <w:sz w:val="21"/>
    </w:rPr>
  </w:style>
  <w:style w:type="paragraph" w:customStyle="1" w:styleId="28">
    <w:name w:val="备注"/>
    <w:basedOn w:val="1"/>
    <w:next w:val="1"/>
    <w:qFormat/>
    <w:uiPriority w:val="0"/>
    <w:pPr>
      <w:keepNext/>
      <w:keepLines/>
      <w:tabs>
        <w:tab w:val="left" w:pos="0"/>
      </w:tabs>
      <w:autoSpaceDE w:val="0"/>
      <w:autoSpaceDN w:val="0"/>
      <w:spacing w:line="240" w:lineRule="auto"/>
      <w:ind w:firstLine="0" w:firstLineChars="0"/>
      <w:textAlignment w:val="baseline"/>
      <w:outlineLvl w:val="9"/>
    </w:pPr>
    <w:rPr>
      <w:rFonts w:hint="eastAsia" w:ascii="Times New Roman" w:hAnsi="Times New Roman"/>
      <w:b/>
      <w:kern w:val="32"/>
      <w:sz w:val="21"/>
    </w:rPr>
  </w:style>
  <w:style w:type="character" w:customStyle="1" w:styleId="29">
    <w:name w:val="表格标题 Char"/>
    <w:link w:val="22"/>
    <w:qFormat/>
    <w:uiPriority w:val="0"/>
    <w:rPr>
      <w:rFonts w:ascii="Times New Roman" w:hAnsi="Times New Roman" w:eastAsia="宋体" w:cs="Times New Roman"/>
      <w:b/>
      <w:color w:val="auto"/>
      <w:sz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45.wmf"/><Relationship Id="rId98" Type="http://schemas.openxmlformats.org/officeDocument/2006/relationships/oleObject" Target="embeddings/oleObject45.bin"/><Relationship Id="rId97" Type="http://schemas.openxmlformats.org/officeDocument/2006/relationships/image" Target="media/image44.wmf"/><Relationship Id="rId96" Type="http://schemas.openxmlformats.org/officeDocument/2006/relationships/oleObject" Target="embeddings/oleObject44.bin"/><Relationship Id="rId95" Type="http://schemas.openxmlformats.org/officeDocument/2006/relationships/image" Target="media/image43.wmf"/><Relationship Id="rId94" Type="http://schemas.openxmlformats.org/officeDocument/2006/relationships/oleObject" Target="embeddings/oleObject43.bin"/><Relationship Id="rId93" Type="http://schemas.openxmlformats.org/officeDocument/2006/relationships/image" Target="media/image42.wmf"/><Relationship Id="rId92" Type="http://schemas.openxmlformats.org/officeDocument/2006/relationships/oleObject" Target="embeddings/oleObject42.bin"/><Relationship Id="rId91" Type="http://schemas.openxmlformats.org/officeDocument/2006/relationships/image" Target="media/image41.wmf"/><Relationship Id="rId90" Type="http://schemas.openxmlformats.org/officeDocument/2006/relationships/oleObject" Target="embeddings/oleObject41.bin"/><Relationship Id="rId9" Type="http://schemas.openxmlformats.org/officeDocument/2006/relationships/theme" Target="theme/theme1.xml"/><Relationship Id="rId89" Type="http://schemas.openxmlformats.org/officeDocument/2006/relationships/image" Target="media/image40.wmf"/><Relationship Id="rId88" Type="http://schemas.openxmlformats.org/officeDocument/2006/relationships/oleObject" Target="embeddings/oleObject40.bin"/><Relationship Id="rId87" Type="http://schemas.openxmlformats.org/officeDocument/2006/relationships/image" Target="media/image39.wmf"/><Relationship Id="rId86" Type="http://schemas.openxmlformats.org/officeDocument/2006/relationships/oleObject" Target="embeddings/oleObject39.bin"/><Relationship Id="rId85" Type="http://schemas.openxmlformats.org/officeDocument/2006/relationships/image" Target="media/image38.wmf"/><Relationship Id="rId84" Type="http://schemas.openxmlformats.org/officeDocument/2006/relationships/oleObject" Target="embeddings/oleObject38.bin"/><Relationship Id="rId83" Type="http://schemas.openxmlformats.org/officeDocument/2006/relationships/image" Target="media/image37.wmf"/><Relationship Id="rId82" Type="http://schemas.openxmlformats.org/officeDocument/2006/relationships/oleObject" Target="embeddings/oleObject37.bin"/><Relationship Id="rId81" Type="http://schemas.openxmlformats.org/officeDocument/2006/relationships/image" Target="media/image36.wmf"/><Relationship Id="rId80" Type="http://schemas.openxmlformats.org/officeDocument/2006/relationships/oleObject" Target="embeddings/oleObject36.bin"/><Relationship Id="rId8" Type="http://schemas.openxmlformats.org/officeDocument/2006/relationships/footer" Target="footer3.xml"/><Relationship Id="rId79" Type="http://schemas.openxmlformats.org/officeDocument/2006/relationships/image" Target="media/image35.wmf"/><Relationship Id="rId78" Type="http://schemas.openxmlformats.org/officeDocument/2006/relationships/oleObject" Target="embeddings/oleObject35.bin"/><Relationship Id="rId77" Type="http://schemas.openxmlformats.org/officeDocument/2006/relationships/image" Target="media/image34.wmf"/><Relationship Id="rId76" Type="http://schemas.openxmlformats.org/officeDocument/2006/relationships/oleObject" Target="embeddings/oleObject34.bin"/><Relationship Id="rId75" Type="http://schemas.openxmlformats.org/officeDocument/2006/relationships/image" Target="media/image33.wmf"/><Relationship Id="rId74" Type="http://schemas.openxmlformats.org/officeDocument/2006/relationships/oleObject" Target="embeddings/oleObject33.bin"/><Relationship Id="rId73" Type="http://schemas.openxmlformats.org/officeDocument/2006/relationships/image" Target="media/image32.wmf"/><Relationship Id="rId72" Type="http://schemas.openxmlformats.org/officeDocument/2006/relationships/oleObject" Target="embeddings/oleObject32.bin"/><Relationship Id="rId71" Type="http://schemas.openxmlformats.org/officeDocument/2006/relationships/image" Target="media/image31.wmf"/><Relationship Id="rId70" Type="http://schemas.openxmlformats.org/officeDocument/2006/relationships/oleObject" Target="embeddings/oleObject31.bin"/><Relationship Id="rId7" Type="http://schemas.openxmlformats.org/officeDocument/2006/relationships/footer" Target="footer2.xml"/><Relationship Id="rId69" Type="http://schemas.openxmlformats.org/officeDocument/2006/relationships/image" Target="media/image30.wmf"/><Relationship Id="rId68" Type="http://schemas.openxmlformats.org/officeDocument/2006/relationships/oleObject" Target="embeddings/oleObject30.bin"/><Relationship Id="rId67" Type="http://schemas.openxmlformats.org/officeDocument/2006/relationships/image" Target="media/image29.wmf"/><Relationship Id="rId66" Type="http://schemas.openxmlformats.org/officeDocument/2006/relationships/oleObject" Target="embeddings/oleObject29.bin"/><Relationship Id="rId65" Type="http://schemas.openxmlformats.org/officeDocument/2006/relationships/image" Target="media/image28.wmf"/><Relationship Id="rId64" Type="http://schemas.openxmlformats.org/officeDocument/2006/relationships/oleObject" Target="embeddings/oleObject28.bin"/><Relationship Id="rId63" Type="http://schemas.openxmlformats.org/officeDocument/2006/relationships/image" Target="media/image27.wmf"/><Relationship Id="rId62" Type="http://schemas.openxmlformats.org/officeDocument/2006/relationships/oleObject" Target="embeddings/oleObject27.bin"/><Relationship Id="rId61" Type="http://schemas.openxmlformats.org/officeDocument/2006/relationships/image" Target="media/image26.wmf"/><Relationship Id="rId60" Type="http://schemas.openxmlformats.org/officeDocument/2006/relationships/oleObject" Target="embeddings/oleObject26.bin"/><Relationship Id="rId6" Type="http://schemas.openxmlformats.org/officeDocument/2006/relationships/footer" Target="footer1.xml"/><Relationship Id="rId59" Type="http://schemas.openxmlformats.org/officeDocument/2006/relationships/image" Target="media/image25.wmf"/><Relationship Id="rId58" Type="http://schemas.openxmlformats.org/officeDocument/2006/relationships/oleObject" Target="embeddings/oleObject25.bin"/><Relationship Id="rId57" Type="http://schemas.openxmlformats.org/officeDocument/2006/relationships/image" Target="media/image24.wmf"/><Relationship Id="rId56" Type="http://schemas.openxmlformats.org/officeDocument/2006/relationships/oleObject" Target="embeddings/oleObject24.bin"/><Relationship Id="rId55" Type="http://schemas.openxmlformats.org/officeDocument/2006/relationships/image" Target="media/image23.wmf"/><Relationship Id="rId54" Type="http://schemas.openxmlformats.org/officeDocument/2006/relationships/oleObject" Target="embeddings/oleObject23.bin"/><Relationship Id="rId53" Type="http://schemas.openxmlformats.org/officeDocument/2006/relationships/image" Target="media/image22.wmf"/><Relationship Id="rId52" Type="http://schemas.openxmlformats.org/officeDocument/2006/relationships/oleObject" Target="embeddings/oleObject22.bin"/><Relationship Id="rId51" Type="http://schemas.openxmlformats.org/officeDocument/2006/relationships/oleObject" Target="embeddings/oleObject21.bin"/><Relationship Id="rId50" Type="http://schemas.openxmlformats.org/officeDocument/2006/relationships/image" Target="media/image21.wmf"/><Relationship Id="rId5" Type="http://schemas.openxmlformats.org/officeDocument/2006/relationships/header" Target="header1.xml"/><Relationship Id="rId49" Type="http://schemas.openxmlformats.org/officeDocument/2006/relationships/oleObject" Target="embeddings/oleObject20.bin"/><Relationship Id="rId48" Type="http://schemas.openxmlformats.org/officeDocument/2006/relationships/image" Target="media/image20.wmf"/><Relationship Id="rId47" Type="http://schemas.openxmlformats.org/officeDocument/2006/relationships/oleObject" Target="embeddings/oleObject19.bin"/><Relationship Id="rId46" Type="http://schemas.openxmlformats.org/officeDocument/2006/relationships/oleObject" Target="embeddings/oleObject18.bin"/><Relationship Id="rId45" Type="http://schemas.openxmlformats.org/officeDocument/2006/relationships/image" Target="media/image19.wmf"/><Relationship Id="rId44" Type="http://schemas.openxmlformats.org/officeDocument/2006/relationships/oleObject" Target="embeddings/oleObject17.bin"/><Relationship Id="rId43" Type="http://schemas.openxmlformats.org/officeDocument/2006/relationships/image" Target="media/image18.wmf"/><Relationship Id="rId42" Type="http://schemas.openxmlformats.org/officeDocument/2006/relationships/oleObject" Target="embeddings/oleObject16.bin"/><Relationship Id="rId41" Type="http://schemas.openxmlformats.org/officeDocument/2006/relationships/oleObject" Target="embeddings/oleObject15.bin"/><Relationship Id="rId40" Type="http://schemas.openxmlformats.org/officeDocument/2006/relationships/image" Target="media/image17.wmf"/><Relationship Id="rId4" Type="http://schemas.openxmlformats.org/officeDocument/2006/relationships/endnotes" Target="endnotes.xml"/><Relationship Id="rId39" Type="http://schemas.openxmlformats.org/officeDocument/2006/relationships/oleObject" Target="embeddings/oleObject14.bin"/><Relationship Id="rId38" Type="http://schemas.openxmlformats.org/officeDocument/2006/relationships/image" Target="media/image16.wmf"/><Relationship Id="rId37" Type="http://schemas.openxmlformats.org/officeDocument/2006/relationships/oleObject" Target="embeddings/oleObject13.bin"/><Relationship Id="rId36" Type="http://schemas.openxmlformats.org/officeDocument/2006/relationships/image" Target="media/image15.wmf"/><Relationship Id="rId35" Type="http://schemas.openxmlformats.org/officeDocument/2006/relationships/oleObject" Target="embeddings/oleObject12.bin"/><Relationship Id="rId34" Type="http://schemas.openxmlformats.org/officeDocument/2006/relationships/oleObject" Target="embeddings/oleObject11.bin"/><Relationship Id="rId33" Type="http://schemas.openxmlformats.org/officeDocument/2006/relationships/image" Target="media/image14.wmf"/><Relationship Id="rId32" Type="http://schemas.openxmlformats.org/officeDocument/2006/relationships/oleObject" Target="embeddings/oleObject10.bin"/><Relationship Id="rId31" Type="http://schemas.openxmlformats.org/officeDocument/2006/relationships/image" Target="media/image13.wmf"/><Relationship Id="rId30" Type="http://schemas.openxmlformats.org/officeDocument/2006/relationships/oleObject" Target="embeddings/oleObject9.bin"/><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oleObject" Target="embeddings/oleObject8.bin"/><Relationship Id="rId27" Type="http://schemas.openxmlformats.org/officeDocument/2006/relationships/image" Target="media/image11.wmf"/><Relationship Id="rId26" Type="http://schemas.openxmlformats.org/officeDocument/2006/relationships/oleObject" Target="embeddings/oleObject7.bin"/><Relationship Id="rId25" Type="http://schemas.openxmlformats.org/officeDocument/2006/relationships/image" Target="media/image10.wmf"/><Relationship Id="rId24" Type="http://schemas.openxmlformats.org/officeDocument/2006/relationships/oleObject" Target="embeddings/oleObject6.bin"/><Relationship Id="rId23" Type="http://schemas.openxmlformats.org/officeDocument/2006/relationships/oleObject" Target="embeddings/oleObject5.bin"/><Relationship Id="rId221" Type="http://schemas.openxmlformats.org/officeDocument/2006/relationships/fontTable" Target="fontTable.xml"/><Relationship Id="rId220" Type="http://schemas.openxmlformats.org/officeDocument/2006/relationships/numbering" Target="numbering.xml"/><Relationship Id="rId22" Type="http://schemas.openxmlformats.org/officeDocument/2006/relationships/image" Target="media/image9.wmf"/><Relationship Id="rId219" Type="http://schemas.openxmlformats.org/officeDocument/2006/relationships/customXml" Target="../customXml/item1.xml"/><Relationship Id="rId218" Type="http://schemas.openxmlformats.org/officeDocument/2006/relationships/image" Target="media/image121.jpeg"/><Relationship Id="rId217" Type="http://schemas.openxmlformats.org/officeDocument/2006/relationships/image" Target="media/image120.jpeg"/><Relationship Id="rId216" Type="http://schemas.openxmlformats.org/officeDocument/2006/relationships/image" Target="media/image119.jpeg"/><Relationship Id="rId215" Type="http://schemas.openxmlformats.org/officeDocument/2006/relationships/image" Target="media/image118.jpeg"/><Relationship Id="rId214" Type="http://schemas.openxmlformats.org/officeDocument/2006/relationships/image" Target="media/image117.jpeg"/><Relationship Id="rId213" Type="http://schemas.openxmlformats.org/officeDocument/2006/relationships/image" Target="media/image116.jpeg"/><Relationship Id="rId212" Type="http://schemas.openxmlformats.org/officeDocument/2006/relationships/image" Target="media/image115.jpeg"/><Relationship Id="rId211" Type="http://schemas.openxmlformats.org/officeDocument/2006/relationships/image" Target="media/image114.jpeg"/><Relationship Id="rId210" Type="http://schemas.openxmlformats.org/officeDocument/2006/relationships/image" Target="media/image113.jpeg"/><Relationship Id="rId21" Type="http://schemas.openxmlformats.org/officeDocument/2006/relationships/oleObject" Target="embeddings/oleObject4.bin"/><Relationship Id="rId209" Type="http://schemas.openxmlformats.org/officeDocument/2006/relationships/image" Target="media/image112.jpeg"/><Relationship Id="rId208" Type="http://schemas.openxmlformats.org/officeDocument/2006/relationships/image" Target="media/image111.jpeg"/><Relationship Id="rId207" Type="http://schemas.openxmlformats.org/officeDocument/2006/relationships/image" Target="media/image110.jpeg"/><Relationship Id="rId206" Type="http://schemas.openxmlformats.org/officeDocument/2006/relationships/image" Target="media/image109.jpeg"/><Relationship Id="rId205" Type="http://schemas.openxmlformats.org/officeDocument/2006/relationships/image" Target="media/image108.jpeg"/><Relationship Id="rId204" Type="http://schemas.openxmlformats.org/officeDocument/2006/relationships/image" Target="media/image107.jpeg"/><Relationship Id="rId203" Type="http://schemas.openxmlformats.org/officeDocument/2006/relationships/image" Target="media/image106.jpeg"/><Relationship Id="rId202" Type="http://schemas.openxmlformats.org/officeDocument/2006/relationships/image" Target="media/image105.jpeg"/><Relationship Id="rId201" Type="http://schemas.openxmlformats.org/officeDocument/2006/relationships/image" Target="media/image104.jpeg"/><Relationship Id="rId200" Type="http://schemas.openxmlformats.org/officeDocument/2006/relationships/image" Target="media/image103.jpeg"/><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image" Target="media/image102.jpeg"/><Relationship Id="rId198" Type="http://schemas.openxmlformats.org/officeDocument/2006/relationships/image" Target="media/image101.jpeg"/><Relationship Id="rId197" Type="http://schemas.openxmlformats.org/officeDocument/2006/relationships/image" Target="media/image100.jpeg"/><Relationship Id="rId196" Type="http://schemas.openxmlformats.org/officeDocument/2006/relationships/image" Target="media/image99.jpeg"/><Relationship Id="rId195" Type="http://schemas.openxmlformats.org/officeDocument/2006/relationships/image" Target="media/image98.jpeg"/><Relationship Id="rId194" Type="http://schemas.openxmlformats.org/officeDocument/2006/relationships/image" Target="media/image97.png"/><Relationship Id="rId193" Type="http://schemas.openxmlformats.org/officeDocument/2006/relationships/image" Target="media/image96.png"/><Relationship Id="rId192" Type="http://schemas.openxmlformats.org/officeDocument/2006/relationships/image" Target="media/image95.png"/><Relationship Id="rId191" Type="http://schemas.openxmlformats.org/officeDocument/2006/relationships/image" Target="media/image94.png"/><Relationship Id="rId190" Type="http://schemas.openxmlformats.org/officeDocument/2006/relationships/image" Target="media/image93.png"/><Relationship Id="rId19" Type="http://schemas.openxmlformats.org/officeDocument/2006/relationships/oleObject" Target="embeddings/oleObject3.bin"/><Relationship Id="rId189" Type="http://schemas.openxmlformats.org/officeDocument/2006/relationships/image" Target="media/image92.jpeg"/><Relationship Id="rId188" Type="http://schemas.openxmlformats.org/officeDocument/2006/relationships/image" Target="media/image91.jpeg"/><Relationship Id="rId187" Type="http://schemas.openxmlformats.org/officeDocument/2006/relationships/image" Target="media/image90.jpeg"/><Relationship Id="rId186" Type="http://schemas.openxmlformats.org/officeDocument/2006/relationships/image" Target="media/image89.wmf"/><Relationship Id="rId185" Type="http://schemas.openxmlformats.org/officeDocument/2006/relationships/oleObject" Target="embeddings/oleObject88.bin"/><Relationship Id="rId184" Type="http://schemas.openxmlformats.org/officeDocument/2006/relationships/image" Target="media/image88.wmf"/><Relationship Id="rId183" Type="http://schemas.openxmlformats.org/officeDocument/2006/relationships/oleObject" Target="embeddings/oleObject87.bin"/><Relationship Id="rId182" Type="http://schemas.openxmlformats.org/officeDocument/2006/relationships/image" Target="media/image87.wmf"/><Relationship Id="rId181" Type="http://schemas.openxmlformats.org/officeDocument/2006/relationships/oleObject" Target="embeddings/oleObject86.bin"/><Relationship Id="rId180" Type="http://schemas.openxmlformats.org/officeDocument/2006/relationships/image" Target="media/image86.wmf"/><Relationship Id="rId18" Type="http://schemas.openxmlformats.org/officeDocument/2006/relationships/image" Target="media/image7.wmf"/><Relationship Id="rId179" Type="http://schemas.openxmlformats.org/officeDocument/2006/relationships/oleObject" Target="embeddings/oleObject85.bin"/><Relationship Id="rId178" Type="http://schemas.openxmlformats.org/officeDocument/2006/relationships/image" Target="media/image85.wmf"/><Relationship Id="rId177" Type="http://schemas.openxmlformats.org/officeDocument/2006/relationships/oleObject" Target="embeddings/oleObject84.bin"/><Relationship Id="rId176" Type="http://schemas.openxmlformats.org/officeDocument/2006/relationships/image" Target="media/image84.wmf"/><Relationship Id="rId175" Type="http://schemas.openxmlformats.org/officeDocument/2006/relationships/oleObject" Target="embeddings/oleObject83.bin"/><Relationship Id="rId174" Type="http://schemas.openxmlformats.org/officeDocument/2006/relationships/image" Target="media/image83.wmf"/><Relationship Id="rId173" Type="http://schemas.openxmlformats.org/officeDocument/2006/relationships/oleObject" Target="embeddings/oleObject82.bin"/><Relationship Id="rId172" Type="http://schemas.openxmlformats.org/officeDocument/2006/relationships/image" Target="media/image82.wmf"/><Relationship Id="rId171" Type="http://schemas.openxmlformats.org/officeDocument/2006/relationships/oleObject" Target="embeddings/oleObject81.bin"/><Relationship Id="rId170" Type="http://schemas.openxmlformats.org/officeDocument/2006/relationships/image" Target="media/image81.wmf"/><Relationship Id="rId17" Type="http://schemas.openxmlformats.org/officeDocument/2006/relationships/oleObject" Target="embeddings/oleObject2.bin"/><Relationship Id="rId169" Type="http://schemas.openxmlformats.org/officeDocument/2006/relationships/oleObject" Target="embeddings/oleObject80.bin"/><Relationship Id="rId168" Type="http://schemas.openxmlformats.org/officeDocument/2006/relationships/image" Target="media/image80.wmf"/><Relationship Id="rId167" Type="http://schemas.openxmlformats.org/officeDocument/2006/relationships/oleObject" Target="embeddings/oleObject79.bin"/><Relationship Id="rId166" Type="http://schemas.openxmlformats.org/officeDocument/2006/relationships/image" Target="media/image79.wmf"/><Relationship Id="rId165" Type="http://schemas.openxmlformats.org/officeDocument/2006/relationships/oleObject" Target="embeddings/oleObject78.bin"/><Relationship Id="rId164" Type="http://schemas.openxmlformats.org/officeDocument/2006/relationships/image" Target="media/image78.wmf"/><Relationship Id="rId163" Type="http://schemas.openxmlformats.org/officeDocument/2006/relationships/oleObject" Target="embeddings/oleObject77.bin"/><Relationship Id="rId162" Type="http://schemas.openxmlformats.org/officeDocument/2006/relationships/image" Target="media/image77.wmf"/><Relationship Id="rId161" Type="http://schemas.openxmlformats.org/officeDocument/2006/relationships/oleObject" Target="embeddings/oleObject76.bin"/><Relationship Id="rId160" Type="http://schemas.openxmlformats.org/officeDocument/2006/relationships/image" Target="media/image76.wmf"/><Relationship Id="rId16" Type="http://schemas.openxmlformats.org/officeDocument/2006/relationships/image" Target="media/image6.wmf"/><Relationship Id="rId159" Type="http://schemas.openxmlformats.org/officeDocument/2006/relationships/oleObject" Target="embeddings/oleObject75.bin"/><Relationship Id="rId158" Type="http://schemas.openxmlformats.org/officeDocument/2006/relationships/image" Target="media/image75.wmf"/><Relationship Id="rId157" Type="http://schemas.openxmlformats.org/officeDocument/2006/relationships/oleObject" Target="embeddings/oleObject74.bin"/><Relationship Id="rId156" Type="http://schemas.openxmlformats.org/officeDocument/2006/relationships/image" Target="media/image74.wmf"/><Relationship Id="rId155" Type="http://schemas.openxmlformats.org/officeDocument/2006/relationships/oleObject" Target="embeddings/oleObject73.bin"/><Relationship Id="rId154" Type="http://schemas.openxmlformats.org/officeDocument/2006/relationships/image" Target="media/image73.wmf"/><Relationship Id="rId153" Type="http://schemas.openxmlformats.org/officeDocument/2006/relationships/oleObject" Target="embeddings/oleObject72.bin"/><Relationship Id="rId152" Type="http://schemas.openxmlformats.org/officeDocument/2006/relationships/image" Target="media/image72.wmf"/><Relationship Id="rId151" Type="http://schemas.openxmlformats.org/officeDocument/2006/relationships/oleObject" Target="embeddings/oleObject71.bin"/><Relationship Id="rId150" Type="http://schemas.openxmlformats.org/officeDocument/2006/relationships/image" Target="media/image71.wmf"/><Relationship Id="rId15" Type="http://schemas.openxmlformats.org/officeDocument/2006/relationships/oleObject" Target="embeddings/oleObject1.bin"/><Relationship Id="rId149" Type="http://schemas.openxmlformats.org/officeDocument/2006/relationships/oleObject" Target="embeddings/oleObject70.bin"/><Relationship Id="rId148" Type="http://schemas.openxmlformats.org/officeDocument/2006/relationships/image" Target="media/image70.wmf"/><Relationship Id="rId147" Type="http://schemas.openxmlformats.org/officeDocument/2006/relationships/oleObject" Target="embeddings/oleObject69.bin"/><Relationship Id="rId146" Type="http://schemas.openxmlformats.org/officeDocument/2006/relationships/image" Target="media/image69.wmf"/><Relationship Id="rId145" Type="http://schemas.openxmlformats.org/officeDocument/2006/relationships/oleObject" Target="embeddings/oleObject68.bin"/><Relationship Id="rId144" Type="http://schemas.openxmlformats.org/officeDocument/2006/relationships/image" Target="media/image68.wmf"/><Relationship Id="rId143" Type="http://schemas.openxmlformats.org/officeDocument/2006/relationships/oleObject" Target="embeddings/oleObject67.bin"/><Relationship Id="rId142" Type="http://schemas.openxmlformats.org/officeDocument/2006/relationships/image" Target="media/image67.wmf"/><Relationship Id="rId141" Type="http://schemas.openxmlformats.org/officeDocument/2006/relationships/oleObject" Target="embeddings/oleObject66.bin"/><Relationship Id="rId140" Type="http://schemas.openxmlformats.org/officeDocument/2006/relationships/image" Target="media/image66.wmf"/><Relationship Id="rId14" Type="http://schemas.openxmlformats.org/officeDocument/2006/relationships/image" Target="media/image5.png"/><Relationship Id="rId139" Type="http://schemas.openxmlformats.org/officeDocument/2006/relationships/oleObject" Target="embeddings/oleObject65.bin"/><Relationship Id="rId138" Type="http://schemas.openxmlformats.org/officeDocument/2006/relationships/image" Target="media/image65.wmf"/><Relationship Id="rId137" Type="http://schemas.openxmlformats.org/officeDocument/2006/relationships/oleObject" Target="embeddings/oleObject64.bin"/><Relationship Id="rId136" Type="http://schemas.openxmlformats.org/officeDocument/2006/relationships/image" Target="media/image64.wmf"/><Relationship Id="rId135" Type="http://schemas.openxmlformats.org/officeDocument/2006/relationships/oleObject" Target="embeddings/oleObject63.bin"/><Relationship Id="rId134" Type="http://schemas.openxmlformats.org/officeDocument/2006/relationships/image" Target="media/image63.wmf"/><Relationship Id="rId133" Type="http://schemas.openxmlformats.org/officeDocument/2006/relationships/oleObject" Target="embeddings/oleObject62.bin"/><Relationship Id="rId132" Type="http://schemas.openxmlformats.org/officeDocument/2006/relationships/image" Target="media/image62.wmf"/><Relationship Id="rId131" Type="http://schemas.openxmlformats.org/officeDocument/2006/relationships/oleObject" Target="embeddings/oleObject61.bin"/><Relationship Id="rId130" Type="http://schemas.openxmlformats.org/officeDocument/2006/relationships/image" Target="media/image61.wmf"/><Relationship Id="rId13" Type="http://schemas.openxmlformats.org/officeDocument/2006/relationships/image" Target="media/image4.png"/><Relationship Id="rId129" Type="http://schemas.openxmlformats.org/officeDocument/2006/relationships/oleObject" Target="embeddings/oleObject60.bin"/><Relationship Id="rId128" Type="http://schemas.openxmlformats.org/officeDocument/2006/relationships/image" Target="media/image60.wmf"/><Relationship Id="rId127" Type="http://schemas.openxmlformats.org/officeDocument/2006/relationships/oleObject" Target="embeddings/oleObject59.bin"/><Relationship Id="rId126" Type="http://schemas.openxmlformats.org/officeDocument/2006/relationships/image" Target="media/image59.wmf"/><Relationship Id="rId125" Type="http://schemas.openxmlformats.org/officeDocument/2006/relationships/oleObject" Target="embeddings/oleObject58.bin"/><Relationship Id="rId124" Type="http://schemas.openxmlformats.org/officeDocument/2006/relationships/image" Target="media/image58.wmf"/><Relationship Id="rId123" Type="http://schemas.openxmlformats.org/officeDocument/2006/relationships/oleObject" Target="embeddings/oleObject57.bin"/><Relationship Id="rId122" Type="http://schemas.openxmlformats.org/officeDocument/2006/relationships/image" Target="media/image57.wmf"/><Relationship Id="rId121" Type="http://schemas.openxmlformats.org/officeDocument/2006/relationships/oleObject" Target="embeddings/oleObject56.bin"/><Relationship Id="rId120" Type="http://schemas.openxmlformats.org/officeDocument/2006/relationships/image" Target="media/image56.wmf"/><Relationship Id="rId12" Type="http://schemas.openxmlformats.org/officeDocument/2006/relationships/image" Target="media/image3.png"/><Relationship Id="rId119" Type="http://schemas.openxmlformats.org/officeDocument/2006/relationships/oleObject" Target="embeddings/oleObject55.bin"/><Relationship Id="rId118" Type="http://schemas.openxmlformats.org/officeDocument/2006/relationships/image" Target="media/image55.png"/><Relationship Id="rId117" Type="http://schemas.openxmlformats.org/officeDocument/2006/relationships/image" Target="media/image54.wmf"/><Relationship Id="rId116" Type="http://schemas.openxmlformats.org/officeDocument/2006/relationships/oleObject" Target="embeddings/oleObject54.bin"/><Relationship Id="rId115" Type="http://schemas.openxmlformats.org/officeDocument/2006/relationships/image" Target="media/image53.wmf"/><Relationship Id="rId114" Type="http://schemas.openxmlformats.org/officeDocument/2006/relationships/oleObject" Target="embeddings/oleObject53.bin"/><Relationship Id="rId113" Type="http://schemas.openxmlformats.org/officeDocument/2006/relationships/image" Target="media/image52.wmf"/><Relationship Id="rId112" Type="http://schemas.openxmlformats.org/officeDocument/2006/relationships/oleObject" Target="embeddings/oleObject52.bin"/><Relationship Id="rId111" Type="http://schemas.openxmlformats.org/officeDocument/2006/relationships/image" Target="media/image51.wmf"/><Relationship Id="rId110" Type="http://schemas.openxmlformats.org/officeDocument/2006/relationships/oleObject" Target="embeddings/oleObject51.bin"/><Relationship Id="rId11" Type="http://schemas.openxmlformats.org/officeDocument/2006/relationships/image" Target="media/image2.png"/><Relationship Id="rId109" Type="http://schemas.openxmlformats.org/officeDocument/2006/relationships/image" Target="media/image50.wmf"/><Relationship Id="rId108" Type="http://schemas.openxmlformats.org/officeDocument/2006/relationships/oleObject" Target="embeddings/oleObject50.bin"/><Relationship Id="rId107" Type="http://schemas.openxmlformats.org/officeDocument/2006/relationships/image" Target="media/image49.wmf"/><Relationship Id="rId106" Type="http://schemas.openxmlformats.org/officeDocument/2006/relationships/oleObject" Target="embeddings/oleObject49.bin"/><Relationship Id="rId105" Type="http://schemas.openxmlformats.org/officeDocument/2006/relationships/image" Target="media/image48.wmf"/><Relationship Id="rId104" Type="http://schemas.openxmlformats.org/officeDocument/2006/relationships/oleObject" Target="embeddings/oleObject48.bin"/><Relationship Id="rId103" Type="http://schemas.openxmlformats.org/officeDocument/2006/relationships/image" Target="media/image47.wmf"/><Relationship Id="rId102" Type="http://schemas.openxmlformats.org/officeDocument/2006/relationships/oleObject" Target="embeddings/oleObject47.bin"/><Relationship Id="rId101" Type="http://schemas.openxmlformats.org/officeDocument/2006/relationships/image" Target="media/image46.wmf"/><Relationship Id="rId100" Type="http://schemas.openxmlformats.org/officeDocument/2006/relationships/oleObject" Target="embeddings/oleObject46.bin"/><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UwMzUxMzQ0NjQxIiwKCSJHcm91cElkIiA6ICIyNTA3OTMzNDkiLAoJIkltYWdlIiA6ICJpVkJPUncwS0dnb0FBQUFOU1VoRVVnQUFBRXNBQUFCTENBWUFBQUE0VG5ycUFBQUFBWE5TUjBJQXJzNGM2UUFBQUMxSlJFRlVlSnp0d1RFQkFBQUF3cUQxVDIwTUg2QUFBQUFBQUFBQUFBQUFBQUFBQUFBQUFBQUFBQUNBc3dGWUx3QUJjQlY5NkFBQUFBQkpSVTVFcmtKZ2dnPT0iLAoJIlRoZW1lIiA6ICIiLAoJIlR5cGUiIDogImZsb3ciLAoJIlZlcnNpb24iIDogIiIKfQo="/>
    </extobj>
    <extobj name="ECB019B1-382A-4266-B25C-5B523AA43C14-2">
      <extobjdata type="ECB019B1-382A-4266-B25C-5B523AA43C14" data="ewoJIkZpbGVJZCIgOiAiMzUxMDAwMDIzOTgzIiwKCSJHcm91cElkIiA6ICIyNTA3OTMzNDkiLAoJIkltYWdlIiA6ICJpVkJPUncwS0dnb0FBQUFOU1VoRVVnQUFBRXNBQUFCTENBWUFBQUE0VG5ycUFBQUFBWE5TUjBJQXJzNGM2UUFBQUMxSlJFRlVlSnp0d1RFQkFBQUF3cUQxVDIwTUg2QUFBQUFBQUFBQUFBQUFBQUFBQUFBQUFBQUFBQUNBc3dGWUx3QUJjQlY5NkF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99</Pages>
  <Words>5182</Words>
  <Characters>5624</Characters>
  <Lines>313</Lines>
  <Paragraphs>88</Paragraphs>
  <TotalTime>49</TotalTime>
  <ScaleCrop>false</ScaleCrop>
  <LinksUpToDate>false</LinksUpToDate>
  <CharactersWithSpaces>5743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Zlh</cp:lastModifiedBy>
  <cp:lastPrinted>2024-10-17T02:22:00Z</cp:lastPrinted>
  <dcterms:modified xsi:type="dcterms:W3CDTF">2024-12-17T08:34:06Z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6B37A26EE57141078A59AC90120DDD29_13</vt:lpwstr>
  </property>
</Properties>
</file>