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6B144">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840" w:lineRule="exact"/>
        <w:ind w:right="0"/>
        <w:jc w:val="right"/>
        <w:textAlignment w:val="auto"/>
        <w:rPr>
          <w:rFonts w:hint="default" w:ascii="Times New Roman" w:hAnsi="Times New Roman" w:eastAsia="仿宋" w:cs="Times New Roman"/>
          <w:color w:val="auto"/>
          <w:spacing w:val="-10"/>
          <w:kern w:val="2"/>
          <w:sz w:val="32"/>
          <w:szCs w:val="32"/>
          <w:lang w:val="en-US" w:eastAsia="zh-CN" w:bidi="ar-SA"/>
        </w:rPr>
      </w:pPr>
    </w:p>
    <w:p w14:paraId="0165A057">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right"/>
        <w:textAlignment w:val="auto"/>
        <w:rPr>
          <w:rFonts w:hint="default" w:ascii="Times New Roman" w:hAnsi="Times New Roman" w:eastAsia="仿宋" w:cs="Times New Roman"/>
          <w:color w:val="auto"/>
          <w:spacing w:val="-10"/>
          <w:kern w:val="2"/>
          <w:sz w:val="32"/>
          <w:szCs w:val="32"/>
          <w:lang w:val="en-US" w:eastAsia="zh-CN" w:bidi="ar-SA"/>
        </w:rPr>
      </w:pPr>
      <w:r>
        <w:rPr>
          <w:rFonts w:hint="default" w:ascii="Times New Roman" w:hAnsi="Times New Roman" w:eastAsia="仿宋_GB2312" w:cs="Times New Roman"/>
          <w:color w:val="auto"/>
          <w:sz w:val="32"/>
          <w:szCs w:val="32"/>
          <w:lang w:val="en-US" w:eastAsia="zh-CN"/>
        </w:rPr>
        <w:t>遂船环评</w:t>
      </w:r>
      <w:r>
        <w:rPr>
          <w:rFonts w:hint="eastAsia" w:ascii="仿宋_GB2312" w:hAnsi="仿宋_GB2312" w:eastAsia="仿宋_GB2312" w:cs="仿宋_GB2312"/>
          <w:color w:val="auto"/>
          <w:spacing w:val="-10"/>
          <w:kern w:val="2"/>
          <w:sz w:val="32"/>
          <w:szCs w:val="32"/>
          <w:lang w:val="en-US" w:eastAsia="zh-CN" w:bidi="ar-SA"/>
        </w:rPr>
        <w:t>〔</w:t>
      </w:r>
      <w:r>
        <w:rPr>
          <w:rFonts w:hint="default" w:ascii="Times New Roman" w:hAnsi="Times New Roman" w:eastAsia="仿宋" w:cs="Times New Roman"/>
          <w:color w:val="auto"/>
          <w:spacing w:val="-10"/>
          <w:kern w:val="2"/>
          <w:sz w:val="32"/>
          <w:szCs w:val="32"/>
          <w:lang w:val="en-US" w:eastAsia="zh-CN" w:bidi="ar-SA"/>
        </w:rPr>
        <w:t>2024</w:t>
      </w:r>
      <w:r>
        <w:rPr>
          <w:rFonts w:hint="eastAsia" w:ascii="仿宋_GB2312" w:hAnsi="仿宋_GB2312" w:eastAsia="仿宋_GB2312" w:cs="仿宋_GB2312"/>
          <w:color w:val="auto"/>
          <w:spacing w:val="-10"/>
          <w:kern w:val="2"/>
          <w:sz w:val="32"/>
          <w:szCs w:val="32"/>
          <w:lang w:val="en-US" w:eastAsia="zh-CN" w:bidi="ar-SA"/>
        </w:rPr>
        <w:t>〕</w:t>
      </w:r>
      <w:r>
        <w:rPr>
          <w:rFonts w:hint="default" w:ascii="Times New Roman" w:hAnsi="Times New Roman" w:eastAsia="仿宋" w:cs="Times New Roman"/>
          <w:color w:val="auto"/>
          <w:spacing w:val="-10"/>
          <w:kern w:val="2"/>
          <w:sz w:val="32"/>
          <w:szCs w:val="32"/>
          <w:lang w:val="en-US" w:eastAsia="zh-CN" w:bidi="ar-SA"/>
        </w:rPr>
        <w:t>2</w:t>
      </w:r>
      <w:r>
        <w:rPr>
          <w:rFonts w:hint="eastAsia" w:ascii="Times New Roman" w:hAnsi="Times New Roman" w:eastAsia="仿宋" w:cs="Times New Roman"/>
          <w:color w:val="auto"/>
          <w:spacing w:val="-10"/>
          <w:kern w:val="2"/>
          <w:sz w:val="32"/>
          <w:szCs w:val="32"/>
          <w:lang w:val="en-US" w:eastAsia="zh-CN" w:bidi="ar-SA"/>
        </w:rPr>
        <w:t>2</w:t>
      </w:r>
      <w:r>
        <w:rPr>
          <w:rFonts w:hint="default" w:ascii="Times New Roman" w:hAnsi="Times New Roman" w:eastAsia="仿宋_GB2312" w:cs="Times New Roman"/>
          <w:color w:val="auto"/>
          <w:sz w:val="32"/>
          <w:szCs w:val="32"/>
          <w:lang w:val="en-US" w:eastAsia="zh-CN"/>
        </w:rPr>
        <w:t>号</w:t>
      </w:r>
    </w:p>
    <w:p w14:paraId="331BA4D9">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189532E2">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162779F6">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14:paraId="3211B486">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中国铁建大桥局绵遂内铁路站前4标指挥部1#拌合站项目</w:t>
      </w:r>
      <w:r>
        <w:rPr>
          <w:rFonts w:hint="default" w:ascii="Times New Roman" w:hAnsi="Times New Roman" w:eastAsia="方正小标宋简体" w:cs="Times New Roman"/>
          <w:bCs/>
          <w:sz w:val="44"/>
        </w:rPr>
        <w:t>环境影响报告表的批复</w:t>
      </w:r>
    </w:p>
    <w:p w14:paraId="63616EB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7FEFBB08">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 w:cs="Times New Roman"/>
          <w:color w:val="auto"/>
          <w:spacing w:val="-10"/>
          <w:kern w:val="2"/>
          <w:sz w:val="32"/>
          <w:szCs w:val="32"/>
          <w:lang w:val="en-US" w:eastAsia="zh-CN" w:bidi="ar-SA"/>
        </w:rPr>
        <w:t>中国铁建大桥工程局集团有限公司</w:t>
      </w:r>
      <w:r>
        <w:rPr>
          <w:rFonts w:hint="default" w:ascii="Times New Roman" w:hAnsi="Times New Roman" w:eastAsia="仿宋_GB2312" w:cs="Times New Roman"/>
          <w:color w:val="auto"/>
          <w:sz w:val="32"/>
          <w:szCs w:val="32"/>
        </w:rPr>
        <w:t>：</w:t>
      </w:r>
    </w:p>
    <w:p w14:paraId="35AA0443">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中国铁建大桥局绵遂内铁路站前4标指挥部1#拌合站项目环境影响报告表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14:paraId="05C4C64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遂宁市船山区桂花镇金井村</w:t>
      </w:r>
      <w:r>
        <w:rPr>
          <w:rFonts w:hint="eastAsia" w:ascii="黑体" w:hAnsi="黑体" w:eastAsia="黑体" w:cs="黑体"/>
          <w:caps w:val="0"/>
          <w:smallCaps w:val="0"/>
          <w:color w:val="auto"/>
          <w:sz w:val="32"/>
          <w:szCs w:val="32"/>
          <w:lang w:val="en-US" w:eastAsia="zh-CN" w:bidi="ar"/>
        </w:rPr>
        <w:t>，</w:t>
      </w:r>
      <w:r>
        <w:rPr>
          <w:rFonts w:hint="eastAsia" w:ascii="黑体" w:hAnsi="黑体" w:eastAsia="黑体" w:cs="黑体"/>
          <w:color w:val="000000"/>
          <w:sz w:val="32"/>
          <w:szCs w:val="32"/>
        </w:rPr>
        <w:t>拟投资</w:t>
      </w:r>
      <w:r>
        <w:rPr>
          <w:rFonts w:hint="eastAsia" w:ascii="黑体" w:hAnsi="黑体" w:eastAsia="黑体" w:cs="黑体"/>
          <w:color w:val="000000"/>
          <w:sz w:val="32"/>
          <w:szCs w:val="32"/>
          <w:lang w:val="en-US" w:eastAsia="zh-CN"/>
        </w:rPr>
        <w:t>72</w:t>
      </w:r>
      <w:r>
        <w:rPr>
          <w:rFonts w:hint="eastAsia" w:ascii="黑体" w:hAnsi="黑体" w:eastAsia="黑体" w:cs="黑体"/>
          <w:color w:val="000000"/>
          <w:sz w:val="32"/>
          <w:szCs w:val="32"/>
        </w:rPr>
        <w:t>0万元，</w:t>
      </w:r>
      <w:r>
        <w:rPr>
          <w:rFonts w:hint="eastAsia" w:ascii="黑体" w:hAnsi="黑体" w:eastAsia="黑体" w:cs="黑体"/>
          <w:color w:val="000000"/>
          <w:sz w:val="32"/>
          <w:szCs w:val="32"/>
          <w:lang w:eastAsia="zh-CN"/>
        </w:rPr>
        <w:t>其中环保投资</w:t>
      </w:r>
      <w:r>
        <w:rPr>
          <w:rFonts w:hint="eastAsia" w:ascii="黑体" w:hAnsi="黑体" w:eastAsia="黑体" w:cs="黑体"/>
          <w:color w:val="000000"/>
          <w:sz w:val="32"/>
          <w:szCs w:val="32"/>
          <w:lang w:val="en-US" w:eastAsia="zh-CN"/>
        </w:rPr>
        <w:t>78.8</w:t>
      </w:r>
      <w:r>
        <w:rPr>
          <w:rFonts w:hint="eastAsia" w:ascii="黑体" w:hAnsi="黑体" w:eastAsia="黑体" w:cs="黑体"/>
          <w:color w:val="000000"/>
          <w:sz w:val="32"/>
          <w:szCs w:val="32"/>
          <w:lang w:eastAsia="zh-CN"/>
        </w:rPr>
        <w:t>万元。</w:t>
      </w:r>
      <w:r>
        <w:rPr>
          <w:rFonts w:hint="eastAsia" w:ascii="Times New Roman" w:hAnsi="Times New Roman" w:eastAsia="仿宋_GB2312" w:cs="Times New Roman"/>
          <w:color w:val="auto"/>
          <w:sz w:val="32"/>
          <w:szCs w:val="32"/>
        </w:rPr>
        <w:t>本项目占地20352m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rPr>
        <w:t>，主要设置2台HzS180型搅拌机、粉罐、水泥罐地磅、外加剂料仓、库房、洗车台、沉淀池等设施设备，建成后具备水泥混凝土20万m</w:t>
      </w:r>
      <w:r>
        <w:rPr>
          <w:rFonts w:hint="eastAsia" w:ascii="Times New Roman" w:hAnsi="Times New Roman" w:eastAsia="仿宋_GB2312" w:cs="Times New Roman"/>
          <w:color w:val="auto"/>
          <w:sz w:val="32"/>
          <w:szCs w:val="32"/>
          <w:vertAlign w:val="superscript"/>
        </w:rPr>
        <w:t>3</w:t>
      </w:r>
      <w:r>
        <w:rPr>
          <w:rFonts w:hint="eastAsia" w:ascii="Times New Roman" w:hAnsi="Times New Roman" w:eastAsia="仿宋_GB2312" w:cs="Times New Roman"/>
          <w:color w:val="auto"/>
          <w:sz w:val="32"/>
          <w:szCs w:val="32"/>
        </w:rPr>
        <w:t>/年的生产能力，项目混凝土专供绵遂内铁路站前4标中国铁建大桥局标段使用，不对外销售。</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同意该报告表结论。你单位应全面落实报告表中提出的各项环境保护对策措施和本批复要求。</w:t>
      </w:r>
    </w:p>
    <w:p w14:paraId="5D441481">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14:paraId="541BD41E">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eastAsia" w:ascii="Times New Roman" w:hAnsi="Times New Roman" w:eastAsia="仿宋" w:cs="Times New Roman"/>
          <w:color w:val="auto"/>
          <w:spacing w:val="-10"/>
          <w:kern w:val="2"/>
          <w:sz w:val="32"/>
          <w:szCs w:val="32"/>
          <w:lang w:val="en-US" w:eastAsia="zh-CN" w:bidi="ar-SA"/>
        </w:rPr>
        <w:t>初期雨水及各类冲洗废水经沉淀后回用，不外排</w:t>
      </w:r>
      <w:r>
        <w:rPr>
          <w:rFonts w:hint="default" w:ascii="Times New Roman" w:hAnsi="Times New Roman" w:eastAsia="仿宋_GB2312" w:cs="Times New Roman"/>
          <w:color w:val="000000"/>
          <w:sz w:val="32"/>
          <w:szCs w:val="32"/>
          <w:lang w:val="en-US" w:eastAsia="zh-CN"/>
        </w:rPr>
        <w:t>。生活废水经化粪池处理后定期转运至桂花镇污水处理厂处理。</w:t>
      </w:r>
    </w:p>
    <w:p w14:paraId="5161ED53">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严格按照报告表要求，落实废气处置措施。</w:t>
      </w:r>
      <w:r>
        <w:rPr>
          <w:rFonts w:hint="eastAsia" w:ascii="Times New Roman" w:hAnsi="Times New Roman" w:eastAsia="仿宋_GB2312" w:cs="Times New Roman"/>
          <w:color w:val="000000"/>
          <w:sz w:val="32"/>
          <w:szCs w:val="32"/>
          <w:lang w:eastAsia="zh-CN"/>
        </w:rPr>
        <w:t>拌和机、堆场、储罐均设在全封闭的车间内。拌和机、</w:t>
      </w:r>
      <w:r>
        <w:rPr>
          <w:rFonts w:hint="default" w:ascii="Times New Roman" w:hAnsi="Times New Roman" w:eastAsia="仿宋_GB2312" w:cs="Times New Roman"/>
          <w:color w:val="000000"/>
          <w:sz w:val="32"/>
          <w:szCs w:val="32"/>
          <w:lang w:eastAsia="zh-CN"/>
        </w:rPr>
        <w:t>粉料筒自带除尘设备</w:t>
      </w:r>
      <w:r>
        <w:rPr>
          <w:rFonts w:hint="eastAsia" w:ascii="Times New Roman" w:hAnsi="Times New Roman" w:eastAsia="仿宋_GB2312" w:cs="Times New Roman"/>
          <w:color w:val="000000"/>
          <w:sz w:val="32"/>
          <w:szCs w:val="32"/>
          <w:lang w:eastAsia="zh-CN"/>
        </w:rPr>
        <w:t>。砂料、碎石采用封闭式输送带输送至搅拌缸内，水泥及粉煤灰通过密闭管道螺旋输入搅拌缸内。</w:t>
      </w:r>
      <w:r>
        <w:rPr>
          <w:rFonts w:hint="eastAsia" w:ascii="Times New Roman" w:hAnsi="Times New Roman" w:eastAsia="仿宋_GB2312" w:cs="Times New Roman"/>
          <w:color w:val="000000"/>
          <w:sz w:val="32"/>
          <w:szCs w:val="32"/>
          <w:lang w:val="en-US" w:eastAsia="zh-CN"/>
        </w:rPr>
        <w:t>车间顶部设置</w:t>
      </w:r>
      <w:r>
        <w:rPr>
          <w:rFonts w:hint="default" w:ascii="Times New Roman" w:hAnsi="Times New Roman" w:eastAsia="仿宋_GB2312" w:cs="Times New Roman"/>
          <w:color w:val="000000"/>
          <w:sz w:val="32"/>
          <w:szCs w:val="32"/>
          <w:lang w:val="en-US" w:eastAsia="zh-CN"/>
        </w:rPr>
        <w:t>喷雾降尘装置对车间进行降尘</w:t>
      </w:r>
      <w:r>
        <w:rPr>
          <w:rFonts w:hint="eastAsia" w:ascii="Times New Roman" w:hAnsi="Times New Roman" w:eastAsia="仿宋_GB2312" w:cs="Times New Roman"/>
          <w:color w:val="000000"/>
          <w:sz w:val="32"/>
          <w:szCs w:val="32"/>
          <w:lang w:val="en-US" w:eastAsia="zh-CN"/>
        </w:rPr>
        <w:t>，厂区道路设置雾炮除尘设施。</w:t>
      </w:r>
    </w:p>
    <w:p w14:paraId="303C001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eastAsia" w:ascii="Times New Roman" w:hAnsi="Times New Roman" w:eastAsia="仿宋_GB2312" w:cs="Times New Roman"/>
          <w:color w:val="000000"/>
          <w:kern w:val="2"/>
          <w:sz w:val="32"/>
          <w:szCs w:val="32"/>
          <w:lang w:val="en-US" w:eastAsia="zh-CN" w:bidi="ar-SA"/>
        </w:rPr>
        <w:t>设置减震设施，合理总平面布局，利用建筑结构和距离衰减降低噪声对外环境的影响。</w:t>
      </w:r>
    </w:p>
    <w:p w14:paraId="605D58C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000000"/>
          <w:sz w:val="32"/>
          <w:szCs w:val="32"/>
          <w:lang w:val="en-US" w:eastAsia="zh-CN"/>
        </w:rPr>
        <w:t>沉淀池泥沙</w:t>
      </w:r>
      <w:r>
        <w:rPr>
          <w:rFonts w:hint="eastAsia" w:ascii="Times New Roman" w:hAnsi="Times New Roman" w:eastAsia="仿宋_GB2312" w:cs="Times New Roman"/>
          <w:color w:val="000000"/>
          <w:sz w:val="32"/>
          <w:szCs w:val="32"/>
          <w:lang w:eastAsia="zh-CN"/>
        </w:rPr>
        <w:t>经砂石分离后的砂石回用于生产，</w:t>
      </w:r>
      <w:r>
        <w:rPr>
          <w:rFonts w:hint="default" w:ascii="Times New Roman" w:hAnsi="Times New Roman" w:eastAsia="仿宋_GB2312" w:cs="Times New Roman"/>
          <w:color w:val="000000"/>
          <w:sz w:val="32"/>
          <w:szCs w:val="32"/>
          <w:lang w:val="en-US" w:eastAsia="zh-CN"/>
        </w:rPr>
        <w:t>泥</w:t>
      </w:r>
      <w:r>
        <w:rPr>
          <w:rFonts w:hint="eastAsia" w:ascii="Times New Roman" w:hAnsi="Times New Roman" w:eastAsia="仿宋_GB2312" w:cs="Times New Roman"/>
          <w:color w:val="000000"/>
          <w:sz w:val="32"/>
          <w:szCs w:val="32"/>
          <w:lang w:val="en-US" w:eastAsia="zh-CN"/>
        </w:rPr>
        <w:t>浆</w:t>
      </w:r>
      <w:r>
        <w:rPr>
          <w:rFonts w:hint="eastAsia" w:ascii="Times New Roman" w:hAnsi="Times New Roman" w:eastAsia="仿宋_GB2312" w:cs="Times New Roman"/>
          <w:color w:val="000000"/>
          <w:sz w:val="32"/>
          <w:szCs w:val="32"/>
          <w:lang w:eastAsia="zh-CN"/>
        </w:rPr>
        <w:t>经压滤后与实验弃块一起转运至绵遂内铁路施工现场综合处置。废润滑油、油桶、废含油手套和抹布等危险废物规范暂存，交由有资质单位处置。</w:t>
      </w:r>
    </w:p>
    <w:p w14:paraId="69113F57">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14:paraId="3DC016A6">
      <w:pPr>
        <w:keepNext w:val="0"/>
        <w:keepLines w:val="0"/>
        <w:pageBreakBefore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06437A6E">
      <w:pPr>
        <w:pStyle w:val="2"/>
        <w:jc w:val="both"/>
        <w:rPr>
          <w:rFonts w:hint="default"/>
        </w:rPr>
      </w:pPr>
    </w:p>
    <w:p w14:paraId="2896EA1C">
      <w:pPr>
        <w:keepNext w:val="0"/>
        <w:keepLines w:val="0"/>
        <w:pageBreakBefore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14:paraId="1584179E">
      <w:pPr>
        <w:pStyle w:val="3"/>
        <w:keepNext w:val="0"/>
        <w:keepLines w:val="0"/>
        <w:pageBreakBefore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4</w:t>
      </w:r>
      <w:bookmarkStart w:id="0" w:name="_GoBack"/>
      <w:bookmarkEnd w:id="0"/>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p w14:paraId="697442C1">
      <w:pPr>
        <w:pStyle w:val="3"/>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p>
    <w:sectPr>
      <w:footerReference r:id="rId3" w:type="default"/>
      <w:pgSz w:w="11906" w:h="16838"/>
      <w:pgMar w:top="2098" w:right="1474" w:bottom="1984" w:left="1587" w:header="851" w:footer="1531"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5C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1BE79">
                          <w:pPr>
                            <w:pStyle w:val="4"/>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61BE79">
                    <w:pPr>
                      <w:pStyle w:val="4"/>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39275BB"/>
    <w:rsid w:val="06A61794"/>
    <w:rsid w:val="08F316BF"/>
    <w:rsid w:val="0A8C6FE9"/>
    <w:rsid w:val="0C2E0D87"/>
    <w:rsid w:val="0DA52D0D"/>
    <w:rsid w:val="0EBF037C"/>
    <w:rsid w:val="1041196E"/>
    <w:rsid w:val="109C6B98"/>
    <w:rsid w:val="128B7671"/>
    <w:rsid w:val="132C6A5A"/>
    <w:rsid w:val="138C102F"/>
    <w:rsid w:val="15035C7F"/>
    <w:rsid w:val="18271053"/>
    <w:rsid w:val="198F1879"/>
    <w:rsid w:val="19917187"/>
    <w:rsid w:val="1F0B5E6E"/>
    <w:rsid w:val="1F3B1453"/>
    <w:rsid w:val="217407BE"/>
    <w:rsid w:val="26B73169"/>
    <w:rsid w:val="28C63019"/>
    <w:rsid w:val="29DF2316"/>
    <w:rsid w:val="2A7D0F92"/>
    <w:rsid w:val="2A931C25"/>
    <w:rsid w:val="2B0626A5"/>
    <w:rsid w:val="2C42462B"/>
    <w:rsid w:val="2E511C68"/>
    <w:rsid w:val="31B22096"/>
    <w:rsid w:val="31B85EED"/>
    <w:rsid w:val="31BC6DB2"/>
    <w:rsid w:val="31E24069"/>
    <w:rsid w:val="333C1993"/>
    <w:rsid w:val="335D0B9B"/>
    <w:rsid w:val="38643511"/>
    <w:rsid w:val="3A7754FB"/>
    <w:rsid w:val="3A8B163D"/>
    <w:rsid w:val="3DA80861"/>
    <w:rsid w:val="3E582B66"/>
    <w:rsid w:val="3F6F5603"/>
    <w:rsid w:val="3FF43642"/>
    <w:rsid w:val="427C7F99"/>
    <w:rsid w:val="42995069"/>
    <w:rsid w:val="462B78FB"/>
    <w:rsid w:val="4AC25A4D"/>
    <w:rsid w:val="4E7E543D"/>
    <w:rsid w:val="55424358"/>
    <w:rsid w:val="556904FD"/>
    <w:rsid w:val="59560B9C"/>
    <w:rsid w:val="5CA93065"/>
    <w:rsid w:val="5DD74679"/>
    <w:rsid w:val="5FFA062E"/>
    <w:rsid w:val="63D12B27"/>
    <w:rsid w:val="65D542BB"/>
    <w:rsid w:val="69137C77"/>
    <w:rsid w:val="6DEF76A4"/>
    <w:rsid w:val="6F0D5441"/>
    <w:rsid w:val="73C62B81"/>
    <w:rsid w:val="74DF5235"/>
    <w:rsid w:val="77CE5D53"/>
    <w:rsid w:val="79321F63"/>
    <w:rsid w:val="7AC878BC"/>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831</Words>
  <Characters>860</Characters>
  <Lines>0</Lines>
  <Paragraphs>0</Paragraphs>
  <TotalTime>0</TotalTime>
  <ScaleCrop>false</ScaleCrop>
  <LinksUpToDate>false</LinksUpToDate>
  <CharactersWithSpaces>874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Zlh</cp:lastModifiedBy>
  <cp:lastPrinted>2023-02-20T07:45:00Z</cp:lastPrinted>
  <dcterms:modified xsi:type="dcterms:W3CDTF">2024-11-04T08:22:18Z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AAA9BE7E84ED4F0D8CFC68C4ABD52117_13</vt:lpwstr>
  </property>
</Properties>
</file>