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eastAsia="方正小标宋简体"/>
          <w:color w:val="auto"/>
          <w:sz w:val="72"/>
          <w:szCs w:val="72"/>
        </w:rPr>
      </w:pPr>
      <w:bookmarkStart w:id="0" w:name="_Toc15306267"/>
    </w:p>
    <w:p>
      <w:pPr>
        <w:spacing w:line="600" w:lineRule="exact"/>
        <w:jc w:val="center"/>
        <w:outlineLvl w:val="9"/>
        <w:rPr>
          <w:rFonts w:eastAsia="方正小标宋简体"/>
          <w:color w:val="auto"/>
          <w:sz w:val="72"/>
          <w:szCs w:val="72"/>
        </w:rPr>
      </w:pPr>
    </w:p>
    <w:p>
      <w:pPr>
        <w:spacing w:line="600" w:lineRule="exact"/>
        <w:jc w:val="center"/>
        <w:outlineLvl w:val="9"/>
        <w:rPr>
          <w:rFonts w:eastAsia="方正小标宋简体"/>
          <w:color w:val="auto"/>
          <w:sz w:val="72"/>
          <w:szCs w:val="72"/>
        </w:rPr>
      </w:pPr>
    </w:p>
    <w:p>
      <w:pPr>
        <w:spacing w:line="600" w:lineRule="exact"/>
        <w:jc w:val="center"/>
        <w:outlineLvl w:val="9"/>
        <w:rPr>
          <w:rFonts w:eastAsia="方正小标宋简体"/>
          <w:color w:val="auto"/>
          <w:sz w:val="72"/>
          <w:szCs w:val="72"/>
        </w:rPr>
      </w:pPr>
    </w:p>
    <w:p>
      <w:pPr>
        <w:adjustRightInd w:val="0"/>
        <w:snapToGrid w:val="0"/>
        <w:spacing w:line="360" w:lineRule="auto"/>
        <w:jc w:val="center"/>
        <w:outlineLvl w:val="9"/>
        <w:rPr>
          <w:rFonts w:eastAsia="方正小标宋简体"/>
          <w:color w:val="auto"/>
          <w:sz w:val="72"/>
          <w:szCs w:val="72"/>
        </w:rPr>
      </w:pPr>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41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2" w:name="_Toc15396476"/>
      <w:bookmarkStart w:id="3" w:name="_Toc28341"/>
      <w:bookmarkStart w:id="4" w:name="_Toc15396598"/>
      <w:bookmarkStart w:id="5" w:name="_Toc15377194"/>
      <w:bookmarkStart w:id="6" w:name="_Toc15377426"/>
      <w:bookmarkStart w:id="7" w:name="_Toc15378442"/>
      <w:r>
        <w:rPr>
          <w:rFonts w:hint="eastAsia" w:ascii="方正小标宋简体" w:hAnsi="方正小标宋简体" w:eastAsia="方正小标宋简体" w:cs="方正小标宋简体"/>
          <w:color w:val="auto"/>
          <w:sz w:val="72"/>
          <w:szCs w:val="72"/>
          <w:highlight w:val="none"/>
        </w:rPr>
        <w:t>四川省</w:t>
      </w:r>
      <w:bookmarkStart w:id="8" w:name="_Toc15306268"/>
      <w:r>
        <w:rPr>
          <w:rFonts w:hint="eastAsia" w:ascii="方正小标宋简体" w:hAnsi="方正小标宋简体" w:eastAsia="方正小标宋简体" w:cs="方正小标宋简体"/>
          <w:color w:val="auto"/>
          <w:sz w:val="72"/>
          <w:szCs w:val="72"/>
          <w:highlight w:val="none"/>
        </w:rPr>
        <w:t>遂宁市船山区农业农村局部门决算</w:t>
      </w:r>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9" w:name="_Toc26915"/>
      <w:r>
        <w:rPr>
          <w:rFonts w:hint="eastAsia" w:ascii="方正小标宋简体" w:hAnsi="宋体" w:eastAsia="方正小标宋简体"/>
          <w:color w:val="auto"/>
          <w:sz w:val="52"/>
          <w:szCs w:val="52"/>
          <w:highlight w:val="none"/>
        </w:rPr>
        <w:t>(</w:t>
      </w:r>
      <w:r>
        <w:rPr>
          <w:rFonts w:hint="eastAsia" w:ascii="方正小标宋简体" w:hAnsi="宋体" w:eastAsia="方正小标宋简体"/>
          <w:color w:val="auto"/>
          <w:sz w:val="52"/>
          <w:szCs w:val="52"/>
          <w:highlight w:val="none"/>
          <w:lang w:eastAsia="zh-CN"/>
        </w:rPr>
        <w:t>汇总</w:t>
      </w:r>
      <w:r>
        <w:rPr>
          <w:rFonts w:hint="eastAsia" w:ascii="方正小标宋简体" w:hAnsi="宋体" w:eastAsia="方正小标宋简体"/>
          <w:color w:val="auto"/>
          <w:sz w:val="52"/>
          <w:szCs w:val="52"/>
          <w:highlight w:val="none"/>
        </w:rPr>
        <w:t>)</w:t>
      </w:r>
      <w:bookmarkEnd w:id="9"/>
    </w:p>
    <w:p>
      <w:pPr>
        <w:widowControl/>
        <w:jc w:val="center"/>
        <w:rPr>
          <w:rFonts w:hint="eastAsia" w:ascii="黑体" w:hAnsi="黑体" w:eastAsia="黑体"/>
          <w:color w:val="auto"/>
          <w:sz w:val="48"/>
          <w:szCs w:val="48"/>
          <w:highlight w:val="none"/>
        </w:rPr>
        <w:sectPr>
          <w:pgSz w:w="11906" w:h="16838"/>
          <w:pgMar w:top="2098" w:right="1474" w:bottom="1984" w:left="1587" w:header="851" w:footer="1361" w:gutter="0"/>
          <w:pgNumType w:fmt="decimal"/>
          <w:cols w:space="0" w:num="1"/>
          <w:rtlGutter w:val="0"/>
          <w:docGrid w:type="lines" w:linePitch="315"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sdt>
      <w:sdtPr>
        <w:rPr>
          <w:rFonts w:ascii="宋体" w:hAnsi="宋体" w:eastAsia="宋体" w:cs="Times New Roman"/>
          <w:kern w:val="2"/>
          <w:sz w:val="21"/>
          <w:szCs w:val="24"/>
          <w:lang w:val="en-US" w:eastAsia="zh-CN" w:bidi="ar-SA"/>
        </w:rPr>
        <w:id w:val="147451708"/>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bookmarkStart w:id="10" w:name="_Toc15396599"/>
          <w:bookmarkStart w:id="11" w:name="_Toc15377196"/>
        </w:p>
        <w:p>
          <w:pPr>
            <w:pStyle w:val="45"/>
            <w:tabs>
              <w:tab w:val="right" w:leader="dot" w:pos="8845"/>
            </w:tabs>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"1-3" \h \u </w:instrText>
          </w:r>
          <w:r>
            <w:rPr>
              <w:rFonts w:hint="eastAsia" w:ascii="黑体" w:hAnsi="黑体" w:eastAsia="黑体"/>
              <w:b w:val="0"/>
              <w:color w:val="auto"/>
              <w:highlight w:val="none"/>
            </w:rPr>
            <w:fldChar w:fldCharType="separate"/>
          </w:r>
        </w:p>
        <w:p>
          <w:pPr>
            <w:pStyle w:val="45"/>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_Toc30009 </w:instrText>
          </w:r>
          <w:r>
            <w:rPr>
              <w:rFonts w:hint="eastAsia" w:ascii="黑体" w:hAnsi="黑体" w:eastAsia="黑体"/>
              <w:highlight w:val="none"/>
            </w:rPr>
            <w:fldChar w:fldCharType="separate"/>
          </w:r>
          <w:r>
            <w:rPr>
              <w:rFonts w:hint="eastAsia" w:ascii="黑体" w:hAnsi="黑体" w:eastAsia="黑体"/>
              <w:highlight w:val="none"/>
            </w:rPr>
            <w:t>第一部分</w:t>
          </w:r>
          <w:r>
            <w:rPr>
              <w:rFonts w:hint="eastAsia" w:ascii="黑体" w:hAnsi="黑体" w:eastAsia="黑体"/>
              <w:highlight w:val="none"/>
              <w:lang w:val="en-US" w:eastAsia="zh-CN"/>
            </w:rPr>
            <w:t xml:space="preserve"> </w:t>
          </w:r>
          <w:r>
            <w:rPr>
              <w:rFonts w:hint="eastAsia" w:ascii="黑体" w:hAnsi="黑体" w:eastAsia="黑体"/>
              <w:bCs w:val="0"/>
              <w:highlight w:val="none"/>
            </w:rPr>
            <w:t>部门概况</w:t>
          </w:r>
          <w:r>
            <w:tab/>
          </w:r>
          <w:r>
            <w:fldChar w:fldCharType="begin"/>
          </w:r>
          <w:r>
            <w:instrText xml:space="preserve"> PAGEREF _Toc30009 \h </w:instrText>
          </w:r>
          <w:r>
            <w:fldChar w:fldCharType="separate"/>
          </w:r>
          <w:r>
            <w:t>1</w:t>
          </w:r>
          <w:r>
            <w:fldChar w:fldCharType="end"/>
          </w:r>
          <w:r>
            <w:rPr>
              <w:rFonts w:hint="eastAsia" w:ascii="黑体" w:hAnsi="黑体" w:eastAsia="黑体"/>
              <w:color w:val="auto"/>
              <w:highlight w:val="none"/>
            </w:rPr>
            <w:fldChar w:fldCharType="end"/>
          </w:r>
        </w:p>
        <w:p>
          <w:pPr>
            <w:pStyle w:val="45"/>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_Toc18536 </w:instrText>
          </w:r>
          <w:r>
            <w:rPr>
              <w:rFonts w:hint="eastAsia" w:ascii="黑体" w:hAnsi="黑体" w:eastAsia="黑体"/>
              <w:highlight w:val="none"/>
            </w:rPr>
            <w:fldChar w:fldCharType="separate"/>
          </w:r>
          <w:r>
            <w:rPr>
              <w:rFonts w:eastAsia="方正小标宋简体"/>
            </w:rPr>
            <w:t>第二部分</w:t>
          </w:r>
          <w:r>
            <w:rPr>
              <w:rFonts w:hint="eastAsia" w:eastAsia="方正小标宋简体"/>
              <w:lang w:val="en-US" w:eastAsia="zh-CN"/>
            </w:rPr>
            <w:t xml:space="preserve"> </w:t>
          </w:r>
          <w:r>
            <w:rPr>
              <w:rFonts w:eastAsia="方正小标宋简体"/>
              <w:bCs w:val="0"/>
            </w:rPr>
            <w:t>20</w:t>
          </w:r>
          <w:r>
            <w:rPr>
              <w:rFonts w:hint="eastAsia" w:eastAsia="方正小标宋简体"/>
              <w:bCs w:val="0"/>
            </w:rPr>
            <w:t>2</w:t>
          </w:r>
          <w:r>
            <w:rPr>
              <w:rFonts w:hint="eastAsia" w:eastAsia="方正小标宋简体"/>
              <w:bCs w:val="0"/>
              <w:lang w:val="en-US" w:eastAsia="zh-CN"/>
            </w:rPr>
            <w:t>3</w:t>
          </w:r>
          <w:r>
            <w:rPr>
              <w:rFonts w:eastAsia="方正小标宋简体"/>
              <w:bCs w:val="0"/>
            </w:rPr>
            <w:t>年度部门决算情况说明</w:t>
          </w:r>
          <w:r>
            <w:tab/>
          </w:r>
          <w:r>
            <w:fldChar w:fldCharType="begin"/>
          </w:r>
          <w:r>
            <w:instrText xml:space="preserve"> PAGEREF _Toc18536 \h </w:instrText>
          </w:r>
          <w:r>
            <w:fldChar w:fldCharType="separate"/>
          </w:r>
          <w:r>
            <w:t>7</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_Toc23574 </w:instrText>
          </w:r>
          <w:r>
            <w:rPr>
              <w:rFonts w:hint="eastAsia" w:ascii="黑体" w:hAnsi="黑体" w:eastAsia="黑体"/>
              <w:highlight w:val="none"/>
            </w:rPr>
            <w:fldChar w:fldCharType="separate"/>
          </w:r>
          <w:r>
            <w:rPr>
              <w:rFonts w:hint="default" w:ascii="Times New Roman" w:hAnsi="Times New Roman" w:eastAsia="黑体"/>
            </w:rPr>
            <w:t>一、</w:t>
          </w:r>
          <w:r>
            <w:rPr>
              <w:rFonts w:eastAsia="黑体"/>
              <w:szCs w:val="32"/>
            </w:rPr>
            <w:t>收</w:t>
          </w:r>
          <w:r>
            <w:rPr>
              <w:rFonts w:ascii="Times New Roman" w:hAnsi="Times New Roman" w:eastAsia="黑体"/>
            </w:rPr>
            <w:t>入支出决算总体情况说明</w:t>
          </w:r>
          <w:r>
            <w:tab/>
          </w:r>
          <w:r>
            <w:fldChar w:fldCharType="begin"/>
          </w:r>
          <w:r>
            <w:instrText xml:space="preserve"> PAGEREF _Toc23574 \h </w:instrText>
          </w:r>
          <w:r>
            <w:fldChar w:fldCharType="separate"/>
          </w:r>
          <w:r>
            <w:t>7</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_Toc18200 </w:instrText>
          </w:r>
          <w:r>
            <w:rPr>
              <w:rFonts w:hint="eastAsia" w:ascii="黑体" w:hAnsi="黑体" w:eastAsia="黑体"/>
              <w:highlight w:val="none"/>
            </w:rPr>
            <w:fldChar w:fldCharType="separate"/>
          </w:r>
          <w:r>
            <w:rPr>
              <w:rFonts w:hint="default" w:ascii="Times New Roman" w:hAnsi="Times New Roman" w:eastAsia="黑体"/>
            </w:rPr>
            <w:t>二、</w:t>
          </w:r>
          <w:r>
            <w:rPr>
              <w:rFonts w:eastAsia="黑体"/>
              <w:szCs w:val="32"/>
            </w:rPr>
            <w:t>收</w:t>
          </w:r>
          <w:r>
            <w:rPr>
              <w:rFonts w:ascii="Times New Roman" w:hAnsi="Times New Roman" w:eastAsia="黑体"/>
            </w:rPr>
            <w:t>入决算情况说明</w:t>
          </w:r>
          <w:r>
            <w:tab/>
          </w:r>
          <w:r>
            <w:fldChar w:fldCharType="begin"/>
          </w:r>
          <w:r>
            <w:instrText xml:space="preserve"> PAGEREF _Toc18200 \h </w:instrText>
          </w:r>
          <w:r>
            <w:fldChar w:fldCharType="separate"/>
          </w:r>
          <w:r>
            <w:t>7</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_Toc31330 </w:instrText>
          </w:r>
          <w:r>
            <w:rPr>
              <w:rFonts w:hint="eastAsia" w:ascii="黑体" w:hAnsi="黑体" w:eastAsia="黑体"/>
              <w:highlight w:val="none"/>
            </w:rPr>
            <w:fldChar w:fldCharType="separate"/>
          </w:r>
          <w:r>
            <w:rPr>
              <w:rFonts w:hint="default" w:ascii="Times New Roman" w:hAnsi="Times New Roman" w:eastAsia="黑体"/>
            </w:rPr>
            <w:t>三、</w:t>
          </w:r>
          <w:r>
            <w:rPr>
              <w:rFonts w:eastAsia="黑体"/>
              <w:szCs w:val="32"/>
            </w:rPr>
            <w:t>支</w:t>
          </w:r>
          <w:r>
            <w:rPr>
              <w:rFonts w:ascii="Times New Roman" w:hAnsi="Times New Roman" w:eastAsia="黑体"/>
            </w:rPr>
            <w:t>出决算情况说明</w:t>
          </w:r>
          <w:r>
            <w:tab/>
          </w:r>
          <w:r>
            <w:fldChar w:fldCharType="begin"/>
          </w:r>
          <w:r>
            <w:instrText xml:space="preserve"> PAGEREF _Toc31330 \h </w:instrText>
          </w:r>
          <w:r>
            <w:fldChar w:fldCharType="separate"/>
          </w:r>
          <w:r>
            <w:t>8</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_Toc27199 </w:instrText>
          </w:r>
          <w:r>
            <w:rPr>
              <w:rFonts w:hint="eastAsia" w:ascii="黑体" w:hAnsi="黑体" w:eastAsia="黑体"/>
              <w:highlight w:val="none"/>
            </w:rPr>
            <w:fldChar w:fldCharType="separate"/>
          </w:r>
          <w:r>
            <w:rPr>
              <w:rFonts w:eastAsia="黑体"/>
              <w:szCs w:val="32"/>
            </w:rPr>
            <w:t>四、财</w:t>
          </w:r>
          <w:r>
            <w:rPr>
              <w:rFonts w:ascii="Times New Roman" w:hAnsi="Times New Roman" w:eastAsia="黑体"/>
            </w:rPr>
            <w:t>政拨款收入支出决算总体情况说明</w:t>
          </w:r>
          <w:r>
            <w:tab/>
          </w:r>
          <w:r>
            <w:fldChar w:fldCharType="begin"/>
          </w:r>
          <w:r>
            <w:instrText xml:space="preserve"> PAGEREF _Toc27199 \h </w:instrText>
          </w:r>
          <w:r>
            <w:fldChar w:fldCharType="separate"/>
          </w:r>
          <w:r>
            <w:t>9</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_Toc27767 </w:instrText>
          </w:r>
          <w:r>
            <w:rPr>
              <w:rFonts w:hint="eastAsia" w:ascii="黑体" w:hAnsi="黑体" w:eastAsia="黑体"/>
              <w:highlight w:val="none"/>
            </w:rPr>
            <w:fldChar w:fldCharType="separate"/>
          </w:r>
          <w:r>
            <w:rPr>
              <w:rFonts w:eastAsia="黑体"/>
              <w:szCs w:val="32"/>
            </w:rPr>
            <w:t>五、一</w:t>
          </w:r>
          <w:r>
            <w:rPr>
              <w:rFonts w:ascii="Times New Roman" w:hAnsi="Times New Roman" w:eastAsia="黑体"/>
            </w:rPr>
            <w:t>般公共预算财政拨款支出决算情况说明</w:t>
          </w:r>
          <w:r>
            <w:tab/>
          </w:r>
          <w:r>
            <w:fldChar w:fldCharType="begin"/>
          </w:r>
          <w:r>
            <w:instrText xml:space="preserve"> PAGEREF _Toc27767 \h </w:instrText>
          </w:r>
          <w:r>
            <w:fldChar w:fldCharType="separate"/>
          </w:r>
          <w:r>
            <w:t>9</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_Toc9978 </w:instrText>
          </w:r>
          <w:r>
            <w:rPr>
              <w:rFonts w:hint="eastAsia" w:ascii="黑体" w:hAnsi="黑体" w:eastAsia="黑体"/>
              <w:highlight w:val="none"/>
            </w:rPr>
            <w:fldChar w:fldCharType="separate"/>
          </w:r>
          <w:r>
            <w:rPr>
              <w:rFonts w:eastAsia="黑体"/>
              <w:szCs w:val="32"/>
            </w:rPr>
            <w:t>六、一</w:t>
          </w:r>
          <w:r>
            <w:rPr>
              <w:rFonts w:ascii="Times New Roman" w:hAnsi="Times New Roman" w:eastAsia="黑体"/>
            </w:rPr>
            <w:t>般公共预算财政拨款基本支出决算情况说明</w:t>
          </w:r>
          <w:r>
            <w:tab/>
          </w:r>
          <w:r>
            <w:fldChar w:fldCharType="begin"/>
          </w:r>
          <w:r>
            <w:instrText xml:space="preserve"> PAGEREF _Toc9978 \h </w:instrText>
          </w:r>
          <w:r>
            <w:fldChar w:fldCharType="separate"/>
          </w:r>
          <w:r>
            <w:t>15</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_Toc29727 </w:instrText>
          </w:r>
          <w:r>
            <w:rPr>
              <w:rFonts w:hint="eastAsia" w:ascii="黑体" w:hAnsi="黑体" w:eastAsia="黑体"/>
              <w:highlight w:val="none"/>
            </w:rPr>
            <w:fldChar w:fldCharType="separate"/>
          </w:r>
          <w:r>
            <w:rPr>
              <w:rFonts w:eastAsia="黑体"/>
              <w:szCs w:val="32"/>
            </w:rPr>
            <w:t>七、</w:t>
          </w:r>
          <w:r>
            <w:rPr>
              <w:rFonts w:ascii="Times New Roman" w:hAnsi="Times New Roman" w:eastAsia="黑体"/>
            </w:rPr>
            <w:t>“三公”经费财政拨款支出决算情况说明</w:t>
          </w:r>
          <w:r>
            <w:tab/>
          </w:r>
          <w:r>
            <w:fldChar w:fldCharType="begin"/>
          </w:r>
          <w:r>
            <w:instrText xml:space="preserve"> PAGEREF _Toc29727 \h </w:instrText>
          </w:r>
          <w:r>
            <w:fldChar w:fldCharType="separate"/>
          </w:r>
          <w:r>
            <w:t>15</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_Toc29397 </w:instrText>
          </w:r>
          <w:r>
            <w:rPr>
              <w:rFonts w:hint="eastAsia" w:ascii="黑体" w:hAnsi="黑体" w:eastAsia="黑体"/>
              <w:highlight w:val="none"/>
            </w:rPr>
            <w:fldChar w:fldCharType="separate"/>
          </w:r>
          <w:r>
            <w:rPr>
              <w:rFonts w:eastAsia="黑体"/>
              <w:szCs w:val="32"/>
            </w:rPr>
            <w:t>八、</w:t>
          </w:r>
          <w:r>
            <w:rPr>
              <w:rFonts w:ascii="Times New Roman" w:hAnsi="Times New Roman" w:eastAsia="黑体"/>
            </w:rPr>
            <w:t>政府性基金预算支出决算情况说明</w:t>
          </w:r>
          <w:r>
            <w:tab/>
          </w:r>
          <w:r>
            <w:fldChar w:fldCharType="begin"/>
          </w:r>
          <w:r>
            <w:instrText xml:space="preserve"> PAGEREF _Toc29397 \h </w:instrText>
          </w:r>
          <w:r>
            <w:fldChar w:fldCharType="separate"/>
          </w:r>
          <w:r>
            <w:t>18</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_Toc27681 </w:instrText>
          </w:r>
          <w:r>
            <w:rPr>
              <w:rFonts w:hint="eastAsia" w:ascii="黑体" w:hAnsi="黑体" w:eastAsia="黑体"/>
              <w:highlight w:val="none"/>
            </w:rPr>
            <w:fldChar w:fldCharType="separate"/>
          </w:r>
          <w:r>
            <w:rPr>
              <w:rFonts w:hint="eastAsia" w:ascii="Times New Roman" w:hAnsi="Times New Roman" w:eastAsia="黑体"/>
            </w:rPr>
            <w:t>九、</w:t>
          </w:r>
          <w:r>
            <w:rPr>
              <w:rFonts w:ascii="Times New Roman" w:hAnsi="Times New Roman" w:eastAsia="黑体"/>
            </w:rPr>
            <w:t>国有资本经营预算支出决算情况说明</w:t>
          </w:r>
          <w:r>
            <w:tab/>
          </w:r>
          <w:r>
            <w:fldChar w:fldCharType="begin"/>
          </w:r>
          <w:r>
            <w:instrText xml:space="preserve"> PAGEREF _Toc27681 \h </w:instrText>
          </w:r>
          <w:r>
            <w:fldChar w:fldCharType="separate"/>
          </w:r>
          <w:r>
            <w:t>18</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_Toc514 </w:instrText>
          </w:r>
          <w:r>
            <w:rPr>
              <w:rFonts w:hint="eastAsia" w:ascii="黑体" w:hAnsi="黑体" w:eastAsia="黑体"/>
              <w:highlight w:val="none"/>
            </w:rPr>
            <w:fldChar w:fldCharType="separate"/>
          </w:r>
          <w:r>
            <w:rPr>
              <w:rFonts w:hint="default" w:ascii="Times New Roman" w:hAnsi="Times New Roman" w:eastAsia="黑体"/>
            </w:rPr>
            <w:t>十、</w:t>
          </w:r>
          <w:r>
            <w:rPr>
              <w:rFonts w:ascii="Times New Roman" w:hAnsi="Times New Roman" w:eastAsia="黑体"/>
            </w:rPr>
            <w:t>预算绩效情况说明</w:t>
          </w:r>
          <w:r>
            <w:tab/>
          </w:r>
          <w:r>
            <w:fldChar w:fldCharType="begin"/>
          </w:r>
          <w:r>
            <w:instrText xml:space="preserve"> PAGEREF _Toc514 \h </w:instrText>
          </w:r>
          <w:r>
            <w:fldChar w:fldCharType="separate"/>
          </w:r>
          <w:r>
            <w:t>18</w:t>
          </w:r>
          <w:r>
            <w:fldChar w:fldCharType="end"/>
          </w:r>
          <w:r>
            <w:rPr>
              <w:rFonts w:hint="eastAsia" w:ascii="黑体" w:hAnsi="黑体" w:eastAsia="黑体"/>
              <w:color w:val="auto"/>
              <w:highlight w:val="none"/>
            </w:rPr>
            <w:fldChar w:fldCharType="end"/>
          </w:r>
        </w:p>
        <w:p>
          <w:pPr>
            <w:pStyle w:val="45"/>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_Toc2876 </w:instrText>
          </w:r>
          <w:r>
            <w:rPr>
              <w:rFonts w:hint="eastAsia" w:ascii="黑体" w:hAnsi="黑体" w:eastAsia="黑体"/>
              <w:highlight w:val="none"/>
            </w:rPr>
            <w:fldChar w:fldCharType="separate"/>
          </w:r>
          <w:r>
            <w:rPr>
              <w:rFonts w:hint="eastAsia" w:eastAsia="方正小标宋简体"/>
              <w:bCs/>
              <w:szCs w:val="44"/>
            </w:rPr>
            <w:t>第三部分</w:t>
          </w:r>
          <w:r>
            <w:rPr>
              <w:rFonts w:hint="eastAsia" w:eastAsia="方正小标宋简体"/>
              <w:bCs/>
              <w:szCs w:val="44"/>
              <w:lang w:val="en-US" w:eastAsia="zh-CN"/>
            </w:rPr>
            <w:t xml:space="preserve"> </w:t>
          </w:r>
          <w:r>
            <w:rPr>
              <w:rFonts w:eastAsia="方正小标宋简体"/>
              <w:bCs/>
              <w:szCs w:val="44"/>
            </w:rPr>
            <w:t>名</w:t>
          </w:r>
          <w:r>
            <w:rPr>
              <w:rFonts w:eastAsia="方正小标宋简体"/>
            </w:rPr>
            <w:t>词解释</w:t>
          </w:r>
          <w:r>
            <w:tab/>
          </w:r>
          <w:r>
            <w:fldChar w:fldCharType="begin"/>
          </w:r>
          <w:r>
            <w:instrText xml:space="preserve"> PAGEREF _Toc2876 \h </w:instrText>
          </w:r>
          <w:r>
            <w:fldChar w:fldCharType="separate"/>
          </w:r>
          <w:r>
            <w:t>21</w:t>
          </w:r>
          <w:r>
            <w:fldChar w:fldCharType="end"/>
          </w:r>
          <w:r>
            <w:rPr>
              <w:rFonts w:hint="eastAsia" w:ascii="黑体" w:hAnsi="黑体" w:eastAsia="黑体"/>
              <w:color w:val="auto"/>
              <w:highlight w:val="none"/>
            </w:rPr>
            <w:fldChar w:fldCharType="end"/>
          </w:r>
        </w:p>
        <w:p>
          <w:pPr>
            <w:pStyle w:val="45"/>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_Toc32318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_Toc32318 \h </w:instrText>
          </w:r>
          <w:r>
            <w:fldChar w:fldCharType="separate"/>
          </w:r>
          <w:r>
            <w:t>27</w:t>
          </w:r>
          <w:r>
            <w:fldChar w:fldCharType="end"/>
          </w:r>
          <w:r>
            <w:rPr>
              <w:rFonts w:hint="eastAsia" w:ascii="黑体" w:hAnsi="黑体" w:eastAsia="黑体"/>
              <w:color w:val="auto"/>
              <w:highlight w:val="none"/>
            </w:rPr>
            <w:fldChar w:fldCharType="end"/>
          </w:r>
        </w:p>
        <w:p>
          <w:pPr>
            <w:pStyle w:val="45"/>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_Toc15272 </w:instrText>
          </w:r>
          <w:r>
            <w:rPr>
              <w:rFonts w:hint="eastAsia" w:ascii="黑体" w:hAnsi="黑体" w:eastAsia="黑体"/>
              <w:highlight w:val="none"/>
            </w:rPr>
            <w:fldChar w:fldCharType="separate"/>
          </w:r>
          <w:r>
            <w:rPr>
              <w:rFonts w:hint="eastAsia" w:ascii="黑体" w:hAnsi="黑体" w:eastAsia="黑体"/>
            </w:rPr>
            <w:t xml:space="preserve">第五部分 </w:t>
          </w:r>
          <w:r>
            <w:rPr>
              <w:rFonts w:hint="eastAsia" w:ascii="黑体" w:hAnsi="黑体" w:eastAsia="黑体"/>
              <w:highlight w:val="none"/>
            </w:rPr>
            <w:t>附表</w:t>
          </w:r>
          <w:r>
            <w:tab/>
          </w:r>
          <w:r>
            <w:fldChar w:fldCharType="begin"/>
          </w:r>
          <w:r>
            <w:instrText xml:space="preserve"> PAGEREF _Toc15272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_Toc1874 </w:instrText>
          </w:r>
          <w:r>
            <w:rPr>
              <w:rFonts w:hint="eastAsia" w:ascii="黑体" w:hAnsi="黑体" w:eastAsia="黑体"/>
              <w:highlight w:val="none"/>
            </w:rPr>
            <w:fldChar w:fldCharType="separate"/>
          </w:r>
          <w:r>
            <w:rPr>
              <w:rFonts w:hint="eastAsia" w:ascii="仿宋" w:hAnsi="仿宋" w:eastAsia="仿宋" w:cs="Times New Roman"/>
              <w:bCs w:val="0"/>
              <w:highlight w:val="none"/>
              <w:lang w:val="en-US" w:eastAsia="zh-CN" w:bidi="ar-SA"/>
            </w:rPr>
            <w:t>一、收入支出决算总表</w:t>
          </w:r>
          <w:r>
            <w:tab/>
          </w:r>
          <w:r>
            <w:fldChar w:fldCharType="begin"/>
          </w:r>
          <w:r>
            <w:instrText xml:space="preserve"> PAGEREF _Toc1874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_Toc7169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_Toc7169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_Toc6624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_Toc6624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_Toc17327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_Toc17327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_Toc5741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_Toc5741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_Toc15966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_Toc15966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_Toc29693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_Toc29693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_Toc24831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_Toc24831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_Toc28102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_Toc28102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_Toc5047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_Toc5047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_Toc9733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_Toc9733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_Toc26604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_Toc26604 \h </w:instrText>
          </w:r>
          <w:r>
            <w:fldChar w:fldCharType="separate"/>
          </w:r>
          <w:r>
            <w:t>1</w:t>
          </w:r>
          <w:r>
            <w:fldChar w:fldCharType="end"/>
          </w:r>
          <w:r>
            <w:rPr>
              <w:rFonts w:hint="eastAsia" w:ascii="黑体" w:hAnsi="黑体" w:eastAsia="黑体"/>
              <w:color w:val="auto"/>
              <w:highlight w:val="none"/>
            </w:rPr>
            <w:fldChar w:fldCharType="end"/>
          </w:r>
        </w:p>
        <w:p>
          <w:pPr>
            <w:pStyle w:val="44"/>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_Toc26674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_Toc26674 \h </w:instrText>
          </w:r>
          <w:r>
            <w:fldChar w:fldCharType="separate"/>
          </w:r>
          <w:r>
            <w:t>1</w:t>
          </w:r>
          <w:r>
            <w:fldChar w:fldCharType="end"/>
          </w:r>
          <w:r>
            <w:rPr>
              <w:rFonts w:hint="eastAsia" w:ascii="黑体" w:hAnsi="黑体" w:eastAsia="黑体"/>
              <w:color w:val="auto"/>
              <w:highlight w:val="none"/>
            </w:rPr>
            <w:fldChar w:fldCharType="end"/>
          </w:r>
        </w:p>
        <w:p>
          <w:pPr>
            <w:pStyle w:val="4"/>
            <w:jc w:val="center"/>
            <w:outlineLvl w:val="9"/>
            <w:rPr>
              <w:rFonts w:hint="eastAsia" w:ascii="黑体" w:hAnsi="黑体" w:eastAsia="黑体" w:cs="Times New Roman"/>
              <w:b/>
              <w:bCs/>
              <w:color w:val="auto"/>
              <w:kern w:val="44"/>
              <w:sz w:val="44"/>
              <w:szCs w:val="44"/>
              <w:highlight w:val="none"/>
              <w:lang w:val="en-US" w:eastAsia="zh-CN" w:bidi="ar-SA"/>
            </w:rPr>
          </w:pPr>
          <w:r>
            <w:rPr>
              <w:rFonts w:hint="eastAsia" w:ascii="黑体" w:hAnsi="黑体" w:eastAsia="黑体"/>
              <w:color w:val="auto"/>
              <w:highlight w:val="none"/>
            </w:rPr>
            <w:fldChar w:fldCharType="end"/>
          </w:r>
        </w:p>
      </w:sdtContent>
    </w:sdt>
    <w:p>
      <w:pPr>
        <w:rPr>
          <w:rFonts w:hint="eastAsia"/>
        </w:rPr>
        <w:sectPr>
          <w:footerReference r:id="rId3" w:type="default"/>
          <w:pgSz w:w="11906" w:h="16838"/>
          <w:pgMar w:top="2098" w:right="1474" w:bottom="1984" w:left="1587" w:header="851" w:footer="1361" w:gutter="0"/>
          <w:pgNumType w:fmt="decimal" w:start="1"/>
          <w:cols w:space="0" w:num="1"/>
          <w:rtlGutter w:val="0"/>
          <w:docGrid w:type="lines" w:linePitch="315" w:charSpace="0"/>
        </w:sectPr>
      </w:pPr>
    </w:p>
    <w:p>
      <w:pPr>
        <w:pStyle w:val="4"/>
        <w:jc w:val="center"/>
        <w:rPr>
          <w:rStyle w:val="28"/>
          <w:rFonts w:ascii="黑体" w:hAnsi="黑体" w:eastAsia="黑体"/>
          <w:b/>
          <w:bCs w:val="0"/>
          <w:color w:val="auto"/>
          <w:highlight w:val="none"/>
        </w:rPr>
      </w:pPr>
      <w:bookmarkStart w:id="12" w:name="_Toc30009"/>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0"/>
      <w:bookmarkEnd w:id="11"/>
      <w:bookmarkEnd w:id="12"/>
    </w:p>
    <w:p>
      <w:pPr>
        <w:keepNext w:val="0"/>
        <w:keepLines w:val="0"/>
        <w:widowControl/>
        <w:suppressLineNumbers w:val="0"/>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auto"/>
          <w:spacing w:val="0"/>
          <w:kern w:val="0"/>
          <w:sz w:val="32"/>
          <w:szCs w:val="32"/>
          <w:highlight w:val="none"/>
          <w:lang w:val="en-US" w:eastAsia="zh-CN" w:bidi="ar"/>
        </w:rPr>
      </w:pPr>
    </w:p>
    <w:p>
      <w:pPr>
        <w:keepNext w:val="0"/>
        <w:keepLines w:val="0"/>
        <w:widowControl/>
        <w:suppressLineNumbers w:val="0"/>
        <w:spacing w:before="0" w:beforeAutospacing="0" w:after="0" w:afterAutospacing="0" w:line="576" w:lineRule="atLeast"/>
        <w:ind w:right="0"/>
        <w:jc w:val="left"/>
        <w:outlineLvl w:val="1"/>
        <w:rPr>
          <w:rFonts w:hint="eastAsia" w:ascii="仿宋_GB2312" w:hAnsi="宋体" w:eastAsia="仿宋_GB2312" w:cs="仿宋_GB2312"/>
          <w:b/>
          <w:bCs/>
          <w:i w:val="0"/>
          <w:iCs w:val="0"/>
          <w:caps w:val="0"/>
          <w:color w:val="auto"/>
          <w:spacing w:val="0"/>
          <w:kern w:val="0"/>
          <w:sz w:val="32"/>
          <w:szCs w:val="32"/>
          <w:highlight w:val="none"/>
          <w:lang w:val="en-US" w:eastAsia="zh-CN" w:bidi="ar"/>
        </w:rPr>
      </w:pPr>
      <w:bookmarkStart w:id="13" w:name="_Toc900"/>
      <w:r>
        <w:rPr>
          <w:rFonts w:hint="eastAsia" w:ascii="仿宋_GB2312" w:hAnsi="宋体" w:eastAsia="仿宋_GB2312" w:cs="仿宋_GB2312"/>
          <w:b/>
          <w:bCs/>
          <w:i w:val="0"/>
          <w:iCs w:val="0"/>
          <w:caps w:val="0"/>
          <w:color w:val="auto"/>
          <w:spacing w:val="0"/>
          <w:kern w:val="0"/>
          <w:sz w:val="32"/>
          <w:szCs w:val="32"/>
          <w:highlight w:val="none"/>
          <w:lang w:val="en-US" w:eastAsia="zh-CN" w:bidi="ar"/>
        </w:rPr>
        <w:t>一、部门职责</w:t>
      </w:r>
      <w:bookmarkEnd w:id="13"/>
    </w:p>
    <w:p>
      <w:pPr>
        <w:keepNext w:val="0"/>
        <w:keepLines w:val="0"/>
        <w:widowControl/>
        <w:suppressLineNumbers w:val="0"/>
        <w:spacing w:before="0" w:beforeAutospacing="0" w:after="0" w:afterAutospacing="0" w:line="576" w:lineRule="atLeast"/>
        <w:ind w:left="0" w:right="0" w:firstLine="640"/>
        <w:jc w:val="left"/>
        <w:rPr>
          <w:rFonts w:hint="eastAsia" w:ascii="Times New Roman" w:hAnsi="Times New Roman" w:eastAsia="宋体" w:cs="Times New Roman"/>
          <w:i w:val="0"/>
          <w:iCs w:val="0"/>
          <w:caps w:val="0"/>
          <w:color w:val="auto"/>
          <w:spacing w:val="0"/>
          <w:kern w:val="0"/>
          <w:sz w:val="32"/>
          <w:szCs w:val="32"/>
          <w:highlight w:val="none"/>
          <w:lang w:val="en-US" w:eastAsia="zh-CN" w:bidi="ar"/>
        </w:rPr>
      </w:pPr>
      <w:r>
        <w:rPr>
          <w:rFonts w:hint="default" w:ascii="仿宋_GB2312" w:hAnsi="宋体" w:eastAsia="仿宋_GB2312" w:cs="仿宋_GB2312"/>
          <w:i w:val="0"/>
          <w:iCs w:val="0"/>
          <w:caps w:val="0"/>
          <w:color w:val="auto"/>
          <w:spacing w:val="0"/>
          <w:kern w:val="0"/>
          <w:sz w:val="32"/>
          <w:szCs w:val="32"/>
          <w:highlight w:val="none"/>
          <w:lang w:val="en-US" w:eastAsia="zh-CN" w:bidi="ar"/>
        </w:rPr>
        <w:t>1</w:t>
      </w:r>
      <w:r>
        <w:rPr>
          <w:rFonts w:hint="eastAsia" w:ascii="仿宋_GB2312" w:hAnsi="宋体" w:eastAsia="仿宋_GB2312" w:cs="仿宋_GB2312"/>
          <w:i w:val="0"/>
          <w:iCs w:val="0"/>
          <w:caps w:val="0"/>
          <w:color w:val="auto"/>
          <w:spacing w:val="0"/>
          <w:kern w:val="0"/>
          <w:sz w:val="32"/>
          <w:szCs w:val="32"/>
          <w:highlight w:val="none"/>
          <w:lang w:val="en-US" w:eastAsia="zh-CN" w:bidi="ar"/>
        </w:rPr>
        <w:t>．统筹研究和组织实施全区</w:t>
      </w:r>
      <w:r>
        <w:rPr>
          <w:rFonts w:hint="default" w:ascii="仿宋_GB2312" w:hAnsi="宋体" w:eastAsia="仿宋_GB2312" w:cs="仿宋_GB2312"/>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三农</w:t>
      </w:r>
      <w:r>
        <w:rPr>
          <w:rFonts w:hint="default" w:ascii="仿宋_GB2312" w:hAnsi="宋体" w:eastAsia="仿宋_GB2312" w:cs="仿宋_GB2312"/>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工作的发展战略、中长期规划、重大政策。组织起草</w:t>
      </w:r>
      <w:r>
        <w:rPr>
          <w:rFonts w:hint="default" w:ascii="仿宋_GB2312" w:hAnsi="宋体" w:eastAsia="仿宋_GB2312" w:cs="仿宋_GB2312"/>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三农</w:t>
      </w:r>
      <w:r>
        <w:rPr>
          <w:rFonts w:hint="default" w:ascii="仿宋_GB2312" w:hAnsi="宋体" w:eastAsia="仿宋_GB2312" w:cs="仿宋_GB2312"/>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有关规范性文件草案。贯彻执行国家有关</w:t>
      </w:r>
      <w:r>
        <w:rPr>
          <w:rFonts w:hint="eastAsia" w:ascii="Times New Roman" w:hAnsi="Times New Roman" w:eastAsia="宋体" w:cs="Times New Roman"/>
          <w:i w:val="0"/>
          <w:iCs w:val="0"/>
          <w:caps w:val="0"/>
          <w:color w:val="auto"/>
          <w:spacing w:val="0"/>
          <w:kern w:val="0"/>
          <w:sz w:val="32"/>
          <w:szCs w:val="32"/>
          <w:highlight w:val="none"/>
          <w:lang w:val="en-US" w:eastAsia="zh-CN" w:bidi="ar"/>
        </w:rPr>
        <w:t>种植业、养殖业、农业机械化等农业领域工作的法律、法规、政策以及区委、区政府关于</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Times New Roman" w:hAnsi="Times New Roman" w:eastAsia="宋体" w:cs="Times New Roman"/>
          <w:i w:val="0"/>
          <w:iCs w:val="0"/>
          <w:caps w:val="0"/>
          <w:color w:val="auto"/>
          <w:spacing w:val="0"/>
          <w:kern w:val="0"/>
          <w:sz w:val="32"/>
          <w:szCs w:val="32"/>
          <w:highlight w:val="none"/>
          <w:lang w:val="en-US" w:eastAsia="zh-CN" w:bidi="ar"/>
        </w:rPr>
        <w:t>三农</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Times New Roman" w:hAnsi="Times New Roman" w:eastAsia="宋体" w:cs="Times New Roman"/>
          <w:i w:val="0"/>
          <w:iCs w:val="0"/>
          <w:caps w:val="0"/>
          <w:color w:val="auto"/>
          <w:spacing w:val="0"/>
          <w:kern w:val="0"/>
          <w:sz w:val="32"/>
          <w:szCs w:val="32"/>
          <w:highlight w:val="none"/>
          <w:lang w:val="en-US" w:eastAsia="zh-CN" w:bidi="ar"/>
        </w:rPr>
        <w:t>方面的决策部署。参与涉农相关政策制定。</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2</w:t>
      </w:r>
      <w:r>
        <w:rPr>
          <w:rFonts w:hint="eastAsia" w:ascii="Times New Roman" w:hAnsi="Times New Roman" w:eastAsia="宋体" w:cs="Times New Roman"/>
          <w:i w:val="0"/>
          <w:iCs w:val="0"/>
          <w:caps w:val="0"/>
          <w:color w:val="auto"/>
          <w:spacing w:val="0"/>
          <w:kern w:val="0"/>
          <w:sz w:val="32"/>
          <w:szCs w:val="32"/>
          <w:highlight w:val="none"/>
          <w:lang w:val="en-US" w:eastAsia="zh-CN" w:bidi="ar"/>
        </w:rPr>
        <w:t>．统筹实施乡村振兴战略，牵头组织改善全区农村人居环境。统筹推动</w:t>
      </w:r>
      <w:r>
        <w:rPr>
          <w:rFonts w:hint="eastAsia" w:ascii="仿宋_GB2312" w:hAnsi="宋体" w:eastAsia="仿宋_GB2312" w:cs="仿宋_GB2312"/>
          <w:i w:val="0"/>
          <w:iCs w:val="0"/>
          <w:caps w:val="0"/>
          <w:color w:val="auto"/>
          <w:spacing w:val="0"/>
          <w:kern w:val="0"/>
          <w:sz w:val="32"/>
          <w:szCs w:val="32"/>
          <w:highlight w:val="none"/>
          <w:lang w:val="en-US" w:eastAsia="zh-CN" w:bidi="ar"/>
        </w:rPr>
        <w:t>发展农村社会事业、农村公共服务、农村文化、农村基础设施和乡村治理。指导农业非遗产的保护传承和开发利用。指导农村精神文明和优秀农耕文化建设。</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3</w:t>
      </w:r>
      <w:r>
        <w:rPr>
          <w:rFonts w:hint="eastAsia" w:ascii="仿宋_GB2312" w:hAnsi="宋体" w:eastAsia="仿宋_GB2312" w:cs="仿宋_GB2312"/>
          <w:i w:val="0"/>
          <w:iCs w:val="0"/>
          <w:caps w:val="0"/>
          <w:color w:val="auto"/>
          <w:spacing w:val="0"/>
          <w:kern w:val="0"/>
          <w:sz w:val="32"/>
          <w:szCs w:val="32"/>
          <w:highlight w:val="none"/>
          <w:lang w:val="en-US" w:eastAsia="zh-CN" w:bidi="ar"/>
        </w:rPr>
        <w:t>．拟定深化全区农村经济体制改革，巩固和完善农村基本经营制度的政策措施。指导农民承包地、农村宅基地管理和改革有关工作。负责农村集体产权制度改革，指导农村集体经济组织发展、集体资产和财务管理工作。拟订全区农业产业化经营的发展规划与政策并组织实施，指导农民合作经济组织、农业社会化服务体系、新型农业经营主体建设与发展。指导、监督减轻农民负担工作。</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4</w:t>
      </w:r>
      <w:r>
        <w:rPr>
          <w:rFonts w:hint="eastAsia" w:ascii="仿宋_GB2312" w:hAnsi="宋体" w:eastAsia="仿宋_GB2312" w:cs="仿宋_GB2312"/>
          <w:i w:val="0"/>
          <w:iCs w:val="0"/>
          <w:caps w:val="0"/>
          <w:color w:val="auto"/>
          <w:spacing w:val="0"/>
          <w:kern w:val="0"/>
          <w:sz w:val="32"/>
          <w:szCs w:val="32"/>
          <w:highlight w:val="none"/>
          <w:lang w:val="en-US" w:eastAsia="zh-CN" w:bidi="ar"/>
        </w:rPr>
        <w:t>．指导全区乡村特色产业、农产品加工业（产地初加工）、休闲农业和乡村企业发展工作。指导特色农产品优势区建设和管理工作。组织拟订并实施现代农业园区的政策与规划。负责现代农业园区创建、申报工作。提出促进大宗农产品流通政策和主要农产品进口建议，研究制定大宗农产品市场体系建设与发展规划。培育、保护和发展农产品品牌，组织协调</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菜篮子</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工程有关工作。负责农业信息体系建设，推动数字农业发展。发布农业农村经济信息，监测分析农业农村经济运行。承担农业统计工作。</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5</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种植业、养殖业、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6</w:t>
      </w:r>
      <w:r>
        <w:rPr>
          <w:rFonts w:hint="eastAsia" w:ascii="仿宋_GB2312" w:hAnsi="宋体" w:eastAsia="仿宋_GB2312" w:cs="仿宋_GB2312"/>
          <w:i w:val="0"/>
          <w:iCs w:val="0"/>
          <w:caps w:val="0"/>
          <w:color w:val="auto"/>
          <w:spacing w:val="0"/>
          <w:kern w:val="0"/>
          <w:sz w:val="32"/>
          <w:szCs w:val="32"/>
          <w:highlight w:val="none"/>
          <w:lang w:val="en-US" w:eastAsia="zh-CN" w:bidi="ar"/>
        </w:rPr>
        <w:t>．负责制定全区农业全产业机械化、智能化、数字化发展规划并组织实施。组织开展农业机械新技术、新机具的引进、示范和推广工作。指导全区农业机械基础设施的规划建设和管理工作。指导设施农业、农机库棚、机电提灌、机耕道等基础设施建设。</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7</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农产品质量安全监督管理。组织开展农产品质量安全监测、追溯、风险评估。发布有关农产品质量安全状况信息，提出技术性贸易措施建议。指导农业检验检测体系建设。依法组织实施符合安全标准的农产品生产基地认定、产品认证、农产品地理标志登记保护和监督管理。</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8</w:t>
      </w:r>
      <w:r>
        <w:rPr>
          <w:rFonts w:hint="eastAsia" w:ascii="仿宋_GB2312" w:hAnsi="宋体" w:eastAsia="仿宋_GB2312" w:cs="仿宋_GB2312"/>
          <w:i w:val="0"/>
          <w:iCs w:val="0"/>
          <w:caps w:val="0"/>
          <w:color w:val="auto"/>
          <w:spacing w:val="0"/>
          <w:kern w:val="0"/>
          <w:sz w:val="32"/>
          <w:szCs w:val="32"/>
          <w:highlight w:val="none"/>
          <w:lang w:val="en-US" w:eastAsia="zh-CN" w:bidi="ar"/>
        </w:rPr>
        <w:t>．组织开展全区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9</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有关农业生产资料和农业投入品的监督管理。组织农业生产资料市场体系建设，承担农作物种子（种苗）、食用菌种、蚕种、饲草良种、种畜禽、水产苗种、农药、兽药（渔药）、饲料、饲料添加剂等农业生产资料的监督管理职责，牵头负责</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瘦肉精</w:t>
      </w:r>
      <w:r>
        <w:rPr>
          <w:rFonts w:hint="default" w:ascii="Times New Roman" w:hAnsi="Times New Roman" w:eastAsia="宋体" w:cs="Times New Roman"/>
          <w:i w:val="0"/>
          <w:iCs w:val="0"/>
          <w:caps w:val="0"/>
          <w:color w:val="auto"/>
          <w:spacing w:val="0"/>
          <w:kern w:val="0"/>
          <w:sz w:val="32"/>
          <w:szCs w:val="32"/>
          <w:highlight w:val="none"/>
          <w:lang w:val="en-US" w:eastAsia="zh-CN" w:bidi="ar"/>
        </w:rPr>
        <w:t>”</w:t>
      </w:r>
      <w:r>
        <w:rPr>
          <w:rFonts w:hint="eastAsia" w:ascii="仿宋_GB2312" w:hAnsi="宋体" w:eastAsia="仿宋_GB2312" w:cs="仿宋_GB2312"/>
          <w:i w:val="0"/>
          <w:iCs w:val="0"/>
          <w:caps w:val="0"/>
          <w:color w:val="auto"/>
          <w:spacing w:val="0"/>
          <w:kern w:val="0"/>
          <w:sz w:val="32"/>
          <w:szCs w:val="32"/>
          <w:highlight w:val="none"/>
          <w:lang w:val="en-US" w:eastAsia="zh-CN" w:bidi="ar"/>
        </w:rPr>
        <w:t>监督管理工作。监督管理兽医医疗器械、肥料。会同有关部门监督实施农业生产资料国家标准。组织兽医医政、兽药（渔药）药政药检、饲料饲政饲检工作，负责执业兽医和畜禽屠宰行业管理。</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10</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农业防灾减灾动植物重大病虫害防治工作。会同有关部门拟定动植物防疫检疫政策并指导实施。指导动植物防疫检疫体系建设，组织监督管理区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11</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农业投资管理。提出农业投融资体制机制改革建议。编制中央、省级、市级、区级投资安排的农业投资项目建设规划，提出农业投资规模和方向、扶持农业农村发展财政项目的建议，按权限审批农业投资项目，负责农业投资项目资金安排和监督管理。</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12</w:t>
      </w:r>
      <w:r>
        <w:rPr>
          <w:rFonts w:hint="eastAsia" w:ascii="仿宋_GB2312" w:hAnsi="宋体" w:eastAsia="仿宋_GB2312" w:cs="仿宋_GB2312"/>
          <w:i w:val="0"/>
          <w:iCs w:val="0"/>
          <w:caps w:val="0"/>
          <w:color w:val="auto"/>
          <w:spacing w:val="0"/>
          <w:kern w:val="0"/>
          <w:sz w:val="32"/>
          <w:szCs w:val="32"/>
          <w:highlight w:val="none"/>
          <w:lang w:val="en-US" w:eastAsia="zh-CN" w:bidi="ar"/>
        </w:rPr>
        <w:t>．负责全区农田建设管理。拟定农田建设发展规划，提出农田建设项目需求建议。负责全区农田建设管理、高标准农田建设和耕地质量管理。编制农业综合开发涉及农田建设项目、农田整治项目、农田水利建设项目的计划，并组织实施和管理。</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13</w:t>
      </w:r>
      <w:r>
        <w:rPr>
          <w:rFonts w:hint="eastAsia" w:ascii="仿宋_GB2312" w:hAnsi="宋体" w:eastAsia="仿宋_GB2312" w:cs="仿宋_GB2312"/>
          <w:i w:val="0"/>
          <w:iCs w:val="0"/>
          <w:caps w:val="0"/>
          <w:color w:val="auto"/>
          <w:spacing w:val="0"/>
          <w:kern w:val="0"/>
          <w:sz w:val="32"/>
          <w:szCs w:val="32"/>
          <w:highlight w:val="none"/>
          <w:lang w:val="en-US" w:eastAsia="zh-CN" w:bidi="ar"/>
        </w:rPr>
        <w:t>．拟订全区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组织协调农业转基因生物安全监督管理和农业植物新品种保护。</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14</w:t>
      </w:r>
      <w:r>
        <w:rPr>
          <w:rFonts w:hint="eastAsia" w:ascii="仿宋_GB2312" w:hAnsi="宋体" w:eastAsia="仿宋_GB2312" w:cs="仿宋_GB2312"/>
          <w:i w:val="0"/>
          <w:iCs w:val="0"/>
          <w:caps w:val="0"/>
          <w:color w:val="auto"/>
          <w:spacing w:val="0"/>
          <w:kern w:val="0"/>
          <w:sz w:val="32"/>
          <w:szCs w:val="32"/>
          <w:highlight w:val="none"/>
          <w:lang w:val="en-US" w:eastAsia="zh-CN" w:bidi="ar"/>
        </w:rPr>
        <w:t>．指导全区农业农村人才工作。拟订农业农村人才队伍建设规划并组织实施，指导农业教育和农业职业技能开发，指导新型职业农民培育、农业科技人才培养和农村实用人才培训工作。</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15</w:t>
      </w:r>
      <w:r>
        <w:rPr>
          <w:rFonts w:hint="eastAsia" w:ascii="仿宋_GB2312" w:hAnsi="宋体" w:eastAsia="仿宋_GB2312" w:cs="仿宋_GB2312"/>
          <w:i w:val="0"/>
          <w:iCs w:val="0"/>
          <w:caps w:val="0"/>
          <w:color w:val="auto"/>
          <w:spacing w:val="0"/>
          <w:kern w:val="0"/>
          <w:sz w:val="32"/>
          <w:szCs w:val="32"/>
          <w:highlight w:val="none"/>
          <w:lang w:val="en-US" w:eastAsia="zh-CN" w:bidi="ar"/>
        </w:rPr>
        <w:t>．牵头开展全区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16</w:t>
      </w:r>
      <w:r>
        <w:rPr>
          <w:rFonts w:hint="eastAsia" w:ascii="仿宋_GB2312" w:hAnsi="宋体" w:eastAsia="仿宋_GB2312" w:cs="仿宋_GB2312"/>
          <w:i w:val="0"/>
          <w:iCs w:val="0"/>
          <w:caps w:val="0"/>
          <w:color w:val="auto"/>
          <w:spacing w:val="0"/>
          <w:kern w:val="0"/>
          <w:sz w:val="32"/>
          <w:szCs w:val="32"/>
          <w:highlight w:val="none"/>
          <w:lang w:val="en-US" w:eastAsia="zh-CN" w:bidi="ar"/>
        </w:rPr>
        <w:t>．统筹协调和监督指导全区农业综合执法。负责由区本级办理的涉农违法案件调查处理，参与重大案件查处和跨区域执法工作。推进农业依法行政。制定职责范围内的安全生产年度监督检查计划并组织实施。</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17</w:t>
      </w:r>
      <w:r>
        <w:rPr>
          <w:rFonts w:hint="eastAsia" w:ascii="仿宋_GB2312" w:hAnsi="宋体" w:eastAsia="仿宋_GB2312" w:cs="仿宋_GB2312"/>
          <w:i w:val="0"/>
          <w:iCs w:val="0"/>
          <w:caps w:val="0"/>
          <w:color w:val="auto"/>
          <w:spacing w:val="0"/>
          <w:kern w:val="0"/>
          <w:sz w:val="32"/>
          <w:szCs w:val="32"/>
          <w:highlight w:val="none"/>
          <w:lang w:val="en-US" w:eastAsia="zh-CN" w:bidi="ar"/>
        </w:rPr>
        <w:t>．负责职责范围内的安全生产和职业健康、消防安全、生态环境保护、审批服务便民化等工作。</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18</w:t>
      </w:r>
      <w:r>
        <w:rPr>
          <w:rFonts w:hint="eastAsia" w:ascii="仿宋_GB2312" w:hAnsi="宋体" w:eastAsia="仿宋_GB2312" w:cs="仿宋_GB2312"/>
          <w:i w:val="0"/>
          <w:iCs w:val="0"/>
          <w:caps w:val="0"/>
          <w:color w:val="auto"/>
          <w:spacing w:val="0"/>
          <w:kern w:val="0"/>
          <w:sz w:val="32"/>
          <w:szCs w:val="32"/>
          <w:highlight w:val="none"/>
          <w:lang w:val="en-US" w:eastAsia="zh-CN" w:bidi="ar"/>
        </w:rPr>
        <w:t>．承担区政府公布的有关行政权力事项。</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19</w:t>
      </w:r>
      <w:r>
        <w:rPr>
          <w:rFonts w:hint="eastAsia" w:ascii="仿宋_GB2312" w:hAnsi="宋体" w:eastAsia="仿宋_GB2312" w:cs="仿宋_GB2312"/>
          <w:i w:val="0"/>
          <w:iCs w:val="0"/>
          <w:caps w:val="0"/>
          <w:color w:val="auto"/>
          <w:spacing w:val="0"/>
          <w:kern w:val="0"/>
          <w:sz w:val="32"/>
          <w:szCs w:val="32"/>
          <w:highlight w:val="none"/>
          <w:lang w:val="en-US" w:eastAsia="zh-CN" w:bidi="ar"/>
        </w:rPr>
        <w:t>．完成区委和区政府交办的其他任务。</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20</w:t>
      </w:r>
      <w:r>
        <w:rPr>
          <w:rFonts w:hint="eastAsia" w:ascii="仿宋_GB2312" w:hAnsi="宋体" w:eastAsia="仿宋_GB2312" w:cs="仿宋_GB2312"/>
          <w:i w:val="0"/>
          <w:iCs w:val="0"/>
          <w:caps w:val="0"/>
          <w:color w:val="auto"/>
          <w:spacing w:val="0"/>
          <w:kern w:val="0"/>
          <w:sz w:val="32"/>
          <w:szCs w:val="32"/>
          <w:highlight w:val="none"/>
          <w:lang w:val="en-US" w:eastAsia="zh-CN" w:bidi="ar"/>
        </w:rPr>
        <w:t>．职能转变</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①</w:t>
      </w:r>
      <w:r>
        <w:rPr>
          <w:rFonts w:hint="eastAsia" w:ascii="仿宋_GB2312" w:hAnsi="宋体" w:eastAsia="仿宋_GB2312" w:cs="仿宋_GB2312"/>
          <w:i w:val="0"/>
          <w:iCs w:val="0"/>
          <w:caps w:val="0"/>
          <w:color w:val="auto"/>
          <w:spacing w:val="0"/>
          <w:kern w:val="0"/>
          <w:sz w:val="32"/>
          <w:szCs w:val="32"/>
          <w:highlight w:val="none"/>
          <w:lang w:val="en-US" w:eastAsia="zh-CN" w:bidi="ar"/>
        </w:rPr>
        <w:t>统筹实施乡村振兴战略，深化农业供给侧结构性改革，促进农业绿色发展、高质量发展，推动农业全面升级、农村全面进步、农民全面发展，加快实现农业农村现代化。</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②</w:t>
      </w:r>
      <w:r>
        <w:rPr>
          <w:rFonts w:hint="eastAsia" w:ascii="仿宋_GB2312" w:hAnsi="宋体" w:eastAsia="仿宋_GB2312" w:cs="仿宋_GB2312"/>
          <w:i w:val="0"/>
          <w:iCs w:val="0"/>
          <w:caps w:val="0"/>
          <w:color w:val="auto"/>
          <w:spacing w:val="0"/>
          <w:kern w:val="0"/>
          <w:sz w:val="32"/>
          <w:szCs w:val="32"/>
          <w:highlight w:val="none"/>
          <w:lang w:val="en-US" w:eastAsia="zh-CN" w:bidi="ar"/>
        </w:rPr>
        <w:t>加强农产品质量安全和相关农业生产资料、农业投入品的监督管理，坚持最严谨的标准、最严格的监管、最严厉的处罚、最严肃的问责，严防、严管、严控质量安全风险，让人民群众吃得放心、安心。</w:t>
      </w:r>
    </w:p>
    <w:p>
      <w:pPr>
        <w:keepNext w:val="0"/>
        <w:keepLines w:val="0"/>
        <w:widowControl/>
        <w:suppressLineNumbers w:val="0"/>
        <w:spacing w:before="0" w:beforeAutospacing="0" w:after="0" w:afterAutospacing="0" w:line="576" w:lineRule="atLeast"/>
        <w:ind w:left="0" w:right="0" w:firstLine="640"/>
        <w:jc w:val="left"/>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③</w:t>
      </w:r>
      <w:r>
        <w:rPr>
          <w:rFonts w:hint="eastAsia" w:ascii="仿宋_GB2312" w:hAnsi="宋体" w:eastAsia="仿宋_GB2312" w:cs="仿宋_GB2312"/>
          <w:i w:val="0"/>
          <w:iCs w:val="0"/>
          <w:caps w:val="0"/>
          <w:color w:val="auto"/>
          <w:spacing w:val="0"/>
          <w:kern w:val="0"/>
          <w:sz w:val="32"/>
          <w:szCs w:val="32"/>
          <w:highlight w:val="none"/>
          <w:lang w:val="en-US" w:eastAsia="zh-CN" w:bidi="ar"/>
        </w:rPr>
        <w:t>深入推进简政放权，加强对行业内交叉重复以及性质相同、用途相近的农业投资项目的统筹整合，最大限度缩小项目审批范围，加强事中事后监管，切实提升支农政策效果和资金使用效益。</w:t>
      </w:r>
    </w:p>
    <w:p>
      <w:pPr>
        <w:keepNext w:val="0"/>
        <w:keepLines w:val="0"/>
        <w:widowControl/>
        <w:suppressLineNumbers w:val="0"/>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auto"/>
          <w:spacing w:val="0"/>
          <w:kern w:val="0"/>
          <w:sz w:val="32"/>
          <w:szCs w:val="32"/>
          <w:highlight w:val="none"/>
          <w:lang w:val="en-US" w:eastAsia="zh-CN" w:bidi="ar"/>
        </w:rPr>
      </w:pPr>
      <w:r>
        <w:rPr>
          <w:rFonts w:hint="default" w:ascii="Times New Roman" w:hAnsi="Times New Roman" w:eastAsia="宋体" w:cs="Times New Roman"/>
          <w:i w:val="0"/>
          <w:iCs w:val="0"/>
          <w:caps w:val="0"/>
          <w:color w:val="auto"/>
          <w:spacing w:val="0"/>
          <w:kern w:val="0"/>
          <w:sz w:val="32"/>
          <w:szCs w:val="32"/>
          <w:highlight w:val="none"/>
          <w:lang w:val="en-US" w:eastAsia="zh-CN" w:bidi="ar"/>
        </w:rPr>
        <w:t>④</w:t>
      </w:r>
      <w:r>
        <w:rPr>
          <w:rFonts w:hint="eastAsia" w:ascii="仿宋_GB2312" w:hAnsi="宋体" w:eastAsia="仿宋_GB2312" w:cs="仿宋_GB2312"/>
          <w:i w:val="0"/>
          <w:iCs w:val="0"/>
          <w:caps w:val="0"/>
          <w:color w:val="auto"/>
          <w:spacing w:val="0"/>
          <w:kern w:val="0"/>
          <w:sz w:val="32"/>
          <w:szCs w:val="32"/>
          <w:highlight w:val="none"/>
          <w:lang w:val="en-US" w:eastAsia="zh-CN" w:bidi="ar"/>
        </w:rPr>
        <w:t>统筹推进承担行政职能的事业单位改革。区渔政管理站承担的渔政渔港监督管理职责交由区农业农村局承担，区农村能源办公室不再承担农村能源行政职责，区动物监督所不再承担动物监督管理职责，上述两项行政职责交由区农业农村局承担。</w:t>
      </w:r>
    </w:p>
    <w:p>
      <w:pPr>
        <w:keepNext w:val="0"/>
        <w:keepLines w:val="0"/>
        <w:widowControl/>
        <w:suppressLineNumbers w:val="0"/>
        <w:spacing w:before="0" w:beforeAutospacing="0" w:after="0" w:afterAutospacing="0" w:line="576" w:lineRule="atLeast"/>
        <w:ind w:right="0"/>
        <w:jc w:val="left"/>
        <w:outlineLvl w:val="1"/>
        <w:rPr>
          <w:rFonts w:hint="eastAsia" w:ascii="仿宋_GB2312" w:hAnsi="宋体" w:eastAsia="仿宋_GB2312" w:cs="仿宋_GB2312"/>
          <w:b/>
          <w:bCs/>
          <w:i w:val="0"/>
          <w:iCs w:val="0"/>
          <w:caps w:val="0"/>
          <w:color w:val="auto"/>
          <w:spacing w:val="0"/>
          <w:kern w:val="0"/>
          <w:sz w:val="32"/>
          <w:szCs w:val="32"/>
          <w:highlight w:val="none"/>
          <w:lang w:val="en-US" w:eastAsia="zh-CN" w:bidi="ar"/>
        </w:rPr>
      </w:pPr>
      <w:bookmarkStart w:id="14" w:name="_Toc15377200"/>
      <w:bookmarkStart w:id="15" w:name="_Toc4846"/>
      <w:bookmarkStart w:id="16" w:name="_Toc15396601"/>
      <w:r>
        <w:rPr>
          <w:rFonts w:hint="eastAsia" w:ascii="仿宋_GB2312" w:hAnsi="宋体" w:eastAsia="仿宋_GB2312" w:cs="仿宋_GB2312"/>
          <w:b/>
          <w:bCs/>
          <w:i w:val="0"/>
          <w:iCs w:val="0"/>
          <w:caps w:val="0"/>
          <w:color w:val="auto"/>
          <w:spacing w:val="0"/>
          <w:kern w:val="0"/>
          <w:sz w:val="32"/>
          <w:szCs w:val="32"/>
          <w:highlight w:val="none"/>
          <w:lang w:val="en-US" w:eastAsia="zh-CN" w:bidi="ar"/>
        </w:rPr>
        <w:t>二、机构设置</w:t>
      </w:r>
      <w:bookmarkEnd w:id="14"/>
      <w:bookmarkEnd w:id="15"/>
      <w:bookmarkEnd w:id="16"/>
    </w:p>
    <w:p>
      <w:pPr>
        <w:keepNext w:val="0"/>
        <w:keepLines w:val="0"/>
        <w:widowControl/>
        <w:suppressLineNumbers w:val="0"/>
        <w:spacing w:before="0" w:beforeAutospacing="0" w:after="0" w:afterAutospacing="0" w:line="576" w:lineRule="atLeast"/>
        <w:ind w:left="0" w:right="0" w:firstLine="640"/>
        <w:jc w:val="left"/>
        <w:rPr>
          <w:rFonts w:hint="eastAsia" w:ascii="仿宋_GB2312" w:hAnsi="宋体" w:eastAsia="仿宋_GB2312" w:cs="仿宋_GB2312"/>
          <w:i w:val="0"/>
          <w:iCs w:val="0"/>
          <w:caps w:val="0"/>
          <w:color w:val="auto"/>
          <w:spacing w:val="0"/>
          <w:kern w:val="0"/>
          <w:sz w:val="32"/>
          <w:szCs w:val="32"/>
          <w:highlight w:val="none"/>
          <w:lang w:val="en-US" w:eastAsia="zh-CN" w:bidi="ar"/>
        </w:rPr>
      </w:pPr>
      <w:r>
        <w:rPr>
          <w:rFonts w:hint="eastAsia" w:ascii="仿宋_GB2312" w:hAnsi="宋体" w:eastAsia="仿宋_GB2312" w:cs="仿宋_GB2312"/>
          <w:i w:val="0"/>
          <w:iCs w:val="0"/>
          <w:caps w:val="0"/>
          <w:color w:val="auto"/>
          <w:spacing w:val="0"/>
          <w:kern w:val="0"/>
          <w:sz w:val="32"/>
          <w:szCs w:val="32"/>
          <w:highlight w:val="none"/>
          <w:lang w:val="en-US" w:eastAsia="zh-CN" w:bidi="ar"/>
        </w:rPr>
        <w:t>农业农村局下属二级预算单位1个，其中行政单位0个，参照公务员法管理的事业单位1个，其他事业单位0个。</w:t>
      </w:r>
    </w:p>
    <w:p>
      <w:pPr>
        <w:pStyle w:val="2"/>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农业农村局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color w:val="auto"/>
          <w:sz w:val="32"/>
          <w:szCs w:val="32"/>
          <w:highlight w:val="none"/>
        </w:rPr>
      </w:pPr>
      <w:bookmarkStart w:id="17" w:name="_Toc32763"/>
      <w:r>
        <w:rPr>
          <w:rFonts w:hint="eastAsia" w:ascii="仿宋" w:hAnsi="仿宋" w:eastAsia="仿宋"/>
          <w:color w:val="auto"/>
          <w:sz w:val="32"/>
          <w:szCs w:val="32"/>
          <w:highlight w:val="none"/>
          <w:lang w:eastAsia="zh-CN"/>
        </w:rPr>
        <w:t>遂宁市船山区农村能源办公室</w:t>
      </w:r>
      <w:bookmarkEnd w:id="17"/>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spacing w:before="0" w:after="0" w:line="600" w:lineRule="exact"/>
        <w:ind w:right="440"/>
        <w:jc w:val="right"/>
        <w:outlineLvl w:val="9"/>
        <w:rPr>
          <w:rFonts w:hint="eastAsia" w:eastAsia="方正小标宋简体"/>
          <w:b w:val="0"/>
          <w:color w:val="auto"/>
        </w:rPr>
      </w:pPr>
    </w:p>
    <w:p>
      <w:pPr>
        <w:pStyle w:val="4"/>
        <w:spacing w:before="0" w:after="0" w:line="600" w:lineRule="exact"/>
        <w:ind w:right="440"/>
        <w:jc w:val="right"/>
        <w:rPr>
          <w:rStyle w:val="37"/>
          <w:rFonts w:eastAsia="方正小标宋简体"/>
          <w:b w:val="0"/>
          <w:bCs w:val="0"/>
          <w:color w:val="auto"/>
        </w:rPr>
      </w:pPr>
      <w:bookmarkStart w:id="18" w:name="_Toc18536"/>
      <w:r>
        <w:rPr>
          <w:rFonts w:eastAsia="方正小标宋简体"/>
          <w:b w:val="0"/>
          <w:color w:val="auto"/>
        </w:rPr>
        <w:t>第二部分</w:t>
      </w:r>
      <w:r>
        <w:rPr>
          <w:rStyle w:val="37"/>
          <w:rFonts w:eastAsia="方正小标宋简体"/>
          <w:b w:val="0"/>
          <w:bCs w:val="0"/>
          <w:color w:val="auto"/>
        </w:rPr>
        <w:t>20</w:t>
      </w:r>
      <w:r>
        <w:rPr>
          <w:rStyle w:val="37"/>
          <w:rFonts w:hint="eastAsia" w:eastAsia="方正小标宋简体"/>
          <w:b w:val="0"/>
          <w:bCs w:val="0"/>
          <w:color w:val="auto"/>
        </w:rPr>
        <w:t>2</w:t>
      </w:r>
      <w:r>
        <w:rPr>
          <w:rStyle w:val="37"/>
          <w:rFonts w:hint="eastAsia" w:eastAsia="方正小标宋简体"/>
          <w:b w:val="0"/>
          <w:bCs w:val="0"/>
          <w:color w:val="auto"/>
          <w:lang w:val="en-US" w:eastAsia="zh-CN"/>
        </w:rPr>
        <w:t>3</w:t>
      </w:r>
      <w:r>
        <w:rPr>
          <w:rStyle w:val="37"/>
          <w:rFonts w:eastAsia="方正小标宋简体"/>
          <w:b w:val="0"/>
          <w:bCs w:val="0"/>
          <w:color w:val="auto"/>
        </w:rPr>
        <w:t>年度部门决算情况说明</w:t>
      </w:r>
      <w:bookmarkEnd w:id="18"/>
    </w:p>
    <w:p>
      <w:pPr>
        <w:spacing w:line="600" w:lineRule="exact"/>
        <w:rPr>
          <w:color w:val="auto"/>
        </w:rPr>
      </w:pPr>
    </w:p>
    <w:p>
      <w:pPr>
        <w:pStyle w:val="40"/>
        <w:numPr>
          <w:ilvl w:val="0"/>
          <w:numId w:val="2"/>
        </w:numPr>
        <w:spacing w:line="600" w:lineRule="exact"/>
        <w:ind w:firstLineChars="0"/>
        <w:outlineLvl w:val="1"/>
        <w:rPr>
          <w:rStyle w:val="36"/>
          <w:rFonts w:ascii="Times New Roman" w:hAnsi="Times New Roman" w:eastAsia="黑体"/>
          <w:b w:val="0"/>
          <w:color w:val="auto"/>
        </w:rPr>
      </w:pPr>
      <w:bookmarkStart w:id="19" w:name="_Toc15377205"/>
      <w:bookmarkStart w:id="20" w:name="_Toc23574"/>
      <w:bookmarkStart w:id="21" w:name="_Toc26165"/>
      <w:r>
        <w:rPr>
          <w:rFonts w:eastAsia="黑体"/>
          <w:color w:val="auto"/>
          <w:sz w:val="32"/>
          <w:szCs w:val="32"/>
        </w:rPr>
        <w:t>收</w:t>
      </w:r>
      <w:r>
        <w:rPr>
          <w:rStyle w:val="36"/>
          <w:rFonts w:ascii="Times New Roman" w:hAnsi="Times New Roman" w:eastAsia="黑体"/>
          <w:b w:val="0"/>
          <w:color w:val="auto"/>
        </w:rPr>
        <w:t>入支出决算总体情况说明</w:t>
      </w:r>
      <w:bookmarkEnd w:id="19"/>
      <w:bookmarkEnd w:id="20"/>
      <w:bookmarkEnd w:id="21"/>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年度收、支总计21,309.19万元。与20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1,304.01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_GB2312" w:cs="Times New Roman"/>
          <w:color w:val="auto"/>
          <w:sz w:val="32"/>
          <w:szCs w:val="32"/>
          <w:highlight w:val="none"/>
        </w:rPr>
        <w:t>追加目标绩效、</w:t>
      </w:r>
      <w:r>
        <w:rPr>
          <w:rFonts w:hint="eastAsia" w:ascii="Times New Roman" w:hAnsi="Times New Roman" w:eastAsia="仿宋_GB2312" w:cs="Times New Roman"/>
          <w:color w:val="auto"/>
          <w:sz w:val="32"/>
          <w:szCs w:val="32"/>
          <w:highlight w:val="none"/>
          <w:lang w:eastAsia="zh-CN"/>
        </w:rPr>
        <w:t>中省市等项目</w:t>
      </w:r>
      <w:r>
        <w:rPr>
          <w:rFonts w:hint="eastAsia" w:eastAsia="仿宋_GB2312" w:cs="Times New Roman"/>
          <w:color w:val="auto"/>
          <w:sz w:val="32"/>
          <w:szCs w:val="32"/>
          <w:highlight w:val="none"/>
          <w:lang w:eastAsia="zh-CN"/>
        </w:rPr>
        <w:t>资金</w:t>
      </w:r>
      <w:r>
        <w:rPr>
          <w:rFonts w:hint="eastAsia" w:ascii="仿宋" w:hAnsi="仿宋" w:eastAsia="仿宋"/>
          <w:color w:val="auto"/>
          <w:sz w:val="32"/>
          <w:szCs w:val="32"/>
          <w:highlight w:val="none"/>
          <w:lang w:eastAsia="zh-CN"/>
        </w:rPr>
        <w:t>。</w:t>
      </w:r>
    </w:p>
    <w:p>
      <w:pPr>
        <w:spacing w:line="600" w:lineRule="exact"/>
        <w:ind w:firstLine="640" w:firstLineChars="200"/>
        <w:rPr>
          <w:rFonts w:eastAsia="仿宋_GB2312"/>
          <w:color w:val="auto"/>
          <w:sz w:val="32"/>
          <w:szCs w:val="32"/>
        </w:rPr>
      </w:pPr>
      <w:r>
        <w:rPr>
          <w:rFonts w:eastAsia="仿宋_GB2312"/>
          <w:color w:val="auto"/>
          <w:sz w:val="32"/>
          <w:szCs w:val="32"/>
        </w:rPr>
        <w:t>（图1：收、支决算总计变动情况图）</w:t>
      </w:r>
    </w:p>
    <w:p>
      <w:pPr>
        <w:spacing w:line="600" w:lineRule="exact"/>
        <w:ind w:firstLine="640" w:firstLineChars="200"/>
        <w:rPr>
          <w:rFonts w:eastAsia="仿宋"/>
          <w:color w:val="auto"/>
          <w:sz w:val="32"/>
          <w:szCs w:val="32"/>
        </w:rPr>
      </w:pPr>
      <w:r>
        <w:rPr>
          <w:rFonts w:eastAsia="仿宋"/>
          <w:color w:val="auto"/>
          <w:sz w:val="32"/>
          <w:szCs w:val="32"/>
        </w:rPr>
        <w:pict>
          <v:shape id="Object 6" o:spid="_x0000_s1031" o:spt="75" type="#_x0000_t75" style="position:absolute;left:0pt;margin-left:13.8pt;margin-top:18.2pt;height:165.6pt;width:343.35pt;mso-wrap-distance-bottom:0pt;mso-wrap-distance-top:0pt;z-index:251663360;mso-width-relative:page;mso-height-relative:page;" o:ole="t" filled="f" o:preferrelative="t" stroked="f" coordsize="21600,21600">
            <v:path/>
            <v:fill on="f" focussize="0,0"/>
            <v:stroke on="f"/>
            <v:imagedata r:id="rId9" cropleft="689f" croptop="1241f" o:title=""/>
            <o:lock v:ext="edit" aspectratio="f"/>
            <w10:wrap type="topAndBottom"/>
          </v:shape>
          <o:OLEObject Type="Embed" ProgID="Excel.Sheet.8" ShapeID="Object 6" DrawAspect="Content" ObjectID="_1468075725" r:id="rId8">
            <o:LockedField>false</o:LockedField>
          </o:OLEObject>
        </w:pict>
      </w:r>
    </w:p>
    <w:p>
      <w:pPr>
        <w:pStyle w:val="40"/>
        <w:numPr>
          <w:ilvl w:val="0"/>
          <w:numId w:val="2"/>
        </w:numPr>
        <w:spacing w:line="600" w:lineRule="exact"/>
        <w:ind w:firstLineChars="0"/>
        <w:outlineLvl w:val="1"/>
        <w:rPr>
          <w:rStyle w:val="36"/>
          <w:rFonts w:ascii="Times New Roman" w:hAnsi="Times New Roman" w:eastAsia="黑体"/>
          <w:b w:val="0"/>
          <w:color w:val="auto"/>
        </w:rPr>
      </w:pPr>
      <w:bookmarkStart w:id="22" w:name="_Toc15377206"/>
      <w:bookmarkStart w:id="23" w:name="_Toc19980"/>
      <w:bookmarkStart w:id="24" w:name="_Toc18200"/>
      <w:r>
        <w:rPr>
          <w:rFonts w:eastAsia="黑体"/>
          <w:color w:val="auto"/>
          <w:sz w:val="32"/>
          <w:szCs w:val="32"/>
        </w:rPr>
        <w:t>收</w:t>
      </w:r>
      <w:r>
        <w:rPr>
          <w:rStyle w:val="36"/>
          <w:rFonts w:ascii="Times New Roman" w:hAnsi="Times New Roman" w:eastAsia="黑体"/>
          <w:b w:val="0"/>
          <w:color w:val="auto"/>
        </w:rPr>
        <w:t>入决算情况说明</w:t>
      </w:r>
      <w:bookmarkEnd w:id="22"/>
      <w:bookmarkEnd w:id="23"/>
      <w:bookmarkEnd w:id="24"/>
    </w:p>
    <w:p>
      <w:pPr>
        <w:spacing w:line="600" w:lineRule="exact"/>
        <w:ind w:firstLine="640" w:firstLineChars="200"/>
        <w:outlineLvl w:val="1"/>
        <w:rPr>
          <w:rFonts w:hint="default" w:ascii="仿宋" w:hAnsi="仿宋" w:eastAsia="仿宋"/>
          <w:color w:val="auto"/>
          <w:sz w:val="32"/>
          <w:szCs w:val="32"/>
          <w:highlight w:val="none"/>
          <w:lang w:val="en-US" w:eastAsia="zh-CN"/>
        </w:rPr>
      </w:pPr>
      <w:bookmarkStart w:id="25" w:name="_Toc335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年本年收入合计21,245.08万元，其中：一般公共预算财政拨款收入16,452.44万元，占</w:t>
      </w:r>
      <w:r>
        <w:rPr>
          <w:rFonts w:hint="eastAsia" w:ascii="仿宋" w:hAnsi="仿宋" w:eastAsia="仿宋"/>
          <w:color w:val="auto"/>
          <w:sz w:val="32"/>
          <w:szCs w:val="32"/>
          <w:highlight w:val="none"/>
          <w:lang w:val="en-US" w:eastAsia="zh-CN"/>
        </w:rPr>
        <w:t>77.44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；政府性基金预算财政拨款收入4,300.00万元，占</w:t>
      </w:r>
      <w:r>
        <w:rPr>
          <w:rFonts w:hint="eastAsia" w:ascii="仿宋" w:hAnsi="仿宋" w:eastAsia="仿宋"/>
          <w:color w:val="auto"/>
          <w:sz w:val="32"/>
          <w:szCs w:val="32"/>
          <w:highlight w:val="none"/>
          <w:lang w:val="en-US" w:eastAsia="zh-CN"/>
        </w:rPr>
        <w:t>20.24</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；其他收入492.64万元，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2.32%；</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5"/>
    </w:p>
    <w:p>
      <w:pPr>
        <w:spacing w:line="600" w:lineRule="exact"/>
        <w:ind w:firstLine="640" w:firstLineChars="200"/>
        <w:rPr>
          <w:rFonts w:eastAsia="仿宋_GB2312"/>
          <w:color w:val="auto"/>
          <w:sz w:val="32"/>
          <w:szCs w:val="32"/>
        </w:rPr>
      </w:pPr>
      <w:r>
        <w:rPr>
          <w:rFonts w:eastAsia="仿宋_GB2312"/>
          <w:color w:val="auto"/>
          <w:sz w:val="32"/>
          <w:szCs w:val="32"/>
        </w:rPr>
        <w:t>（图2：收入决算结构图）</w:t>
      </w:r>
    </w:p>
    <w:p>
      <w:pPr>
        <w:pStyle w:val="2"/>
        <w:rPr>
          <w:rFonts w:eastAsia="仿宋_GB2312"/>
          <w:color w:val="auto"/>
          <w:sz w:val="32"/>
          <w:szCs w:val="32"/>
        </w:rPr>
      </w:pPr>
    </w:p>
    <w:p>
      <w:pPr>
        <w:rPr>
          <w:rFonts w:hint="eastAsia" w:eastAsia="仿宋_GB2312"/>
          <w:color w:val="auto"/>
          <w:lang w:eastAsia="zh-CN"/>
        </w:rPr>
      </w:pPr>
      <w:r>
        <w:rPr>
          <w:rFonts w:hint="eastAsia" w:eastAsia="仿宋_GB2312"/>
          <w:color w:val="auto"/>
          <w:lang w:eastAsia="zh-CN"/>
        </w:rPr>
        <w:drawing>
          <wp:inline distT="0" distB="0" distL="114300" distR="114300">
            <wp:extent cx="4630420" cy="2499360"/>
            <wp:effectExtent l="4445" t="5080" r="1333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0"/>
        <w:numPr>
          <w:ilvl w:val="0"/>
          <w:numId w:val="2"/>
        </w:numPr>
        <w:spacing w:line="600" w:lineRule="exact"/>
        <w:ind w:firstLineChars="0"/>
        <w:outlineLvl w:val="1"/>
        <w:rPr>
          <w:rStyle w:val="36"/>
          <w:rFonts w:ascii="Times New Roman" w:hAnsi="Times New Roman" w:eastAsia="黑体"/>
          <w:b w:val="0"/>
          <w:color w:val="auto"/>
        </w:rPr>
      </w:pPr>
      <w:bookmarkStart w:id="26" w:name="_Toc3971"/>
      <w:bookmarkStart w:id="27" w:name="_Toc31330"/>
      <w:bookmarkStart w:id="28" w:name="_Toc15377207"/>
      <w:r>
        <w:rPr>
          <w:rFonts w:eastAsia="黑体"/>
          <w:color w:val="auto"/>
          <w:sz w:val="32"/>
          <w:szCs w:val="32"/>
        </w:rPr>
        <w:t>支</w:t>
      </w:r>
      <w:r>
        <w:rPr>
          <w:rStyle w:val="36"/>
          <w:rFonts w:ascii="Times New Roman" w:hAnsi="Times New Roman" w:eastAsia="黑体"/>
          <w:b w:val="0"/>
          <w:color w:val="auto"/>
        </w:rPr>
        <w:t>出决算情况说明</w:t>
      </w:r>
      <w:bookmarkEnd w:id="26"/>
      <w:bookmarkEnd w:id="27"/>
      <w:bookmarkEnd w:id="28"/>
    </w:p>
    <w:p>
      <w:pPr>
        <w:spacing w:line="600" w:lineRule="exact"/>
        <w:ind w:firstLine="640" w:firstLineChars="200"/>
        <w:outlineLvl w:val="1"/>
        <w:rPr>
          <w:rFonts w:ascii="仿宋" w:hAnsi="仿宋" w:eastAsia="仿宋"/>
          <w:color w:val="auto"/>
          <w:sz w:val="32"/>
          <w:szCs w:val="32"/>
          <w:highlight w:val="none"/>
        </w:rPr>
      </w:pPr>
      <w:bookmarkStart w:id="29" w:name="_Toc1415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年本年支出合计21,113.48万元，其中：基本支出4,086.12万元，占</w:t>
      </w:r>
      <w:r>
        <w:rPr>
          <w:rFonts w:hint="eastAsia" w:ascii="仿宋" w:hAnsi="仿宋" w:eastAsia="仿宋"/>
          <w:color w:val="auto"/>
          <w:sz w:val="32"/>
          <w:szCs w:val="32"/>
          <w:highlight w:val="none"/>
          <w:lang w:val="en-US" w:eastAsia="zh-CN"/>
        </w:rPr>
        <w:t>19.35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；项目支出17,027.36万元，占</w:t>
      </w:r>
      <w:r>
        <w:rPr>
          <w:rFonts w:hint="eastAsia" w:ascii="仿宋" w:hAnsi="仿宋" w:eastAsia="仿宋"/>
          <w:color w:val="auto"/>
          <w:sz w:val="32"/>
          <w:szCs w:val="32"/>
          <w:highlight w:val="none"/>
          <w:lang w:val="en-US" w:eastAsia="zh-CN"/>
        </w:rPr>
        <w:t>80.65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9"/>
    </w:p>
    <w:p>
      <w:pPr>
        <w:spacing w:line="600" w:lineRule="exact"/>
        <w:ind w:firstLine="640" w:firstLineChars="200"/>
        <w:rPr>
          <w:rFonts w:eastAsia="仿宋"/>
          <w:color w:val="auto"/>
          <w:sz w:val="32"/>
          <w:szCs w:val="32"/>
        </w:rPr>
      </w:pPr>
      <w:r>
        <w:rPr>
          <w:rFonts w:eastAsia="仿宋_GB2312"/>
          <w:color w:val="auto"/>
          <w:sz w:val="32"/>
          <w:szCs w:val="32"/>
        </w:rPr>
        <w:t>（图3：支出决算结构图）</w:t>
      </w:r>
    </w:p>
    <w:p>
      <w:pPr>
        <w:spacing w:line="600" w:lineRule="exact"/>
        <w:ind w:firstLine="640" w:firstLineChars="200"/>
        <w:outlineLvl w:val="1"/>
        <w:rPr>
          <w:rStyle w:val="36"/>
          <w:rFonts w:ascii="Times New Roman" w:hAnsi="Times New Roman" w:eastAsia="黑体"/>
          <w:b w:val="0"/>
          <w:color w:val="auto"/>
        </w:rPr>
      </w:pPr>
      <w:bookmarkStart w:id="30" w:name="_Toc25519"/>
      <w:bookmarkStart w:id="31" w:name="_Toc27199"/>
      <w:bookmarkStart w:id="32" w:name="_Toc15377208"/>
      <w:r>
        <w:rPr>
          <w:rFonts w:eastAsia="仿宋"/>
          <w:color w:val="auto"/>
          <w:sz w:val="32"/>
          <w:szCs w:val="32"/>
        </w:rPr>
        <w:pict>
          <v:shape id="Object 4" o:spid="_x0000_s1029" o:spt="75" type="#_x0000_t75" style="position:absolute;left:0pt;margin-left:21.65pt;margin-top:8.8pt;height:150.7pt;width:337.8pt;mso-wrap-distance-bottom:0pt;mso-wrap-distance-top:0pt;z-index:251662336;mso-width-relative:page;mso-height-relative:page;" o:ole="t" filled="f" o:preferrelative="t" stroked="f" coordsize="21600,21600">
            <v:path/>
            <v:fill on="f" focussize="0,0"/>
            <v:stroke on="f"/>
            <v:imagedata r:id="rId12" cropleft="965f" croptop="1799f" o:title=""/>
            <o:lock v:ext="edit" aspectratio="f"/>
            <w10:wrap type="topAndBottom"/>
          </v:shape>
          <o:OLEObject Type="Embed" ProgID="Excel.Sheet.8" ShapeID="Object 4" DrawAspect="Content" ObjectID="_1468075726" r:id="rId11">
            <o:LockedField>false</o:LockedField>
          </o:OLEObject>
        </w:pict>
      </w:r>
      <w:r>
        <w:rPr>
          <w:rFonts w:eastAsia="黑体"/>
          <w:color w:val="auto"/>
          <w:sz w:val="32"/>
          <w:szCs w:val="32"/>
        </w:rPr>
        <w:t>四、财</w:t>
      </w:r>
      <w:r>
        <w:rPr>
          <w:rStyle w:val="36"/>
          <w:rFonts w:ascii="Times New Roman" w:hAnsi="Times New Roman" w:eastAsia="黑体"/>
          <w:b w:val="0"/>
          <w:color w:val="auto"/>
        </w:rPr>
        <w:t>政拨款收入支出决算总体情况说明</w:t>
      </w:r>
      <w:bookmarkEnd w:id="30"/>
      <w:bookmarkEnd w:id="31"/>
      <w:bookmarkEnd w:id="3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年财政拨款收、支总计20,752.44万元。与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1473.39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Times New Roman" w:hAnsi="Times New Roman" w:eastAsia="仿宋_GB2312" w:cs="Times New Roman"/>
          <w:color w:val="auto"/>
          <w:sz w:val="32"/>
          <w:szCs w:val="32"/>
          <w:highlight w:val="none"/>
        </w:rPr>
        <w:t>追加目标绩效、</w:t>
      </w:r>
      <w:r>
        <w:rPr>
          <w:rFonts w:hint="eastAsia" w:ascii="Times New Roman" w:hAnsi="Times New Roman" w:eastAsia="仿宋_GB2312" w:cs="Times New Roman"/>
          <w:color w:val="auto"/>
          <w:sz w:val="32"/>
          <w:szCs w:val="32"/>
          <w:highlight w:val="none"/>
          <w:lang w:eastAsia="zh-CN"/>
        </w:rPr>
        <w:t>中省市等项目</w:t>
      </w:r>
      <w:r>
        <w:rPr>
          <w:rFonts w:hint="eastAsia" w:eastAsia="仿宋_GB2312" w:cs="Times New Roman"/>
          <w:color w:val="auto"/>
          <w:sz w:val="32"/>
          <w:szCs w:val="32"/>
          <w:highlight w:val="none"/>
          <w:lang w:eastAsia="zh-CN"/>
        </w:rPr>
        <w:t>资金。</w:t>
      </w:r>
    </w:p>
    <w:p>
      <w:pPr>
        <w:spacing w:line="600" w:lineRule="exact"/>
        <w:ind w:firstLine="640" w:firstLineChars="200"/>
        <w:rPr>
          <w:rFonts w:hint="eastAsia" w:eastAsia="仿宋"/>
          <w:color w:val="auto"/>
          <w:sz w:val="32"/>
          <w:szCs w:val="32"/>
        </w:rPr>
      </w:pPr>
      <w:r>
        <w:rPr>
          <w:rFonts w:eastAsia="仿宋"/>
          <w:color w:val="auto"/>
          <w:sz w:val="32"/>
          <w:szCs w:val="32"/>
        </w:rPr>
        <w:pict>
          <v:shape id="Object 3" o:spid="_x0000_s1028" o:spt="75" type="#_x0000_t75" style="position:absolute;left:0pt;margin-left:34.85pt;margin-top:29.65pt;height:152.65pt;width:292.8pt;mso-wrap-distance-bottom:0pt;mso-wrap-distance-top:0pt;z-index:251661312;mso-width-relative:page;mso-height-relative:page;" o:ole="t" filled="f" o:preferrelative="t" stroked="f" coordsize="21600,21600">
            <v:path/>
            <v:fill on="f" focussize="0,0"/>
            <v:stroke on="f"/>
            <v:imagedata r:id="rId14" cropleft="290f" croptop="1037f" o:title=""/>
            <o:lock v:ext="edit" aspectratio="f"/>
            <w10:wrap type="topAndBottom"/>
          </v:shape>
          <o:OLEObject Type="Embed" ProgID="Excel.Sheet.8" ShapeID="Object 3" DrawAspect="Content" ObjectID="_1468075727" r:id="rId13">
            <o:LockedField>false</o:LockedField>
          </o:OLEObject>
        </w:pict>
      </w:r>
      <w:r>
        <w:rPr>
          <w:rFonts w:eastAsia="仿宋_GB2312"/>
          <w:color w:val="auto"/>
          <w:sz w:val="32"/>
          <w:szCs w:val="32"/>
        </w:rPr>
        <w:t>（图4：财政拨款收、支决算总计变动情况）</w:t>
      </w:r>
    </w:p>
    <w:p>
      <w:pPr>
        <w:spacing w:line="600" w:lineRule="exact"/>
        <w:ind w:firstLine="640" w:firstLineChars="200"/>
        <w:outlineLvl w:val="1"/>
        <w:rPr>
          <w:rStyle w:val="36"/>
          <w:rFonts w:ascii="Times New Roman" w:hAnsi="Times New Roman" w:eastAsia="黑体"/>
          <w:b w:val="0"/>
          <w:color w:val="auto"/>
        </w:rPr>
      </w:pPr>
      <w:bookmarkStart w:id="33" w:name="_Toc15377209"/>
      <w:bookmarkStart w:id="34" w:name="_Toc18086"/>
      <w:bookmarkStart w:id="35" w:name="_Toc27767"/>
      <w:r>
        <w:rPr>
          <w:rFonts w:eastAsia="黑体"/>
          <w:color w:val="auto"/>
          <w:sz w:val="32"/>
          <w:szCs w:val="32"/>
        </w:rPr>
        <w:t>五、</w:t>
      </w:r>
      <w:r>
        <w:rPr>
          <w:rFonts w:eastAsia="黑体"/>
          <w:b/>
          <w:color w:val="auto"/>
          <w:sz w:val="32"/>
          <w:szCs w:val="32"/>
        </w:rPr>
        <w:t>一</w:t>
      </w:r>
      <w:r>
        <w:rPr>
          <w:rStyle w:val="36"/>
          <w:rFonts w:ascii="Times New Roman" w:hAnsi="Times New Roman" w:eastAsia="黑体"/>
          <w:b w:val="0"/>
          <w:color w:val="auto"/>
        </w:rPr>
        <w:t>般公共预算财政拨款支出决算情况说明</w:t>
      </w:r>
      <w:bookmarkEnd w:id="33"/>
      <w:bookmarkEnd w:id="34"/>
      <w:bookmarkEnd w:id="35"/>
    </w:p>
    <w:p>
      <w:pPr>
        <w:spacing w:line="600" w:lineRule="exact"/>
        <w:ind w:firstLine="643" w:firstLineChars="200"/>
        <w:outlineLvl w:val="2"/>
        <w:rPr>
          <w:rFonts w:eastAsia="楷体_GB2312"/>
          <w:b/>
          <w:bCs/>
          <w:color w:val="auto"/>
          <w:sz w:val="32"/>
          <w:szCs w:val="32"/>
        </w:rPr>
      </w:pPr>
      <w:bookmarkStart w:id="36" w:name="_Toc15377210"/>
      <w:bookmarkStart w:id="37" w:name="_Toc19496"/>
      <w:r>
        <w:rPr>
          <w:rFonts w:eastAsia="楷体_GB2312"/>
          <w:b/>
          <w:bCs/>
          <w:color w:val="auto"/>
          <w:sz w:val="32"/>
          <w:szCs w:val="32"/>
        </w:rPr>
        <w:t>（一）一般公共预算财政拨款支出决算总体情况</w:t>
      </w:r>
      <w:bookmarkEnd w:id="36"/>
      <w:bookmarkEnd w:id="37"/>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452.44万元，占本年支出合计的</w:t>
      </w:r>
      <w:r>
        <w:rPr>
          <w:rFonts w:hint="eastAsia" w:ascii="仿宋" w:hAnsi="仿宋" w:eastAsia="仿宋"/>
          <w:color w:val="auto"/>
          <w:sz w:val="32"/>
          <w:szCs w:val="32"/>
          <w:highlight w:val="none"/>
          <w:lang w:val="en-US" w:eastAsia="zh-CN"/>
        </w:rPr>
        <w:t>98.29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712.71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4.53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项目支出的增加。</w:t>
      </w:r>
    </w:p>
    <w:p>
      <w:pPr>
        <w:spacing w:line="600" w:lineRule="exact"/>
        <w:ind w:firstLine="640" w:firstLineChars="200"/>
        <w:rPr>
          <w:rFonts w:eastAsia="仿宋_GB2312"/>
          <w:color w:val="auto"/>
          <w:sz w:val="32"/>
          <w:szCs w:val="32"/>
        </w:rPr>
      </w:pPr>
      <w:r>
        <w:rPr>
          <w:rFonts w:eastAsia="仿宋_GB2312"/>
          <w:color w:val="auto"/>
          <w:sz w:val="32"/>
          <w:szCs w:val="32"/>
        </w:rPr>
        <w:t>（图5：一般公共预算财政拨款支出决算变动情况）</w:t>
      </w:r>
    </w:p>
    <w:p>
      <w:pPr>
        <w:spacing w:line="600" w:lineRule="exact"/>
        <w:rPr>
          <w:rFonts w:eastAsia="仿宋"/>
          <w:color w:val="auto"/>
          <w:sz w:val="32"/>
          <w:szCs w:val="32"/>
        </w:rPr>
      </w:pPr>
      <w:r>
        <w:rPr>
          <w:rFonts w:eastAsia="仿宋"/>
          <w:color w:val="auto"/>
          <w:sz w:val="32"/>
          <w:szCs w:val="32"/>
        </w:rPr>
        <w:pict>
          <v:shape id="Object 2" o:spid="_x0000_s1027" o:spt="75" type="#_x0000_t75" style="position:absolute;left:0pt;margin-left:55.25pt;margin-top:23.85pt;height:150.7pt;width:289.95pt;mso-wrap-distance-bottom:0pt;mso-wrap-distance-top:0pt;z-index:251660288;mso-width-relative:page;mso-height-relative:page;" o:ole="t" filled="f" o:preferrelative="t" stroked="f" coordsize="21600,21600">
            <v:path/>
            <v:fill on="f" focussize="0,0"/>
            <v:stroke on="f"/>
            <v:imagedata r:id="rId16" cropleft="903f" croptop="1757f" o:title=""/>
            <o:lock v:ext="edit" aspectratio="f"/>
            <w10:wrap type="topAndBottom"/>
          </v:shape>
          <o:OLEObject Type="Embed" ProgID="Excel.Sheet.8" ShapeID="Object 2" DrawAspect="Content" ObjectID="_1468075728" r:id="rId15">
            <o:LockedField>false</o:LockedField>
          </o:OLEObject>
        </w:pict>
      </w:r>
    </w:p>
    <w:p>
      <w:pPr>
        <w:spacing w:line="600" w:lineRule="exact"/>
        <w:ind w:firstLine="643" w:firstLineChars="200"/>
        <w:outlineLvl w:val="2"/>
        <w:rPr>
          <w:rFonts w:eastAsia="楷体_GB2312"/>
          <w:b/>
          <w:bCs/>
          <w:color w:val="auto"/>
          <w:sz w:val="32"/>
          <w:szCs w:val="32"/>
        </w:rPr>
      </w:pPr>
      <w:bookmarkStart w:id="38" w:name="_Toc5046"/>
      <w:bookmarkStart w:id="39" w:name="_Toc15377211"/>
      <w:r>
        <w:rPr>
          <w:rFonts w:eastAsia="楷体_GB2312"/>
          <w:b/>
          <w:bCs/>
          <w:color w:val="auto"/>
          <w:sz w:val="32"/>
          <w:szCs w:val="32"/>
        </w:rPr>
        <w:t>（二）一般公共预算财政拨款支出决算结构情况</w:t>
      </w:r>
      <w:bookmarkEnd w:id="38"/>
      <w:bookmarkEnd w:id="39"/>
    </w:p>
    <w:p>
      <w:pPr>
        <w:spacing w:line="600" w:lineRule="exact"/>
        <w:ind w:firstLine="640" w:firstLineChars="200"/>
        <w:rPr>
          <w:rFonts w:hint="eastAsia" w:ascii="仿宋" w:hAnsi="仿宋" w:eastAsia="仿宋"/>
          <w:b/>
          <w:bCs/>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452.44万元，主要用于以下方面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483.72万元，占</w:t>
      </w:r>
      <w:r>
        <w:rPr>
          <w:rFonts w:hint="eastAsia" w:ascii="仿宋" w:hAnsi="仿宋" w:eastAsia="仿宋"/>
          <w:color w:val="auto"/>
          <w:sz w:val="32"/>
          <w:szCs w:val="32"/>
          <w:highlight w:val="none"/>
          <w:lang w:val="en-US" w:eastAsia="zh-CN"/>
        </w:rPr>
        <w:t>2.94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149.17万元，占</w:t>
      </w:r>
      <w:r>
        <w:rPr>
          <w:rFonts w:hint="eastAsia" w:ascii="仿宋" w:hAnsi="仿宋" w:eastAsia="仿宋"/>
          <w:color w:val="auto"/>
          <w:sz w:val="32"/>
          <w:szCs w:val="32"/>
          <w:highlight w:val="none"/>
          <w:lang w:val="en-US" w:eastAsia="zh-CN"/>
        </w:rPr>
        <w:t>0.91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农林水支出</w:t>
      </w:r>
      <w:r>
        <w:rPr>
          <w:rFonts w:hint="eastAsia" w:ascii="仿宋" w:hAnsi="仿宋" w:eastAsia="仿宋"/>
          <w:color w:val="auto"/>
          <w:sz w:val="32"/>
          <w:szCs w:val="32"/>
          <w:highlight w:val="none"/>
        </w:rPr>
        <w:t>15,236.18</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92.61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商业服务业等支出</w:t>
      </w:r>
      <w:r>
        <w:rPr>
          <w:rFonts w:hint="eastAsia" w:ascii="仿宋" w:hAnsi="仿宋" w:eastAsia="仿宋"/>
          <w:b w:val="0"/>
          <w:bCs/>
          <w:color w:val="auto"/>
          <w:sz w:val="32"/>
          <w:szCs w:val="32"/>
          <w:highlight w:val="none"/>
        </w:rPr>
        <w:t>250.59</w:t>
      </w:r>
      <w:r>
        <w:rPr>
          <w:rFonts w:hint="eastAsia" w:ascii="仿宋" w:hAnsi="仿宋" w:eastAsia="仿宋"/>
          <w:b w:val="0"/>
          <w:bCs/>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253.90万元，占</w:t>
      </w:r>
      <w:r>
        <w:rPr>
          <w:rFonts w:hint="eastAsia" w:ascii="仿宋" w:hAnsi="仿宋" w:eastAsia="仿宋"/>
          <w:color w:val="auto"/>
          <w:sz w:val="32"/>
          <w:szCs w:val="32"/>
          <w:highlight w:val="none"/>
          <w:lang w:val="en-US" w:eastAsia="zh-CN"/>
        </w:rPr>
        <w:t>1.54%；粮油物资储备支出</w:t>
      </w:r>
      <w:r>
        <w:rPr>
          <w:rFonts w:hint="eastAsia" w:ascii="仿宋" w:hAnsi="仿宋" w:eastAsia="仿宋"/>
          <w:b/>
          <w:color w:val="auto"/>
          <w:sz w:val="32"/>
          <w:szCs w:val="32"/>
          <w:highlight w:val="none"/>
        </w:rPr>
        <w:t>68.87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其他支出</w:t>
      </w:r>
      <w:r>
        <w:rPr>
          <w:rFonts w:hint="eastAsia" w:ascii="仿宋" w:hAnsi="仿宋" w:eastAsia="仿宋"/>
          <w:b/>
          <w:bCs/>
          <w:color w:val="auto"/>
          <w:sz w:val="32"/>
          <w:szCs w:val="32"/>
          <w:highlight w:val="none"/>
          <w:lang w:val="en-US" w:eastAsia="zh-CN"/>
        </w:rPr>
        <w:t>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0.06</w:t>
      </w:r>
      <w:r>
        <w:rPr>
          <w:rFonts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w:t>
      </w:r>
    </w:p>
    <w:p>
      <w:pPr>
        <w:spacing w:line="600" w:lineRule="exact"/>
        <w:ind w:firstLine="640" w:firstLineChars="200"/>
        <w:rPr>
          <w:rFonts w:eastAsia="仿宋_GB2312"/>
          <w:color w:val="auto"/>
          <w:sz w:val="32"/>
          <w:szCs w:val="32"/>
        </w:rPr>
      </w:pPr>
      <w:r>
        <w:rPr>
          <w:rFonts w:eastAsia="仿宋_GB2312"/>
          <w:color w:val="auto"/>
          <w:sz w:val="32"/>
          <w:szCs w:val="32"/>
        </w:rPr>
        <w:pict>
          <v:shape id="Object 1" o:spid="_x0000_s1026" o:spt="75" type="#_x0000_t75" style="position:absolute;left:0pt;margin-left:13.25pt;margin-top:33.5pt;height:161.45pt;width:328.4pt;mso-wrap-distance-bottom:0pt;mso-wrap-distance-top:0pt;z-index:251659264;mso-width-relative:page;mso-height-relative:page;" o:ole="t" filled="f" o:preferrelative="t" stroked="f" coordsize="21600,21600">
            <v:path/>
            <v:fill on="f" focussize="0,0"/>
            <v:stroke on="f"/>
            <v:imagedata r:id="rId18" cropleft="730f" croptop="842f" o:title=""/>
            <o:lock v:ext="edit" aspectratio="f"/>
            <w10:wrap type="topAndBottom"/>
          </v:shape>
          <o:OLEObject Type="Embed" ProgID="Excel.Sheet.8" ShapeID="Object 1" DrawAspect="Content" ObjectID="_1468075729" r:id="rId17">
            <o:LockedField>false</o:LockedField>
          </o:OLEObject>
        </w:pict>
      </w:r>
      <w:r>
        <w:rPr>
          <w:rFonts w:eastAsia="仿宋_GB2312"/>
          <w:color w:val="auto"/>
          <w:sz w:val="32"/>
          <w:szCs w:val="32"/>
        </w:rPr>
        <w:t>（图6：一般公共预算财政拨款支出决算结构）</w:t>
      </w:r>
    </w:p>
    <w:p>
      <w:pPr>
        <w:spacing w:line="600" w:lineRule="exact"/>
        <w:ind w:firstLine="643" w:firstLineChars="200"/>
        <w:outlineLvl w:val="2"/>
        <w:rPr>
          <w:rFonts w:eastAsia="楷体_GB2312"/>
          <w:b/>
          <w:bCs/>
          <w:color w:val="auto"/>
          <w:sz w:val="32"/>
          <w:szCs w:val="32"/>
        </w:rPr>
      </w:pPr>
      <w:bookmarkStart w:id="40" w:name="_Toc15377212"/>
      <w:bookmarkStart w:id="41" w:name="_Toc31773"/>
      <w:r>
        <w:rPr>
          <w:rFonts w:eastAsia="楷体_GB2312"/>
          <w:b/>
          <w:bCs/>
          <w:color w:val="auto"/>
          <w:sz w:val="32"/>
          <w:szCs w:val="32"/>
        </w:rPr>
        <w:t>（三）一般公共预算财政拨款支出决算具体情况</w:t>
      </w:r>
      <w:bookmarkEnd w:id="40"/>
      <w:bookmarkEnd w:id="41"/>
    </w:p>
    <w:p>
      <w:pPr>
        <w:spacing w:line="600" w:lineRule="exact"/>
        <w:ind w:firstLine="643" w:firstLineChars="200"/>
        <w:outlineLvl w:val="2"/>
        <w:rPr>
          <w:rFonts w:ascii="仿宋" w:hAnsi="仿宋" w:eastAsia="仿宋"/>
          <w:color w:val="auto"/>
          <w:sz w:val="32"/>
          <w:szCs w:val="32"/>
          <w:highlight w:val="none"/>
        </w:rPr>
      </w:pPr>
      <w:bookmarkStart w:id="42" w:name="_Toc27879"/>
      <w:bookmarkStart w:id="43" w:name="_Toc15377444"/>
      <w:bookmarkStart w:id="44" w:name="_Toc15378460"/>
      <w:bookmarkStart w:id="45" w:name="_Toc15377213"/>
      <w:bookmarkStart w:id="46" w:name="_Toc18750"/>
      <w:bookmarkStart w:id="47" w:name="_Toc1537721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16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452.44</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Style w:val="23"/>
          <w:rFonts w:hint="eastAsia" w:ascii="仿宋" w:hAnsi="仿宋" w:eastAsia="仿宋"/>
          <w:bCs/>
          <w:color w:val="auto"/>
          <w:sz w:val="32"/>
          <w:szCs w:val="32"/>
          <w:highlight w:val="none"/>
        </w:rPr>
        <w:t>完成预算</w:t>
      </w:r>
      <w:r>
        <w:rPr>
          <w:rStyle w:val="23"/>
          <w:rFonts w:hint="eastAsia" w:ascii="仿宋" w:hAnsi="仿宋" w:eastAsia="仿宋"/>
          <w:bCs/>
          <w:color w:val="auto"/>
          <w:sz w:val="32"/>
          <w:szCs w:val="32"/>
          <w:highlight w:val="none"/>
          <w:lang w:val="en-US" w:eastAsia="zh-CN"/>
        </w:rPr>
        <w:t>100</w:t>
      </w:r>
      <w:r>
        <w:rPr>
          <w:rStyle w:val="23"/>
          <w:rFonts w:ascii="仿宋" w:hAnsi="仿宋" w:eastAsia="仿宋"/>
          <w:bCs/>
          <w:color w:val="auto"/>
          <w:sz w:val="32"/>
          <w:szCs w:val="32"/>
          <w:highlight w:val="none"/>
        </w:rPr>
        <w:t>%</w:t>
      </w:r>
      <w:r>
        <w:rPr>
          <w:rStyle w:val="23"/>
          <w:rFonts w:hint="eastAsia" w:ascii="仿宋" w:hAnsi="仿宋" w:eastAsia="仿宋"/>
          <w:bCs/>
          <w:color w:val="auto"/>
          <w:sz w:val="32"/>
          <w:szCs w:val="32"/>
          <w:highlight w:val="none"/>
        </w:rPr>
        <w:t>。其中：</w:t>
      </w:r>
      <w:bookmarkEnd w:id="42"/>
      <w:bookmarkEnd w:id="43"/>
      <w:bookmarkEnd w:id="44"/>
      <w:bookmarkEnd w:id="45"/>
    </w:p>
    <w:p>
      <w:pPr>
        <w:numPr>
          <w:ilvl w:val="0"/>
          <w:numId w:val="0"/>
        </w:numPr>
        <w:spacing w:line="600" w:lineRule="exact"/>
        <w:ind w:firstLine="643" w:firstLineChars="200"/>
        <w:rPr>
          <w:rStyle w:val="23"/>
          <w:rFonts w:hint="eastAsia" w:ascii="仿宋" w:hAnsi="仿宋" w:eastAsia="仿宋" w:cs="仿宋"/>
          <w:bCs/>
          <w:color w:val="auto"/>
          <w:sz w:val="32"/>
          <w:szCs w:val="32"/>
          <w:highlight w:val="none"/>
          <w:lang w:val="en-US" w:eastAsia="zh-CN"/>
        </w:rPr>
      </w:pPr>
      <w:r>
        <w:rPr>
          <w:rStyle w:val="23"/>
          <w:rFonts w:hint="eastAsia" w:ascii="仿宋" w:hAnsi="仿宋" w:eastAsia="仿宋" w:cs="仿宋"/>
          <w:bCs/>
          <w:color w:val="auto"/>
          <w:sz w:val="32"/>
          <w:szCs w:val="32"/>
          <w:highlight w:val="none"/>
          <w:lang w:val="en-US" w:eastAsia="zh-CN"/>
        </w:rPr>
        <w:t>1.</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）行政事业单位养老支出（</w:t>
      </w:r>
      <w:r>
        <w:rPr>
          <w:rStyle w:val="23"/>
          <w:rFonts w:hint="eastAsia" w:ascii="仿宋" w:hAnsi="仿宋" w:eastAsia="仿宋" w:cs="仿宋"/>
          <w:bCs/>
          <w:color w:val="auto"/>
          <w:sz w:val="32"/>
          <w:szCs w:val="32"/>
          <w:highlight w:val="none"/>
          <w:lang w:val="en-US" w:eastAsia="zh-CN"/>
        </w:rPr>
        <w:t>05</w:t>
      </w:r>
      <w:r>
        <w:rPr>
          <w:rStyle w:val="23"/>
          <w:rFonts w:hint="eastAsia" w:ascii="仿宋" w:hAnsi="仿宋" w:eastAsia="仿宋" w:cs="仿宋"/>
          <w:bCs/>
          <w:color w:val="auto"/>
          <w:sz w:val="32"/>
          <w:szCs w:val="32"/>
          <w:highlight w:val="none"/>
        </w:rPr>
        <w:t>）行政单位离退休（</w:t>
      </w:r>
      <w:r>
        <w:rPr>
          <w:rStyle w:val="23"/>
          <w:rFonts w:hint="eastAsia" w:ascii="仿宋" w:hAnsi="仿宋" w:eastAsia="仿宋" w:cs="仿宋"/>
          <w:bCs/>
          <w:color w:val="auto"/>
          <w:sz w:val="32"/>
          <w:szCs w:val="32"/>
          <w:highlight w:val="none"/>
          <w:lang w:val="en-US" w:eastAsia="zh-CN"/>
        </w:rPr>
        <w:t>01</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 xml:space="preserve"> 支出决算为</w:t>
      </w:r>
      <w:r>
        <w:rPr>
          <w:rStyle w:val="23"/>
          <w:rFonts w:hint="eastAsia" w:ascii="仿宋" w:hAnsi="仿宋" w:eastAsia="仿宋" w:cs="仿宋"/>
          <w:b w:val="0"/>
          <w:bCs/>
          <w:color w:val="auto"/>
          <w:sz w:val="32"/>
          <w:szCs w:val="32"/>
          <w:highlight w:val="none"/>
          <w:lang w:val="en-US" w:eastAsia="zh-CN"/>
        </w:rPr>
        <w:t>10.23</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Style w:val="23"/>
          <w:rFonts w:hint="eastAsia" w:ascii="仿宋" w:hAnsi="仿宋" w:eastAsia="仿宋" w:cs="仿宋"/>
          <w:b w:val="0"/>
          <w:bCs/>
          <w:color w:val="auto"/>
          <w:sz w:val="32"/>
          <w:szCs w:val="32"/>
          <w:highlight w:val="none"/>
        </w:rPr>
      </w:pPr>
      <w:r>
        <w:rPr>
          <w:rStyle w:val="23"/>
          <w:rFonts w:hint="eastAsia" w:ascii="仿宋" w:hAnsi="仿宋" w:eastAsia="仿宋" w:cs="仿宋"/>
          <w:bCs/>
          <w:color w:val="auto"/>
          <w:sz w:val="32"/>
          <w:szCs w:val="32"/>
          <w:highlight w:val="none"/>
          <w:lang w:val="en-US" w:eastAsia="zh-CN"/>
        </w:rPr>
        <w:t>2.</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）行政事业单位养老支出（</w:t>
      </w:r>
      <w:r>
        <w:rPr>
          <w:rStyle w:val="23"/>
          <w:rFonts w:hint="eastAsia" w:ascii="仿宋" w:hAnsi="仿宋" w:eastAsia="仿宋" w:cs="仿宋"/>
          <w:bCs/>
          <w:color w:val="auto"/>
          <w:sz w:val="32"/>
          <w:szCs w:val="32"/>
          <w:highlight w:val="none"/>
          <w:lang w:val="en-US" w:eastAsia="zh-CN"/>
        </w:rPr>
        <w:t>05</w:t>
      </w:r>
      <w:r>
        <w:rPr>
          <w:rStyle w:val="23"/>
          <w:rFonts w:hint="eastAsia" w:ascii="仿宋" w:hAnsi="仿宋" w:eastAsia="仿宋" w:cs="仿宋"/>
          <w:bCs/>
          <w:color w:val="auto"/>
          <w:sz w:val="32"/>
          <w:szCs w:val="32"/>
          <w:highlight w:val="none"/>
        </w:rPr>
        <w:t>）机关事业单位基本养老保险缴费支出（</w:t>
      </w:r>
      <w:r>
        <w:rPr>
          <w:rStyle w:val="23"/>
          <w:rFonts w:hint="eastAsia" w:ascii="仿宋" w:hAnsi="仿宋" w:eastAsia="仿宋" w:cs="仿宋"/>
          <w:bCs/>
          <w:color w:val="auto"/>
          <w:sz w:val="32"/>
          <w:szCs w:val="32"/>
          <w:highlight w:val="none"/>
          <w:lang w:val="en-US" w:eastAsia="zh-CN"/>
        </w:rPr>
        <w:t>05</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 xml:space="preserve"> 支出决算为</w:t>
      </w:r>
      <w:r>
        <w:rPr>
          <w:rStyle w:val="23"/>
          <w:rFonts w:hint="eastAsia" w:ascii="仿宋" w:hAnsi="仿宋" w:eastAsia="仿宋" w:cs="仿宋"/>
          <w:b w:val="0"/>
          <w:bCs/>
          <w:color w:val="auto"/>
          <w:sz w:val="32"/>
          <w:szCs w:val="32"/>
          <w:highlight w:val="none"/>
          <w:lang w:val="en-US" w:eastAsia="zh-CN"/>
        </w:rPr>
        <w:t>311.47</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b/>
          <w:color w:val="auto"/>
          <w:sz w:val="32"/>
          <w:szCs w:val="32"/>
          <w:highlight w:val="none"/>
          <w:lang w:eastAsia="zh-CN"/>
        </w:rPr>
      </w:pPr>
      <w:r>
        <w:rPr>
          <w:rStyle w:val="23"/>
          <w:rFonts w:hint="eastAsia" w:ascii="仿宋" w:hAnsi="仿宋" w:eastAsia="仿宋" w:cs="仿宋"/>
          <w:bCs/>
          <w:color w:val="auto"/>
          <w:sz w:val="32"/>
          <w:szCs w:val="32"/>
          <w:highlight w:val="none"/>
          <w:lang w:val="en-US" w:eastAsia="zh-CN"/>
        </w:rPr>
        <w:t>3.</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）行政事业单位养老支出（</w:t>
      </w:r>
      <w:r>
        <w:rPr>
          <w:rStyle w:val="23"/>
          <w:rFonts w:hint="eastAsia" w:ascii="仿宋" w:hAnsi="仿宋" w:eastAsia="仿宋" w:cs="仿宋"/>
          <w:bCs/>
          <w:color w:val="auto"/>
          <w:sz w:val="32"/>
          <w:szCs w:val="32"/>
          <w:highlight w:val="none"/>
          <w:lang w:val="en-US" w:eastAsia="zh-CN"/>
        </w:rPr>
        <w:t>05</w:t>
      </w:r>
      <w:r>
        <w:rPr>
          <w:rStyle w:val="23"/>
          <w:rFonts w:hint="eastAsia" w:ascii="仿宋" w:hAnsi="仿宋" w:eastAsia="仿宋" w:cs="仿宋"/>
          <w:bCs/>
          <w:color w:val="auto"/>
          <w:sz w:val="32"/>
          <w:szCs w:val="32"/>
          <w:highlight w:val="none"/>
        </w:rPr>
        <w:t>）机关事业单位职业年金缴费支出（</w:t>
      </w:r>
      <w:r>
        <w:rPr>
          <w:rStyle w:val="23"/>
          <w:rFonts w:hint="eastAsia" w:ascii="仿宋" w:hAnsi="仿宋" w:eastAsia="仿宋" w:cs="仿宋"/>
          <w:bCs/>
          <w:color w:val="auto"/>
          <w:sz w:val="32"/>
          <w:szCs w:val="32"/>
          <w:highlight w:val="none"/>
          <w:lang w:val="en-US" w:eastAsia="zh-CN"/>
        </w:rPr>
        <w:t>06</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 xml:space="preserve"> 支出决算为</w:t>
      </w:r>
      <w:r>
        <w:rPr>
          <w:rStyle w:val="23"/>
          <w:rFonts w:hint="eastAsia" w:ascii="仿宋" w:hAnsi="仿宋" w:eastAsia="仿宋" w:cs="仿宋"/>
          <w:b w:val="0"/>
          <w:bCs/>
          <w:color w:val="auto"/>
          <w:sz w:val="32"/>
          <w:szCs w:val="32"/>
          <w:highlight w:val="none"/>
          <w:lang w:val="en-US" w:eastAsia="zh-CN"/>
        </w:rPr>
        <w:t>62.01</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Style w:val="23"/>
          <w:rFonts w:hint="eastAsia" w:ascii="仿宋" w:hAnsi="仿宋" w:eastAsia="仿宋" w:cs="仿宋"/>
          <w:b w:val="0"/>
          <w:bCs/>
          <w:color w:val="auto"/>
          <w:sz w:val="32"/>
          <w:szCs w:val="32"/>
          <w:highlight w:val="none"/>
        </w:rPr>
      </w:pPr>
      <w:r>
        <w:rPr>
          <w:rStyle w:val="23"/>
          <w:rFonts w:hint="eastAsia" w:ascii="仿宋" w:hAnsi="仿宋" w:eastAsia="仿宋" w:cs="仿宋"/>
          <w:bCs/>
          <w:color w:val="auto"/>
          <w:sz w:val="32"/>
          <w:szCs w:val="32"/>
          <w:highlight w:val="none"/>
          <w:lang w:val="en-US" w:eastAsia="zh-CN"/>
        </w:rPr>
        <w:t>4.</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）抚恤（</w:t>
      </w:r>
      <w:r>
        <w:rPr>
          <w:rStyle w:val="23"/>
          <w:rFonts w:hint="eastAsia" w:ascii="仿宋" w:hAnsi="仿宋" w:eastAsia="仿宋" w:cs="仿宋"/>
          <w:bCs/>
          <w:color w:val="auto"/>
          <w:sz w:val="32"/>
          <w:szCs w:val="32"/>
          <w:highlight w:val="none"/>
          <w:lang w:val="en-US" w:eastAsia="zh-CN"/>
        </w:rPr>
        <w:t>08</w:t>
      </w:r>
      <w:r>
        <w:rPr>
          <w:rStyle w:val="23"/>
          <w:rFonts w:hint="eastAsia" w:ascii="仿宋" w:hAnsi="仿宋" w:eastAsia="仿宋" w:cs="仿宋"/>
          <w:bCs/>
          <w:color w:val="auto"/>
          <w:sz w:val="32"/>
          <w:szCs w:val="32"/>
          <w:highlight w:val="none"/>
        </w:rPr>
        <w:t>） 死亡抚恤（</w:t>
      </w:r>
      <w:r>
        <w:rPr>
          <w:rStyle w:val="23"/>
          <w:rFonts w:hint="eastAsia" w:ascii="仿宋" w:hAnsi="仿宋" w:eastAsia="仿宋" w:cs="仿宋"/>
          <w:bCs/>
          <w:color w:val="auto"/>
          <w:sz w:val="32"/>
          <w:szCs w:val="32"/>
          <w:highlight w:val="none"/>
          <w:lang w:val="en-US" w:eastAsia="zh-CN"/>
        </w:rPr>
        <w:t>01</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 xml:space="preserve"> 支出决算为</w:t>
      </w:r>
      <w:r>
        <w:rPr>
          <w:rStyle w:val="23"/>
          <w:rFonts w:hint="eastAsia" w:ascii="仿宋" w:hAnsi="仿宋" w:eastAsia="仿宋" w:cs="仿宋"/>
          <w:b w:val="0"/>
          <w:bCs/>
          <w:color w:val="auto"/>
          <w:sz w:val="32"/>
          <w:szCs w:val="32"/>
          <w:highlight w:val="none"/>
          <w:lang w:val="en-US" w:eastAsia="zh-CN"/>
        </w:rPr>
        <w:t>67.71</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cs="仿宋"/>
          <w:b/>
          <w:color w:val="auto"/>
          <w:sz w:val="32"/>
          <w:szCs w:val="32"/>
          <w:highlight w:val="yellow"/>
        </w:rPr>
      </w:pPr>
      <w:r>
        <w:rPr>
          <w:rStyle w:val="23"/>
          <w:rFonts w:hint="eastAsia" w:ascii="仿宋" w:hAnsi="仿宋" w:eastAsia="仿宋" w:cs="仿宋"/>
          <w:bCs/>
          <w:color w:val="auto"/>
          <w:sz w:val="32"/>
          <w:szCs w:val="32"/>
          <w:highlight w:val="none"/>
          <w:lang w:val="en-US" w:eastAsia="zh-CN"/>
        </w:rPr>
        <w:t>5.</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bCs w:val="0"/>
          <w:color w:val="auto"/>
          <w:sz w:val="32"/>
          <w:szCs w:val="32"/>
          <w:highlight w:val="none"/>
        </w:rPr>
        <w:t>残疾人事业</w:t>
      </w:r>
      <w:r>
        <w:rPr>
          <w:rStyle w:val="23"/>
          <w:rFonts w:hint="eastAsia" w:ascii="仿宋" w:hAnsi="仿宋" w:eastAsia="仿宋" w:cs="仿宋"/>
          <w:b/>
          <w:bCs w:val="0"/>
          <w:color w:val="auto"/>
          <w:sz w:val="32"/>
          <w:szCs w:val="32"/>
          <w:highlight w:val="none"/>
          <w:lang w:eastAsia="zh-CN"/>
        </w:rPr>
        <w:t>（</w:t>
      </w:r>
      <w:r>
        <w:rPr>
          <w:rStyle w:val="23"/>
          <w:rFonts w:hint="eastAsia" w:ascii="仿宋" w:hAnsi="仿宋" w:eastAsia="仿宋" w:cs="仿宋"/>
          <w:b/>
          <w:bCs w:val="0"/>
          <w:color w:val="auto"/>
          <w:sz w:val="32"/>
          <w:szCs w:val="32"/>
          <w:highlight w:val="none"/>
          <w:lang w:val="en-US" w:eastAsia="zh-CN"/>
        </w:rPr>
        <w:t>11</w:t>
      </w:r>
      <w:r>
        <w:rPr>
          <w:rStyle w:val="23"/>
          <w:rFonts w:hint="eastAsia" w:ascii="仿宋" w:hAnsi="仿宋" w:eastAsia="仿宋" w:cs="仿宋"/>
          <w:b/>
          <w:bCs w:val="0"/>
          <w:color w:val="auto"/>
          <w:sz w:val="32"/>
          <w:szCs w:val="32"/>
          <w:highlight w:val="none"/>
          <w:lang w:eastAsia="zh-CN"/>
        </w:rPr>
        <w:t>）</w:t>
      </w:r>
      <w:r>
        <w:rPr>
          <w:rStyle w:val="23"/>
          <w:rFonts w:hint="eastAsia" w:ascii="仿宋" w:hAnsi="仿宋" w:eastAsia="仿宋" w:cs="仿宋"/>
          <w:b/>
          <w:bCs w:val="0"/>
          <w:color w:val="auto"/>
          <w:sz w:val="32"/>
          <w:szCs w:val="32"/>
          <w:highlight w:val="none"/>
        </w:rPr>
        <w:t>残疾人就业</w:t>
      </w:r>
      <w:r>
        <w:rPr>
          <w:rStyle w:val="23"/>
          <w:rFonts w:hint="eastAsia" w:ascii="仿宋" w:hAnsi="仿宋" w:eastAsia="仿宋" w:cs="仿宋"/>
          <w:b/>
          <w:bCs w:val="0"/>
          <w:color w:val="auto"/>
          <w:sz w:val="32"/>
          <w:szCs w:val="32"/>
          <w:highlight w:val="none"/>
          <w:lang w:eastAsia="zh-CN"/>
        </w:rPr>
        <w:t>（</w:t>
      </w:r>
      <w:r>
        <w:rPr>
          <w:rStyle w:val="23"/>
          <w:rFonts w:hint="eastAsia" w:ascii="仿宋" w:hAnsi="仿宋" w:eastAsia="仿宋" w:cs="仿宋"/>
          <w:b/>
          <w:bCs w:val="0"/>
          <w:color w:val="auto"/>
          <w:sz w:val="32"/>
          <w:szCs w:val="32"/>
          <w:highlight w:val="none"/>
          <w:lang w:val="en-US" w:eastAsia="zh-CN"/>
        </w:rPr>
        <w:t>05</w:t>
      </w:r>
      <w:r>
        <w:rPr>
          <w:rStyle w:val="23"/>
          <w:rFonts w:hint="eastAsia" w:ascii="仿宋" w:hAnsi="仿宋" w:eastAsia="仿宋" w:cs="仿宋"/>
          <w:b/>
          <w:bCs w:val="0"/>
          <w:color w:val="auto"/>
          <w:sz w:val="32"/>
          <w:szCs w:val="32"/>
          <w:highlight w:val="none"/>
          <w:lang w:eastAsia="zh-CN"/>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rPr>
        <w:t>支出决算为22.87万元，完成预算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p>
    <w:p>
      <w:pPr>
        <w:numPr>
          <w:ilvl w:val="0"/>
          <w:numId w:val="0"/>
        </w:numPr>
        <w:spacing w:line="600" w:lineRule="exact"/>
        <w:ind w:firstLine="643" w:firstLineChars="200"/>
        <w:rPr>
          <w:rFonts w:hint="eastAsia" w:ascii="仿宋" w:hAnsi="仿宋" w:eastAsia="仿宋" w:cs="仿宋"/>
          <w:b/>
          <w:color w:val="auto"/>
          <w:sz w:val="32"/>
          <w:szCs w:val="32"/>
          <w:highlight w:val="none"/>
        </w:rPr>
      </w:pPr>
      <w:r>
        <w:rPr>
          <w:rStyle w:val="23"/>
          <w:rFonts w:hint="eastAsia" w:ascii="仿宋" w:hAnsi="仿宋" w:eastAsia="仿宋" w:cs="仿宋"/>
          <w:bCs/>
          <w:color w:val="auto"/>
          <w:sz w:val="32"/>
          <w:szCs w:val="32"/>
          <w:highlight w:val="none"/>
          <w:lang w:val="en-US" w:eastAsia="zh-CN"/>
        </w:rPr>
        <w:t>6.</w:t>
      </w:r>
      <w:r>
        <w:rPr>
          <w:rStyle w:val="23"/>
          <w:rFonts w:hint="eastAsia" w:ascii="仿宋" w:hAnsi="仿宋" w:eastAsia="仿宋" w:cs="仿宋"/>
          <w:bCs/>
          <w:color w:val="auto"/>
          <w:sz w:val="32"/>
          <w:szCs w:val="32"/>
          <w:highlight w:val="none"/>
        </w:rPr>
        <w:t>社会保障和就业支出（</w:t>
      </w:r>
      <w:r>
        <w:rPr>
          <w:rStyle w:val="23"/>
          <w:rFonts w:hint="eastAsia" w:ascii="仿宋" w:hAnsi="仿宋" w:eastAsia="仿宋" w:cs="仿宋"/>
          <w:bCs/>
          <w:color w:val="auto"/>
          <w:sz w:val="32"/>
          <w:szCs w:val="32"/>
          <w:highlight w:val="none"/>
          <w:lang w:val="en-US" w:eastAsia="zh-CN"/>
        </w:rPr>
        <w:t>208</w:t>
      </w:r>
      <w:r>
        <w:rPr>
          <w:rStyle w:val="23"/>
          <w:rFonts w:hint="eastAsia" w:ascii="仿宋" w:hAnsi="仿宋" w:eastAsia="仿宋" w:cs="仿宋"/>
          <w:bCs/>
          <w:color w:val="auto"/>
          <w:sz w:val="32"/>
          <w:szCs w:val="32"/>
          <w:highlight w:val="none"/>
        </w:rPr>
        <w:t>）其他社会保障和就业支出（</w:t>
      </w:r>
      <w:r>
        <w:rPr>
          <w:rStyle w:val="23"/>
          <w:rFonts w:hint="eastAsia" w:ascii="仿宋" w:hAnsi="仿宋" w:eastAsia="仿宋" w:cs="仿宋"/>
          <w:bCs/>
          <w:color w:val="auto"/>
          <w:sz w:val="32"/>
          <w:szCs w:val="32"/>
          <w:highlight w:val="none"/>
          <w:lang w:val="en-US" w:eastAsia="zh-CN"/>
        </w:rPr>
        <w:t>99</w:t>
      </w:r>
      <w:r>
        <w:rPr>
          <w:rStyle w:val="23"/>
          <w:rFonts w:hint="eastAsia" w:ascii="仿宋" w:hAnsi="仿宋" w:eastAsia="仿宋" w:cs="仿宋"/>
          <w:bCs/>
          <w:color w:val="auto"/>
          <w:sz w:val="32"/>
          <w:szCs w:val="32"/>
          <w:highlight w:val="none"/>
        </w:rPr>
        <w:t>）其他社会保障和就业支出（</w:t>
      </w:r>
      <w:r>
        <w:rPr>
          <w:rStyle w:val="23"/>
          <w:rFonts w:hint="eastAsia" w:ascii="仿宋" w:hAnsi="仿宋" w:eastAsia="仿宋" w:cs="仿宋"/>
          <w:bCs/>
          <w:color w:val="auto"/>
          <w:sz w:val="32"/>
          <w:szCs w:val="32"/>
          <w:highlight w:val="none"/>
          <w:lang w:val="en-US" w:eastAsia="zh-CN"/>
        </w:rPr>
        <w:t>99</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 xml:space="preserve"> 支出决算为</w:t>
      </w:r>
      <w:r>
        <w:rPr>
          <w:rStyle w:val="23"/>
          <w:rFonts w:hint="eastAsia" w:ascii="仿宋" w:hAnsi="仿宋" w:eastAsia="仿宋" w:cs="仿宋"/>
          <w:b w:val="0"/>
          <w:bCs/>
          <w:color w:val="auto"/>
          <w:sz w:val="32"/>
          <w:szCs w:val="32"/>
          <w:highlight w:val="none"/>
          <w:lang w:val="en-US" w:eastAsia="zh-CN"/>
        </w:rPr>
        <w:t>9.43</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卫生健康</w:t>
      </w:r>
      <w:r>
        <w:rPr>
          <w:rFonts w:hint="eastAsia" w:ascii="仿宋" w:hAnsi="仿宋" w:eastAsia="仿宋" w:cs="仿宋"/>
          <w:b/>
          <w:bCs/>
          <w:color w:val="auto"/>
          <w:sz w:val="32"/>
          <w:szCs w:val="32"/>
          <w:highlight w:val="none"/>
          <w:lang w:eastAsia="zh-CN"/>
        </w:rPr>
        <w:t>支出</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Cs/>
          <w:color w:val="auto"/>
          <w:sz w:val="32"/>
          <w:szCs w:val="32"/>
          <w:highlight w:val="none"/>
          <w:lang w:val="en-US" w:eastAsia="zh-CN"/>
        </w:rPr>
        <w:t>210</w:t>
      </w:r>
      <w:r>
        <w:rPr>
          <w:rStyle w:val="23"/>
          <w:rFonts w:hint="eastAsia" w:ascii="仿宋" w:hAnsi="仿宋" w:eastAsia="仿宋" w:cs="仿宋"/>
          <w:bCs/>
          <w:color w:val="auto"/>
          <w:sz w:val="32"/>
          <w:szCs w:val="32"/>
          <w:highlight w:val="none"/>
        </w:rPr>
        <w:t>）行政事业单位医疗（</w:t>
      </w:r>
      <w:r>
        <w:rPr>
          <w:rStyle w:val="23"/>
          <w:rFonts w:hint="eastAsia" w:ascii="仿宋" w:hAnsi="仿宋" w:eastAsia="仿宋" w:cs="仿宋"/>
          <w:bCs/>
          <w:color w:val="auto"/>
          <w:sz w:val="32"/>
          <w:szCs w:val="32"/>
          <w:highlight w:val="none"/>
          <w:lang w:val="en-US" w:eastAsia="zh-CN"/>
        </w:rPr>
        <w:t>11</w:t>
      </w:r>
      <w:r>
        <w:rPr>
          <w:rStyle w:val="23"/>
          <w:rFonts w:hint="eastAsia" w:ascii="仿宋" w:hAnsi="仿宋" w:eastAsia="仿宋" w:cs="仿宋"/>
          <w:bCs/>
          <w:color w:val="auto"/>
          <w:sz w:val="32"/>
          <w:szCs w:val="32"/>
          <w:highlight w:val="none"/>
        </w:rPr>
        <w:t>）行政单位医疗（</w:t>
      </w:r>
      <w:r>
        <w:rPr>
          <w:rStyle w:val="23"/>
          <w:rFonts w:hint="eastAsia" w:ascii="仿宋" w:hAnsi="仿宋" w:eastAsia="仿宋" w:cs="仿宋"/>
          <w:bCs/>
          <w:color w:val="auto"/>
          <w:sz w:val="32"/>
          <w:szCs w:val="32"/>
          <w:highlight w:val="none"/>
          <w:lang w:val="en-US" w:eastAsia="zh-CN"/>
        </w:rPr>
        <w:t>01</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支出决算为</w:t>
      </w:r>
      <w:r>
        <w:rPr>
          <w:rStyle w:val="23"/>
          <w:rFonts w:hint="eastAsia" w:ascii="仿宋" w:hAnsi="仿宋" w:eastAsia="仿宋" w:cs="仿宋"/>
          <w:b w:val="0"/>
          <w:bCs/>
          <w:color w:val="auto"/>
          <w:sz w:val="32"/>
          <w:szCs w:val="32"/>
          <w:highlight w:val="none"/>
          <w:lang w:val="en-US" w:eastAsia="zh-CN"/>
        </w:rPr>
        <w:t>25.09</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卫生健康</w:t>
      </w:r>
      <w:r>
        <w:rPr>
          <w:rFonts w:hint="eastAsia" w:ascii="仿宋" w:hAnsi="仿宋" w:eastAsia="仿宋" w:cs="仿宋"/>
          <w:b/>
          <w:bCs/>
          <w:color w:val="auto"/>
          <w:sz w:val="32"/>
          <w:szCs w:val="32"/>
          <w:highlight w:val="none"/>
          <w:lang w:eastAsia="zh-CN"/>
        </w:rPr>
        <w:t>支出</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Cs/>
          <w:color w:val="auto"/>
          <w:sz w:val="32"/>
          <w:szCs w:val="32"/>
          <w:highlight w:val="none"/>
          <w:lang w:val="en-US" w:eastAsia="zh-CN"/>
        </w:rPr>
        <w:t>210</w:t>
      </w:r>
      <w:r>
        <w:rPr>
          <w:rStyle w:val="23"/>
          <w:rFonts w:hint="eastAsia" w:ascii="仿宋" w:hAnsi="仿宋" w:eastAsia="仿宋" w:cs="仿宋"/>
          <w:bCs/>
          <w:color w:val="auto"/>
          <w:sz w:val="32"/>
          <w:szCs w:val="32"/>
          <w:highlight w:val="none"/>
        </w:rPr>
        <w:t>）行政事业单位医疗（</w:t>
      </w:r>
      <w:r>
        <w:rPr>
          <w:rStyle w:val="23"/>
          <w:rFonts w:hint="eastAsia" w:ascii="仿宋" w:hAnsi="仿宋" w:eastAsia="仿宋" w:cs="仿宋"/>
          <w:bCs/>
          <w:color w:val="auto"/>
          <w:sz w:val="32"/>
          <w:szCs w:val="32"/>
          <w:highlight w:val="none"/>
          <w:lang w:val="en-US" w:eastAsia="zh-CN"/>
        </w:rPr>
        <w:t>11</w:t>
      </w:r>
      <w:r>
        <w:rPr>
          <w:rStyle w:val="23"/>
          <w:rFonts w:hint="eastAsia" w:ascii="仿宋" w:hAnsi="仿宋" w:eastAsia="仿宋" w:cs="仿宋"/>
          <w:bCs/>
          <w:color w:val="auto"/>
          <w:sz w:val="32"/>
          <w:szCs w:val="32"/>
          <w:highlight w:val="none"/>
        </w:rPr>
        <w:t>）事业单位医疗（</w:t>
      </w:r>
      <w:r>
        <w:rPr>
          <w:rStyle w:val="23"/>
          <w:rFonts w:hint="eastAsia" w:ascii="仿宋" w:hAnsi="仿宋" w:eastAsia="仿宋" w:cs="仿宋"/>
          <w:bCs/>
          <w:color w:val="auto"/>
          <w:sz w:val="32"/>
          <w:szCs w:val="32"/>
          <w:highlight w:val="none"/>
          <w:lang w:val="en-US" w:eastAsia="zh-CN"/>
        </w:rPr>
        <w:t>02</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支出决算为</w:t>
      </w:r>
      <w:r>
        <w:rPr>
          <w:rStyle w:val="23"/>
          <w:rFonts w:hint="eastAsia" w:ascii="仿宋" w:hAnsi="仿宋" w:eastAsia="仿宋" w:cs="仿宋"/>
          <w:b w:val="0"/>
          <w:bCs/>
          <w:color w:val="auto"/>
          <w:sz w:val="32"/>
          <w:szCs w:val="32"/>
          <w:highlight w:val="none"/>
          <w:lang w:val="en-US" w:eastAsia="zh-CN"/>
        </w:rPr>
        <w:t>77.85</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卫生健康</w:t>
      </w:r>
      <w:r>
        <w:rPr>
          <w:rFonts w:hint="eastAsia" w:ascii="仿宋" w:hAnsi="仿宋" w:eastAsia="仿宋" w:cs="仿宋"/>
          <w:b/>
          <w:bCs/>
          <w:color w:val="auto"/>
          <w:sz w:val="32"/>
          <w:szCs w:val="32"/>
          <w:highlight w:val="none"/>
          <w:lang w:eastAsia="zh-CN"/>
        </w:rPr>
        <w:t>支出</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Cs/>
          <w:color w:val="auto"/>
          <w:sz w:val="32"/>
          <w:szCs w:val="32"/>
          <w:highlight w:val="none"/>
          <w:lang w:val="en-US" w:eastAsia="zh-CN"/>
        </w:rPr>
        <w:t>210</w:t>
      </w:r>
      <w:r>
        <w:rPr>
          <w:rStyle w:val="23"/>
          <w:rFonts w:hint="eastAsia" w:ascii="仿宋" w:hAnsi="仿宋" w:eastAsia="仿宋" w:cs="仿宋"/>
          <w:bCs/>
          <w:color w:val="auto"/>
          <w:sz w:val="32"/>
          <w:szCs w:val="32"/>
          <w:highlight w:val="none"/>
        </w:rPr>
        <w:t>）行政事业单位医疗（</w:t>
      </w:r>
      <w:r>
        <w:rPr>
          <w:rStyle w:val="23"/>
          <w:rFonts w:hint="eastAsia" w:ascii="仿宋" w:hAnsi="仿宋" w:eastAsia="仿宋" w:cs="仿宋"/>
          <w:bCs/>
          <w:color w:val="auto"/>
          <w:sz w:val="32"/>
          <w:szCs w:val="32"/>
          <w:highlight w:val="none"/>
          <w:lang w:val="en-US" w:eastAsia="zh-CN"/>
        </w:rPr>
        <w:t>11</w:t>
      </w:r>
      <w:r>
        <w:rPr>
          <w:rStyle w:val="23"/>
          <w:rFonts w:hint="eastAsia" w:ascii="仿宋" w:hAnsi="仿宋" w:eastAsia="仿宋" w:cs="仿宋"/>
          <w:bCs/>
          <w:color w:val="auto"/>
          <w:sz w:val="32"/>
          <w:szCs w:val="32"/>
          <w:highlight w:val="none"/>
        </w:rPr>
        <w:t>）公务员医疗补助（</w:t>
      </w:r>
      <w:r>
        <w:rPr>
          <w:rStyle w:val="23"/>
          <w:rFonts w:hint="eastAsia" w:ascii="仿宋" w:hAnsi="仿宋" w:eastAsia="仿宋" w:cs="仿宋"/>
          <w:bCs/>
          <w:color w:val="auto"/>
          <w:sz w:val="32"/>
          <w:szCs w:val="32"/>
          <w:highlight w:val="none"/>
          <w:lang w:val="en-US" w:eastAsia="zh-CN"/>
        </w:rPr>
        <w:t>03</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支出决算为</w:t>
      </w:r>
      <w:r>
        <w:rPr>
          <w:rStyle w:val="23"/>
          <w:rFonts w:hint="eastAsia" w:ascii="仿宋" w:hAnsi="仿宋" w:eastAsia="仿宋" w:cs="仿宋"/>
          <w:b w:val="0"/>
          <w:bCs/>
          <w:color w:val="auto"/>
          <w:sz w:val="32"/>
          <w:szCs w:val="32"/>
          <w:highlight w:val="none"/>
          <w:lang w:val="en-US" w:eastAsia="zh-CN"/>
        </w:rPr>
        <w:t>46.23</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rPr>
        <w:t>。</w:t>
      </w:r>
    </w:p>
    <w:p>
      <w:pPr>
        <w:numPr>
          <w:ilvl w:val="0"/>
          <w:numId w:val="0"/>
        </w:numPr>
        <w:spacing w:line="6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10.农林水支出（213）农业农村（01）行政运行（01）:支出决算为848.8万元，完成预算100%，决算数与预算数持平。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11.农林水支出（213）农业农村（01）事业运行（04）:</w:t>
      </w:r>
      <w:r>
        <w:rPr>
          <w:rFonts w:hint="eastAsia" w:ascii="仿宋" w:hAnsi="仿宋" w:eastAsia="仿宋" w:cs="仿宋"/>
          <w:b w:val="0"/>
          <w:bCs w:val="0"/>
          <w:color w:val="auto"/>
          <w:sz w:val="32"/>
          <w:szCs w:val="32"/>
          <w:highlight w:val="none"/>
          <w:lang w:val="en-US" w:eastAsia="zh-CN"/>
        </w:rPr>
        <w:t>支出决算为2342.89万元，完成预算100%，决算数与预算数持平。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12.农林水支出（213）农业农村（01） 病虫害控制（08）:</w:t>
      </w:r>
      <w:r>
        <w:rPr>
          <w:rFonts w:hint="eastAsia" w:ascii="仿宋" w:hAnsi="仿宋" w:eastAsia="仿宋" w:cs="仿宋"/>
          <w:b w:val="0"/>
          <w:bCs w:val="0"/>
          <w:color w:val="auto"/>
          <w:sz w:val="32"/>
          <w:szCs w:val="32"/>
          <w:highlight w:val="none"/>
          <w:lang w:val="en-US" w:eastAsia="zh-CN"/>
        </w:rPr>
        <w:t>支出决算为285.19万元，完成预算100%，决算数与预算数持平。</w:t>
      </w:r>
    </w:p>
    <w:p>
      <w:pPr>
        <w:numPr>
          <w:ilvl w:val="0"/>
          <w:numId w:val="0"/>
        </w:numPr>
        <w:spacing w:line="6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13.农林水支出（213）农业农村（01）农产品质量安全（09）:</w:t>
      </w:r>
      <w:r>
        <w:rPr>
          <w:rFonts w:hint="eastAsia" w:ascii="仿宋" w:hAnsi="仿宋" w:eastAsia="仿宋" w:cs="仿宋"/>
          <w:b w:val="0"/>
          <w:bCs w:val="0"/>
          <w:color w:val="auto"/>
          <w:sz w:val="32"/>
          <w:szCs w:val="32"/>
          <w:highlight w:val="none"/>
          <w:lang w:val="en-US" w:eastAsia="zh-CN"/>
        </w:rPr>
        <w:t>支出决算为13万元，完成预算100%，决算数与预算数持平。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14.农林水支出（213）农业农村（01）执法监管（10）:</w:t>
      </w:r>
      <w:r>
        <w:rPr>
          <w:rFonts w:hint="eastAsia" w:ascii="仿宋" w:hAnsi="仿宋" w:eastAsia="仿宋" w:cs="仿宋"/>
          <w:b w:val="0"/>
          <w:bCs w:val="0"/>
          <w:color w:val="auto"/>
          <w:sz w:val="32"/>
          <w:szCs w:val="32"/>
          <w:highlight w:val="none"/>
          <w:lang w:val="en-US" w:eastAsia="zh-CN"/>
        </w:rPr>
        <w:t>支出决算为10.07万元，完成预算100%，决算数与预算数持平。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15.农林水支出（213）农业农村（01）行业业务管理（12）:</w:t>
      </w:r>
      <w:r>
        <w:rPr>
          <w:rFonts w:hint="eastAsia" w:ascii="仿宋" w:hAnsi="仿宋" w:eastAsia="仿宋" w:cs="仿宋"/>
          <w:b w:val="0"/>
          <w:bCs w:val="0"/>
          <w:color w:val="auto"/>
          <w:sz w:val="32"/>
          <w:szCs w:val="32"/>
          <w:highlight w:val="none"/>
          <w:lang w:val="en-US" w:eastAsia="zh-CN"/>
        </w:rPr>
        <w:t>支出决算为2万元，完成预算100%，决算数与预算数持平。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16.农林水支出（213）农业农村（01）防灾救灾（19）:</w:t>
      </w:r>
      <w:r>
        <w:rPr>
          <w:rFonts w:hint="eastAsia" w:ascii="仿宋" w:hAnsi="仿宋" w:eastAsia="仿宋" w:cs="仿宋"/>
          <w:b w:val="0"/>
          <w:bCs w:val="0"/>
          <w:color w:val="auto"/>
          <w:sz w:val="32"/>
          <w:szCs w:val="32"/>
          <w:highlight w:val="none"/>
          <w:lang w:val="en-US" w:eastAsia="zh-CN"/>
        </w:rPr>
        <w:t>支出决算为114.69万元，完成预算100%，决算数与预算数持平。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17.农林水支出（213）农业农村（01）农业生产发展（22）:</w:t>
      </w:r>
      <w:r>
        <w:rPr>
          <w:rFonts w:hint="eastAsia" w:ascii="仿宋" w:hAnsi="仿宋" w:eastAsia="仿宋" w:cs="仿宋"/>
          <w:b w:val="0"/>
          <w:bCs w:val="0"/>
          <w:color w:val="auto"/>
          <w:sz w:val="32"/>
          <w:szCs w:val="32"/>
          <w:highlight w:val="none"/>
          <w:lang w:val="en-US" w:eastAsia="zh-CN"/>
        </w:rPr>
        <w:t>支出决算为3480.82万元，完成预算100%，决算数与预算数持平。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18.农林水支出（213）农业农村（01）农村合作经济（24）:</w:t>
      </w:r>
      <w:r>
        <w:rPr>
          <w:rFonts w:hint="eastAsia" w:ascii="仿宋" w:hAnsi="仿宋" w:eastAsia="仿宋" w:cs="仿宋"/>
          <w:b w:val="0"/>
          <w:bCs w:val="0"/>
          <w:color w:val="auto"/>
          <w:sz w:val="32"/>
          <w:szCs w:val="32"/>
          <w:highlight w:val="none"/>
          <w:lang w:val="en-US" w:eastAsia="zh-CN"/>
        </w:rPr>
        <w:t>支出决算为4万元，完成预算100%，决算数与预算数持平。</w:t>
      </w:r>
    </w:p>
    <w:p>
      <w:pPr>
        <w:numPr>
          <w:ilvl w:val="0"/>
          <w:numId w:val="0"/>
        </w:numPr>
        <w:spacing w:line="600" w:lineRule="exact"/>
        <w:ind w:firstLine="643" w:firstLineChars="200"/>
        <w:rPr>
          <w:rStyle w:val="23"/>
          <w:rFonts w:hint="eastAsia" w:ascii="仿宋" w:hAnsi="仿宋" w:eastAsia="仿宋" w:cs="仿宋"/>
          <w:b w:val="0"/>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19.农林水支出（213）农业农村（01）农业资源保护修复与利用（35）</w:t>
      </w:r>
      <w:r>
        <w:rPr>
          <w:rStyle w:val="23"/>
          <w:rFonts w:hint="eastAsia" w:ascii="仿宋" w:hAnsi="仿宋" w:eastAsia="仿宋" w:cs="仿宋"/>
          <w:bCs/>
          <w:color w:val="auto"/>
          <w:sz w:val="32"/>
          <w:szCs w:val="32"/>
          <w:highlight w:val="none"/>
        </w:rPr>
        <w:t>:</w:t>
      </w:r>
      <w:r>
        <w:rPr>
          <w:rStyle w:val="23"/>
          <w:rFonts w:hint="eastAsia" w:ascii="仿宋" w:hAnsi="仿宋" w:eastAsia="仿宋" w:cs="仿宋"/>
          <w:b w:val="0"/>
          <w:bCs/>
          <w:color w:val="auto"/>
          <w:sz w:val="32"/>
          <w:szCs w:val="32"/>
          <w:highlight w:val="none"/>
        </w:rPr>
        <w:t>支出决算为</w:t>
      </w:r>
      <w:r>
        <w:rPr>
          <w:rStyle w:val="23"/>
          <w:rFonts w:hint="eastAsia" w:ascii="仿宋" w:hAnsi="仿宋" w:eastAsia="仿宋" w:cs="仿宋"/>
          <w:b w:val="0"/>
          <w:bCs/>
          <w:color w:val="auto"/>
          <w:sz w:val="32"/>
          <w:szCs w:val="32"/>
          <w:highlight w:val="none"/>
          <w:lang w:val="en-US" w:eastAsia="zh-CN"/>
        </w:rPr>
        <w:t>104.66</w:t>
      </w:r>
      <w:r>
        <w:rPr>
          <w:rStyle w:val="23"/>
          <w:rFonts w:hint="eastAsia" w:ascii="仿宋" w:hAnsi="仿宋" w:eastAsia="仿宋" w:cs="仿宋"/>
          <w:b w:val="0"/>
          <w:bCs/>
          <w:color w:val="auto"/>
          <w:sz w:val="32"/>
          <w:szCs w:val="32"/>
          <w:highlight w:val="none"/>
        </w:rPr>
        <w:t>万元，完成预算</w:t>
      </w:r>
      <w:r>
        <w:rPr>
          <w:rStyle w:val="23"/>
          <w:rFonts w:hint="eastAsia" w:ascii="仿宋" w:hAnsi="仿宋" w:eastAsia="仿宋" w:cs="仿宋"/>
          <w:b w:val="0"/>
          <w:bCs/>
          <w:color w:val="auto"/>
          <w:sz w:val="32"/>
          <w:szCs w:val="32"/>
          <w:highlight w:val="none"/>
          <w:lang w:val="en-US" w:eastAsia="zh-CN"/>
        </w:rPr>
        <w:t>100</w:t>
      </w:r>
      <w:r>
        <w:rPr>
          <w:rStyle w:val="23"/>
          <w:rFonts w:hint="eastAsia" w:ascii="仿宋" w:hAnsi="仿宋" w:eastAsia="仿宋" w:cs="仿宋"/>
          <w:b w:val="0"/>
          <w:bCs/>
          <w:color w:val="auto"/>
          <w:sz w:val="32"/>
          <w:szCs w:val="32"/>
          <w:highlight w:val="none"/>
        </w:rPr>
        <w:t>%</w:t>
      </w:r>
      <w:r>
        <w:rPr>
          <w:rStyle w:val="23"/>
          <w:rFonts w:hint="eastAsia" w:ascii="仿宋" w:hAnsi="仿宋" w:eastAsia="仿宋" w:cs="仿宋"/>
          <w:b w:val="0"/>
          <w:bCs/>
          <w:color w:val="auto"/>
          <w:sz w:val="32"/>
          <w:szCs w:val="32"/>
          <w:highlight w:val="none"/>
          <w:lang w:eastAsia="zh-CN"/>
        </w:rPr>
        <w:t>，</w:t>
      </w:r>
      <w:r>
        <w:rPr>
          <w:rStyle w:val="23"/>
          <w:rFonts w:hint="eastAsia" w:ascii="仿宋" w:hAnsi="仿宋" w:eastAsia="仿宋" w:cs="仿宋"/>
          <w:b w:val="0"/>
          <w:bCs/>
          <w:color w:val="auto"/>
          <w:sz w:val="32"/>
          <w:szCs w:val="32"/>
          <w:highlight w:val="none"/>
          <w:lang w:val="en-US" w:eastAsia="zh-CN"/>
        </w:rPr>
        <w:t>决算数与预算数持平</w:t>
      </w:r>
      <w:r>
        <w:rPr>
          <w:rStyle w:val="23"/>
          <w:rFonts w:hint="eastAsia" w:ascii="仿宋" w:hAnsi="仿宋" w:eastAsia="仿宋" w:cs="仿宋"/>
          <w:b w:val="0"/>
          <w:bCs/>
          <w:color w:val="auto"/>
          <w:sz w:val="32"/>
          <w:szCs w:val="32"/>
          <w:highlight w:val="none"/>
          <w:lang w:eastAsia="zh-CN"/>
        </w:rPr>
        <w:t>。</w:t>
      </w:r>
    </w:p>
    <w:p>
      <w:pPr>
        <w:numPr>
          <w:ilvl w:val="0"/>
          <w:numId w:val="0"/>
        </w:numPr>
        <w:spacing w:line="600" w:lineRule="exact"/>
        <w:ind w:firstLine="643" w:firstLineChars="200"/>
        <w:rPr>
          <w:rFonts w:hint="eastAsia"/>
          <w:color w:val="auto"/>
          <w:highlight w:val="none"/>
        </w:rPr>
      </w:pPr>
      <w:r>
        <w:rPr>
          <w:rFonts w:hint="eastAsia" w:ascii="仿宋" w:hAnsi="仿宋" w:eastAsia="仿宋" w:cs="仿宋"/>
          <w:b/>
          <w:bCs/>
          <w:color w:val="auto"/>
          <w:sz w:val="32"/>
          <w:szCs w:val="32"/>
          <w:highlight w:val="none"/>
          <w:lang w:val="en-US" w:eastAsia="zh-CN"/>
        </w:rPr>
        <w:t>20.农林水支出（213）农业农村（01）渔业发展（48）:</w:t>
      </w:r>
      <w:r>
        <w:rPr>
          <w:rFonts w:hint="eastAsia" w:ascii="仿宋" w:hAnsi="仿宋" w:eastAsia="仿宋" w:cs="仿宋"/>
          <w:b w:val="0"/>
          <w:bCs w:val="0"/>
          <w:color w:val="auto"/>
          <w:sz w:val="32"/>
          <w:szCs w:val="32"/>
          <w:highlight w:val="none"/>
          <w:lang w:val="en-US" w:eastAsia="zh-CN"/>
        </w:rPr>
        <w:t>支出决算为2.39万元，完成预算100%，决算数与预算数持平。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21.农林水支出（213）农业农村（01）农田建设（53）:</w:t>
      </w:r>
      <w:r>
        <w:rPr>
          <w:rFonts w:hint="eastAsia" w:ascii="仿宋" w:hAnsi="仿宋" w:eastAsia="仿宋" w:cs="仿宋"/>
          <w:b w:val="0"/>
          <w:bCs w:val="0"/>
          <w:color w:val="auto"/>
          <w:sz w:val="32"/>
          <w:szCs w:val="32"/>
          <w:highlight w:val="none"/>
          <w:lang w:val="en-US" w:eastAsia="zh-CN"/>
        </w:rPr>
        <w:t>支出决算为2196.37万元，完成预算100%，决算数与预算数持平。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22.农林水支出（213）农业农村（01）其他农业农村支出（99）:</w:t>
      </w:r>
      <w:r>
        <w:rPr>
          <w:rFonts w:hint="eastAsia" w:ascii="仿宋" w:hAnsi="仿宋" w:eastAsia="仿宋" w:cs="仿宋"/>
          <w:b w:val="0"/>
          <w:bCs w:val="0"/>
          <w:color w:val="auto"/>
          <w:sz w:val="32"/>
          <w:szCs w:val="32"/>
          <w:highlight w:val="none"/>
          <w:lang w:val="en-US" w:eastAsia="zh-CN"/>
        </w:rPr>
        <w:t>支出决算为2165.1万元，完成预算100%，决算数与预算数持平。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23.农林水支出（213）巩固脱贫衔接乡村振兴（05）农村基础设施建设（04）:</w:t>
      </w:r>
      <w:r>
        <w:rPr>
          <w:rFonts w:hint="eastAsia" w:ascii="仿宋" w:hAnsi="仿宋" w:eastAsia="仿宋" w:cs="仿宋"/>
          <w:b w:val="0"/>
          <w:bCs w:val="0"/>
          <w:color w:val="auto"/>
          <w:sz w:val="32"/>
          <w:szCs w:val="32"/>
          <w:highlight w:val="none"/>
          <w:lang w:val="en-US" w:eastAsia="zh-CN"/>
        </w:rPr>
        <w:t>支出决算为275.1万元，完成预算100%，决算数与预算数持平。</w:t>
      </w:r>
    </w:p>
    <w:p>
      <w:pPr>
        <w:numPr>
          <w:ilvl w:val="0"/>
          <w:numId w:val="0"/>
        </w:numPr>
        <w:spacing w:line="600" w:lineRule="exact"/>
        <w:ind w:firstLine="643" w:firstLineChars="200"/>
        <w:rPr>
          <w:rFonts w:hint="eastAsia"/>
          <w:color w:val="auto"/>
          <w:lang w:val="en-US" w:eastAsia="zh-CN"/>
        </w:rPr>
      </w:pPr>
      <w:r>
        <w:rPr>
          <w:rFonts w:hint="eastAsia" w:ascii="仿宋" w:hAnsi="仿宋" w:eastAsia="仿宋" w:cs="仿宋"/>
          <w:b/>
          <w:bCs/>
          <w:color w:val="auto"/>
          <w:sz w:val="32"/>
          <w:szCs w:val="32"/>
          <w:highlight w:val="none"/>
          <w:lang w:val="en-US" w:eastAsia="zh-CN"/>
        </w:rPr>
        <w:t>24.农林水支出（213）巩固脱贫衔接乡村振兴（05）生产发展（05）:</w:t>
      </w:r>
      <w:r>
        <w:rPr>
          <w:rFonts w:hint="eastAsia" w:ascii="仿宋" w:hAnsi="仿宋" w:eastAsia="仿宋" w:cs="仿宋"/>
          <w:b w:val="0"/>
          <w:bCs w:val="0"/>
          <w:color w:val="auto"/>
          <w:sz w:val="32"/>
          <w:szCs w:val="32"/>
          <w:highlight w:val="none"/>
          <w:lang w:val="en-US" w:eastAsia="zh-CN"/>
        </w:rPr>
        <w:t>支出决算为1777.25万元，完成预算100%，决算数与预算数持平。</w:t>
      </w:r>
    </w:p>
    <w:p>
      <w:pPr>
        <w:numPr>
          <w:ilvl w:val="0"/>
          <w:numId w:val="0"/>
        </w:numPr>
        <w:spacing w:line="600" w:lineRule="exact"/>
        <w:ind w:firstLine="643" w:firstLineChars="200"/>
        <w:rPr>
          <w:rFonts w:hint="eastAsia"/>
          <w:color w:val="auto"/>
          <w:highlight w:val="none"/>
          <w:lang w:val="en-US" w:eastAsia="zh-CN"/>
        </w:rPr>
      </w:pPr>
      <w:r>
        <w:rPr>
          <w:rFonts w:hint="eastAsia" w:ascii="仿宋" w:hAnsi="仿宋" w:eastAsia="仿宋" w:cs="仿宋"/>
          <w:b/>
          <w:bCs/>
          <w:color w:val="auto"/>
          <w:sz w:val="32"/>
          <w:szCs w:val="32"/>
          <w:highlight w:val="none"/>
          <w:lang w:val="en-US" w:eastAsia="zh-CN"/>
        </w:rPr>
        <w:t>25.农林水支出（213）巩固脱贫衔接乡村振兴（05） 贷款奖补和贴息（07）:</w:t>
      </w:r>
      <w:r>
        <w:rPr>
          <w:rFonts w:hint="eastAsia" w:ascii="仿宋" w:hAnsi="仿宋" w:eastAsia="仿宋" w:cs="仿宋"/>
          <w:b w:val="0"/>
          <w:bCs w:val="0"/>
          <w:color w:val="auto"/>
          <w:sz w:val="32"/>
          <w:szCs w:val="32"/>
          <w:highlight w:val="none"/>
          <w:lang w:val="en-US" w:eastAsia="zh-CN"/>
        </w:rPr>
        <w:t>支出决算为134.75万元，完成预算100%，决算数与预算数持平。</w:t>
      </w:r>
    </w:p>
    <w:p>
      <w:pPr>
        <w:numPr>
          <w:ilvl w:val="0"/>
          <w:numId w:val="0"/>
        </w:numPr>
        <w:spacing w:line="6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26.农林水支出（213）巩固脱贫衔接乡村振兴（05）其他巩固脱贫衔接乡村振兴支出（99）:</w:t>
      </w:r>
      <w:r>
        <w:rPr>
          <w:rFonts w:hint="eastAsia" w:ascii="仿宋" w:hAnsi="仿宋" w:eastAsia="仿宋" w:cs="仿宋"/>
          <w:b w:val="0"/>
          <w:bCs w:val="0"/>
          <w:color w:val="auto"/>
          <w:sz w:val="32"/>
          <w:szCs w:val="32"/>
          <w:highlight w:val="none"/>
          <w:lang w:val="en-US" w:eastAsia="zh-CN"/>
        </w:rPr>
        <w:t>支出决算1397.17万元，完成预算100%，决算数与预算数持平。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27.农林水支出（213）目标价格补贴（09）其他目标价格补贴（99）:</w:t>
      </w:r>
      <w:r>
        <w:rPr>
          <w:rFonts w:hint="eastAsia" w:ascii="仿宋" w:hAnsi="仿宋" w:eastAsia="仿宋" w:cs="仿宋"/>
          <w:b w:val="0"/>
          <w:bCs w:val="0"/>
          <w:color w:val="auto"/>
          <w:sz w:val="32"/>
          <w:szCs w:val="32"/>
          <w:highlight w:val="none"/>
          <w:lang w:val="en-US" w:eastAsia="zh-CN"/>
        </w:rPr>
        <w:t>支出决算为81.93万元，完成预算100%，决算数与预算数持平。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28.商业服务业等支出（216）商业流通事务（02）其他商业流通事务支出（99）:</w:t>
      </w:r>
      <w:r>
        <w:rPr>
          <w:rFonts w:hint="eastAsia" w:ascii="仿宋" w:hAnsi="仿宋" w:eastAsia="仿宋" w:cs="仿宋"/>
          <w:b w:val="0"/>
          <w:bCs w:val="0"/>
          <w:color w:val="auto"/>
          <w:sz w:val="32"/>
          <w:szCs w:val="32"/>
          <w:highlight w:val="none"/>
          <w:lang w:val="en-US" w:eastAsia="zh-CN"/>
        </w:rPr>
        <w:t>支出决算为250.59万元，完成预算100%，决算数与预算数持平。</w:t>
      </w:r>
    </w:p>
    <w:p>
      <w:pPr>
        <w:numPr>
          <w:ilvl w:val="0"/>
          <w:numId w:val="0"/>
        </w:numPr>
        <w:spacing w:line="6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29.住房保障支出（221）住房改革支出（02）住房公积金（01）:</w:t>
      </w:r>
      <w:r>
        <w:rPr>
          <w:rFonts w:hint="eastAsia" w:ascii="仿宋" w:hAnsi="仿宋" w:eastAsia="仿宋" w:cs="仿宋"/>
          <w:b w:val="0"/>
          <w:bCs w:val="0"/>
          <w:color w:val="auto"/>
          <w:sz w:val="32"/>
          <w:szCs w:val="32"/>
          <w:highlight w:val="none"/>
          <w:lang w:val="en-US" w:eastAsia="zh-CN"/>
        </w:rPr>
        <w:t>支出决算为253.9万元，完成预算100%，决算数与预算数持平。</w:t>
      </w:r>
    </w:p>
    <w:p>
      <w:pPr>
        <w:numPr>
          <w:ilvl w:val="0"/>
          <w:numId w:val="0"/>
        </w:numPr>
        <w:spacing w:line="600" w:lineRule="exact"/>
        <w:ind w:firstLine="643" w:firstLineChars="200"/>
        <w:rPr>
          <w:rFonts w:ascii="仿宋" w:hAnsi="仿宋" w:eastAsia="仿宋"/>
          <w:b/>
          <w:color w:val="auto"/>
          <w:sz w:val="32"/>
          <w:szCs w:val="32"/>
          <w:highlight w:val="none"/>
        </w:rPr>
      </w:pPr>
      <w:r>
        <w:rPr>
          <w:rFonts w:hint="eastAsia" w:ascii="仿宋" w:hAnsi="仿宋" w:eastAsia="仿宋" w:cs="仿宋"/>
          <w:b/>
          <w:bCs/>
          <w:color w:val="auto"/>
          <w:sz w:val="32"/>
          <w:szCs w:val="32"/>
          <w:highlight w:val="none"/>
          <w:lang w:val="en-US" w:eastAsia="zh-CN"/>
        </w:rPr>
        <w:t>30.粮油物资储备支出（222）粮油物资事务（01）其他粮油物资事务支出（99）:</w:t>
      </w:r>
      <w:r>
        <w:rPr>
          <w:rFonts w:hint="eastAsia" w:ascii="仿宋" w:hAnsi="仿宋" w:eastAsia="仿宋" w:cs="仿宋"/>
          <w:b w:val="0"/>
          <w:bCs w:val="0"/>
          <w:color w:val="auto"/>
          <w:sz w:val="32"/>
          <w:szCs w:val="32"/>
          <w:highlight w:val="none"/>
          <w:lang w:val="en-US" w:eastAsia="zh-CN"/>
        </w:rPr>
        <w:t>支出决算为68.87万元，完成预算100%，决算数与预算数持平。</w:t>
      </w:r>
    </w:p>
    <w:p>
      <w:pPr>
        <w:numPr>
          <w:ilvl w:val="0"/>
          <w:numId w:val="0"/>
        </w:numPr>
        <w:spacing w:line="600" w:lineRule="exact"/>
        <w:ind w:firstLine="643" w:firstLineChars="200"/>
        <w:rPr>
          <w:rFonts w:ascii="仿宋" w:hAnsi="仿宋" w:eastAsia="仿宋"/>
          <w:b/>
          <w:color w:val="auto"/>
          <w:sz w:val="32"/>
          <w:szCs w:val="32"/>
          <w:highlight w:val="none"/>
        </w:rPr>
      </w:pPr>
      <w:r>
        <w:rPr>
          <w:rFonts w:hint="eastAsia" w:ascii="仿宋" w:hAnsi="仿宋" w:eastAsia="仿宋" w:cs="仿宋"/>
          <w:b/>
          <w:bCs/>
          <w:color w:val="auto"/>
          <w:sz w:val="32"/>
          <w:szCs w:val="32"/>
          <w:highlight w:val="none"/>
          <w:lang w:val="en-US" w:eastAsia="zh-CN"/>
        </w:rPr>
        <w:t>31.其他支出（229）其他支出（99）其他支出（99）:</w:t>
      </w:r>
      <w:r>
        <w:rPr>
          <w:rFonts w:hint="eastAsia" w:ascii="仿宋" w:hAnsi="仿宋" w:eastAsia="仿宋" w:cs="仿宋"/>
          <w:b w:val="0"/>
          <w:bCs w:val="0"/>
          <w:color w:val="auto"/>
          <w:sz w:val="32"/>
          <w:szCs w:val="32"/>
          <w:highlight w:val="none"/>
          <w:lang w:val="en-US" w:eastAsia="zh-CN"/>
        </w:rPr>
        <w:t>支出决算为10万元，完成预算100%，决算数与预算数持平。</w:t>
      </w:r>
    </w:p>
    <w:p>
      <w:pPr>
        <w:tabs>
          <w:tab w:val="right" w:pos="8306"/>
        </w:tabs>
        <w:spacing w:line="600" w:lineRule="exact"/>
        <w:ind w:firstLine="640" w:firstLineChars="200"/>
        <w:outlineLvl w:val="1"/>
        <w:rPr>
          <w:rStyle w:val="36"/>
          <w:rFonts w:ascii="Times New Roman" w:hAnsi="Times New Roman"/>
          <w:color w:val="auto"/>
        </w:rPr>
      </w:pPr>
      <w:bookmarkStart w:id="48" w:name="_Toc9978"/>
      <w:r>
        <w:rPr>
          <w:rFonts w:eastAsia="黑体"/>
          <w:color w:val="auto"/>
          <w:sz w:val="32"/>
          <w:szCs w:val="32"/>
        </w:rPr>
        <w:t>六</w:t>
      </w:r>
      <w:r>
        <w:rPr>
          <w:rFonts w:eastAsia="黑体"/>
          <w:b/>
          <w:color w:val="auto"/>
          <w:sz w:val="32"/>
          <w:szCs w:val="32"/>
        </w:rPr>
        <w:t>、一</w:t>
      </w:r>
      <w:r>
        <w:rPr>
          <w:rStyle w:val="36"/>
          <w:rFonts w:ascii="Times New Roman" w:hAnsi="Times New Roman" w:eastAsia="黑体"/>
          <w:b w:val="0"/>
          <w:color w:val="auto"/>
        </w:rPr>
        <w:t>般公共预算财政拨款基本支出决算情况说明</w:t>
      </w:r>
      <w:bookmarkEnd w:id="46"/>
      <w:bookmarkEnd w:id="47"/>
      <w:bookmarkEnd w:id="48"/>
      <w:r>
        <w:rPr>
          <w:rStyle w:val="36"/>
          <w:rFonts w:ascii="Times New Roman" w:hAnsi="Times New Roman" w:eastAsia="黑体"/>
          <w:b w:val="0"/>
          <w:color w:val="auto"/>
        </w:rPr>
        <w:tab/>
      </w:r>
    </w:p>
    <w:p>
      <w:pPr>
        <w:spacing w:line="600" w:lineRule="exact"/>
        <w:ind w:firstLine="645"/>
        <w:rPr>
          <w:rFonts w:ascii="仿宋" w:hAnsi="仿宋" w:eastAsia="仿宋"/>
          <w:color w:val="auto"/>
          <w:sz w:val="32"/>
          <w:szCs w:val="32"/>
          <w:highlight w:val="none"/>
        </w:rPr>
      </w:pPr>
      <w:bookmarkStart w:id="49" w:name="_Toc11619"/>
      <w:bookmarkStart w:id="50" w:name="_Toc1537721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4,450.43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人员经费4,125.25万元，主要包括：基本工资、津贴补贴、奖金、绩效工资、机关事业单位基本养老保险缴费、职业年金缴费、职工基本医疗保险缴费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其他社会保障缴费、住房公积金、其他工资福利支出、抚恤金、生活补助、其他对个人和家庭的补助支出</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公用经费325.18万元，主要包括：办公费、印刷费、手续费、水费、电费、邮电费、物业管理费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差旅费、维修（护）费、会议费、培训费、公务接待费、劳务费、委托业务费、福利费、公务用车运行维护费、其他交通费、其他商品和服务支出。</w:t>
      </w:r>
    </w:p>
    <w:p>
      <w:pPr>
        <w:spacing w:line="600" w:lineRule="exact"/>
        <w:ind w:firstLine="640"/>
        <w:outlineLvl w:val="1"/>
        <w:rPr>
          <w:rStyle w:val="36"/>
          <w:rFonts w:ascii="Times New Roman" w:hAnsi="Times New Roman" w:eastAsia="黑体"/>
          <w:b w:val="0"/>
          <w:color w:val="auto"/>
        </w:rPr>
      </w:pPr>
      <w:bookmarkStart w:id="51" w:name="_Toc29727"/>
      <w:r>
        <w:rPr>
          <w:rFonts w:eastAsia="黑体"/>
          <w:color w:val="auto"/>
          <w:sz w:val="32"/>
          <w:szCs w:val="32"/>
        </w:rPr>
        <w:t>七、</w:t>
      </w:r>
      <w:r>
        <w:rPr>
          <w:rStyle w:val="36"/>
          <w:rFonts w:ascii="Times New Roman" w:hAnsi="Times New Roman" w:eastAsia="黑体"/>
          <w:color w:val="auto"/>
        </w:rPr>
        <w:t>“</w:t>
      </w:r>
      <w:r>
        <w:rPr>
          <w:rStyle w:val="36"/>
          <w:rFonts w:ascii="Times New Roman" w:hAnsi="Times New Roman" w:eastAsia="黑体"/>
          <w:b w:val="0"/>
          <w:color w:val="auto"/>
        </w:rPr>
        <w:t>三公”经费财政拨款支出决算情况说明</w:t>
      </w:r>
      <w:bookmarkEnd w:id="49"/>
      <w:bookmarkEnd w:id="50"/>
      <w:bookmarkEnd w:id="51"/>
    </w:p>
    <w:p>
      <w:pPr>
        <w:spacing w:line="600" w:lineRule="exact"/>
        <w:ind w:firstLine="640"/>
        <w:outlineLvl w:val="2"/>
        <w:rPr>
          <w:rFonts w:ascii="仿宋" w:hAnsi="仿宋" w:eastAsia="仿宋"/>
          <w:b/>
          <w:color w:val="auto"/>
          <w:sz w:val="32"/>
          <w:szCs w:val="32"/>
          <w:highlight w:val="none"/>
        </w:rPr>
      </w:pPr>
      <w:bookmarkStart w:id="52" w:name="_Toc15377216"/>
      <w:bookmarkStart w:id="53" w:name="_Toc30853"/>
      <w:r>
        <w:rPr>
          <w:rFonts w:hint="eastAsia" w:ascii="仿宋" w:hAnsi="仿宋" w:eastAsia="仿宋"/>
          <w:b/>
          <w:color w:val="auto"/>
          <w:sz w:val="32"/>
          <w:szCs w:val="32"/>
          <w:highlight w:val="none"/>
        </w:rPr>
        <w:t>（一）“三公”经费财政拨款支出决算总体情况说明</w:t>
      </w:r>
      <w:bookmarkEnd w:id="52"/>
      <w:bookmarkEnd w:id="53"/>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年“三公”经费财政拨款支出决算为17.19万元，完成预算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0.14万元，增长0.82%。</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严格执行“三公”要求厉行节约，开源节流</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bookmarkStart w:id="55" w:name="_Toc19974"/>
      <w:r>
        <w:rPr>
          <w:rFonts w:hint="eastAsia" w:ascii="仿宋" w:hAnsi="仿宋" w:eastAsia="仿宋"/>
          <w:b/>
          <w:color w:val="auto"/>
          <w:sz w:val="32"/>
          <w:szCs w:val="32"/>
          <w:highlight w:val="none"/>
        </w:rPr>
        <w:t>（二）“三公”经费财政拨款支出决算具体情况说明</w:t>
      </w:r>
      <w:bookmarkEnd w:id="54"/>
      <w:bookmarkEnd w:id="5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；公务用车购置及运行维护费支出决算3.26万元，占</w:t>
      </w:r>
      <w:r>
        <w:rPr>
          <w:rFonts w:hint="eastAsia" w:ascii="仿宋" w:hAnsi="仿宋" w:eastAsia="仿宋"/>
          <w:color w:val="auto"/>
          <w:sz w:val="32"/>
          <w:szCs w:val="32"/>
          <w:highlight w:val="none"/>
          <w:lang w:val="en-US" w:eastAsia="zh-CN"/>
        </w:rPr>
        <w:t>18.98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；公务接待费支出决算13.92万元，占</w:t>
      </w:r>
      <w:r>
        <w:rPr>
          <w:rFonts w:hint="eastAsia" w:ascii="仿宋" w:hAnsi="仿宋" w:eastAsia="仿宋"/>
          <w:color w:val="auto"/>
          <w:sz w:val="32"/>
          <w:szCs w:val="32"/>
          <w:highlight w:val="none"/>
          <w:lang w:val="en-US" w:eastAsia="zh-CN"/>
        </w:rPr>
        <w:t>81.02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eastAsia="仿宋"/>
          <w:color w:val="auto"/>
          <w:sz w:val="32"/>
          <w:szCs w:val="32"/>
        </w:rPr>
      </w:pPr>
      <w:r>
        <w:rPr>
          <w:rFonts w:eastAsia="仿宋"/>
          <w:color w:val="auto"/>
          <w:sz w:val="32"/>
          <w:szCs w:val="32"/>
        </w:rPr>
        <w:t>（图</w:t>
      </w:r>
      <w:r>
        <w:rPr>
          <w:rFonts w:hint="eastAsia" w:eastAsia="仿宋"/>
          <w:color w:val="auto"/>
          <w:sz w:val="32"/>
          <w:szCs w:val="32"/>
        </w:rPr>
        <w:t>7</w:t>
      </w:r>
      <w:r>
        <w:rPr>
          <w:rFonts w:eastAsia="仿宋"/>
          <w:color w:val="auto"/>
          <w:sz w:val="32"/>
          <w:szCs w:val="32"/>
        </w:rPr>
        <w:t>：“三公”经费财政拨款支出结构）</w:t>
      </w:r>
    </w:p>
    <w:p>
      <w:pPr>
        <w:pStyle w:val="2"/>
        <w:rPr>
          <w:rFonts w:eastAsia="仿宋"/>
          <w:color w:val="auto"/>
          <w:sz w:val="32"/>
          <w:szCs w:val="32"/>
        </w:rPr>
      </w:pPr>
      <w:r>
        <w:rPr>
          <w:rFonts w:hint="eastAsia" w:eastAsia="仿宋"/>
          <w:color w:val="auto"/>
          <w:sz w:val="32"/>
          <w:szCs w:val="32"/>
          <w:lang w:eastAsia="zh-CN"/>
        </w:rPr>
        <w:drawing>
          <wp:inline distT="0" distB="0" distL="114300" distR="114300">
            <wp:extent cx="4569460" cy="2157095"/>
            <wp:effectExtent l="4445" t="4445" r="1333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color w:val="auto"/>
        </w:rPr>
      </w:pPr>
    </w:p>
    <w:p>
      <w:pPr>
        <w:spacing w:line="600" w:lineRule="exact"/>
        <w:ind w:firstLine="640"/>
        <w:rPr>
          <w:rFonts w:ascii="仿宋_GB2312" w:eastAsia="仿宋_GB2312"/>
          <w:color w:val="auto"/>
          <w:sz w:val="32"/>
          <w:szCs w:val="32"/>
          <w:highlight w:val="none"/>
        </w:rPr>
      </w:pPr>
      <w:bookmarkStart w:id="56" w:name="_Toc8727"/>
      <w:bookmarkStart w:id="57" w:name="_Toc15377218"/>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3"/>
          <w:rFonts w:hint="eastAsia" w:ascii="仿宋" w:hAnsi="仿宋" w:eastAsia="仿宋"/>
          <w:b w:val="0"/>
          <w:bCs/>
          <w:color w:val="auto"/>
          <w:sz w:val="32"/>
          <w:szCs w:val="32"/>
          <w:highlight w:val="none"/>
        </w:rPr>
        <w:t>完成预算</w:t>
      </w:r>
      <w:r>
        <w:rPr>
          <w:rStyle w:val="23"/>
          <w:rFonts w:hint="eastAsia" w:ascii="仿宋" w:hAnsi="仿宋" w:eastAsia="仿宋"/>
          <w:b w:val="0"/>
          <w:bCs/>
          <w:color w:val="auto"/>
          <w:sz w:val="32"/>
          <w:szCs w:val="32"/>
          <w:highlight w:val="none"/>
          <w:lang w:val="en-US" w:eastAsia="zh-CN"/>
        </w:rPr>
        <w:t>0</w:t>
      </w:r>
      <w:r>
        <w:rPr>
          <w:rStyle w:val="23"/>
          <w:rFonts w:ascii="仿宋" w:hAnsi="仿宋" w:eastAsia="仿宋"/>
          <w:b w:val="0"/>
          <w:bCs/>
          <w:color w:val="auto"/>
          <w:sz w:val="32"/>
          <w:szCs w:val="32"/>
          <w:highlight w:val="none"/>
        </w:rPr>
        <w:t>%</w:t>
      </w:r>
      <w:r>
        <w:rPr>
          <w:rStyle w:val="23"/>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严格预算执行，无预算不支出。</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rPr>
        <w:t>3.26</w:t>
      </w:r>
      <w:r>
        <w:rPr>
          <w:rFonts w:hint="eastAsia" w:ascii="仿宋_GB2312" w:eastAsia="仿宋_GB2312"/>
          <w:color w:val="auto"/>
          <w:sz w:val="32"/>
          <w:szCs w:val="32"/>
          <w:highlight w:val="none"/>
        </w:rPr>
        <w:t>万元,</w:t>
      </w:r>
      <w:r>
        <w:rPr>
          <w:rStyle w:val="23"/>
          <w:rFonts w:hint="eastAsia" w:ascii="仿宋" w:hAnsi="仿宋" w:eastAsia="仿宋"/>
          <w:b w:val="0"/>
          <w:bCs/>
          <w:color w:val="auto"/>
          <w:sz w:val="32"/>
          <w:szCs w:val="32"/>
          <w:highlight w:val="none"/>
        </w:rPr>
        <w:t>完成预算</w:t>
      </w:r>
      <w:r>
        <w:rPr>
          <w:rStyle w:val="23"/>
          <w:rFonts w:hint="eastAsia" w:ascii="仿宋" w:hAnsi="仿宋" w:eastAsia="仿宋"/>
          <w:b w:val="0"/>
          <w:bCs/>
          <w:color w:val="auto"/>
          <w:sz w:val="32"/>
          <w:szCs w:val="32"/>
          <w:highlight w:val="none"/>
          <w:lang w:val="en-US" w:eastAsia="zh-CN"/>
        </w:rPr>
        <w:t>100</w:t>
      </w:r>
      <w:r>
        <w:rPr>
          <w:rStyle w:val="23"/>
          <w:rFonts w:ascii="仿宋" w:hAnsi="仿宋" w:eastAsia="仿宋"/>
          <w:b w:val="0"/>
          <w:bCs/>
          <w:color w:val="auto"/>
          <w:sz w:val="32"/>
          <w:szCs w:val="32"/>
          <w:highlight w:val="none"/>
        </w:rPr>
        <w:t>%</w:t>
      </w:r>
      <w:r>
        <w:rPr>
          <w:rStyle w:val="23"/>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1.81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Times New Roman" w:hAnsi="Times New Roman" w:eastAsia="仿宋_GB2312" w:cs="Times New Roman"/>
          <w:color w:val="auto"/>
          <w:sz w:val="32"/>
          <w:szCs w:val="32"/>
          <w:highlight w:val="none"/>
        </w:rPr>
        <w:t>本单位</w:t>
      </w:r>
      <w:r>
        <w:rPr>
          <w:rFonts w:hint="eastAsia" w:eastAsia="仿宋_GB2312" w:cs="Times New Roman"/>
          <w:color w:val="auto"/>
          <w:sz w:val="32"/>
          <w:szCs w:val="32"/>
          <w:highlight w:val="none"/>
          <w:lang w:eastAsia="zh-CN"/>
        </w:rPr>
        <w:t>较</w:t>
      </w: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业务有所减少</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olor w:val="auto"/>
          <w:sz w:val="32"/>
          <w:szCs w:val="32"/>
          <w:highlight w:val="none"/>
        </w:rPr>
        <w:t>3.26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农业行业行政执法（渔政、种植、畜牧兽医、农经）</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3.公务接待费支出13.92万元，完成预算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%。公务接待费支出决算比20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0.53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3.86</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业务量有所增加</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国内公务接待支出13.92万元，主要用于农产品质量安全抽检、迎检；渔政执法交叉检查等执行公务、</w:t>
      </w:r>
      <w:r>
        <w:rPr>
          <w:rFonts w:hint="eastAsia" w:ascii="仿宋_GB2312" w:eastAsia="仿宋_GB2312"/>
          <w:color w:val="auto"/>
          <w:sz w:val="32"/>
          <w:szCs w:val="32"/>
          <w:highlight w:val="none"/>
        </w:rPr>
        <w:t>开展业务活动开支的交通费、住宿费、用餐费等。国内公务接待</w:t>
      </w:r>
      <w:r>
        <w:rPr>
          <w:rFonts w:hint="eastAsia" w:ascii="仿宋_GB2312" w:eastAsia="仿宋_GB2312"/>
          <w:color w:val="auto"/>
          <w:sz w:val="32"/>
          <w:szCs w:val="32"/>
          <w:highlight w:val="none"/>
          <w:lang w:val="en-US" w:eastAsia="zh-CN"/>
        </w:rPr>
        <w:t>108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1466</w:t>
      </w:r>
      <w:r>
        <w:rPr>
          <w:rFonts w:hint="eastAsia" w:ascii="仿宋_GB2312" w:eastAsia="仿宋_GB2312"/>
          <w:color w:val="auto"/>
          <w:sz w:val="32"/>
          <w:szCs w:val="32"/>
          <w:highlight w:val="none"/>
        </w:rPr>
        <w:t>人次，共计支出13.</w:t>
      </w:r>
      <w:r>
        <w:rPr>
          <w:rFonts w:hint="eastAsia" w:ascii="仿宋_GB2312" w:eastAsia="仿宋_GB2312"/>
          <w:color w:val="auto"/>
          <w:sz w:val="32"/>
          <w:szCs w:val="32"/>
          <w:highlight w:val="none"/>
          <w:lang w:val="en-US" w:eastAsia="zh-CN"/>
        </w:rPr>
        <w:t>92</w:t>
      </w:r>
      <w:r>
        <w:rPr>
          <w:rFonts w:hint="eastAsia" w:ascii="仿宋_GB2312" w:eastAsia="仿宋_GB2312"/>
          <w:color w:val="auto"/>
          <w:sz w:val="32"/>
          <w:szCs w:val="32"/>
          <w:highlight w:val="none"/>
        </w:rPr>
        <w:t>万元，具体内容包括：接待四川省绿色食品发展中心来我区检查绿色食品用餐费</w:t>
      </w:r>
      <w:r>
        <w:rPr>
          <w:rFonts w:hint="eastAsia" w:ascii="仿宋_GB2312" w:eastAsia="仿宋_GB2312"/>
          <w:color w:val="auto"/>
          <w:sz w:val="32"/>
          <w:szCs w:val="32"/>
          <w:highlight w:val="none"/>
          <w:lang w:val="en-US" w:eastAsia="zh-CN"/>
        </w:rPr>
        <w:t>0.21万元、接待泸州市农业局来遂开展种子市场检查用餐费0.25万元、接待省厅开展全省农业综合执法宣传片、开展农业投入品执法专项整治用餐费0.42万元、接待蓬溪县农业局开展长江流域禁渔联合执法工作用餐费0.21万元、接待省水产校规划“鱼米之乡”创建工作用餐费0.24万元、接待安居区农业局调研宅基地盘活利用事宜用餐费0.27万元、接待宜宾市徐州农业局考察0.23万元、接待乐山市夹江县农业局开船考察用餐费用0.12万元等</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outlineLvl w:val="1"/>
        <w:rPr>
          <w:rStyle w:val="36"/>
          <w:rFonts w:ascii="Times New Roman" w:hAnsi="Times New Roman" w:eastAsia="黑体"/>
          <w:color w:val="auto"/>
        </w:rPr>
      </w:pPr>
      <w:bookmarkStart w:id="58" w:name="_Toc29397"/>
      <w:r>
        <w:rPr>
          <w:rFonts w:eastAsia="黑体"/>
          <w:color w:val="auto"/>
          <w:sz w:val="32"/>
          <w:szCs w:val="32"/>
        </w:rPr>
        <w:t>八、</w:t>
      </w:r>
      <w:r>
        <w:rPr>
          <w:rStyle w:val="36"/>
          <w:rFonts w:ascii="Times New Roman" w:hAnsi="Times New Roman" w:eastAsia="黑体"/>
          <w:b w:val="0"/>
          <w:color w:val="auto"/>
        </w:rPr>
        <w:t>政府性基金预算支出决算情况说明</w:t>
      </w:r>
      <w:bookmarkEnd w:id="56"/>
      <w:bookmarkEnd w:id="57"/>
      <w:bookmarkEnd w:id="58"/>
    </w:p>
    <w:p>
      <w:pPr>
        <w:spacing w:line="600" w:lineRule="exact"/>
        <w:ind w:firstLine="640"/>
        <w:rPr>
          <w:rFonts w:hint="eastAsia" w:ascii="仿宋_GB2312" w:eastAsia="仿宋_GB2312"/>
          <w:color w:val="auto"/>
          <w:sz w:val="32"/>
          <w:szCs w:val="32"/>
          <w:highlight w:val="none"/>
        </w:rPr>
      </w:pPr>
      <w:bookmarkStart w:id="59" w:name="_Toc28801"/>
      <w:bookmarkStart w:id="60" w:name="_Toc15377219"/>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4300.00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主要用于2022年船山区财政转移支付高标准农田建设项目支出。</w:t>
      </w:r>
    </w:p>
    <w:p>
      <w:pPr>
        <w:numPr>
          <w:ilvl w:val="0"/>
          <w:numId w:val="3"/>
        </w:numPr>
        <w:spacing w:line="600" w:lineRule="exact"/>
        <w:ind w:firstLine="640"/>
        <w:outlineLvl w:val="1"/>
        <w:rPr>
          <w:rStyle w:val="36"/>
          <w:rFonts w:ascii="Times New Roman" w:hAnsi="Times New Roman" w:eastAsia="黑体"/>
          <w:b w:val="0"/>
          <w:color w:val="auto"/>
        </w:rPr>
      </w:pPr>
      <w:bookmarkStart w:id="61" w:name="_Toc27681"/>
      <w:r>
        <w:rPr>
          <w:rStyle w:val="36"/>
          <w:rFonts w:ascii="Times New Roman" w:hAnsi="Times New Roman" w:eastAsia="黑体"/>
          <w:b w:val="0"/>
          <w:color w:val="auto"/>
        </w:rPr>
        <w:t>国有资本经营预算支出决算情况说明</w:t>
      </w:r>
      <w:bookmarkEnd w:id="59"/>
      <w:bookmarkEnd w:id="60"/>
      <w:bookmarkEnd w:id="61"/>
    </w:p>
    <w:p>
      <w:pPr>
        <w:spacing w:line="600" w:lineRule="exact"/>
        <w:ind w:firstLine="640"/>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3</w:t>
      </w:r>
      <w:r>
        <w:rPr>
          <w:rFonts w:eastAsia="仿宋_GB2312"/>
          <w:color w:val="auto"/>
          <w:sz w:val="32"/>
          <w:szCs w:val="32"/>
        </w:rPr>
        <w:t>年国有资本经营预算拨款支出0万元。</w:t>
      </w:r>
    </w:p>
    <w:p>
      <w:pPr>
        <w:pStyle w:val="40"/>
        <w:numPr>
          <w:ilvl w:val="0"/>
          <w:numId w:val="4"/>
        </w:numPr>
        <w:spacing w:line="600" w:lineRule="exact"/>
        <w:ind w:firstLineChars="0"/>
        <w:outlineLvl w:val="1"/>
        <w:rPr>
          <w:rStyle w:val="36"/>
          <w:rFonts w:ascii="Times New Roman" w:hAnsi="Times New Roman" w:eastAsia="黑体"/>
          <w:b w:val="0"/>
          <w:color w:val="auto"/>
        </w:rPr>
      </w:pPr>
      <w:bookmarkStart w:id="62" w:name="_Toc514"/>
      <w:bookmarkStart w:id="63" w:name="_Toc4063"/>
      <w:r>
        <w:rPr>
          <w:rStyle w:val="36"/>
          <w:rFonts w:ascii="Times New Roman" w:hAnsi="Times New Roman" w:eastAsia="黑体"/>
          <w:b w:val="0"/>
          <w:color w:val="auto"/>
        </w:rPr>
        <w:t>预算绩效情况说明</w:t>
      </w:r>
      <w:bookmarkEnd w:id="62"/>
    </w:p>
    <w:p>
      <w:pPr>
        <w:spacing w:line="600" w:lineRule="exact"/>
        <w:ind w:firstLine="643" w:firstLineChars="200"/>
        <w:outlineLvl w:val="2"/>
        <w:rPr>
          <w:rFonts w:ascii="仿宋" w:hAnsi="仿宋" w:eastAsia="仿宋"/>
          <w:color w:val="auto"/>
          <w:sz w:val="32"/>
          <w:szCs w:val="32"/>
        </w:rPr>
      </w:pPr>
      <w:bookmarkStart w:id="64" w:name="_Toc20549"/>
      <w:r>
        <w:rPr>
          <w:rFonts w:hint="eastAsia" w:ascii="仿宋" w:hAnsi="仿宋" w:eastAsia="仿宋"/>
          <w:b/>
          <w:color w:val="auto"/>
          <w:sz w:val="32"/>
          <w:szCs w:val="32"/>
        </w:rPr>
        <w:t>（一）机关运行经费支出情况</w:t>
      </w:r>
      <w:bookmarkEnd w:id="64"/>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年，农业农村局</w:t>
      </w:r>
      <w:r>
        <w:rPr>
          <w:rFonts w:hint="eastAsia" w:ascii="仿宋_GB2312" w:eastAsia="仿宋_GB2312"/>
          <w:color w:val="auto"/>
          <w:sz w:val="32"/>
          <w:szCs w:val="32"/>
          <w:highlight w:val="none"/>
          <w:lang w:eastAsia="zh-CN"/>
        </w:rPr>
        <w:t>汇总</w:t>
      </w:r>
      <w:r>
        <w:rPr>
          <w:rFonts w:hint="eastAsia" w:ascii="仿宋_GB2312" w:eastAsia="仿宋_GB2312"/>
          <w:color w:val="auto"/>
          <w:sz w:val="32"/>
          <w:szCs w:val="32"/>
          <w:highlight w:val="none"/>
        </w:rPr>
        <w:t>机关运行经费支出325.18万元，比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19.24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严格按照规定执行。</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65" w:name="_Toc13883"/>
      <w:r>
        <w:rPr>
          <w:rFonts w:hint="eastAsia" w:ascii="仿宋" w:hAnsi="仿宋" w:eastAsia="仿宋"/>
          <w:b/>
          <w:color w:val="auto"/>
          <w:sz w:val="32"/>
          <w:szCs w:val="32"/>
        </w:rPr>
        <w:t>（二）政府采购支出情况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年，农业农村局</w:t>
      </w:r>
      <w:r>
        <w:rPr>
          <w:rFonts w:hint="eastAsia" w:ascii="仿宋_GB2312" w:eastAsia="仿宋_GB2312"/>
          <w:color w:val="auto"/>
          <w:sz w:val="32"/>
          <w:szCs w:val="32"/>
          <w:highlight w:val="none"/>
          <w:lang w:eastAsia="zh-CN"/>
        </w:rPr>
        <w:t>汇总</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66" w:name="_Toc20682"/>
      <w:r>
        <w:rPr>
          <w:rFonts w:hint="eastAsia" w:ascii="仿宋" w:hAnsi="仿宋" w:eastAsia="仿宋"/>
          <w:b/>
          <w:color w:val="auto"/>
          <w:sz w:val="32"/>
          <w:szCs w:val="32"/>
        </w:rPr>
        <w:t>（三）国有资产占有使用情况</w:t>
      </w:r>
      <w:bookmarkEnd w:id="66"/>
    </w:p>
    <w:bookmarkEnd w:id="63"/>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bookmarkStart w:id="67" w:name="_Toc15377225"/>
      <w:bookmarkStart w:id="68" w:name="_Toc12231"/>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日，农业农村局共有车辆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辆、执法执勤用车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特种专业技术用车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69" w:name="_Toc8123"/>
      <w:r>
        <w:rPr>
          <w:rFonts w:hint="eastAsia" w:ascii="仿宋" w:hAnsi="仿宋" w:eastAsia="仿宋"/>
          <w:b/>
          <w:color w:val="auto"/>
          <w:sz w:val="32"/>
          <w:szCs w:val="32"/>
        </w:rPr>
        <w:t>（四）预算绩效管理情况</w:t>
      </w:r>
      <w:bookmarkEnd w:id="69"/>
    </w:p>
    <w:p>
      <w:pPr>
        <w:autoSpaceDE w:val="0"/>
        <w:autoSpaceDN w:val="0"/>
        <w:adjustRightInd w:val="0"/>
        <w:spacing w:line="600" w:lineRule="exact"/>
        <w:ind w:firstLine="640" w:firstLineChars="200"/>
        <w:jc w:val="left"/>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olor w:val="auto"/>
          <w:sz w:val="32"/>
          <w:szCs w:val="32"/>
          <w:highlight w:val="none"/>
          <w:lang w:val="en-US" w:eastAsia="zh-CN"/>
        </w:rPr>
        <w:t>根据预算绩效管理要求，本单位在2022年度预算编制阶段，组织对重大动物疫病防控管理经费、植物保护体系建设及管理、综合执法专项等项目开展了预算事前绩效评估，编制了绩效目标，预算执行过程中，开展绩效监控和绩效自评</w:t>
      </w:r>
      <w:r>
        <w:rPr>
          <w:rFonts w:hint="eastAsia" w:ascii="仿宋_GB2312" w:hAnsi="Times New Roman" w:eastAsia="仿宋_GB2312" w:cs="Times New Roman"/>
          <w:color w:val="auto"/>
          <w:sz w:val="32"/>
          <w:szCs w:val="32"/>
          <w:highlight w:val="none"/>
          <w:lang w:val="en-US" w:eastAsia="zh-CN"/>
        </w:rPr>
        <w:t>。</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b w:val="0"/>
          <w:bCs w:val="0"/>
          <w:color w:val="auto"/>
          <w:kern w:val="2"/>
          <w:sz w:val="32"/>
          <w:szCs w:val="32"/>
          <w:highlight w:val="none"/>
          <w:lang w:val="en-US" w:eastAsia="zh-CN" w:bidi="ar-SA"/>
        </w:rPr>
        <w:t>组织对202</w:t>
      </w:r>
      <w:r>
        <w:rPr>
          <w:rFonts w:hint="eastAsia" w:ascii="仿宋_GB2312" w:eastAsia="仿宋_GB2312" w:cs="Times New Roman"/>
          <w:b w:val="0"/>
          <w:bCs w:val="0"/>
          <w:color w:val="auto"/>
          <w:kern w:val="2"/>
          <w:sz w:val="32"/>
          <w:szCs w:val="32"/>
          <w:highlight w:val="none"/>
          <w:lang w:val="en-US" w:eastAsia="zh-CN" w:bidi="ar-SA"/>
        </w:rPr>
        <w:t>3</w:t>
      </w:r>
      <w:r>
        <w:rPr>
          <w:rFonts w:hint="eastAsia" w:ascii="仿宋_GB2312" w:hAnsi="Times New Roman" w:eastAsia="仿宋_GB2312" w:cs="Times New Roman"/>
          <w:b w:val="0"/>
          <w:bCs w:val="0"/>
          <w:color w:val="auto"/>
          <w:kern w:val="2"/>
          <w:sz w:val="32"/>
          <w:szCs w:val="32"/>
          <w:highlight w:val="none"/>
          <w:lang w:val="en-US" w:eastAsia="zh-CN" w:bidi="ar-SA"/>
        </w:rPr>
        <w:t>年度一般公共预算、政府性基金预算、国有资本经营预算、社会保险基金预算以及资本资产、债券资金等全面开展绩效自评，形成农业农村局部门整体（含部门预算项目）绩效自评报告、植物保护体系建设及管理、农业行业安全管理经费及农产品质量安全项目等专项预算项目绩效自评报告，其中，农业农村局部门整体（含部门预算项目）绩效自评得分为8</w:t>
      </w:r>
      <w:r>
        <w:rPr>
          <w:rFonts w:hint="eastAsia" w:ascii="仿宋_GB2312" w:eastAsia="仿宋_GB2312" w:cs="Times New Roman"/>
          <w:b w:val="0"/>
          <w:bCs w:val="0"/>
          <w:color w:val="auto"/>
          <w:kern w:val="2"/>
          <w:sz w:val="32"/>
          <w:szCs w:val="32"/>
          <w:highlight w:val="none"/>
          <w:lang w:val="en-US" w:eastAsia="zh-CN" w:bidi="ar-SA"/>
        </w:rPr>
        <w:t>1.10</w:t>
      </w:r>
      <w:r>
        <w:rPr>
          <w:rFonts w:hint="eastAsia" w:ascii="仿宋_GB2312" w:hAnsi="Times New Roman" w:eastAsia="仿宋_GB2312" w:cs="Times New Roman"/>
          <w:b w:val="0"/>
          <w:bCs w:val="0"/>
          <w:color w:val="auto"/>
          <w:kern w:val="2"/>
          <w:sz w:val="32"/>
          <w:szCs w:val="32"/>
          <w:highlight w:val="none"/>
          <w:lang w:val="en-US" w:eastAsia="zh-CN" w:bidi="ar-SA"/>
        </w:rPr>
        <w:t>分，绩效自评综述：</w:t>
      </w:r>
      <w:r>
        <w:rPr>
          <w:rFonts w:hint="default" w:ascii="仿宋_GB2312" w:hAnsi="Times New Roman" w:eastAsia="仿宋_GB2312" w:cs="Times New Roman"/>
          <w:b w:val="0"/>
          <w:bCs w:val="0"/>
          <w:color w:val="auto"/>
          <w:kern w:val="2"/>
          <w:sz w:val="32"/>
          <w:szCs w:val="32"/>
          <w:highlight w:val="none"/>
          <w:lang w:val="zh-TW" w:eastAsia="zh-CN" w:bidi="ar-SA"/>
        </w:rPr>
        <w:t>本部门按要求对202</w:t>
      </w:r>
      <w:r>
        <w:rPr>
          <w:rFonts w:hint="eastAsia" w:ascii="仿宋_GB2312" w:eastAsia="仿宋_GB2312" w:cs="Times New Roman"/>
          <w:b w:val="0"/>
          <w:bCs w:val="0"/>
          <w:color w:val="auto"/>
          <w:kern w:val="2"/>
          <w:sz w:val="32"/>
          <w:szCs w:val="32"/>
          <w:highlight w:val="none"/>
          <w:lang w:val="en-US" w:eastAsia="zh-CN" w:bidi="ar-SA"/>
        </w:rPr>
        <w:t>3</w:t>
      </w:r>
      <w:r>
        <w:rPr>
          <w:rFonts w:hint="default" w:ascii="仿宋_GB2312" w:hAnsi="Times New Roman" w:eastAsia="仿宋_GB2312" w:cs="Times New Roman"/>
          <w:b w:val="0"/>
          <w:bCs w:val="0"/>
          <w:color w:val="auto"/>
          <w:kern w:val="2"/>
          <w:sz w:val="32"/>
          <w:szCs w:val="32"/>
          <w:highlight w:val="none"/>
          <w:lang w:val="zh-TW" w:eastAsia="zh-CN" w:bidi="ar-SA"/>
        </w:rPr>
        <w:t>年部门整体支出开展绩效自评，从评价情况来看总体来说我局202</w:t>
      </w:r>
      <w:r>
        <w:rPr>
          <w:rFonts w:hint="eastAsia" w:ascii="仿宋_GB2312" w:eastAsia="仿宋_GB2312" w:cs="Times New Roman"/>
          <w:b w:val="0"/>
          <w:bCs w:val="0"/>
          <w:color w:val="auto"/>
          <w:kern w:val="2"/>
          <w:sz w:val="32"/>
          <w:szCs w:val="32"/>
          <w:highlight w:val="none"/>
          <w:lang w:val="en-US" w:eastAsia="zh-CN" w:bidi="ar-SA"/>
        </w:rPr>
        <w:t>3</w:t>
      </w:r>
      <w:r>
        <w:rPr>
          <w:rFonts w:hint="default" w:ascii="仿宋_GB2312" w:hAnsi="Times New Roman" w:eastAsia="仿宋_GB2312" w:cs="Times New Roman"/>
          <w:b w:val="0"/>
          <w:bCs w:val="0"/>
          <w:color w:val="auto"/>
          <w:kern w:val="2"/>
          <w:sz w:val="32"/>
          <w:szCs w:val="32"/>
          <w:highlight w:val="none"/>
          <w:lang w:val="zh-TW" w:eastAsia="zh-CN" w:bidi="ar-SA"/>
        </w:rPr>
        <w:t>年部门整体支出情况良好，从预算到执行和收入、支出、资产管理及信息公开，都严格按相关制度要求进行，全年收支平衡，有效保证了机构运转，圆满完成了上级下达的目标任务。本部门还自行组织了项目支出绩效评价</w:t>
      </w:r>
      <w:r>
        <w:rPr>
          <w:rFonts w:hint="eastAsia" w:ascii="仿宋_GB2312" w:eastAsia="仿宋_GB2312" w:cs="Times New Roman"/>
          <w:b w:val="0"/>
          <w:bCs w:val="0"/>
          <w:color w:val="auto"/>
          <w:kern w:val="2"/>
          <w:sz w:val="32"/>
          <w:szCs w:val="32"/>
          <w:highlight w:val="none"/>
          <w:lang w:val="zh-TW" w:eastAsia="zh-CN" w:bidi="ar-SA"/>
        </w:rPr>
        <w:t>（</w:t>
      </w:r>
      <w:r>
        <w:rPr>
          <w:rFonts w:hint="eastAsia" w:ascii="仿宋_GB2312" w:hAnsi="Times New Roman" w:eastAsia="仿宋_GB2312" w:cs="Times New Roman"/>
          <w:color w:val="auto"/>
          <w:sz w:val="32"/>
          <w:szCs w:val="32"/>
          <w:highlight w:val="none"/>
          <w:lang w:val="en-US" w:eastAsia="zh-CN"/>
        </w:rPr>
        <w:t>绩效自评报告详见</w:t>
      </w:r>
      <w:r>
        <w:rPr>
          <w:rFonts w:hint="eastAsia" w:ascii="仿宋_GB2312" w:eastAsia="仿宋_GB2312" w:cs="Times New Roman"/>
          <w:color w:val="auto"/>
          <w:sz w:val="32"/>
          <w:szCs w:val="32"/>
          <w:highlight w:val="none"/>
          <w:lang w:val="en-US" w:eastAsia="zh-CN"/>
        </w:rPr>
        <w:t>第四部分</w:t>
      </w:r>
      <w:r>
        <w:rPr>
          <w:rFonts w:hint="eastAsia" w:ascii="仿宋_GB2312" w:hAnsi="Times New Roman" w:eastAsia="仿宋_GB2312" w:cs="Times New Roman"/>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default" w:ascii="仿宋_GB2312" w:hAnsi="Times New Roman" w:eastAsia="仿宋_GB2312" w:cs="Times New Roman"/>
          <w:b w:val="0"/>
          <w:bCs w:val="0"/>
          <w:color w:val="auto"/>
          <w:kern w:val="2"/>
          <w:sz w:val="32"/>
          <w:szCs w:val="32"/>
          <w:highlight w:val="none"/>
          <w:lang w:val="zh-TW" w:eastAsia="zh-CN" w:bidi="ar-SA"/>
        </w:rPr>
        <w:t>，从评价情况来看较好完成了全年目标任务</w:t>
      </w:r>
      <w:r>
        <w:rPr>
          <w:rFonts w:hint="eastAsia" w:ascii="仿宋_GB2312" w:hAnsi="Times New Roman" w:eastAsia="仿宋_GB2312" w:cs="Times New Roman"/>
          <w:b w:val="0"/>
          <w:bCs w:val="0"/>
          <w:color w:val="auto"/>
          <w:kern w:val="2"/>
          <w:sz w:val="32"/>
          <w:szCs w:val="32"/>
          <w:highlight w:val="none"/>
          <w:lang w:val="zh-TW" w:eastAsia="zh-CN" w:bidi="ar-SA"/>
        </w:rPr>
        <w:t>。</w:t>
      </w:r>
    </w:p>
    <w:p>
      <w:pPr>
        <w:pStyle w:val="46"/>
        <w:keepNext w:val="0"/>
        <w:keepLines w:val="0"/>
        <w:pageBreakBefore w:val="0"/>
        <w:widowControl w:val="0"/>
        <w:kinsoku/>
        <w:wordWrap/>
        <w:overflowPunct/>
        <w:topLinePunct w:val="0"/>
        <w:autoSpaceDE/>
        <w:autoSpaceDN/>
        <w:bidi w:val="0"/>
        <w:adjustRightInd w:val="0"/>
        <w:snapToGrid w:val="0"/>
        <w:spacing w:line="580" w:lineRule="atLeast"/>
        <w:ind w:left="0" w:leftChars="0" w:right="0" w:firstLine="0" w:firstLineChars="0"/>
        <w:jc w:val="both"/>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spacing w:line="580" w:lineRule="exact"/>
        <w:ind w:firstLine="2200" w:firstLineChars="500"/>
        <w:jc w:val="both"/>
        <w:outlineLvl w:val="0"/>
        <w:rPr>
          <w:rStyle w:val="37"/>
          <w:rFonts w:eastAsia="方正小标宋简体"/>
          <w:b w:val="0"/>
          <w:color w:val="auto"/>
        </w:rPr>
      </w:pPr>
      <w:bookmarkStart w:id="70" w:name="_Toc2876"/>
      <w:r>
        <w:rPr>
          <w:rFonts w:hint="eastAsia" w:eastAsia="方正小标宋简体"/>
          <w:bCs/>
          <w:color w:val="auto"/>
          <w:sz w:val="44"/>
          <w:szCs w:val="44"/>
        </w:rPr>
        <w:t>第三部分：</w:t>
      </w:r>
      <w:r>
        <w:rPr>
          <w:rFonts w:eastAsia="方正小标宋简体"/>
          <w:bCs/>
          <w:color w:val="auto"/>
          <w:sz w:val="44"/>
          <w:szCs w:val="44"/>
        </w:rPr>
        <w:t>名</w:t>
      </w:r>
      <w:r>
        <w:rPr>
          <w:rStyle w:val="37"/>
          <w:rFonts w:eastAsia="方正小标宋简体"/>
          <w:b w:val="0"/>
          <w:color w:val="auto"/>
        </w:rPr>
        <w:t>词解释</w:t>
      </w:r>
      <w:bookmarkEnd w:id="67"/>
      <w:bookmarkEnd w:id="68"/>
      <w:bookmarkEnd w:id="70"/>
    </w:p>
    <w:p>
      <w:pPr>
        <w:spacing w:line="600" w:lineRule="exact"/>
        <w:jc w:val="left"/>
        <w:rPr>
          <w:b/>
          <w:color w:val="auto"/>
          <w:sz w:val="44"/>
          <w:szCs w:val="44"/>
        </w:rPr>
      </w:pPr>
    </w:p>
    <w:p>
      <w:pPr>
        <w:pStyle w:val="41"/>
        <w:spacing w:line="560" w:lineRule="exact"/>
        <w:ind w:firstLine="640" w:firstLineChars="200"/>
        <w:outlineLvl w:val="1"/>
        <w:rPr>
          <w:rFonts w:ascii="仿宋_GB2312" w:eastAsia="仿宋_GB2312"/>
          <w:color w:val="auto"/>
          <w:sz w:val="32"/>
          <w:szCs w:val="32"/>
          <w:highlight w:val="none"/>
        </w:rPr>
      </w:pPr>
      <w:bookmarkStart w:id="71" w:name="_Toc25394"/>
      <w:bookmarkStart w:id="72" w:name="_Toc3593"/>
      <w:bookmarkStart w:id="73" w:name="_Toc15396614"/>
      <w:bookmarkStart w:id="74" w:name="_Toc15396618"/>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1"/>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41"/>
        <w:spacing w:line="560" w:lineRule="exact"/>
        <w:ind w:firstLine="640" w:firstLineChars="200"/>
        <w:outlineLvl w:val="1"/>
        <w:rPr>
          <w:rFonts w:ascii="仿宋_GB2312" w:eastAsia="仿宋_GB2312"/>
          <w:color w:val="auto"/>
          <w:sz w:val="32"/>
          <w:szCs w:val="32"/>
          <w:highlight w:val="none"/>
        </w:rPr>
      </w:pPr>
      <w:bookmarkStart w:id="75" w:name="_Toc24978"/>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5"/>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4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  行政单位离退休（</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w:t>
      </w:r>
      <w:r>
        <w:rPr>
          <w:rFonts w:hint="eastAsia" w:ascii="仿宋_GB2312" w:eastAsia="仿宋_GB2312"/>
          <w:color w:val="auto"/>
          <w:sz w:val="32"/>
          <w:szCs w:val="32"/>
          <w:lang w:eastAsia="zh-CN"/>
        </w:rPr>
        <w:t>反映行政单位（包括实行公务员管理的使用单位）开支的离退休经费。</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反映机关事业单位实施养老保险制度由单位缴纳的基本养老保险费支出。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机关事业单位职业年金缴费支出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06</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反映机关事业单位实施养老保险制度由单位实际缴纳的职业年金支出。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死亡抚恤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反映按规定用于烈士和牺牲、病故人员家属的一次性和定期抚恤金以及丧葬补助费。</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残疾人事业</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残疾人就业</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w:t>
      </w:r>
      <w:r>
        <w:rPr>
          <w:rFonts w:hint="eastAsia" w:ascii="仿宋_GB2312" w:eastAsia="仿宋_GB2312"/>
          <w:color w:val="auto"/>
          <w:sz w:val="32"/>
          <w:szCs w:val="32"/>
          <w:lang w:eastAsia="zh-CN"/>
        </w:rPr>
        <w:t>反映残疾人联合会用于残疾人就业方面的支出。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反映其他用于社会保障和就业方面的支出。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卫生健康</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反映财政部门安排的行政单位（包括实行公务员管理的事业单位）基本医疗保险缴费经费，未参加医疗保险的行政单位的公费医疗经费，按国家规定享受离休人员、红军老战士待遇人员的医疗经费。</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卫生健康</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反映财政部门安排的事业单位（包括实行公务员管理的事业单位）基本医疗保险缴费经费，未参加医疗保险的事业单位的公费医疗经费，按国家规定享受离休人员待遇的医疗经费。</w:t>
      </w:r>
    </w:p>
    <w:p>
      <w:pPr>
        <w:pStyle w:val="41"/>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卫生健康</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反映财政部门安排的公务员医疗补助经费。</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反映行政单位（包括实行公务员管理的事业单位）的基本支出。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反映用于农业事业单位基本支出，事业单位设施、系统运行与资产维护等方面的支出。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病虫害控制</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病虫鼠害及疫情监测、预报、预防、控制、检疫、防疫所需的仪器、设施、药物、疫苗、种苗，疫畜（禽、鱼、植物）防治、扑杀补偿及劳务补助、菌（毒）种保藏及动植物及其产品检疫、检测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农产品质量安全</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反映用于农业质量标准制定、实施和监督，投入品监管、残留监控，农产品质量认证、普查、标准化生产示范等方面的支出。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执法监管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反映用于农业农村法制建设、行政执法、行政复议、行政诉讼等方面的支出。</w:t>
      </w:r>
    </w:p>
    <w:p>
      <w:pPr>
        <w:pStyle w:val="41"/>
        <w:spacing w:line="560" w:lineRule="exact"/>
        <w:ind w:firstLine="640" w:firstLineChars="200"/>
        <w:rPr>
          <w:rFonts w:hint="eastAsia" w:ascii="仿宋" w:hAnsi="仿宋" w:eastAsia="仿宋" w:cs="仿宋"/>
          <w:b/>
          <w:bCs/>
          <w:color w:val="auto"/>
          <w:sz w:val="32"/>
          <w:szCs w:val="32"/>
          <w:highlight w:val="none"/>
          <w:lang w:val="en-US" w:eastAsia="zh-CN"/>
        </w:rPr>
      </w:pPr>
      <w:r>
        <w:rPr>
          <w:rFonts w:hint="eastAsia" w:ascii="仿宋_GB2312" w:eastAsia="仿宋_GB2312"/>
          <w:color w:val="auto"/>
          <w:sz w:val="32"/>
          <w:szCs w:val="32"/>
          <w:highlight w:val="none"/>
          <w:lang w:val="en-US" w:eastAsia="zh-CN"/>
        </w:rPr>
        <w:t>23.农林水支出（213）农业农村（01）行业业务管理（12）:</w:t>
      </w:r>
      <w:r>
        <w:rPr>
          <w:rFonts w:hint="eastAsia" w:ascii="仿宋_GB2312" w:eastAsia="仿宋_GB2312"/>
          <w:color w:val="auto"/>
          <w:sz w:val="32"/>
          <w:szCs w:val="32"/>
          <w:highlight w:val="none"/>
          <w:lang w:eastAsia="zh-CN"/>
        </w:rPr>
        <w:t>反映用于农业农村政策研究、规划编制、评审评估、绩效评价、监督检查等基本业务管理工作的支出。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防灾救灾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反映对农业生产因遭受自然、生物灾害损失给予的补助，促进农业防灾增产措施补助，海难救助补助，因其他灾害导致农牧渔业生产者损失给予的补助。</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农业生产发展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反映用于耕地地力保护、适度规模经营、农机购置补贴、优势特色主导产业发展、畜牧水产发展、农村一二三产业融合等方面的支出。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农村合作经济</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反映用于农村集体经济组织、农民合作经济组织、新型农业经营主体和农业社会化服务体系建设，以及土地承包管理、宅基地管理等方面的支出。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农业资源保护修复与利用</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反映用于农业耕地保护、修复与建设，草原草场改良、利用及建设，渔业水产及水生生物资源保护与利用等方面的支出。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渔业发展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反映用于海洋牧场、现代渔业装备设施、渔业基础公共设施、渔业资源调查养护和国际履约能力提升等方面的支出。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农田建设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反映用于农田建设和田间水利相关工程建设的支出。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农业农村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其他农业农村支出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反映其他用于农业农村方面的支出。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31.农林水支出（213）巩固脱贫衔接乡村振兴（05）农村基础设施建设（04）</w:t>
      </w:r>
      <w:r>
        <w:rPr>
          <w:rFonts w:hint="eastAsia" w:ascii="仿宋_GB2312" w:eastAsia="仿宋_GB2312"/>
          <w:color w:val="auto"/>
          <w:sz w:val="32"/>
          <w:szCs w:val="32"/>
          <w:highlight w:val="none"/>
          <w:lang w:eastAsia="zh-CN"/>
        </w:rPr>
        <w:t>:反映用于农村欠发达地区乡村道路、住房、基本农田、水利设施、人畜饮水、生态环境保护等生产生活条件改善方面的支出。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巩固脱贫衔接乡村振兴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生产发展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反映用于农村贫困地区发展种植业、养殖业、畜牧业、农副产品加工、林果地建设等生产发展项目以及相关技术推广等方面的项目支出。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 xml:space="preserve"> </w:t>
      </w:r>
      <w:r>
        <w:rPr>
          <w:rFonts w:hint="eastAsia" w:ascii="仿宋_GB2312" w:eastAsia="仿宋_GB2312"/>
          <w:color w:val="auto"/>
          <w:sz w:val="32"/>
          <w:szCs w:val="32"/>
          <w:highlight w:val="none"/>
          <w:lang w:val="en-US" w:eastAsia="zh-CN"/>
        </w:rPr>
        <w:t>33.</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巩固拓展脱贫衔接乡村振兴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贷款奖补和贴息（</w:t>
      </w:r>
      <w:r>
        <w:rPr>
          <w:rFonts w:hint="eastAsia" w:ascii="仿宋_GB2312" w:eastAsia="仿宋_GB2312"/>
          <w:color w:val="auto"/>
          <w:sz w:val="32"/>
          <w:szCs w:val="32"/>
          <w:highlight w:val="none"/>
          <w:lang w:val="en-US" w:eastAsia="zh-CN"/>
        </w:rPr>
        <w:t>07</w:t>
      </w:r>
      <w:r>
        <w:rPr>
          <w:rFonts w:hint="eastAsia" w:ascii="仿宋_GB2312" w:eastAsia="仿宋_GB2312"/>
          <w:color w:val="auto"/>
          <w:sz w:val="32"/>
          <w:szCs w:val="32"/>
          <w:highlight w:val="none"/>
          <w:lang w:eastAsia="zh-CN"/>
        </w:rPr>
        <w:t>）：反映用于农村欠发达地区巩固拓展脱贫攻坚成果同乡村振兴有效衔接贷款的奖补和贴息支出。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巩固拓展脱贫衔接乡村振兴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其他巩固拓展脱贫衔接乡村振兴支出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反映其他用于巩固拓展脱贫攻坚成果同乡村振兴有效衔接方面的支出。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目标价格补贴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lang w:eastAsia="zh-CN"/>
        </w:rPr>
        <w:t>其他目标价格补贴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反映用于其他农产品目标价格补助支出。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lang w:eastAsia="zh-CN"/>
        </w:rPr>
        <w:t>商业服务业等支出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商业流通事务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其他商业流通事务支出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反映其他用于商业流通事务方面的支出。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lang w:eastAsia="zh-CN"/>
        </w:rPr>
        <w:t>住房保障支出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221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反映行政事业单位按人力资源和社会保障部、财政部规定的基本工资和津贴补贴以及规定比例为职工缴纳的住房公积金。</w:t>
      </w:r>
    </w:p>
    <w:p>
      <w:pPr>
        <w:numPr>
          <w:ilvl w:val="0"/>
          <w:numId w:val="0"/>
        </w:num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38.粮油物资储备支出（222）粮油物资事务（01）其他粮油物资事务支出（99）:反映除上述项目以外其他用于粮油和物资事务方面的支出</w:t>
      </w:r>
    </w:p>
    <w:p>
      <w:pPr>
        <w:pStyle w:val="41"/>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39.其他支出（229）其他支出（99）其他支出（99）:反映除上述项目以外</w:t>
      </w:r>
      <w:r>
        <w:rPr>
          <w:rFonts w:hint="eastAsia" w:ascii="仿宋_GB2312" w:eastAsia="仿宋_GB2312" w:cs="仿宋"/>
          <w:color w:val="auto"/>
          <w:kern w:val="0"/>
          <w:sz w:val="32"/>
          <w:szCs w:val="32"/>
          <w:highlight w:val="none"/>
          <w:lang w:val="en-US" w:eastAsia="zh-CN" w:bidi="ar-SA"/>
        </w:rPr>
        <w:t>不能划分到具体功能科目中的项目支出。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lang w:eastAsia="zh-CN"/>
        </w:rPr>
        <w:t>.基本支出：指为保障机构正常运转、完成日常工作任务而发生的人员支出和公用支出。</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41</w:t>
      </w:r>
      <w:r>
        <w:rPr>
          <w:rFonts w:hint="eastAsia" w:ascii="仿宋_GB2312" w:eastAsia="仿宋_GB2312"/>
          <w:color w:val="auto"/>
          <w:sz w:val="32"/>
          <w:szCs w:val="32"/>
          <w:highlight w:val="none"/>
          <w:lang w:eastAsia="zh-CN"/>
        </w:rPr>
        <w:t xml:space="preserve">.项目支出：指在基本支出之外为完成特定行政任务和事业发展目标所发生的支出。 </w:t>
      </w:r>
    </w:p>
    <w:p>
      <w:pPr>
        <w:pStyle w:val="41"/>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42</w:t>
      </w:r>
      <w:r>
        <w:rPr>
          <w:rFonts w:hint="eastAsia" w:ascii="仿宋_GB2312" w:eastAsia="仿宋_GB2312"/>
          <w:color w:val="auto"/>
          <w:sz w:val="32"/>
          <w:szCs w:val="32"/>
          <w:highlight w:val="none"/>
          <w:lang w:eastAsia="zh-CN"/>
        </w:rPr>
        <w:t>.经营支出：指事业单位在专业业务活动及其辅助活动之外开展非独立核算经营活动发生的支出。</w:t>
      </w:r>
    </w:p>
    <w:p>
      <w:pPr>
        <w:pStyle w:val="4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43</w:t>
      </w:r>
      <w:r>
        <w:rPr>
          <w:rFonts w:hint="eastAsia" w:ascii="仿宋_GB2312" w:eastAsia="仿宋_GB2312"/>
          <w:color w:val="auto"/>
          <w:sz w:val="32"/>
          <w:szCs w:val="32"/>
          <w:highlight w:val="none"/>
          <w:lang w:eastAsia="zh-CN"/>
        </w:rPr>
        <w:t>.“三公”经费：指单位用财政拨款安排的因公出国（境）费、公务用车购置及运行费和公务接待费。其中，因公出国（境）费反映单位公务出国（境）的国际旅费、国外城市间交通费、住</w:t>
      </w:r>
      <w:r>
        <w:rPr>
          <w:rFonts w:hint="eastAsia" w:ascii="仿宋_GB2312" w:eastAsia="仿宋_GB2312"/>
          <w:color w:val="auto"/>
          <w:sz w:val="32"/>
          <w:szCs w:val="32"/>
          <w:highlight w:val="none"/>
        </w:rPr>
        <w:t>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bookmarkStart w:id="76" w:name="_Toc4761"/>
      <w:r>
        <w:rPr>
          <w:rFonts w:hint="eastAsia" w:ascii="仿宋_GB2312" w:eastAsia="仿宋_GB2312"/>
          <w:color w:val="auto"/>
          <w:sz w:val="32"/>
          <w:szCs w:val="32"/>
          <w:highlight w:val="none"/>
          <w:lang w:val="en-US" w:eastAsia="zh-CN"/>
        </w:rPr>
        <w:t>44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76"/>
    </w:p>
    <w:bookmarkEnd w:id="72"/>
    <w:bookmarkEnd w:id="73"/>
    <w:bookmarkEnd w:id="74"/>
    <w:p>
      <w:pPr>
        <w:spacing w:line="600" w:lineRule="exact"/>
        <w:jc w:val="both"/>
        <w:outlineLvl w:val="9"/>
        <w:rPr>
          <w:rFonts w:hint="eastAsia" w:ascii="黑体" w:hAnsi="黑体" w:eastAsia="黑体"/>
          <w:color w:val="auto"/>
          <w:sz w:val="44"/>
          <w:szCs w:val="44"/>
          <w:highlight w:val="none"/>
        </w:rPr>
      </w:pPr>
    </w:p>
    <w:p>
      <w:pPr>
        <w:spacing w:line="600" w:lineRule="exact"/>
        <w:jc w:val="both"/>
        <w:outlineLvl w:val="0"/>
        <w:rPr>
          <w:rStyle w:val="28"/>
          <w:rFonts w:hint="eastAsia" w:ascii="黑体" w:hAnsi="黑体" w:eastAsia="黑体"/>
          <w:b w:val="0"/>
          <w:color w:val="auto"/>
          <w:highlight w:val="none"/>
          <w:lang w:eastAsia="zh-CN"/>
        </w:rPr>
      </w:pPr>
      <w:bookmarkStart w:id="77" w:name="_Toc323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7"/>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方正小标宋简体" w:hAnsi="方正小标宋简体" w:eastAsia="黑体" w:cs="方正小标宋简体"/>
          <w:color w:val="auto"/>
          <w:sz w:val="44"/>
          <w:szCs w:val="44"/>
          <w:highlight w:val="none"/>
          <w:lang w:val="en-US" w:eastAsia="zh-CN"/>
        </w:rPr>
      </w:pPr>
    </w:p>
    <w:p>
      <w:pPr>
        <w:jc w:val="center"/>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rPr>
        <w:t>2023年</w:t>
      </w:r>
      <w:r>
        <w:rPr>
          <w:rFonts w:hint="eastAsia" w:ascii="方正小标宋简体" w:hAnsi="方正小标宋简体" w:eastAsia="方正小标宋简体" w:cs="方正小标宋简体"/>
          <w:color w:val="auto"/>
          <w:sz w:val="44"/>
          <w:szCs w:val="44"/>
          <w:highlight w:val="none"/>
          <w:shd w:val="clear" w:color="auto" w:fill="FFFFFF"/>
          <w:lang w:eastAsia="zh-CN"/>
        </w:rPr>
        <w:t>船山区</w:t>
      </w:r>
      <w:r>
        <w:rPr>
          <w:rFonts w:hint="eastAsia" w:ascii="方正小标宋简体" w:hAnsi="方正小标宋简体" w:eastAsia="方正小标宋简体" w:cs="方正小标宋简体"/>
          <w:color w:val="auto"/>
          <w:sz w:val="44"/>
          <w:szCs w:val="44"/>
          <w:highlight w:val="none"/>
          <w:shd w:val="clear" w:color="auto" w:fill="FFFFFF"/>
        </w:rPr>
        <w:t>农业农村局</w:t>
      </w:r>
    </w:p>
    <w:p>
      <w:pPr>
        <w:jc w:val="center"/>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rPr>
        <w:t>整体支出绩效</w:t>
      </w:r>
      <w:r>
        <w:rPr>
          <w:rFonts w:hint="eastAsia" w:ascii="方正小标宋简体" w:hAnsi="方正小标宋简体" w:eastAsia="方正小标宋简体" w:cs="方正小标宋简体"/>
          <w:color w:val="auto"/>
          <w:sz w:val="44"/>
          <w:szCs w:val="44"/>
          <w:highlight w:val="none"/>
          <w:shd w:val="clear" w:color="auto" w:fill="FFFFFF"/>
          <w:lang w:eastAsia="zh-CN"/>
        </w:rPr>
        <w:t>自评</w:t>
      </w:r>
      <w:r>
        <w:rPr>
          <w:rFonts w:hint="eastAsia" w:ascii="方正小标宋简体" w:hAnsi="方正小标宋简体" w:eastAsia="方正小标宋简体" w:cs="方正小标宋简体"/>
          <w:color w:val="auto"/>
          <w:sz w:val="44"/>
          <w:szCs w:val="44"/>
          <w:highlight w:val="none"/>
          <w:shd w:val="clear" w:color="auto" w:fill="FFFFFF"/>
        </w:rPr>
        <w:t>报告</w:t>
      </w:r>
    </w:p>
    <w:p>
      <w:pPr>
        <w:adjustRightInd w:val="0"/>
        <w:snapToGrid w:val="0"/>
        <w:spacing w:line="540" w:lineRule="exact"/>
        <w:ind w:firstLine="720"/>
        <w:jc w:val="left"/>
        <w:rPr>
          <w:rFonts w:hint="eastAsia" w:ascii="幼圆" w:hAnsi="幼圆" w:eastAsia="幼圆" w:cs="幼圆"/>
          <w:color w:val="auto"/>
          <w:kern w:val="0"/>
          <w:sz w:val="24"/>
          <w:highlight w:val="none"/>
          <w:shd w:val="clear" w:color="auto" w:fill="FFFFFF"/>
        </w:rPr>
      </w:pPr>
    </w:p>
    <w:p>
      <w:pPr>
        <w:widowControl/>
        <w:adjustRightInd w:val="0"/>
        <w:snapToGrid w:val="0"/>
        <w:spacing w:line="580" w:lineRule="exact"/>
        <w:ind w:firstLine="640" w:firstLineChars="200"/>
        <w:contextualSpacing/>
        <w:jc w:val="left"/>
        <w:outlineLvl w:val="1"/>
        <w:rPr>
          <w:rFonts w:hint="eastAsia" w:ascii="黑体" w:hAnsi="黑体" w:eastAsia="黑体" w:cs="黑体"/>
          <w:color w:val="auto"/>
          <w:kern w:val="0"/>
          <w:sz w:val="32"/>
          <w:szCs w:val="32"/>
          <w:highlight w:val="none"/>
          <w:shd w:val="clear" w:color="auto" w:fill="FFFFFF"/>
          <w:lang w:val="zh-CN"/>
        </w:rPr>
      </w:pPr>
      <w:bookmarkStart w:id="78" w:name="_Toc30095"/>
      <w:r>
        <w:rPr>
          <w:rFonts w:hint="eastAsia" w:ascii="黑体" w:hAnsi="黑体" w:eastAsia="黑体" w:cs="黑体"/>
          <w:color w:val="auto"/>
          <w:kern w:val="0"/>
          <w:sz w:val="32"/>
          <w:szCs w:val="32"/>
          <w:highlight w:val="none"/>
          <w:shd w:val="clear" w:color="auto" w:fill="FFFFFF"/>
        </w:rPr>
        <w:t>一、</w:t>
      </w:r>
      <w:r>
        <w:rPr>
          <w:rFonts w:hint="eastAsia" w:ascii="黑体" w:hAnsi="黑体" w:eastAsia="黑体" w:cs="黑体"/>
          <w:color w:val="auto"/>
          <w:kern w:val="0"/>
          <w:sz w:val="32"/>
          <w:szCs w:val="32"/>
          <w:highlight w:val="none"/>
          <w:shd w:val="clear" w:color="auto" w:fill="FFFFFF"/>
          <w:lang w:val="zh-CN"/>
        </w:rPr>
        <w:t>部门（单位）概况</w:t>
      </w:r>
      <w:bookmarkEnd w:id="78"/>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79" w:name="_Toc32142"/>
      <w:r>
        <w:rPr>
          <w:rFonts w:hint="eastAsia" w:ascii="楷体_GB2312" w:hAnsi="楷体_GB2312" w:eastAsia="楷体_GB2312" w:cs="楷体_GB2312"/>
          <w:color w:val="auto"/>
          <w:kern w:val="0"/>
          <w:sz w:val="32"/>
          <w:szCs w:val="32"/>
          <w:highlight w:val="none"/>
          <w:shd w:val="clear" w:color="auto" w:fill="FFFFFF"/>
          <w:lang w:val="zh-CN"/>
        </w:rPr>
        <w:t>（一）机构组成</w:t>
      </w:r>
      <w:bookmarkEnd w:id="79"/>
    </w:p>
    <w:p>
      <w:pPr>
        <w:shd w:val="clear" w:color="auto" w:fill="FFFFFF"/>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船山区农业农村局是区人民政府的工作部门，属财政全额拨款的行政事业单位。内设机构9个股室：办公室（政策法规股）、计划投资财务股、园区建设股、农村经济管理股、乡村建设与治理股、养殖与兽医兽药饲料管理股、安全生产生态环境保护股、区委农办秘书股、机关党委办。下属事业单位20个（其他事业单位16个、参公管理事业单位4个），主要包括区农业综合服务中心、区农村建设技术保障中心、区农产品质量安全技术保障中心、区动物疫病预防控制中心及12个基层畜牧兽医站、区农村合作经济经营管理站、区农业综合行政执法大队 、区农村能源办公室、区动物卫生监督所。</w:t>
      </w:r>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0" w:name="_Toc1452"/>
      <w:r>
        <w:rPr>
          <w:rFonts w:hint="eastAsia" w:ascii="楷体_GB2312" w:hAnsi="楷体_GB2312" w:eastAsia="楷体_GB2312" w:cs="楷体_GB2312"/>
          <w:color w:val="auto"/>
          <w:kern w:val="0"/>
          <w:sz w:val="32"/>
          <w:szCs w:val="32"/>
          <w:highlight w:val="none"/>
          <w:shd w:val="clear" w:color="auto" w:fill="FFFFFF"/>
          <w:lang w:val="zh-CN"/>
        </w:rPr>
        <w:t>（二）机构职能</w:t>
      </w:r>
      <w:bookmarkEnd w:id="80"/>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统筹研究和组织实施全区“三农”工作的发展战略、中长期规划、重大政策。组织起草“三农”有关规范性文件草案。贯彻执行国家有关种植业、养殖业、农业机械化等农业领域工作的法律、法规、政策以及区委、区政府关于“三农”方面的决策部署。参与涉农相关政策制定。</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2．统筹实施乡村振兴战略，牵头组织改善全区农村人居环境。统筹推动发展农村社会事业、农村公共服务、农村文化、农村基础设施和乡村治理。指导农业非遗产的保护传承和开发利用。指导农村精神文明和优秀农耕文化建设。</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3．拟定深化全区农村经济体制改革，巩固和完善农村基本经营制度的政策措施。指导农村承包地、农村宅基地管理和改革有关工作。负责农村集体产权制度改革，指导农村集体经济组织发展、集体资产和财务管理工作。拟订全区农业产业化经营的发展规划与政策并组织实施，指导农民合作经济组织、农业社会化服务体系、新型农业经营主体建设与发展。指导、监督减轻农民负担工作。</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4．指导全区乡村特色产业、农产品加工业（产地初加工）、休闲农业和乡村企业发展工作。指导特色农产品优势区建设和管理工作。组织拟订并实施现代农业园区的政策与规划。负责现代农业园区创建、申报工作。提出促进大宗农产品流通政策和主要农产品进口建议，研究制定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5．负责全区种植业、养殖业、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6．负责制定全区农业全产业机械化、智能化、数字化发展规划并组织实施。组织开展农业机械新技术、新机具的引进、示范和推广工作。指导全区农业机械基础设施的规划建设和管理工作。指导设施农业、农机库棚、机电提灌、机耕道等基础设施建设。</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7．负责全区农产品质量安全监督管理。组织开展农产品质量安全监测、追溯、风险评估。发布有关农产品质量安全状况信息，提出技术性贸易措施建议。指导农业检验检测体系建设。依法组织实施符合安全标准的农产品生产基地认定、产品认证、农产品地理标志登记保护和监督管理。</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8．组织开展全区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9．负责全区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工作。监督管理兽医医疗器械、肥料。会同有关部门监督实施农业生产资料国家标准。组织兽医医政、兽药（渔药）药政药检、饲料饲政饲检工作，负责执业兽医和畜禽屠宰行业管理。</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10．负责全区农业防灾减灾动植物重大病虫害防治工作。会同有关部门拟定动植物防疫检疫政策并指导实施。指导动植物防疫检疫体系建设，组织监督管理区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11．负责全区农业投资管理。提出农业投融资体制机制改革建议。编制中央、省级、市级、区级投资安排的农业投资项目建设规划，提出农业投资规模和方向、扶持农业农村发展财政项目的建议，按权限审批农业投资项目，负责农业投资项目资金安排和监督管理。</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12．负责全区农田建设管理。拟定农田建设发展规划，提出农田建设项目需求建议。负责全区农田建设管理、高标准农田建设和耕地质量管理。编制农业综合开发涉及农田建设项目、农田整治项目、农田水利建设项目的计划，并组织实施和管理。</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13．拟订全区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组织协调农业转基因生物安全监督管理和农业植物新品种保护。</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14．指导全区农业农村人才工作。拟订农业农村人才队伍建设规划并组织实施，指导农业教育和农业职业技能开发，指导新型职业农民培育、农业科技人才培养和农村实用人才培训工作。</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15．牵头开展全区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16．统筹协调和监督指导全区农业综合执法。负责由区本级办理的涉农违法案件调查处理，参与重大案件查处和跨区域执法工作。推进农业依法行政。制定职责范围内的安全生产年度监督检查计划并组织实施。</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17．负责职责范围内的安全生产和职业健康、消防安全、生态环境保护、审批服务便民化等工作。</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18．承担区政府公布的有关行政权力事项。</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19．完成区委和区政府交办的其他任务。</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20．职能转变</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fldChar w:fldCharType="begin"/>
      </w:r>
      <w:r>
        <w:rPr>
          <w:rFonts w:hint="eastAsia" w:ascii="仿宋_GB2312" w:hAnsi="仿宋_GB2312" w:eastAsia="仿宋_GB2312" w:cs="仿宋_GB2312"/>
          <w:color w:val="auto"/>
          <w:kern w:val="2"/>
          <w:sz w:val="32"/>
          <w:szCs w:val="32"/>
          <w:highlight w:val="none"/>
          <w:lang w:eastAsia="zh-CN"/>
        </w:rPr>
        <w:instrText xml:space="preserve"> = 1 \* GB3 \* MERGEFORMAT </w:instrText>
      </w:r>
      <w:r>
        <w:rPr>
          <w:rFonts w:hint="eastAsia" w:ascii="仿宋_GB2312" w:hAnsi="仿宋_GB2312" w:eastAsia="仿宋_GB2312" w:cs="仿宋_GB2312"/>
          <w:color w:val="auto"/>
          <w:kern w:val="2"/>
          <w:sz w:val="32"/>
          <w:szCs w:val="32"/>
          <w:highlight w:val="none"/>
          <w:lang w:eastAsia="zh-CN"/>
        </w:rPr>
        <w:fldChar w:fldCharType="separate"/>
      </w:r>
      <w:r>
        <w:rPr>
          <w:rFonts w:hint="eastAsia" w:ascii="仿宋_GB2312" w:hAnsi="仿宋_GB2312" w:eastAsia="仿宋_GB2312" w:cs="仿宋_GB2312"/>
          <w:color w:val="auto"/>
          <w:kern w:val="2"/>
          <w:sz w:val="32"/>
          <w:szCs w:val="32"/>
          <w:highlight w:val="none"/>
          <w:lang w:eastAsia="zh-CN"/>
        </w:rPr>
        <w:t>①</w:t>
      </w:r>
      <w:r>
        <w:rPr>
          <w:rFonts w:hint="eastAsia" w:ascii="仿宋_GB2312" w:hAnsi="仿宋_GB2312" w:eastAsia="仿宋_GB2312" w:cs="仿宋_GB2312"/>
          <w:color w:val="auto"/>
          <w:kern w:val="2"/>
          <w:sz w:val="32"/>
          <w:szCs w:val="32"/>
          <w:highlight w:val="none"/>
          <w:lang w:eastAsia="zh-CN"/>
        </w:rPr>
        <w:fldChar w:fldCharType="end"/>
      </w:r>
      <w:r>
        <w:rPr>
          <w:rFonts w:hint="eastAsia" w:ascii="仿宋_GB2312" w:hAnsi="仿宋_GB2312" w:eastAsia="仿宋_GB2312" w:cs="仿宋_GB2312"/>
          <w:color w:val="auto"/>
          <w:kern w:val="2"/>
          <w:sz w:val="32"/>
          <w:szCs w:val="32"/>
          <w:highlight w:val="none"/>
          <w:lang w:eastAsia="zh-CN"/>
        </w:rPr>
        <w:t>统筹实施乡村振兴战略，深化农业供给侧结构性改革</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lang w:eastAsia="zh-CN"/>
        </w:rPr>
        <w:t>促进农业绿色发展、高质量发展，推动农业全面升级、农村全面进步、农民全面发展，加快实现农业农村现代化。</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fldChar w:fldCharType="begin"/>
      </w:r>
      <w:r>
        <w:rPr>
          <w:rFonts w:hint="eastAsia" w:ascii="仿宋_GB2312" w:hAnsi="仿宋_GB2312" w:eastAsia="仿宋_GB2312" w:cs="仿宋_GB2312"/>
          <w:color w:val="auto"/>
          <w:kern w:val="2"/>
          <w:sz w:val="32"/>
          <w:szCs w:val="32"/>
          <w:highlight w:val="none"/>
          <w:lang w:eastAsia="zh-CN"/>
        </w:rPr>
        <w:instrText xml:space="preserve"> = 2 \* GB3 \* MERGEFORMAT </w:instrText>
      </w:r>
      <w:r>
        <w:rPr>
          <w:rFonts w:hint="eastAsia" w:ascii="仿宋_GB2312" w:hAnsi="仿宋_GB2312" w:eastAsia="仿宋_GB2312" w:cs="仿宋_GB2312"/>
          <w:color w:val="auto"/>
          <w:kern w:val="2"/>
          <w:sz w:val="32"/>
          <w:szCs w:val="32"/>
          <w:highlight w:val="none"/>
          <w:lang w:eastAsia="zh-CN"/>
        </w:rPr>
        <w:fldChar w:fldCharType="separate"/>
      </w:r>
      <w:r>
        <w:rPr>
          <w:rFonts w:hint="eastAsia" w:ascii="仿宋_GB2312" w:hAnsi="仿宋_GB2312" w:eastAsia="仿宋_GB2312" w:cs="仿宋_GB2312"/>
          <w:color w:val="auto"/>
          <w:kern w:val="2"/>
          <w:sz w:val="32"/>
          <w:szCs w:val="32"/>
          <w:highlight w:val="none"/>
          <w:lang w:eastAsia="zh-CN"/>
        </w:rPr>
        <w:t>②</w:t>
      </w:r>
      <w:r>
        <w:rPr>
          <w:rFonts w:hint="eastAsia" w:ascii="仿宋_GB2312" w:hAnsi="仿宋_GB2312" w:eastAsia="仿宋_GB2312" w:cs="仿宋_GB2312"/>
          <w:color w:val="auto"/>
          <w:kern w:val="2"/>
          <w:sz w:val="32"/>
          <w:szCs w:val="32"/>
          <w:highlight w:val="none"/>
          <w:lang w:eastAsia="zh-CN"/>
        </w:rPr>
        <w:fldChar w:fldCharType="end"/>
      </w:r>
      <w:r>
        <w:rPr>
          <w:rFonts w:hint="eastAsia" w:ascii="仿宋_GB2312" w:hAnsi="仿宋_GB2312" w:eastAsia="仿宋_GB2312" w:cs="仿宋_GB2312"/>
          <w:color w:val="auto"/>
          <w:kern w:val="2"/>
          <w:sz w:val="32"/>
          <w:szCs w:val="32"/>
          <w:highlight w:val="none"/>
          <w:lang w:eastAsia="zh-CN"/>
        </w:rPr>
        <w:t>加强农产品质量安全和相关农业生产资料、农业投入品的监督管理，坚持最严谨的标准、最严格的监管、最严厉的处罚、最严肃的问责，严防、严管、严控质量安全风险，让人民群众吃得放心、安心。</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fldChar w:fldCharType="begin"/>
      </w:r>
      <w:r>
        <w:rPr>
          <w:rFonts w:hint="eastAsia" w:ascii="仿宋_GB2312" w:hAnsi="仿宋_GB2312" w:eastAsia="仿宋_GB2312" w:cs="仿宋_GB2312"/>
          <w:color w:val="auto"/>
          <w:kern w:val="2"/>
          <w:sz w:val="32"/>
          <w:szCs w:val="32"/>
          <w:highlight w:val="none"/>
          <w:lang w:eastAsia="zh-CN"/>
        </w:rPr>
        <w:instrText xml:space="preserve"> = 3 \* GB3 \* MERGEFORMAT </w:instrText>
      </w:r>
      <w:r>
        <w:rPr>
          <w:rFonts w:hint="eastAsia" w:ascii="仿宋_GB2312" w:hAnsi="仿宋_GB2312" w:eastAsia="仿宋_GB2312" w:cs="仿宋_GB2312"/>
          <w:color w:val="auto"/>
          <w:kern w:val="2"/>
          <w:sz w:val="32"/>
          <w:szCs w:val="32"/>
          <w:highlight w:val="none"/>
          <w:lang w:eastAsia="zh-CN"/>
        </w:rPr>
        <w:fldChar w:fldCharType="separate"/>
      </w:r>
      <w:r>
        <w:rPr>
          <w:rFonts w:hint="eastAsia" w:ascii="仿宋_GB2312" w:hAnsi="仿宋_GB2312" w:eastAsia="仿宋_GB2312" w:cs="仿宋_GB2312"/>
          <w:color w:val="auto"/>
          <w:kern w:val="2"/>
          <w:sz w:val="32"/>
          <w:szCs w:val="32"/>
          <w:highlight w:val="none"/>
          <w:lang w:eastAsia="zh-CN"/>
        </w:rPr>
        <w:t>③</w:t>
      </w:r>
      <w:r>
        <w:rPr>
          <w:rFonts w:hint="eastAsia" w:ascii="仿宋_GB2312" w:hAnsi="仿宋_GB2312" w:eastAsia="仿宋_GB2312" w:cs="仿宋_GB2312"/>
          <w:color w:val="auto"/>
          <w:kern w:val="2"/>
          <w:sz w:val="32"/>
          <w:szCs w:val="32"/>
          <w:highlight w:val="none"/>
          <w:lang w:eastAsia="zh-CN"/>
        </w:rPr>
        <w:fldChar w:fldCharType="end"/>
      </w:r>
      <w:r>
        <w:rPr>
          <w:rFonts w:hint="eastAsia" w:ascii="仿宋_GB2312" w:hAnsi="仿宋_GB2312" w:eastAsia="仿宋_GB2312" w:cs="仿宋_GB2312"/>
          <w:color w:val="auto"/>
          <w:kern w:val="2"/>
          <w:sz w:val="32"/>
          <w:szCs w:val="32"/>
          <w:highlight w:val="none"/>
          <w:lang w:eastAsia="zh-CN"/>
        </w:rPr>
        <w:t>深入推进简政放权，加强对行业内交叉重复以及性质相同、用途相近的农业投资项目的统筹整合，最大限度缩小项目审批范围，加强事中事后监管，切实提升支农政策效果和资金使用效益。</w:t>
      </w:r>
    </w:p>
    <w:p>
      <w:pPr>
        <w:pStyle w:val="46"/>
        <w:widowControl w:val="0"/>
        <w:kinsoku/>
        <w:autoSpaceDE/>
        <w:autoSpaceDN/>
        <w:spacing w:line="580" w:lineRule="atLeas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fldChar w:fldCharType="begin"/>
      </w:r>
      <w:r>
        <w:rPr>
          <w:rFonts w:hint="eastAsia" w:ascii="仿宋_GB2312" w:hAnsi="仿宋_GB2312" w:eastAsia="仿宋_GB2312" w:cs="仿宋_GB2312"/>
          <w:color w:val="auto"/>
          <w:kern w:val="2"/>
          <w:sz w:val="32"/>
          <w:szCs w:val="32"/>
          <w:highlight w:val="none"/>
          <w:lang w:eastAsia="zh-CN"/>
        </w:rPr>
        <w:instrText xml:space="preserve"> = 4 \* GB3 \* MERGEFORMAT </w:instrText>
      </w:r>
      <w:r>
        <w:rPr>
          <w:rFonts w:hint="eastAsia" w:ascii="仿宋_GB2312" w:hAnsi="仿宋_GB2312" w:eastAsia="仿宋_GB2312" w:cs="仿宋_GB2312"/>
          <w:color w:val="auto"/>
          <w:kern w:val="2"/>
          <w:sz w:val="32"/>
          <w:szCs w:val="32"/>
          <w:highlight w:val="none"/>
          <w:lang w:eastAsia="zh-CN"/>
        </w:rPr>
        <w:fldChar w:fldCharType="separate"/>
      </w:r>
      <w:r>
        <w:rPr>
          <w:rFonts w:hint="eastAsia" w:ascii="仿宋_GB2312" w:hAnsi="仿宋_GB2312" w:eastAsia="仿宋_GB2312" w:cs="仿宋_GB2312"/>
          <w:color w:val="auto"/>
          <w:kern w:val="2"/>
          <w:sz w:val="32"/>
          <w:szCs w:val="32"/>
          <w:highlight w:val="none"/>
          <w:lang w:eastAsia="zh-CN"/>
        </w:rPr>
        <w:t>④</w:t>
      </w:r>
      <w:r>
        <w:rPr>
          <w:rFonts w:hint="eastAsia" w:ascii="仿宋_GB2312" w:hAnsi="仿宋_GB2312" w:eastAsia="仿宋_GB2312" w:cs="仿宋_GB2312"/>
          <w:color w:val="auto"/>
          <w:kern w:val="2"/>
          <w:sz w:val="32"/>
          <w:szCs w:val="32"/>
          <w:highlight w:val="none"/>
          <w:lang w:eastAsia="zh-CN"/>
        </w:rPr>
        <w:fldChar w:fldCharType="end"/>
      </w:r>
      <w:r>
        <w:rPr>
          <w:rFonts w:hint="eastAsia" w:ascii="仿宋_GB2312" w:hAnsi="仿宋_GB2312" w:eastAsia="仿宋_GB2312" w:cs="仿宋_GB2312"/>
          <w:color w:val="auto"/>
          <w:kern w:val="2"/>
          <w:sz w:val="32"/>
          <w:szCs w:val="32"/>
          <w:highlight w:val="none"/>
          <w:lang w:eastAsia="zh-CN"/>
        </w:rPr>
        <w:t>统筹推进承担行政职能的事业单位改革。区渔政管理站承担的渔政渔港监督管理职责交由区农业农村局承担，区农村能源办公室不再承担农村能源行政职责，区动物监督所不再承担动物监督管理职责，上述两项行政职责交由区农业农村局承担。</w:t>
      </w:r>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1" w:name="_Toc3889"/>
      <w:r>
        <w:rPr>
          <w:rFonts w:hint="eastAsia" w:ascii="楷体_GB2312" w:hAnsi="楷体_GB2312" w:eastAsia="楷体_GB2312" w:cs="楷体_GB2312"/>
          <w:color w:val="auto"/>
          <w:kern w:val="0"/>
          <w:sz w:val="32"/>
          <w:szCs w:val="32"/>
          <w:highlight w:val="none"/>
          <w:shd w:val="clear" w:color="auto" w:fill="FFFFFF"/>
          <w:lang w:val="zh-CN"/>
        </w:rPr>
        <w:t>（三）人员概况</w:t>
      </w:r>
      <w:bookmarkEnd w:id="81"/>
    </w:p>
    <w:p>
      <w:pPr>
        <w:numPr>
          <w:ilvl w:val="0"/>
          <w:numId w:val="0"/>
        </w:numPr>
        <w:snapToGrid w:val="0"/>
        <w:spacing w:line="600" w:lineRule="exact"/>
        <w:ind w:firstLine="640" w:firstLineChars="200"/>
        <w:jc w:val="left"/>
        <w:rPr>
          <w:rFonts w:hint="default" w:ascii="Times New Roman" w:hAnsi="Times New Roman" w:eastAsia="仿宋_GB2312" w:cs="Times New Roman"/>
          <w:color w:val="auto"/>
          <w:sz w:val="32"/>
          <w:szCs w:val="32"/>
          <w:highlight w:val="none"/>
          <w:lang w:eastAsia="zh-CN"/>
        </w:rPr>
      </w:pPr>
      <w:bookmarkStart w:id="82" w:name="_Toc18036"/>
      <w:r>
        <w:rPr>
          <w:rFonts w:hint="default" w:ascii="Times New Roman" w:hAnsi="Times New Roman" w:eastAsia="仿宋_GB2312" w:cs="Times New Roman"/>
          <w:color w:val="auto"/>
          <w:kern w:val="0"/>
          <w:sz w:val="32"/>
          <w:szCs w:val="32"/>
          <w:shd w:val="clear" w:color="auto" w:fill="FFFFFF"/>
          <w:lang w:val="zh-CN" w:eastAsia="zh-CN"/>
        </w:rPr>
        <w:t>根据</w:t>
      </w:r>
      <w:r>
        <w:rPr>
          <w:rFonts w:hint="default" w:ascii="Times New Roman" w:hAnsi="Times New Roman" w:eastAsia="仿宋_GB2312" w:cs="Times New Roman"/>
          <w:color w:val="auto"/>
          <w:kern w:val="0"/>
          <w:sz w:val="32"/>
          <w:szCs w:val="32"/>
          <w:shd w:val="clear" w:color="auto" w:fill="FFFFFF"/>
          <w:lang w:val="zh-CN"/>
        </w:rPr>
        <w:t>中共遂宁市船山区委办公室、</w:t>
      </w:r>
      <w:r>
        <w:rPr>
          <w:rFonts w:hint="default" w:ascii="Times New Roman" w:hAnsi="Times New Roman" w:eastAsia="仿宋_GB2312" w:cs="Times New Roman"/>
          <w:color w:val="auto"/>
          <w:kern w:val="0"/>
          <w:sz w:val="32"/>
          <w:szCs w:val="32"/>
          <w:shd w:val="clear" w:color="auto" w:fill="FFFFFF"/>
          <w:lang w:val="en-US" w:eastAsia="zh-CN"/>
        </w:rPr>
        <w:t>遂宁市船山区人民政府办公室关于印发</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auto"/>
          <w:sz w:val="32"/>
          <w:szCs w:val="32"/>
        </w:rPr>
        <w:t>遂宁市船山</w:t>
      </w:r>
      <w:r>
        <w:rPr>
          <w:rFonts w:hint="default" w:ascii="Times New Roman" w:hAnsi="Times New Roman" w:eastAsia="仿宋_GB2312" w:cs="Times New Roman"/>
          <w:color w:val="auto"/>
          <w:sz w:val="32"/>
          <w:szCs w:val="32"/>
          <w:lang w:eastAsia="zh-CN"/>
        </w:rPr>
        <w:t>区农业农村局</w:t>
      </w:r>
      <w:r>
        <w:rPr>
          <w:rFonts w:hint="default" w:ascii="Times New Roman" w:hAnsi="Times New Roman" w:eastAsia="仿宋_GB2312" w:cs="Times New Roman"/>
          <w:color w:val="auto"/>
          <w:sz w:val="32"/>
          <w:szCs w:val="32"/>
        </w:rPr>
        <w:t>职能配置、内设机构和人员编制规定</w:t>
      </w:r>
      <w:r>
        <w:rPr>
          <w:rFonts w:hint="default" w:ascii="Times New Roman" w:hAnsi="Times New Roman" w:cs="Times New Roman"/>
          <w:color w:val="auto"/>
          <w:szCs w:val="32"/>
          <w:lang w:val="en-US" w:eastAsia="zh-CN"/>
        </w:rPr>
        <w:t>》的通知</w:t>
      </w:r>
      <w:r>
        <w:rPr>
          <w:rFonts w:hint="default" w:ascii="Times New Roman" w:hAnsi="Times New Roman" w:eastAsia="仿宋_GB2312" w:cs="Times New Roman"/>
          <w:color w:val="auto"/>
          <w:kern w:val="0"/>
          <w:sz w:val="32"/>
          <w:szCs w:val="32"/>
          <w:shd w:val="clear" w:color="auto" w:fill="FFFFFF"/>
          <w:lang w:val="zh-CN" w:eastAsia="zh-CN"/>
        </w:rPr>
        <w:t>，人员编制</w:t>
      </w:r>
      <w:r>
        <w:rPr>
          <w:rFonts w:hint="default" w:ascii="Times New Roman" w:hAnsi="Times New Roman" w:cs="Times New Roman"/>
          <w:color w:val="auto"/>
          <w:kern w:val="0"/>
          <w:sz w:val="32"/>
          <w:szCs w:val="32"/>
          <w:shd w:val="clear" w:color="auto" w:fill="FFFFFF"/>
          <w:lang w:val="en-US" w:eastAsia="zh-CN"/>
        </w:rPr>
        <w:t>180</w:t>
      </w:r>
      <w:r>
        <w:rPr>
          <w:rFonts w:hint="default" w:ascii="Times New Roman" w:hAnsi="Times New Roman" w:eastAsia="仿宋_GB2312" w:cs="Times New Roman"/>
          <w:color w:val="auto"/>
          <w:kern w:val="0"/>
          <w:sz w:val="32"/>
          <w:szCs w:val="32"/>
          <w:shd w:val="clear" w:color="auto" w:fill="FFFFFF"/>
          <w:lang w:val="zh-CN" w:eastAsia="zh-CN"/>
        </w:rPr>
        <w:t>名（其中事业编制</w:t>
      </w:r>
      <w:r>
        <w:rPr>
          <w:rFonts w:hint="default" w:ascii="Times New Roman" w:hAnsi="Times New Roman" w:cs="Times New Roman"/>
          <w:color w:val="auto"/>
          <w:kern w:val="0"/>
          <w:sz w:val="32"/>
          <w:szCs w:val="32"/>
          <w:shd w:val="clear" w:color="auto" w:fill="FFFFFF"/>
          <w:lang w:val="en-US" w:eastAsia="zh-CN"/>
        </w:rPr>
        <w:t>167</w:t>
      </w:r>
      <w:r>
        <w:rPr>
          <w:rFonts w:hint="default" w:ascii="Times New Roman" w:hAnsi="Times New Roman" w:eastAsia="仿宋_GB2312" w:cs="Times New Roman"/>
          <w:color w:val="auto"/>
          <w:kern w:val="0"/>
          <w:sz w:val="32"/>
          <w:szCs w:val="32"/>
          <w:shd w:val="clear" w:color="auto" w:fill="FFFFFF"/>
          <w:lang w:val="zh-CN" w:eastAsia="zh-CN"/>
        </w:rPr>
        <w:t>名、行政编制</w:t>
      </w:r>
      <w:r>
        <w:rPr>
          <w:rFonts w:hint="default" w:ascii="Times New Roman" w:hAnsi="Times New Roman" w:cs="Times New Roman"/>
          <w:color w:val="auto"/>
          <w:kern w:val="0"/>
          <w:sz w:val="32"/>
          <w:szCs w:val="32"/>
          <w:shd w:val="clear" w:color="auto" w:fill="FFFFFF"/>
          <w:lang w:val="en-US" w:eastAsia="zh-CN"/>
        </w:rPr>
        <w:t>13</w:t>
      </w:r>
      <w:r>
        <w:rPr>
          <w:rFonts w:hint="default" w:ascii="Times New Roman" w:hAnsi="Times New Roman" w:eastAsia="仿宋_GB2312" w:cs="Times New Roman"/>
          <w:color w:val="auto"/>
          <w:kern w:val="0"/>
          <w:sz w:val="32"/>
          <w:szCs w:val="32"/>
          <w:shd w:val="clear" w:color="auto" w:fill="FFFFFF"/>
          <w:lang w:val="zh-CN" w:eastAsia="zh-CN"/>
        </w:rPr>
        <w:t>名），截至</w:t>
      </w:r>
      <w:r>
        <w:rPr>
          <w:rFonts w:hint="default" w:ascii="Times New Roman" w:hAnsi="Times New Roman" w:eastAsia="仿宋_GB2312" w:cs="Times New Roman"/>
          <w:color w:val="auto"/>
          <w:kern w:val="0"/>
          <w:sz w:val="32"/>
          <w:szCs w:val="32"/>
          <w:shd w:val="clear" w:color="auto" w:fill="FFFFFF"/>
          <w:lang w:val="zh-CN"/>
        </w:rPr>
        <w:t>20</w:t>
      </w:r>
      <w:r>
        <w:rPr>
          <w:rFonts w:hint="default" w:ascii="Times New Roman" w:hAnsi="Times New Roman" w:eastAsia="仿宋_GB2312" w:cs="Times New Roman"/>
          <w:color w:val="auto"/>
          <w:kern w:val="0"/>
          <w:sz w:val="32"/>
          <w:szCs w:val="32"/>
          <w:shd w:val="clear" w:color="auto" w:fill="FFFFFF"/>
        </w:rPr>
        <w:t>23</w:t>
      </w:r>
      <w:r>
        <w:rPr>
          <w:rFonts w:hint="default" w:ascii="Times New Roman" w:hAnsi="Times New Roman" w:eastAsia="仿宋_GB2312" w:cs="Times New Roman"/>
          <w:color w:val="auto"/>
          <w:kern w:val="0"/>
          <w:sz w:val="32"/>
          <w:szCs w:val="32"/>
          <w:shd w:val="clear" w:color="auto" w:fill="FFFFFF"/>
          <w:lang w:val="zh-CN"/>
        </w:rPr>
        <w:t>年底有在职职工</w:t>
      </w:r>
      <w:r>
        <w:rPr>
          <w:rFonts w:hint="default" w:ascii="Times New Roman" w:hAnsi="Times New Roman" w:eastAsia="仿宋_GB2312" w:cs="Times New Roman"/>
          <w:color w:val="auto"/>
          <w:kern w:val="0"/>
          <w:sz w:val="32"/>
          <w:szCs w:val="32"/>
          <w:shd w:val="clear" w:color="auto" w:fill="FFFFFF"/>
          <w:lang w:val="en-US" w:eastAsia="zh-CN"/>
        </w:rPr>
        <w:t>187</w:t>
      </w:r>
      <w:r>
        <w:rPr>
          <w:rFonts w:hint="default" w:ascii="Times New Roman" w:hAnsi="Times New Roman" w:eastAsia="仿宋_GB2312" w:cs="Times New Roman"/>
          <w:color w:val="auto"/>
          <w:kern w:val="0"/>
          <w:sz w:val="32"/>
          <w:szCs w:val="32"/>
          <w:shd w:val="clear" w:color="auto" w:fill="FFFFFF"/>
          <w:lang w:val="zh-CN"/>
        </w:rPr>
        <w:t>人（其中：</w:t>
      </w:r>
      <w:r>
        <w:rPr>
          <w:rFonts w:hint="default" w:ascii="Times New Roman" w:hAnsi="Times New Roman" w:eastAsia="仿宋_GB2312" w:cs="Times New Roman"/>
          <w:color w:val="auto"/>
          <w:sz w:val="32"/>
          <w:szCs w:val="32"/>
          <w:highlight w:val="none"/>
          <w:lang w:val="en-US" w:eastAsia="zh-CN"/>
        </w:rPr>
        <w:t>行政人员24人、参照公务员法管理事业人员21人、非参公事业人员142人）；</w:t>
      </w:r>
      <w:r>
        <w:rPr>
          <w:rFonts w:hint="default" w:ascii="Times New Roman" w:hAnsi="Times New Roman" w:eastAsia="仿宋_GB2312" w:cs="Times New Roman"/>
          <w:color w:val="auto"/>
          <w:kern w:val="0"/>
          <w:sz w:val="32"/>
          <w:szCs w:val="32"/>
          <w:shd w:val="clear" w:color="auto" w:fill="FFFFFF"/>
          <w:lang w:val="zh-CN"/>
        </w:rPr>
        <w:t>退休职工</w:t>
      </w:r>
      <w:r>
        <w:rPr>
          <w:rFonts w:hint="default" w:ascii="Times New Roman" w:hAnsi="Times New Roman" w:eastAsia="仿宋_GB2312" w:cs="Times New Roman"/>
          <w:color w:val="auto"/>
          <w:kern w:val="0"/>
          <w:sz w:val="32"/>
          <w:szCs w:val="32"/>
          <w:shd w:val="clear" w:color="auto" w:fill="FFFFFF"/>
          <w:lang w:val="en-US" w:eastAsia="zh-CN"/>
        </w:rPr>
        <w:t>142</w:t>
      </w:r>
      <w:r>
        <w:rPr>
          <w:rFonts w:hint="default" w:ascii="Times New Roman" w:hAnsi="Times New Roman" w:eastAsia="仿宋_GB2312" w:cs="Times New Roman"/>
          <w:color w:val="auto"/>
          <w:kern w:val="0"/>
          <w:sz w:val="32"/>
          <w:szCs w:val="32"/>
          <w:shd w:val="clear" w:color="auto" w:fill="FFFFFF"/>
        </w:rPr>
        <w:t>人</w:t>
      </w:r>
      <w:r>
        <w:rPr>
          <w:rFonts w:hint="default" w:ascii="Times New Roman" w:hAnsi="Times New Roman" w:eastAsia="仿宋_GB2312" w:cs="Times New Roman"/>
          <w:color w:val="auto"/>
          <w:kern w:val="0"/>
          <w:sz w:val="32"/>
          <w:szCs w:val="32"/>
          <w:shd w:val="clear" w:color="auto" w:fill="FFFFFF"/>
          <w:lang w:eastAsia="zh-CN"/>
        </w:rPr>
        <w:t>。</w:t>
      </w:r>
    </w:p>
    <w:p>
      <w:pPr>
        <w:widowControl/>
        <w:adjustRightInd w:val="0"/>
        <w:snapToGrid w:val="0"/>
        <w:spacing w:line="580" w:lineRule="exact"/>
        <w:ind w:firstLine="640" w:firstLineChars="200"/>
        <w:contextualSpacing/>
        <w:jc w:val="left"/>
        <w:outlineLvl w:val="1"/>
        <w:rPr>
          <w:rFonts w:hint="eastAsia" w:ascii="黑体" w:hAnsi="黑体" w:eastAsia="黑体" w:cs="黑体"/>
          <w:color w:val="auto"/>
          <w:kern w:val="0"/>
          <w:sz w:val="32"/>
          <w:szCs w:val="32"/>
          <w:highlight w:val="none"/>
          <w:shd w:val="clear" w:color="auto" w:fill="FFFFFF"/>
        </w:rPr>
      </w:pPr>
      <w:r>
        <w:rPr>
          <w:rFonts w:hint="eastAsia" w:ascii="黑体" w:hAnsi="黑体" w:eastAsia="黑体" w:cs="黑体"/>
          <w:color w:val="auto"/>
          <w:kern w:val="0"/>
          <w:sz w:val="32"/>
          <w:szCs w:val="32"/>
          <w:highlight w:val="none"/>
          <w:shd w:val="clear" w:color="auto" w:fill="FFFFFF"/>
        </w:rPr>
        <w:t>二、部门财政资金收支情况</w:t>
      </w:r>
      <w:bookmarkEnd w:id="82"/>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3" w:name="_Toc14566"/>
      <w:r>
        <w:rPr>
          <w:rFonts w:hint="eastAsia" w:ascii="楷体_GB2312" w:hAnsi="楷体_GB2312" w:eastAsia="楷体_GB2312" w:cs="楷体_GB2312"/>
          <w:color w:val="auto"/>
          <w:kern w:val="0"/>
          <w:sz w:val="32"/>
          <w:szCs w:val="32"/>
          <w:highlight w:val="none"/>
          <w:shd w:val="clear" w:color="auto" w:fill="FFFFFF"/>
          <w:lang w:val="zh-CN"/>
        </w:rPr>
        <w:t>（一）部门财政资金收入情况</w:t>
      </w:r>
      <w:bookmarkEnd w:id="83"/>
    </w:p>
    <w:p>
      <w:pPr>
        <w:adjustRightInd w:val="0"/>
        <w:snapToGrid w:val="0"/>
        <w:spacing w:line="540" w:lineRule="exact"/>
        <w:ind w:firstLine="720"/>
        <w:jc w:val="left"/>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2023年</w:t>
      </w:r>
      <w:r>
        <w:rPr>
          <w:rFonts w:hint="eastAsia" w:ascii="仿宋_GB2312" w:hAnsi="仿宋_GB2312" w:eastAsia="仿宋_GB2312" w:cs="仿宋_GB2312"/>
          <w:color w:val="auto"/>
          <w:sz w:val="32"/>
          <w:szCs w:val="32"/>
          <w:highlight w:val="none"/>
          <w:lang w:eastAsia="zh-CN"/>
        </w:rPr>
        <w:t>农业农村局财政拨款</w:t>
      </w:r>
      <w:r>
        <w:rPr>
          <w:rFonts w:hint="eastAsia" w:ascii="仿宋_GB2312" w:hAnsi="仿宋_GB2312" w:eastAsia="仿宋_GB2312" w:cs="仿宋_GB2312"/>
          <w:color w:val="auto"/>
          <w:sz w:val="32"/>
          <w:szCs w:val="32"/>
          <w:highlight w:val="none"/>
        </w:rPr>
        <w:t>本年收入</w:t>
      </w:r>
      <w:r>
        <w:rPr>
          <w:rFonts w:hint="eastAsia" w:ascii="仿宋_GB2312" w:hAnsi="仿宋_GB2312" w:eastAsia="仿宋_GB2312" w:cs="仿宋_GB2312"/>
          <w:color w:val="auto"/>
          <w:sz w:val="32"/>
          <w:szCs w:val="32"/>
          <w:highlight w:val="none"/>
          <w:lang w:eastAsia="zh-CN"/>
        </w:rPr>
        <w:t>年初预算数为</w:t>
      </w:r>
      <w:r>
        <w:rPr>
          <w:rFonts w:hint="eastAsia" w:ascii="仿宋_GB2312" w:hAnsi="仿宋_GB2312" w:eastAsia="仿宋_GB2312" w:cs="仿宋_GB2312"/>
          <w:color w:val="auto"/>
          <w:sz w:val="32"/>
          <w:szCs w:val="32"/>
          <w:highlight w:val="none"/>
          <w:lang w:val="en-US" w:eastAsia="zh-CN"/>
        </w:rPr>
        <w:t>11779.17万元，调整预算数为21245.08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决算数为</w:t>
      </w:r>
      <w:r>
        <w:rPr>
          <w:rFonts w:hint="eastAsia" w:ascii="仿宋_GB2312" w:hAnsi="仿宋_GB2312" w:eastAsia="仿宋_GB2312" w:cs="仿宋_GB2312"/>
          <w:color w:val="auto"/>
          <w:sz w:val="32"/>
          <w:szCs w:val="32"/>
          <w:highlight w:val="none"/>
          <w:lang w:val="en-US" w:eastAsia="zh-CN"/>
        </w:rPr>
        <w:t>21245.08万元，</w:t>
      </w:r>
      <w:r>
        <w:rPr>
          <w:rFonts w:hint="eastAsia" w:ascii="仿宋_GB2312" w:hAnsi="仿宋_GB2312" w:eastAsia="仿宋_GB2312" w:cs="仿宋_GB2312"/>
          <w:color w:val="auto"/>
          <w:sz w:val="32"/>
          <w:szCs w:val="32"/>
          <w:highlight w:val="none"/>
        </w:rPr>
        <w:t>其中：一般公共预算财政拨款收入</w:t>
      </w:r>
      <w:r>
        <w:rPr>
          <w:rFonts w:hint="eastAsia" w:ascii="仿宋_GB2312" w:hAnsi="仿宋_GB2312" w:eastAsia="仿宋_GB2312" w:cs="仿宋_GB2312"/>
          <w:color w:val="auto"/>
          <w:sz w:val="32"/>
          <w:szCs w:val="32"/>
          <w:highlight w:val="none"/>
          <w:lang w:val="en-US" w:eastAsia="zh-CN"/>
        </w:rPr>
        <w:t>16452.44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77.44</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4300.00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%；国有资本经营预算财政拨款收入0万元，占0%；事业收入0万元，占0%；经营收入0万元，占0%；附属单位上缴收入0万元，占0%；其他收入</w:t>
      </w:r>
      <w:r>
        <w:rPr>
          <w:rFonts w:hint="eastAsia" w:ascii="仿宋_GB2312" w:hAnsi="仿宋_GB2312" w:eastAsia="仿宋_GB2312" w:cs="仿宋_GB2312"/>
          <w:color w:val="auto"/>
          <w:sz w:val="32"/>
          <w:szCs w:val="32"/>
          <w:highlight w:val="none"/>
          <w:lang w:val="en-US" w:eastAsia="zh-CN"/>
        </w:rPr>
        <w:t>492.64</w:t>
      </w:r>
      <w:r>
        <w:rPr>
          <w:rFonts w:hint="eastAsia" w:ascii="仿宋_GB2312" w:hAnsi="仿宋_GB2312" w:eastAsia="仿宋_GB2312" w:cs="仿宋_GB2312"/>
          <w:color w:val="auto"/>
          <w:sz w:val="32"/>
          <w:szCs w:val="32"/>
          <w:highlight w:val="none"/>
        </w:rPr>
        <w:t>0万元，占</w:t>
      </w:r>
      <w:r>
        <w:rPr>
          <w:rFonts w:hint="eastAsia" w:ascii="仿宋_GB2312" w:hAnsi="仿宋_GB2312" w:eastAsia="仿宋_GB2312" w:cs="仿宋_GB2312"/>
          <w:color w:val="auto"/>
          <w:sz w:val="32"/>
          <w:szCs w:val="32"/>
          <w:highlight w:val="none"/>
          <w:lang w:val="en-US" w:eastAsia="zh-CN"/>
        </w:rPr>
        <w:t>2.32</w:t>
      </w:r>
      <w:r>
        <w:rPr>
          <w:rFonts w:hint="eastAsia" w:ascii="仿宋_GB2312" w:hAnsi="仿宋_GB2312" w:eastAsia="仿宋_GB2312" w:cs="仿宋_GB2312"/>
          <w:color w:val="auto"/>
          <w:sz w:val="32"/>
          <w:szCs w:val="32"/>
          <w:highlight w:val="none"/>
        </w:rPr>
        <w:t>%。</w:t>
      </w:r>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4" w:name="_Toc7627"/>
      <w:r>
        <w:rPr>
          <w:rFonts w:hint="eastAsia" w:ascii="楷体_GB2312" w:hAnsi="楷体_GB2312" w:eastAsia="楷体_GB2312" w:cs="楷体_GB2312"/>
          <w:color w:val="auto"/>
          <w:kern w:val="0"/>
          <w:sz w:val="32"/>
          <w:szCs w:val="32"/>
          <w:highlight w:val="none"/>
          <w:shd w:val="clear" w:color="auto" w:fill="FFFFFF"/>
          <w:lang w:val="zh-CN"/>
        </w:rPr>
        <w:t>（</w:t>
      </w:r>
      <w:r>
        <w:rPr>
          <w:rFonts w:hint="eastAsia" w:ascii="楷体_GB2312" w:hAnsi="楷体_GB2312" w:eastAsia="楷体_GB2312" w:cs="楷体_GB2312"/>
          <w:color w:val="auto"/>
          <w:kern w:val="0"/>
          <w:sz w:val="32"/>
          <w:szCs w:val="32"/>
          <w:highlight w:val="none"/>
          <w:shd w:val="clear" w:color="auto" w:fill="FFFFFF"/>
          <w:lang w:val="en-US" w:eastAsia="zh-CN"/>
        </w:rPr>
        <w:t>二</w:t>
      </w:r>
      <w:r>
        <w:rPr>
          <w:rFonts w:hint="eastAsia" w:ascii="楷体_GB2312" w:hAnsi="楷体_GB2312" w:eastAsia="楷体_GB2312" w:cs="楷体_GB2312"/>
          <w:color w:val="auto"/>
          <w:kern w:val="0"/>
          <w:sz w:val="32"/>
          <w:szCs w:val="32"/>
          <w:highlight w:val="none"/>
          <w:shd w:val="clear" w:color="auto" w:fill="FFFFFF"/>
          <w:lang w:val="zh-CN"/>
        </w:rPr>
        <w:t>）部门财政资金支出情况</w:t>
      </w:r>
      <w:bookmarkEnd w:id="84"/>
    </w:p>
    <w:p>
      <w:pPr>
        <w:spacing w:line="576" w:lineRule="exact"/>
        <w:ind w:firstLine="64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2023年本年支出合计</w:t>
      </w:r>
      <w:r>
        <w:rPr>
          <w:rFonts w:hint="eastAsia" w:ascii="仿宋_GB2312" w:hAnsi="仿宋_GB2312" w:eastAsia="仿宋_GB2312" w:cs="仿宋_GB2312"/>
          <w:color w:val="auto"/>
          <w:sz w:val="32"/>
          <w:szCs w:val="32"/>
          <w:highlight w:val="none"/>
          <w:lang w:val="en-US" w:eastAsia="zh-CN"/>
        </w:rPr>
        <w:t>21113.48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4086.12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19.35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17027.36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80.65</w:t>
      </w:r>
      <w:r>
        <w:rPr>
          <w:rFonts w:hint="eastAsia" w:ascii="仿宋_GB2312" w:hAnsi="仿宋_GB2312" w:eastAsia="仿宋_GB2312" w:cs="仿宋_GB2312"/>
          <w:color w:val="auto"/>
          <w:sz w:val="32"/>
          <w:szCs w:val="32"/>
          <w:highlight w:val="none"/>
        </w:rPr>
        <w:t>%；上缴上级支出0万元，占0%；经营支出0万元，占0%；对附属单位补助支出0万元，占0%。</w:t>
      </w:r>
    </w:p>
    <w:p>
      <w:pPr>
        <w:widowControl/>
        <w:numPr>
          <w:ilvl w:val="0"/>
          <w:numId w:val="5"/>
        </w:numPr>
        <w:adjustRightInd w:val="0"/>
        <w:snapToGrid w:val="0"/>
        <w:spacing w:line="580" w:lineRule="exact"/>
        <w:ind w:firstLine="640" w:firstLineChars="200"/>
        <w:contextualSpacing/>
        <w:jc w:val="left"/>
        <w:outlineLvl w:val="1"/>
        <w:rPr>
          <w:rFonts w:hint="eastAsia" w:ascii="黑体" w:hAnsi="黑体" w:eastAsia="黑体" w:cs="黑体"/>
          <w:color w:val="auto"/>
          <w:kern w:val="0"/>
          <w:sz w:val="32"/>
          <w:szCs w:val="32"/>
          <w:highlight w:val="none"/>
          <w:shd w:val="clear" w:color="auto" w:fill="FFFFFF"/>
        </w:rPr>
      </w:pPr>
      <w:bookmarkStart w:id="85" w:name="_Toc27548"/>
      <w:r>
        <w:rPr>
          <w:rFonts w:hint="eastAsia" w:ascii="黑体" w:hAnsi="黑体" w:eastAsia="黑体" w:cs="黑体"/>
          <w:color w:val="auto"/>
          <w:kern w:val="0"/>
          <w:sz w:val="32"/>
          <w:szCs w:val="32"/>
          <w:highlight w:val="none"/>
          <w:shd w:val="clear" w:color="auto" w:fill="FFFFFF"/>
        </w:rPr>
        <w:t>部门整体预算绩效管理情况</w:t>
      </w:r>
      <w:bookmarkEnd w:id="85"/>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6" w:name="_Toc14616"/>
      <w:r>
        <w:rPr>
          <w:rFonts w:hint="eastAsia" w:ascii="楷体_GB2312" w:hAnsi="楷体_GB2312" w:eastAsia="楷体_GB2312" w:cs="楷体_GB2312"/>
          <w:color w:val="auto"/>
          <w:kern w:val="0"/>
          <w:sz w:val="32"/>
          <w:szCs w:val="32"/>
          <w:highlight w:val="none"/>
          <w:shd w:val="clear" w:color="auto" w:fill="FFFFFF"/>
          <w:lang w:val="zh-CN"/>
        </w:rPr>
        <w:t>（一）部门预算管理</w:t>
      </w:r>
      <w:bookmarkEnd w:id="86"/>
    </w:p>
    <w:p>
      <w:pPr>
        <w:pStyle w:val="41"/>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我局2023年预算编制严格按照《</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预算法》及其实施条例等预算编制的法律法规，根据区财政局预算编制的通知等文件精神及时与区</w:t>
      </w:r>
      <w:r>
        <w:rPr>
          <w:rFonts w:hint="eastAsia" w:ascii="仿宋_GB2312" w:hAnsi="仿宋_GB2312" w:eastAsia="仿宋_GB2312" w:cs="仿宋_GB2312"/>
          <w:color w:val="auto"/>
          <w:sz w:val="32"/>
          <w:szCs w:val="32"/>
          <w:highlight w:val="none"/>
          <w:lang w:eastAsia="zh-CN"/>
        </w:rPr>
        <w:t>委</w:t>
      </w:r>
      <w:r>
        <w:rPr>
          <w:rFonts w:hint="eastAsia" w:ascii="仿宋_GB2312" w:hAnsi="仿宋_GB2312" w:eastAsia="仿宋_GB2312" w:cs="仿宋_GB2312"/>
          <w:color w:val="auto"/>
          <w:sz w:val="32"/>
          <w:szCs w:val="32"/>
          <w:highlight w:val="none"/>
        </w:rPr>
        <w:t>编办、人社局核对人员编制实有人数、工资、车辆等基础信息，准确及时编制部门预算，制</w:t>
      </w:r>
      <w:r>
        <w:rPr>
          <w:rFonts w:hint="eastAsia" w:ascii="仿宋_GB2312" w:hAnsi="仿宋_GB2312" w:eastAsia="仿宋_GB2312" w:cs="仿宋_GB2312"/>
          <w:color w:val="auto"/>
          <w:sz w:val="32"/>
          <w:szCs w:val="32"/>
          <w:highlight w:val="none"/>
          <w:lang w:eastAsia="zh-CN"/>
        </w:rPr>
        <w:t>定</w:t>
      </w:r>
      <w:r>
        <w:rPr>
          <w:rFonts w:hint="eastAsia" w:ascii="仿宋_GB2312" w:hAnsi="仿宋_GB2312" w:eastAsia="仿宋_GB2312" w:cs="仿宋_GB2312"/>
          <w:color w:val="auto"/>
          <w:sz w:val="32"/>
          <w:szCs w:val="32"/>
          <w:highlight w:val="none"/>
        </w:rPr>
        <w:t>了部门绩效目标。</w:t>
      </w:r>
    </w:p>
    <w:p>
      <w:pPr>
        <w:pStyle w:val="41"/>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年度主要绩效目标：加强农业科技推广，大力推广使用</w:t>
      </w:r>
      <w:r>
        <w:rPr>
          <w:rFonts w:hint="eastAsia" w:ascii="仿宋_GB2312" w:hAnsi="仿宋_GB2312" w:eastAsia="仿宋_GB2312" w:cs="仿宋_GB2312"/>
          <w:color w:val="auto"/>
          <w:sz w:val="32"/>
          <w:szCs w:val="32"/>
          <w:highlight w:val="none"/>
          <w:lang w:eastAsia="zh-CN"/>
        </w:rPr>
        <w:t>先进</w:t>
      </w:r>
      <w:r>
        <w:rPr>
          <w:rFonts w:hint="eastAsia" w:ascii="仿宋_GB2312" w:hAnsi="仿宋_GB2312" w:eastAsia="仿宋_GB2312" w:cs="仿宋_GB2312"/>
          <w:color w:val="auto"/>
          <w:sz w:val="32"/>
          <w:szCs w:val="32"/>
          <w:highlight w:val="none"/>
        </w:rPr>
        <w:t>的新技术，新机具，主要农作物良种覆盖率达96%。抓好产业扶贫工作，进一步完善一个主题产业、一个示范基地、一套技术模式、一</w:t>
      </w:r>
      <w:r>
        <w:rPr>
          <w:rFonts w:hint="eastAsia" w:ascii="仿宋_GB2312" w:hAnsi="仿宋_GB2312" w:eastAsia="仿宋_GB2312" w:cs="仿宋_GB2312"/>
          <w:color w:val="auto"/>
          <w:sz w:val="32"/>
          <w:szCs w:val="32"/>
          <w:highlight w:val="none"/>
          <w:lang w:eastAsia="zh-CN"/>
        </w:rPr>
        <w:t>支</w:t>
      </w:r>
      <w:r>
        <w:rPr>
          <w:rFonts w:hint="eastAsia" w:ascii="仿宋_GB2312" w:hAnsi="仿宋_GB2312" w:eastAsia="仿宋_GB2312" w:cs="仿宋_GB2312"/>
          <w:color w:val="auto"/>
          <w:sz w:val="32"/>
          <w:szCs w:val="32"/>
          <w:highlight w:val="none"/>
        </w:rPr>
        <w:t>服务团队的扶贫帮助机制，强化农产品质量安全监管，推行农业标准化生产，全面落实惠农惠民政策，加强集体资产管理和农村土地承包经营权路转交易处理，加强农业法制建设，强化农业投入品市场、水产渔政、农技安全等监管。</w:t>
      </w:r>
    </w:p>
    <w:p>
      <w:pPr>
        <w:widowControl/>
        <w:adjustRightInd w:val="0"/>
        <w:snapToGrid w:val="0"/>
        <w:spacing w:line="580" w:lineRule="exact"/>
        <w:ind w:firstLine="640" w:firstLineChars="200"/>
        <w:contextualSpacing/>
        <w:jc w:val="left"/>
        <w:outlineLvl w:val="2"/>
        <w:rPr>
          <w:rFonts w:hint="eastAsia" w:ascii="楷体_GB2312" w:hAnsi="楷体_GB2312" w:eastAsia="楷体_GB2312" w:cs="楷体_GB2312"/>
          <w:color w:val="auto"/>
          <w:kern w:val="0"/>
          <w:sz w:val="32"/>
          <w:szCs w:val="32"/>
          <w:highlight w:val="none"/>
          <w:shd w:val="clear" w:color="auto" w:fill="FFFFFF"/>
          <w:lang w:val="zh-CN"/>
        </w:rPr>
      </w:pPr>
      <w:bookmarkStart w:id="87" w:name="_Toc26249"/>
      <w:r>
        <w:rPr>
          <w:rFonts w:hint="eastAsia" w:ascii="楷体_GB2312" w:hAnsi="楷体_GB2312" w:eastAsia="楷体_GB2312" w:cs="楷体_GB2312"/>
          <w:color w:val="auto"/>
          <w:kern w:val="0"/>
          <w:sz w:val="32"/>
          <w:szCs w:val="32"/>
          <w:highlight w:val="none"/>
          <w:shd w:val="clear" w:color="auto" w:fill="FFFFFF"/>
          <w:lang w:val="zh-CN"/>
        </w:rPr>
        <w:t>（二）结果应用情况</w:t>
      </w:r>
      <w:bookmarkEnd w:id="87"/>
    </w:p>
    <w:p>
      <w:pPr>
        <w:pStyle w:val="41"/>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规范运作。按照专项资金管理办法和有关要求，合理规划，科学分配，及时编制实施方案并报批，对专项资金实行单独建账，规范核算，严格执行审批方案，确保专款专用。二是强化管理。建立健全财务管理制度，加强票据审核，严把资金支出关，杜绝大额现金支出。三是公开透明。对惠农项目和民生工程项目，按照有关要求将补贴政策、补贴标准、建设内容、质量标准等情况在村务公开栏上公开发布，充分接受群众监督，提高项目建设透明度，确保了项目建设质量。</w:t>
      </w:r>
    </w:p>
    <w:p>
      <w:pPr>
        <w:keepNext w:val="0"/>
        <w:keepLines w:val="0"/>
        <w:pageBreakBefore w:val="0"/>
        <w:numPr>
          <w:ilvl w:val="0"/>
          <w:numId w:val="0"/>
        </w:numPr>
        <w:kinsoku/>
        <w:wordWrap/>
        <w:overflowPunct/>
        <w:topLinePunct w:val="0"/>
        <w:autoSpaceDE/>
        <w:autoSpaceDN/>
        <w:bidi w:val="0"/>
        <w:spacing w:line="560" w:lineRule="exact"/>
        <w:ind w:leftChars="0" w:right="0" w:firstLine="640" w:firstLineChars="20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2023年，在</w:t>
      </w:r>
      <w:r>
        <w:rPr>
          <w:rFonts w:hint="eastAsia" w:ascii="仿宋_GB2312" w:hAnsi="仿宋_GB2312" w:eastAsia="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委、</w:t>
      </w:r>
      <w:r>
        <w:rPr>
          <w:rFonts w:hint="eastAsia" w:ascii="仿宋_GB2312" w:hAnsi="仿宋_GB2312" w:eastAsia="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政府的坚强领导下，我局各项工作继续完善、提升、发展总体呈现出稳中有升、高位求进的良好发展态势。圆满完成</w:t>
      </w:r>
      <w:r>
        <w:rPr>
          <w:rFonts w:hint="eastAsia" w:ascii="仿宋_GB2312" w:hAnsi="仿宋_GB2312" w:eastAsia="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委、</w:t>
      </w:r>
      <w:r>
        <w:rPr>
          <w:rFonts w:hint="eastAsia" w:ascii="仿宋_GB2312" w:hAnsi="仿宋_GB2312" w:eastAsia="仿宋_GB2312" w:cs="仿宋_GB2312"/>
          <w:color w:val="auto"/>
          <w:kern w:val="0"/>
          <w:sz w:val="32"/>
          <w:szCs w:val="32"/>
          <w:highlight w:val="none"/>
          <w:lang w:eastAsia="zh-CN"/>
        </w:rPr>
        <w:t>区</w:t>
      </w:r>
      <w:r>
        <w:rPr>
          <w:rFonts w:hint="eastAsia" w:ascii="仿宋_GB2312" w:hAnsi="仿宋_GB2312" w:eastAsia="仿宋_GB2312" w:cs="仿宋_GB2312"/>
          <w:color w:val="auto"/>
          <w:kern w:val="0"/>
          <w:sz w:val="32"/>
          <w:szCs w:val="32"/>
          <w:highlight w:val="none"/>
        </w:rPr>
        <w:t>政府下达的各项目标任务，保障基层政权的正常运行和全局经济社会发展创造良好的社会环境作出了突出贡献。</w:t>
      </w:r>
      <w:r>
        <w:rPr>
          <w:rFonts w:hint="eastAsia" w:ascii="仿宋_GB2312" w:hAnsi="仿宋_GB2312" w:eastAsia="仿宋_GB2312" w:cs="仿宋_GB2312"/>
          <w:b w:val="0"/>
          <w:color w:val="auto"/>
          <w:kern w:val="0"/>
          <w:sz w:val="32"/>
          <w:szCs w:val="32"/>
          <w:highlight w:val="none"/>
        </w:rPr>
        <w:t>取得的主要事业成效</w:t>
      </w:r>
      <w:r>
        <w:rPr>
          <w:rFonts w:hint="eastAsia" w:ascii="仿宋_GB2312" w:hAnsi="仿宋_GB2312" w:eastAsia="仿宋_GB2312" w:cs="仿宋_GB2312"/>
          <w:color w:val="auto"/>
          <w:kern w:val="0"/>
          <w:sz w:val="32"/>
          <w:szCs w:val="32"/>
          <w:highlight w:val="none"/>
          <w:lang w:eastAsia="zh-CN"/>
        </w:rPr>
        <w:t>在以下几方面：</w:t>
      </w:r>
    </w:p>
    <w:p>
      <w:pPr>
        <w:keepNext w:val="0"/>
        <w:keepLines w:val="0"/>
        <w:pageBreakBefore w:val="0"/>
        <w:numPr>
          <w:ilvl w:val="0"/>
          <w:numId w:val="0"/>
        </w:numPr>
        <w:kinsoku/>
        <w:wordWrap/>
        <w:overflowPunct/>
        <w:topLinePunct w:val="0"/>
        <w:autoSpaceDE/>
        <w:autoSpaceDN/>
        <w:bidi w:val="0"/>
        <w:spacing w:line="600" w:lineRule="exact"/>
        <w:ind w:leftChars="0" w:right="0" w:firstLine="643" w:firstLineChars="200"/>
        <w:jc w:val="left"/>
        <w:rPr>
          <w:rFonts w:hint="default" w:ascii="Times New Roman" w:hAnsi="Times New Roman" w:eastAsia="仿宋_GB2312" w:cs="Times New Roman"/>
          <w:color w:val="auto"/>
          <w:kern w:val="2"/>
          <w:sz w:val="32"/>
          <w:szCs w:val="32"/>
          <w:lang w:val="en-US" w:eastAsia="zh-CN" w:bidi="ar-SA"/>
        </w:rPr>
      </w:pPr>
      <w:bookmarkStart w:id="88" w:name="_Toc11387"/>
      <w:r>
        <w:rPr>
          <w:rFonts w:hint="default" w:ascii="Times New Roman" w:hAnsi="Times New Roman" w:eastAsia="仿宋_GB2312" w:cs="Times New Roman"/>
          <w:b/>
          <w:bCs/>
          <w:color w:val="auto"/>
          <w:sz w:val="32"/>
          <w:szCs w:val="32"/>
          <w:lang w:val="en-US" w:eastAsia="zh-CN"/>
        </w:rPr>
        <w:t>1、主导产业持续巩固。</w:t>
      </w:r>
      <w:r>
        <w:rPr>
          <w:rStyle w:val="47"/>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2023</w:t>
      </w:r>
      <w:r>
        <w:rPr>
          <w:rFonts w:hint="default" w:ascii="Times New Roman" w:hAnsi="Times New Roman" w:eastAsia="仿宋_GB2312" w:cs="Times New Roman"/>
          <w:color w:val="auto"/>
          <w:kern w:val="2"/>
          <w:sz w:val="32"/>
          <w:szCs w:val="32"/>
          <w:lang w:val="en-US" w:eastAsia="zh-CN" w:bidi="ar-SA"/>
        </w:rPr>
        <w:t>年全区粮食累计播种37.34万亩，总产量达12.81万吨，推广</w:t>
      </w:r>
      <w:r>
        <w:rPr>
          <w:rStyle w:val="47"/>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大豆玉米带状复合种植2.97万亩，在省农技站、川农大共同测产中得到大豆玉米双高产认定，</w:t>
      </w:r>
      <w:r>
        <w:rPr>
          <w:rFonts w:hint="default" w:ascii="Times New Roman" w:hAnsi="Times New Roman" w:eastAsia="仿宋_GB2312" w:cs="Times New Roman"/>
          <w:color w:val="auto"/>
          <w:kern w:val="2"/>
          <w:sz w:val="32"/>
          <w:szCs w:val="32"/>
          <w:lang w:val="en-US" w:eastAsia="zh-CN" w:bidi="ar-SA"/>
        </w:rPr>
        <w:t>全面完成市级下达我区粮食生产目标任务。</w:t>
      </w:r>
      <w:r>
        <w:rPr>
          <w:rFonts w:hint="default" w:ascii="Times New Roman" w:hAnsi="Times New Roman" w:eastAsia="仿宋_GB2312" w:cs="Times New Roman"/>
          <w:color w:val="auto"/>
          <w:sz w:val="32"/>
          <w:szCs w:val="32"/>
          <w:lang w:val="en-US" w:eastAsia="zh-CN"/>
        </w:rPr>
        <w:t>持续推进全区</w:t>
      </w:r>
      <w:r>
        <w:rPr>
          <w:rFonts w:hint="default" w:ascii="Times New Roman" w:hAnsi="Times New Roman" w:eastAsia="仿宋_GB2312" w:cs="Times New Roman"/>
          <w:color w:val="auto"/>
          <w:sz w:val="32"/>
          <w:szCs w:val="32"/>
        </w:rPr>
        <w:t>立体式养殖模式、加强生猪产能调控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实现生猪出栏</w:t>
      </w:r>
      <w:r>
        <w:rPr>
          <w:rFonts w:hint="default" w:ascii="Times New Roman" w:hAnsi="Times New Roman" w:cs="Times New Roman"/>
          <w:color w:val="auto"/>
          <w:kern w:val="2"/>
          <w:sz w:val="32"/>
          <w:szCs w:val="32"/>
          <w:lang w:val="en-US" w:eastAsia="zh-CN" w:bidi="ar-SA"/>
        </w:rPr>
        <w:t>58.26</w:t>
      </w:r>
      <w:r>
        <w:rPr>
          <w:rFonts w:hint="default" w:ascii="Times New Roman" w:hAnsi="Times New Roman" w:eastAsia="仿宋_GB2312" w:cs="Times New Roman"/>
          <w:color w:val="auto"/>
          <w:kern w:val="2"/>
          <w:sz w:val="32"/>
          <w:szCs w:val="32"/>
          <w:lang w:val="en-US" w:eastAsia="zh-CN" w:bidi="ar-SA"/>
        </w:rPr>
        <w:t>万头，能繁母猪存栏3万头，</w:t>
      </w:r>
      <w:r>
        <w:rPr>
          <w:rFonts w:hint="default" w:ascii="Times New Roman" w:hAnsi="Times New Roman" w:eastAsia="仿宋_GB2312" w:cs="Times New Roman"/>
          <w:color w:val="auto"/>
          <w:sz w:val="32"/>
          <w:szCs w:val="32"/>
          <w:lang w:val="en-US" w:eastAsia="zh-CN"/>
        </w:rPr>
        <w:t>南大智能化立体式养殖场</w:t>
      </w:r>
      <w:r>
        <w:rPr>
          <w:rFonts w:hint="default" w:ascii="Times New Roman" w:hAnsi="Times New Roman" w:cs="Times New Roman"/>
          <w:color w:val="auto"/>
          <w:sz w:val="32"/>
          <w:szCs w:val="32"/>
          <w:lang w:val="en-US" w:eastAsia="zh-CN"/>
        </w:rPr>
        <w:t>全面建成</w:t>
      </w:r>
      <w:r>
        <w:rPr>
          <w:rFonts w:hint="default" w:ascii="Times New Roman" w:hAnsi="Times New Roman" w:eastAsia="仿宋_GB2312" w:cs="Times New Roman"/>
          <w:color w:val="auto"/>
          <w:sz w:val="32"/>
          <w:szCs w:val="32"/>
          <w:lang w:val="en-US" w:eastAsia="zh-CN"/>
        </w:rPr>
        <w:t>，生猪产业纳入</w:t>
      </w:r>
      <w:r>
        <w:rPr>
          <w:rFonts w:hint="default" w:ascii="Times New Roman" w:hAnsi="Times New Roman" w:eastAsia="仿宋_GB2312" w:cs="Times New Roman"/>
          <w:b w:val="0"/>
          <w:bCs w:val="0"/>
          <w:color w:val="auto"/>
          <w:sz w:val="32"/>
          <w:szCs w:val="32"/>
          <w:lang w:val="en-US" w:eastAsia="zh-CN"/>
        </w:rPr>
        <w:t>遂宁—德阳生猪优势产业集群发展，</w:t>
      </w:r>
      <w:r>
        <w:rPr>
          <w:rFonts w:hint="default" w:ascii="Times New Roman" w:hAnsi="Times New Roman" w:eastAsia="仿宋_GB2312" w:cs="Times New Roman"/>
          <w:color w:val="auto"/>
          <w:kern w:val="2"/>
          <w:sz w:val="32"/>
          <w:szCs w:val="32"/>
          <w:lang w:val="en-US" w:eastAsia="zh-CN" w:bidi="ar-SA"/>
        </w:rPr>
        <w:t>生猪出栏量</w:t>
      </w:r>
      <w:r>
        <w:rPr>
          <w:rFonts w:hint="default" w:ascii="Times New Roman" w:hAnsi="Times New Roman" w:cs="Times New Roman"/>
          <w:color w:val="auto"/>
          <w:kern w:val="2"/>
          <w:sz w:val="32"/>
          <w:szCs w:val="32"/>
          <w:lang w:val="en-US" w:eastAsia="zh-CN" w:bidi="ar-SA"/>
        </w:rPr>
        <w:t>持续</w:t>
      </w:r>
      <w:r>
        <w:rPr>
          <w:rFonts w:hint="default" w:ascii="Times New Roman" w:hAnsi="Times New Roman" w:eastAsia="仿宋_GB2312" w:cs="Times New Roman"/>
          <w:color w:val="auto"/>
          <w:kern w:val="2"/>
          <w:sz w:val="32"/>
          <w:szCs w:val="32"/>
          <w:lang w:val="en-US" w:eastAsia="zh-CN" w:bidi="ar-SA"/>
        </w:rPr>
        <w:t>环比大幅增长，完成2023年度生猪生产目标任务。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2、经济指标提质晋位。</w:t>
      </w:r>
      <w:r>
        <w:rPr>
          <w:rFonts w:hint="default" w:ascii="Times New Roman" w:hAnsi="Times New Roman" w:eastAsia="仿宋_GB2312" w:cs="Times New Roman"/>
          <w:b/>
          <w:bCs/>
          <w:color w:val="auto"/>
          <w:spacing w:val="0"/>
          <w:w w:val="100"/>
          <w:position w:val="0"/>
          <w:sz w:val="32"/>
          <w:szCs w:val="32"/>
          <w:lang w:val="en-US" w:eastAsia="zh-CN"/>
        </w:rPr>
        <w:t>一是</w:t>
      </w:r>
      <w:r>
        <w:rPr>
          <w:rFonts w:hint="default" w:ascii="Times New Roman" w:hAnsi="Times New Roman" w:cs="Times New Roman"/>
          <w:b/>
          <w:bCs/>
          <w:color w:val="auto"/>
          <w:spacing w:val="0"/>
          <w:w w:val="100"/>
          <w:position w:val="0"/>
          <w:sz w:val="32"/>
          <w:szCs w:val="32"/>
          <w:lang w:val="en-US" w:eastAsia="zh-CN"/>
        </w:rPr>
        <w:t>全面</w:t>
      </w:r>
      <w:r>
        <w:rPr>
          <w:rFonts w:hint="default" w:ascii="Times New Roman" w:hAnsi="Times New Roman" w:eastAsia="仿宋_GB2312" w:cs="Times New Roman"/>
          <w:b w:val="0"/>
          <w:bCs w:val="0"/>
          <w:color w:val="auto"/>
          <w:spacing w:val="0"/>
          <w:w w:val="100"/>
          <w:position w:val="0"/>
          <w:sz w:val="32"/>
          <w:szCs w:val="32"/>
          <w:lang w:val="en-US" w:eastAsia="zh-CN"/>
        </w:rPr>
        <w:t>实现第一产业增加值</w:t>
      </w:r>
      <w:r>
        <w:rPr>
          <w:rFonts w:hint="default" w:ascii="Times New Roman" w:hAnsi="Times New Roman" w:cs="Times New Roman"/>
          <w:b w:val="0"/>
          <w:bCs w:val="0"/>
          <w:color w:val="auto"/>
          <w:spacing w:val="0"/>
          <w:w w:val="100"/>
          <w:position w:val="0"/>
          <w:sz w:val="32"/>
          <w:szCs w:val="32"/>
          <w:lang w:val="en-US" w:eastAsia="zh-CN"/>
        </w:rPr>
        <w:t>12.03</w:t>
      </w:r>
      <w:r>
        <w:rPr>
          <w:rFonts w:hint="default" w:ascii="Times New Roman" w:hAnsi="Times New Roman" w:eastAsia="仿宋_GB2312" w:cs="Times New Roman"/>
          <w:b w:val="0"/>
          <w:bCs w:val="0"/>
          <w:color w:val="auto"/>
          <w:spacing w:val="0"/>
          <w:w w:val="100"/>
          <w:position w:val="0"/>
          <w:sz w:val="32"/>
          <w:szCs w:val="32"/>
          <w:lang w:val="en-US" w:eastAsia="zh-CN"/>
        </w:rPr>
        <w:t>亿元，增速3.8%，全市排名第</w:t>
      </w:r>
      <w:r>
        <w:rPr>
          <w:rFonts w:hint="default" w:ascii="Times New Roman" w:hAnsi="Times New Roman" w:cs="Times New Roman"/>
          <w:b w:val="0"/>
          <w:bCs w:val="0"/>
          <w:color w:val="auto"/>
          <w:spacing w:val="0"/>
          <w:w w:val="100"/>
          <w:position w:val="0"/>
          <w:sz w:val="32"/>
          <w:szCs w:val="32"/>
          <w:lang w:val="en-US" w:eastAsia="zh-CN"/>
        </w:rPr>
        <w:t>四</w:t>
      </w:r>
      <w:r>
        <w:rPr>
          <w:rFonts w:hint="default" w:ascii="Times New Roman" w:hAnsi="Times New Roman" w:eastAsia="仿宋_GB2312" w:cs="Times New Roman"/>
          <w:b w:val="0"/>
          <w:bCs w:val="0"/>
          <w:color w:val="auto"/>
          <w:spacing w:val="0"/>
          <w:w w:val="100"/>
          <w:position w:val="0"/>
          <w:sz w:val="32"/>
          <w:szCs w:val="32"/>
          <w:lang w:val="en-US" w:eastAsia="zh-CN"/>
        </w:rPr>
        <w:t>名。</w:t>
      </w:r>
      <w:r>
        <w:rPr>
          <w:rFonts w:hint="default" w:ascii="Times New Roman" w:hAnsi="Times New Roman" w:eastAsia="仿宋_GB2312" w:cs="Times New Roman"/>
          <w:b/>
          <w:bCs/>
          <w:color w:val="auto"/>
          <w:spacing w:val="0"/>
          <w:w w:val="100"/>
          <w:position w:val="0"/>
          <w:sz w:val="32"/>
          <w:szCs w:val="32"/>
          <w:lang w:val="en-US" w:eastAsia="zh-CN"/>
        </w:rPr>
        <w:t>二是</w:t>
      </w:r>
      <w:r>
        <w:rPr>
          <w:rFonts w:hint="default" w:ascii="Times New Roman" w:hAnsi="Times New Roman" w:cs="Times New Roman"/>
          <w:b/>
          <w:bCs/>
          <w:color w:val="auto"/>
          <w:spacing w:val="0"/>
          <w:w w:val="100"/>
          <w:position w:val="0"/>
          <w:sz w:val="32"/>
          <w:szCs w:val="32"/>
          <w:lang w:val="en-US" w:eastAsia="zh-CN"/>
        </w:rPr>
        <w:t>有力推进</w:t>
      </w:r>
      <w:r>
        <w:rPr>
          <w:rFonts w:hint="default" w:ascii="Times New Roman" w:hAnsi="Times New Roman" w:eastAsia="仿宋_GB2312" w:cs="Times New Roman"/>
          <w:b w:val="0"/>
          <w:bCs w:val="0"/>
          <w:color w:val="auto"/>
          <w:spacing w:val="0"/>
          <w:w w:val="100"/>
          <w:position w:val="0"/>
          <w:sz w:val="32"/>
          <w:szCs w:val="32"/>
          <w:lang w:val="en-US" w:eastAsia="zh-CN"/>
        </w:rPr>
        <w:t>农村居民人均可支配收入增速</w:t>
      </w:r>
      <w:r>
        <w:rPr>
          <w:rFonts w:hint="default" w:ascii="Times New Roman" w:hAnsi="Times New Roman" w:cs="Times New Roman"/>
          <w:b w:val="0"/>
          <w:bCs w:val="0"/>
          <w:color w:val="auto"/>
          <w:spacing w:val="0"/>
          <w:w w:val="100"/>
          <w:position w:val="0"/>
          <w:sz w:val="32"/>
          <w:szCs w:val="32"/>
          <w:lang w:val="en-US" w:eastAsia="zh-CN"/>
        </w:rPr>
        <w:t>7</w:t>
      </w:r>
      <w:r>
        <w:rPr>
          <w:rFonts w:hint="default" w:ascii="Times New Roman" w:hAnsi="Times New Roman" w:eastAsia="仿宋_GB2312" w:cs="Times New Roman"/>
          <w:b w:val="0"/>
          <w:bCs w:val="0"/>
          <w:color w:val="auto"/>
          <w:spacing w:val="0"/>
          <w:w w:val="100"/>
          <w:position w:val="0"/>
          <w:sz w:val="32"/>
          <w:szCs w:val="32"/>
          <w:lang w:val="en-US" w:eastAsia="zh-CN"/>
        </w:rPr>
        <w:t>.1%，全市排名第</w:t>
      </w:r>
      <w:r>
        <w:rPr>
          <w:rFonts w:hint="default" w:ascii="Times New Roman" w:hAnsi="Times New Roman" w:cs="Times New Roman"/>
          <w:b w:val="0"/>
          <w:bCs w:val="0"/>
          <w:color w:val="auto"/>
          <w:spacing w:val="0"/>
          <w:w w:val="100"/>
          <w:position w:val="0"/>
          <w:sz w:val="32"/>
          <w:szCs w:val="32"/>
          <w:lang w:val="en-US" w:eastAsia="zh-CN"/>
        </w:rPr>
        <w:t>二</w:t>
      </w:r>
      <w:r>
        <w:rPr>
          <w:rFonts w:hint="default" w:ascii="Times New Roman" w:hAnsi="Times New Roman" w:eastAsia="仿宋_GB2312" w:cs="Times New Roman"/>
          <w:b w:val="0"/>
          <w:bCs w:val="0"/>
          <w:color w:val="auto"/>
          <w:spacing w:val="0"/>
          <w:w w:val="100"/>
          <w:position w:val="0"/>
          <w:sz w:val="32"/>
          <w:szCs w:val="32"/>
          <w:lang w:val="en-US" w:eastAsia="zh-CN"/>
        </w:rPr>
        <w:t>名，打破近年来排位长期垫底格局。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3、农业园区梯次见效。</w:t>
      </w:r>
      <w:r>
        <w:rPr>
          <w:rFonts w:hint="default" w:ascii="Times New Roman" w:hAnsi="Times New Roman" w:eastAsia="仿宋_GB2312" w:cs="Times New Roman"/>
          <w:color w:val="auto"/>
          <w:sz w:val="32"/>
          <w:szCs w:val="32"/>
          <w:lang w:val="en-US" w:eastAsia="zh-CN"/>
        </w:rPr>
        <w:t>国家现代农业产业园顺利通过农业农村部中期评估，成功获得省级农业国际贸易高质量发展基地荣誉称号；白芷园区扩面种植2000余亩，顺利通过白芷省级标准化示范项目中期评审，永兴镇以白芷为主导产业成功入围省级产业强镇建设名单；遂潼涪江蔬菜乐园建成智慧大棚60亩、种植蔬菜6000亩，园内700吨蔬菜冷藏冻库已全面竣工待投入运营，水肥药一体化喷灌系统、科技展示中心、灌溉渠系、洗销中心及尾菜处理中心主体已基本完工，成功争创省级成渝现代高效特色农业带合作园区试点项目；粮油园区围绕省级鱼米之乡项目建设，建成稻渔（虾）共生基地7000余亩，河沙镇梓桐村核心区产出优质龙虾300余吨，实现利润值约300万元，年底建成稻渔（虾）共生基地近万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4、现代农业要素升级。一是</w:t>
      </w:r>
      <w:r>
        <w:rPr>
          <w:rStyle w:val="47"/>
          <w:rFonts w:hint="default" w:ascii="Times New Roman" w:hAnsi="Times New Roman" w:eastAsia="仿宋_GB2312" w:cs="Times New Roman"/>
          <w:b w:val="0"/>
          <w:bCs w:val="0"/>
          <w:color w:val="auto"/>
          <w:kern w:val="2"/>
          <w:sz w:val="32"/>
          <w:szCs w:val="32"/>
          <w:highlight w:val="none"/>
          <w:lang w:val="en-US" w:eastAsia="zh-CN" w:bidi="ar-SA"/>
        </w:rPr>
        <w:t>完善农田水利设施。</w:t>
      </w:r>
      <w:r>
        <w:rPr>
          <w:rFonts w:hint="default" w:ascii="Times New Roman" w:hAnsi="Times New Roman" w:eastAsia="仿宋_GB2312" w:cs="Times New Roman"/>
          <w:color w:val="auto"/>
          <w:spacing w:val="0"/>
          <w:w w:val="100"/>
          <w:position w:val="0"/>
          <w:sz w:val="32"/>
          <w:szCs w:val="32"/>
          <w:lang w:val="en-US" w:eastAsia="zh-CN"/>
        </w:rPr>
        <w:t>完成2022年高标准农田建设项目结转任务</w:t>
      </w:r>
      <w:r>
        <w:rPr>
          <w:rFonts w:hint="default" w:ascii="Times New Roman" w:hAnsi="Times New Roman" w:eastAsia="仿宋_GB2312" w:cs="Times New Roman"/>
          <w:color w:val="auto"/>
          <w:sz w:val="32"/>
          <w:szCs w:val="32"/>
          <w:lang w:val="en-US" w:eastAsia="zh-CN"/>
        </w:rPr>
        <w:t>1.34万</w:t>
      </w:r>
      <w:r>
        <w:rPr>
          <w:rFonts w:hint="default" w:ascii="Times New Roman" w:hAnsi="Times New Roman" w:eastAsia="仿宋_GB2312" w:cs="Times New Roman"/>
          <w:color w:val="auto"/>
          <w:spacing w:val="0"/>
          <w:w w:val="100"/>
          <w:position w:val="0"/>
          <w:sz w:val="32"/>
          <w:szCs w:val="32"/>
          <w:lang w:val="en-US" w:eastAsia="zh-CN"/>
        </w:rPr>
        <w:t>亩，2023年高标准农田提质改造0.7万亩项目建设进度达60%，全年新（改）建提灌站24座，提升干旱天气灌水保供面积3万余亩。</w:t>
      </w:r>
      <w:r>
        <w:rPr>
          <w:rFonts w:hint="default" w:ascii="Times New Roman" w:hAnsi="Times New Roman" w:eastAsia="仿宋_GB2312" w:cs="Times New Roman"/>
          <w:b/>
          <w:bCs/>
          <w:color w:val="auto"/>
          <w:spacing w:val="0"/>
          <w:w w:val="100"/>
          <w:position w:val="0"/>
          <w:sz w:val="32"/>
          <w:szCs w:val="32"/>
          <w:lang w:val="en-US" w:eastAsia="zh-CN"/>
        </w:rPr>
        <w:t>二是</w:t>
      </w:r>
      <w:r>
        <w:rPr>
          <w:rFonts w:hint="default" w:ascii="Times New Roman" w:hAnsi="Times New Roman" w:eastAsia="仿宋_GB2312" w:cs="Times New Roman"/>
          <w:b w:val="0"/>
          <w:bCs w:val="0"/>
          <w:color w:val="auto"/>
          <w:spacing w:val="0"/>
          <w:w w:val="100"/>
          <w:position w:val="0"/>
          <w:sz w:val="32"/>
          <w:szCs w:val="32"/>
          <w:lang w:val="en-US" w:eastAsia="zh-CN"/>
        </w:rPr>
        <w:t>提升</w:t>
      </w:r>
      <w:r>
        <w:rPr>
          <w:rStyle w:val="47"/>
          <w:rFonts w:hint="default" w:ascii="Times New Roman" w:hAnsi="Times New Roman" w:eastAsia="仿宋_GB2312" w:cs="Times New Roman"/>
          <w:b w:val="0"/>
          <w:bCs w:val="0"/>
          <w:color w:val="auto"/>
          <w:kern w:val="2"/>
          <w:sz w:val="32"/>
          <w:szCs w:val="32"/>
          <w:highlight w:val="none"/>
          <w:lang w:val="en-US" w:eastAsia="zh-CN" w:bidi="ar-SA"/>
        </w:rPr>
        <w:t>农业机械化水平。</w:t>
      </w:r>
      <w:r>
        <w:rPr>
          <w:rStyle w:val="47"/>
          <w:rFonts w:hint="default" w:ascii="Times New Roman" w:hAnsi="Times New Roman" w:eastAsia="仿宋_GB2312" w:cs="Times New Roman"/>
          <w:color w:val="auto"/>
          <w:kern w:val="2"/>
          <w:sz w:val="32"/>
          <w:szCs w:val="32"/>
          <w:highlight w:val="none"/>
          <w:lang w:val="en-US" w:eastAsia="zh-CN" w:bidi="ar-SA"/>
        </w:rPr>
        <w:t>持续推进“五良”融合，2023年开展农机耕、种、防、收社会化服务4.5万亩，依托天穗集团推动桂花、永兴、龙凤全程机械化+全程农事服务中心，全域构建全程农机社会化服务体系。</w:t>
      </w:r>
      <w:r>
        <w:rPr>
          <w:rStyle w:val="47"/>
          <w:rFonts w:hint="default" w:ascii="Times New Roman" w:hAnsi="Times New Roman" w:eastAsia="仿宋_GB2312" w:cs="Times New Roman"/>
          <w:b w:val="0"/>
          <w:bCs w:val="0"/>
          <w:color w:val="auto"/>
          <w:kern w:val="2"/>
          <w:sz w:val="32"/>
          <w:szCs w:val="32"/>
          <w:highlight w:val="none"/>
          <w:lang w:val="en-US" w:eastAsia="zh-CN" w:bidi="ar-SA"/>
        </w:rPr>
        <w:t>三是积极培育经营主体。</w:t>
      </w:r>
      <w:r>
        <w:rPr>
          <w:rFonts w:hint="default" w:ascii="Times New Roman" w:hAnsi="Times New Roman" w:eastAsia="仿宋_GB2312" w:cs="Times New Roman"/>
          <w:color w:val="auto"/>
          <w:kern w:val="2"/>
          <w:sz w:val="32"/>
          <w:szCs w:val="32"/>
          <w:highlight w:val="none"/>
          <w:lang w:val="en-US" w:eastAsia="zh-CN" w:bidi="ar-SA"/>
        </w:rPr>
        <w:t>纵深</w:t>
      </w:r>
      <w:r>
        <w:rPr>
          <w:rFonts w:hint="default" w:ascii="Times New Roman" w:hAnsi="Times New Roman" w:eastAsia="仿宋_GB2312" w:cs="Times New Roman"/>
          <w:color w:val="auto"/>
          <w:kern w:val="2"/>
          <w:sz w:val="32"/>
          <w:szCs w:val="32"/>
          <w:lang w:val="en-US" w:eastAsia="zh-CN" w:bidi="ar-SA"/>
        </w:rPr>
        <w:t>推进涉农领域“转企升规”及高素质农民培育工作，</w:t>
      </w:r>
      <w:r>
        <w:rPr>
          <w:rFonts w:hint="default" w:ascii="Times New Roman" w:hAnsi="Times New Roman" w:eastAsia="仿宋_GB2312" w:cs="Times New Roman"/>
          <w:color w:val="auto"/>
          <w:kern w:val="2"/>
          <w:sz w:val="32"/>
          <w:szCs w:val="32"/>
          <w:highlight w:val="none"/>
          <w:lang w:val="en-US" w:eastAsia="zh-CN" w:bidi="ar-SA"/>
        </w:rPr>
        <w:t>2023年，全区新增培育农民专业合</w:t>
      </w:r>
      <w:r>
        <w:rPr>
          <w:rFonts w:hint="default" w:ascii="Times New Roman" w:hAnsi="Times New Roman" w:eastAsia="仿宋_GB2312" w:cs="Times New Roman"/>
          <w:color w:val="auto"/>
          <w:sz w:val="32"/>
          <w:szCs w:val="32"/>
          <w:lang w:val="en-US" w:eastAsia="zh-CN"/>
        </w:rPr>
        <w:t>作社5家、家庭农场54个，</w:t>
      </w:r>
      <w:r>
        <w:rPr>
          <w:rFonts w:hint="default" w:ascii="Times New Roman" w:hAnsi="Times New Roman" w:eastAsia="仿宋_GB2312" w:cs="Times New Roman"/>
          <w:color w:val="auto"/>
          <w:kern w:val="2"/>
          <w:sz w:val="32"/>
          <w:szCs w:val="32"/>
          <w:lang w:val="en-US" w:eastAsia="zh-CN" w:bidi="ar-SA"/>
        </w:rPr>
        <w:t>动员符合条件的9家家庭农场转型升级为公司制现代企业。</w:t>
      </w:r>
    </w:p>
    <w:p>
      <w:pPr>
        <w:pStyle w:val="12"/>
        <w:keepNext w:val="0"/>
        <w:keepLines w:val="0"/>
        <w:pageBreakBefore w:val="0"/>
        <w:numPr>
          <w:ilvl w:val="0"/>
          <w:numId w:val="0"/>
        </w:numPr>
        <w:kinsoku/>
        <w:wordWrap/>
        <w:overflowPunct/>
        <w:topLinePunct w:val="0"/>
        <w:autoSpaceDE/>
        <w:autoSpaceDN/>
        <w:bidi w:val="0"/>
        <w:spacing w:line="600" w:lineRule="exact"/>
        <w:ind w:right="0" w:rightChars="0" w:firstLine="643" w:firstLineChars="200"/>
        <w:jc w:val="left"/>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5、农村改革纵深推进。一是</w:t>
      </w:r>
      <w:r>
        <w:rPr>
          <w:rFonts w:hint="default" w:ascii="Times New Roman" w:hAnsi="Times New Roman" w:eastAsia="仿宋_GB2312" w:cs="Times New Roman"/>
          <w:b w:val="0"/>
          <w:bCs w:val="0"/>
          <w:color w:val="auto"/>
          <w:kern w:val="2"/>
          <w:sz w:val="32"/>
          <w:szCs w:val="32"/>
          <w:lang w:val="en-US" w:eastAsia="zh-CN" w:bidi="ar-SA"/>
        </w:rPr>
        <w:t>集体经济多维创收。</w:t>
      </w:r>
      <w:r>
        <w:rPr>
          <w:rFonts w:hint="default" w:ascii="Times New Roman" w:hAnsi="Times New Roman" w:eastAsia="仿宋_GB2312" w:cs="Times New Roman"/>
          <w:color w:val="auto"/>
          <w:sz w:val="32"/>
          <w:szCs w:val="32"/>
          <w:lang w:val="en-US" w:eastAsia="zh-CN"/>
        </w:rPr>
        <w:t>不断探索新型农村集体经济有效实现形式，形成凤凰村高效盘活宅基地促增收、联盟村合作经营蔬菜基地共发展、金井村入股经营水厂稳收益、“遂宁永河联村农业有限公司”抱团发展等多种模式并存的新发展格局。全区农村集体经济组织稳步增收，预计全年村集体纯收入完成520万元，同比增长20%以上。</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土地改革活力焕发。</w:t>
      </w:r>
      <w:r>
        <w:rPr>
          <w:rFonts w:hint="default" w:ascii="Times New Roman" w:hAnsi="Times New Roman" w:eastAsia="仿宋_GB2312" w:cs="Times New Roman"/>
          <w:color w:val="auto"/>
          <w:kern w:val="0"/>
          <w:sz w:val="32"/>
          <w:szCs w:val="32"/>
          <w:u w:val="none"/>
          <w:shd w:val="clear" w:color="auto" w:fill="auto"/>
          <w:lang w:val="en-US" w:eastAsia="zh-CN" w:bidi="ar"/>
        </w:rPr>
        <w:t>稳慎推进宅基地“三权分置”等土地管理模式，引导各乡镇根据实际情况创新做实宅基地改革措施，龙凤镇石桥村“确权不确地”土地改革经验被人民日报宣传报道，“仁里镇2345疏堵结合工作法”“河沙镇凤凰村五步走”两个宅基地盘活利用典型经验入选《四川省农村宅基地管理与改革典型案例集》。</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城乡融合试点先行。</w:t>
      </w:r>
      <w:r>
        <w:rPr>
          <w:rFonts w:hint="default" w:ascii="Times New Roman" w:hAnsi="Times New Roman" w:eastAsia="仿宋_GB2312" w:cs="Times New Roman"/>
          <w:color w:val="auto"/>
          <w:sz w:val="32"/>
          <w:szCs w:val="32"/>
          <w:lang w:val="en-US" w:eastAsia="zh-CN"/>
        </w:rPr>
        <w:t>探索农业产业提质增效破除城乡二元结构的有效实现形式，积极争创省级城乡融合试点项目，编制完成</w:t>
      </w:r>
      <w:r>
        <w:rPr>
          <w:rFonts w:hint="default" w:ascii="Times New Roman" w:hAnsi="Times New Roman" w:eastAsia="仿宋_GB2312" w:cs="Times New Roman"/>
          <w:color w:val="auto"/>
          <w:sz w:val="32"/>
          <w:szCs w:val="32"/>
        </w:rPr>
        <w:t>《船山区老池镇黄桷村集体闲置资产盘活项目实施方案》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作为2023年省级</w:t>
      </w:r>
      <w:r>
        <w:rPr>
          <w:rFonts w:hint="default" w:ascii="Times New Roman" w:hAnsi="Times New Roman" w:eastAsia="仿宋_GB2312" w:cs="Times New Roman"/>
          <w:color w:val="auto"/>
          <w:sz w:val="32"/>
          <w:szCs w:val="32"/>
        </w:rPr>
        <w:t>城乡融合发展综合改革试点</w:t>
      </w:r>
      <w:r>
        <w:rPr>
          <w:rFonts w:hint="default" w:ascii="Times New Roman" w:hAnsi="Times New Roman" w:eastAsia="仿宋_GB2312" w:cs="Times New Roman"/>
          <w:color w:val="auto"/>
          <w:sz w:val="32"/>
          <w:szCs w:val="32"/>
          <w:lang w:val="en-US" w:eastAsia="zh-CN"/>
        </w:rPr>
        <w:t>项目储备入库</w:t>
      </w:r>
      <w:r>
        <w:rPr>
          <w:rFonts w:hint="default" w:ascii="Times New Roman" w:hAnsi="Times New Roman" w:eastAsia="仿宋_GB2312" w:cs="Times New Roman"/>
          <w:b w:val="0"/>
          <w:bCs w:val="0"/>
          <w:color w:val="auto"/>
          <w:sz w:val="32"/>
          <w:szCs w:val="32"/>
          <w:lang w:val="en-US" w:eastAsia="zh-CN"/>
        </w:rPr>
        <w:t>。</w:t>
      </w:r>
    </w:p>
    <w:bookmarkEnd w:id="88"/>
    <w:p>
      <w:pPr>
        <w:widowControl/>
        <w:adjustRightInd w:val="0"/>
        <w:snapToGrid w:val="0"/>
        <w:spacing w:line="600" w:lineRule="exact"/>
        <w:ind w:firstLine="640" w:firstLineChars="200"/>
        <w:contextualSpacing/>
        <w:jc w:val="left"/>
        <w:rPr>
          <w:rFonts w:hint="default" w:ascii="黑体" w:hAnsi="黑体" w:eastAsia="黑体" w:cs="黑体"/>
          <w:color w:val="auto"/>
          <w:kern w:val="0"/>
          <w:sz w:val="32"/>
          <w:szCs w:val="32"/>
          <w:shd w:val="clear" w:color="auto" w:fill="FFFFFF"/>
          <w:lang w:val="zh-CN"/>
        </w:rPr>
      </w:pPr>
      <w:r>
        <w:rPr>
          <w:rFonts w:hint="default" w:ascii="黑体" w:hAnsi="黑体" w:eastAsia="黑体" w:cs="黑体"/>
          <w:color w:val="auto"/>
          <w:kern w:val="0"/>
          <w:sz w:val="32"/>
          <w:szCs w:val="32"/>
          <w:shd w:val="clear" w:color="auto" w:fill="FFFFFF"/>
          <w:lang w:val="zh-CN"/>
        </w:rPr>
        <w:t>四、评价结论及建议</w:t>
      </w:r>
    </w:p>
    <w:p>
      <w:pPr>
        <w:widowControl/>
        <w:adjustRightInd w:val="0"/>
        <w:snapToGrid w:val="0"/>
        <w:spacing w:line="600" w:lineRule="exact"/>
        <w:ind w:left="0" w:leftChars="0" w:firstLine="643" w:firstLineChars="200"/>
        <w:contextualSpacing/>
        <w:jc w:val="left"/>
        <w:rPr>
          <w:rFonts w:hint="default" w:ascii="楷体_GB2312" w:hAnsi="楷体_GB2312" w:eastAsia="楷体_GB2312" w:cs="楷体_GB2312"/>
          <w:b/>
          <w:bCs/>
          <w:color w:val="auto"/>
          <w:kern w:val="0"/>
          <w:sz w:val="32"/>
          <w:szCs w:val="32"/>
          <w:shd w:val="clear" w:color="auto" w:fill="FFFFFF"/>
          <w:lang w:val="zh-CN"/>
        </w:rPr>
      </w:pPr>
      <w:r>
        <w:rPr>
          <w:rFonts w:hint="default" w:ascii="楷体_GB2312" w:hAnsi="楷体_GB2312" w:eastAsia="楷体_GB2312" w:cs="楷体_GB2312"/>
          <w:b/>
          <w:bCs/>
          <w:color w:val="auto"/>
          <w:kern w:val="0"/>
          <w:sz w:val="32"/>
          <w:szCs w:val="32"/>
          <w:shd w:val="clear" w:color="auto" w:fill="FFFFFF"/>
          <w:lang w:val="zh-CN"/>
        </w:rPr>
        <w:t>（一）评价结论</w:t>
      </w:r>
    </w:p>
    <w:p>
      <w:pPr>
        <w:widowControl/>
        <w:adjustRightInd w:val="0"/>
        <w:snapToGrid w:val="0"/>
        <w:spacing w:line="600" w:lineRule="exact"/>
        <w:ind w:firstLine="640" w:firstLineChars="200"/>
        <w:contextualSpacing/>
        <w:jc w:val="left"/>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zh-CN"/>
        </w:rPr>
        <w:t>2023年，在区委、区政府的坚强领导下，</w:t>
      </w:r>
      <w:r>
        <w:rPr>
          <w:rFonts w:hint="eastAsia" w:ascii="Times New Roman" w:hAnsi="Times New Roman" w:cs="Times New Roman"/>
          <w:color w:val="auto"/>
          <w:kern w:val="0"/>
          <w:sz w:val="32"/>
          <w:szCs w:val="32"/>
          <w:shd w:val="clear" w:color="auto" w:fill="FFFFFF"/>
          <w:lang w:val="zh-CN" w:eastAsia="zh-CN"/>
        </w:rPr>
        <w:t>区农业农村局</w:t>
      </w:r>
      <w:r>
        <w:rPr>
          <w:rFonts w:hint="default" w:ascii="Times New Roman" w:hAnsi="Times New Roman" w:eastAsia="仿宋_GB2312" w:cs="Times New Roman"/>
          <w:color w:val="auto"/>
          <w:kern w:val="0"/>
          <w:sz w:val="32"/>
          <w:szCs w:val="32"/>
          <w:shd w:val="clear" w:color="auto" w:fill="FFFFFF"/>
          <w:lang w:val="zh-CN"/>
        </w:rPr>
        <w:t>锚定全年目标任务，大力实施“美丽乡村全面振兴”对标跨越行动，全力以赴“拼经济、搞建设、抓发展”，聚力打造新时代更高水平“天府粮仓”，全力推进农业农村高质量发展。圆满完成区委、区政府下达的各项目标任务，本年度专项资金通过了省级主管部门委托三方机构进行的绩效考评，无违规违纪问题</w:t>
      </w:r>
      <w:r>
        <w:rPr>
          <w:rFonts w:hint="eastAsia" w:ascii="Times New Roman" w:hAnsi="Times New Roman" w:cs="Times New Roman"/>
          <w:color w:val="auto"/>
          <w:kern w:val="0"/>
          <w:sz w:val="32"/>
          <w:szCs w:val="32"/>
          <w:shd w:val="clear" w:color="auto" w:fill="FFFFFF"/>
          <w:lang w:val="zh-CN"/>
        </w:rPr>
        <w:t>，自评得分</w:t>
      </w:r>
      <w:r>
        <w:rPr>
          <w:rFonts w:hint="eastAsia" w:ascii="Times New Roman" w:hAnsi="Times New Roman" w:cs="Times New Roman"/>
          <w:color w:val="auto"/>
          <w:kern w:val="0"/>
          <w:sz w:val="32"/>
          <w:szCs w:val="32"/>
          <w:shd w:val="clear" w:color="auto" w:fill="FFFFFF"/>
          <w:lang w:val="en-US" w:eastAsia="zh-CN"/>
        </w:rPr>
        <w:t>81.1分</w:t>
      </w:r>
      <w:r>
        <w:rPr>
          <w:rFonts w:hint="default" w:ascii="Times New Roman" w:hAnsi="Times New Roman" w:eastAsia="仿宋_GB2312" w:cs="Times New Roman"/>
          <w:color w:val="auto"/>
          <w:kern w:val="0"/>
          <w:sz w:val="32"/>
          <w:szCs w:val="32"/>
          <w:shd w:val="clear" w:color="auto" w:fill="FFFFFF"/>
          <w:lang w:val="zh-CN"/>
        </w:rPr>
        <w:t>。</w:t>
      </w:r>
    </w:p>
    <w:p>
      <w:pPr>
        <w:widowControl/>
        <w:adjustRightInd w:val="0"/>
        <w:snapToGrid w:val="0"/>
        <w:spacing w:line="600" w:lineRule="exact"/>
        <w:ind w:left="0" w:leftChars="0" w:firstLine="643" w:firstLineChars="200"/>
        <w:contextualSpacing/>
        <w:jc w:val="left"/>
        <w:rPr>
          <w:rFonts w:hint="default" w:ascii="楷体_GB2312" w:hAnsi="楷体_GB2312" w:eastAsia="楷体_GB2312" w:cs="楷体_GB2312"/>
          <w:b/>
          <w:bCs/>
          <w:color w:val="auto"/>
          <w:kern w:val="0"/>
          <w:sz w:val="32"/>
          <w:szCs w:val="32"/>
          <w:shd w:val="clear" w:color="auto" w:fill="FFFFFF"/>
          <w:lang w:val="zh-CN"/>
        </w:rPr>
      </w:pPr>
      <w:r>
        <w:rPr>
          <w:rFonts w:hint="default" w:ascii="楷体_GB2312" w:hAnsi="楷体_GB2312" w:eastAsia="楷体_GB2312" w:cs="楷体_GB2312"/>
          <w:b/>
          <w:bCs/>
          <w:color w:val="auto"/>
          <w:kern w:val="0"/>
          <w:sz w:val="32"/>
          <w:szCs w:val="32"/>
          <w:shd w:val="clear" w:color="auto" w:fill="FFFFFF"/>
          <w:lang w:val="zh-CN"/>
        </w:rPr>
        <w:t>（二）存在问题</w:t>
      </w:r>
    </w:p>
    <w:p>
      <w:pPr>
        <w:widowControl/>
        <w:adjustRightInd w:val="0"/>
        <w:snapToGrid w:val="0"/>
        <w:spacing w:line="600" w:lineRule="exact"/>
        <w:ind w:firstLine="640" w:firstLineChars="200"/>
        <w:contextualSpacing/>
        <w:jc w:val="left"/>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rPr>
        <w:t>在资金使用计划和进度上有待进一步加强。</w:t>
      </w:r>
    </w:p>
    <w:p>
      <w:pPr>
        <w:widowControl/>
        <w:adjustRightInd w:val="0"/>
        <w:snapToGrid w:val="0"/>
        <w:spacing w:line="600" w:lineRule="exact"/>
        <w:ind w:left="0" w:leftChars="0" w:firstLine="643" w:firstLineChars="200"/>
        <w:contextualSpacing/>
        <w:jc w:val="left"/>
        <w:rPr>
          <w:rFonts w:hint="default" w:ascii="楷体_GB2312" w:hAnsi="楷体_GB2312" w:eastAsia="楷体_GB2312" w:cs="楷体_GB2312"/>
          <w:b/>
          <w:bCs/>
          <w:color w:val="auto"/>
          <w:kern w:val="0"/>
          <w:sz w:val="32"/>
          <w:szCs w:val="32"/>
          <w:shd w:val="clear" w:color="auto" w:fill="FFFFFF"/>
          <w:lang w:val="zh-CN"/>
        </w:rPr>
      </w:pPr>
      <w:r>
        <w:rPr>
          <w:rFonts w:hint="default" w:ascii="楷体_GB2312" w:hAnsi="楷体_GB2312" w:eastAsia="楷体_GB2312" w:cs="楷体_GB2312"/>
          <w:b/>
          <w:bCs/>
          <w:color w:val="auto"/>
          <w:kern w:val="0"/>
          <w:sz w:val="32"/>
          <w:szCs w:val="32"/>
          <w:shd w:val="clear" w:color="auto" w:fill="FFFFFF"/>
          <w:lang w:val="zh-CN"/>
        </w:rPr>
        <w:t>（</w:t>
      </w:r>
      <w:r>
        <w:rPr>
          <w:rFonts w:hint="default" w:ascii="楷体_GB2312" w:hAnsi="楷体_GB2312" w:eastAsia="楷体_GB2312" w:cs="楷体_GB2312"/>
          <w:b/>
          <w:bCs/>
          <w:color w:val="auto"/>
          <w:kern w:val="0"/>
          <w:sz w:val="32"/>
          <w:szCs w:val="32"/>
          <w:shd w:val="clear" w:color="auto" w:fill="FFFFFF"/>
          <w:lang w:val="zh-CN" w:eastAsia="zh-CN"/>
        </w:rPr>
        <w:t>三</w:t>
      </w:r>
      <w:r>
        <w:rPr>
          <w:rFonts w:hint="default" w:ascii="楷体_GB2312" w:hAnsi="楷体_GB2312" w:eastAsia="楷体_GB2312" w:cs="楷体_GB2312"/>
          <w:b/>
          <w:bCs/>
          <w:color w:val="auto"/>
          <w:kern w:val="0"/>
          <w:sz w:val="32"/>
          <w:szCs w:val="32"/>
          <w:shd w:val="clear" w:color="auto" w:fill="FFFFFF"/>
          <w:lang w:val="zh-CN"/>
        </w:rPr>
        <w:t>）改进建议</w:t>
      </w:r>
    </w:p>
    <w:p>
      <w:pPr>
        <w:kinsoku w:val="0"/>
        <w:overflowPunct w:val="0"/>
        <w:spacing w:before="0" w:line="600" w:lineRule="exact"/>
        <w:ind w:firstLine="640" w:firstLineChars="200"/>
        <w:jc w:val="left"/>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无</w:t>
      </w:r>
      <w:r>
        <w:rPr>
          <w:rFonts w:hint="eastAsia" w:ascii="Times New Roman" w:hAnsi="Times New Roman" w:cs="Times New Roman"/>
          <w:color w:val="auto"/>
          <w:sz w:val="32"/>
          <w:szCs w:val="32"/>
          <w:lang w:eastAsia="zh-CN"/>
        </w:rPr>
        <w:t>。</w:t>
      </w:r>
    </w:p>
    <w:p>
      <w:pPr>
        <w:kinsoku w:val="0"/>
        <w:overflowPunct w:val="0"/>
        <w:spacing w:before="12"/>
        <w:rPr>
          <w:rFonts w:hint="eastAsia" w:ascii="仿宋_GB2312" w:hAnsi="仿宋_GB2312" w:eastAsia="仿宋_GB2312" w:cs="仿宋_GB2312"/>
          <w:color w:val="auto"/>
          <w:sz w:val="32"/>
          <w:szCs w:val="32"/>
          <w:highlight w:val="none"/>
        </w:rPr>
      </w:pPr>
    </w:p>
    <w:p>
      <w:pPr>
        <w:ind w:firstLine="4160" w:firstLineChars="13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船山区农业农村局</w:t>
      </w:r>
    </w:p>
    <w:p>
      <w:pPr>
        <w:ind w:firstLine="640" w:firstLineChars="200"/>
        <w:jc w:val="center"/>
        <w:rPr>
          <w:rFonts w:hint="eastAsia" w:ascii="仿宋_GB2312" w:hAnsi="仿宋_GB2312" w:eastAsia="仿宋_GB2312" w:cs="仿宋_GB2312"/>
          <w:color w:val="auto"/>
          <w:kern w:val="0"/>
          <w:sz w:val="32"/>
          <w:szCs w:val="32"/>
          <w:highlight w:val="none"/>
        </w:rPr>
        <w:sectPr>
          <w:footerReference r:id="rId4" w:type="default"/>
          <w:pgSz w:w="11906" w:h="16838"/>
          <w:pgMar w:top="2098" w:right="1474" w:bottom="1984" w:left="1587" w:header="851" w:footer="1361" w:gutter="0"/>
          <w:pgNumType w:fmt="decimal" w:start="1"/>
          <w:cols w:space="0" w:num="1"/>
          <w:rtlGutter w:val="0"/>
          <w:docGrid w:type="lines" w:linePitch="315" w:charSpace="0"/>
        </w:sect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202</w:t>
      </w:r>
      <w:bookmarkStart w:id="149" w:name="_GoBack"/>
      <w:bookmarkEnd w:id="149"/>
      <w:r>
        <w:rPr>
          <w:rFonts w:hint="eastAsia" w:ascii="仿宋_GB2312" w:hAnsi="仿宋_GB2312" w:eastAsia="仿宋_GB2312" w:cs="仿宋_GB2312"/>
          <w:color w:val="auto"/>
          <w:kern w:val="0"/>
          <w:sz w:val="32"/>
          <w:szCs w:val="32"/>
          <w:highlight w:val="none"/>
        </w:rPr>
        <w:t>4年8月12日</w:t>
      </w:r>
    </w:p>
    <w:p>
      <w:pPr>
        <w:widowControl/>
        <w:ind w:firstLine="3520" w:firstLineChars="1100"/>
        <w:jc w:val="both"/>
        <w:textAlignment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bidi="ar"/>
        </w:rPr>
        <w:t>202</w:t>
      </w:r>
      <w:r>
        <w:rPr>
          <w:rFonts w:hint="eastAsia" w:ascii="仿宋_GB2312" w:hAnsi="仿宋_GB2312" w:eastAsia="仿宋_GB2312" w:cs="仿宋_GB2312"/>
          <w:b w:val="0"/>
          <w:bCs w:val="0"/>
          <w:color w:val="auto"/>
          <w:sz w:val="32"/>
          <w:szCs w:val="32"/>
          <w:highlight w:val="none"/>
          <w:lang w:val="en-US" w:eastAsia="zh-CN" w:bidi="ar"/>
        </w:rPr>
        <w:t>3</w:t>
      </w:r>
      <w:r>
        <w:rPr>
          <w:rFonts w:hint="eastAsia" w:ascii="仿宋_GB2312" w:hAnsi="仿宋_GB2312" w:eastAsia="仿宋_GB2312" w:cs="仿宋_GB2312"/>
          <w:b w:val="0"/>
          <w:bCs w:val="0"/>
          <w:color w:val="auto"/>
          <w:sz w:val="32"/>
          <w:szCs w:val="32"/>
          <w:highlight w:val="none"/>
          <w:lang w:bidi="ar"/>
        </w:rPr>
        <w:t>年部门整体支出绩效评价指标体系</w:t>
      </w:r>
    </w:p>
    <w:tbl>
      <w:tblPr>
        <w:tblStyle w:val="20"/>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13"/>
        <w:gridCol w:w="943"/>
        <w:gridCol w:w="435"/>
        <w:gridCol w:w="390"/>
        <w:gridCol w:w="660"/>
        <w:gridCol w:w="1266"/>
        <w:gridCol w:w="4740"/>
        <w:gridCol w:w="2880"/>
        <w:gridCol w:w="765"/>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blHeader/>
          <w:jc w:val="center"/>
        </w:trPr>
        <w:tc>
          <w:tcPr>
            <w:tcW w:w="3144" w:type="dxa"/>
            <w:gridSpan w:val="3"/>
            <w:shd w:val="clear" w:color="auto" w:fill="auto"/>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绩效指标</w:t>
            </w:r>
          </w:p>
        </w:tc>
        <w:tc>
          <w:tcPr>
            <w:tcW w:w="435"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指标分值</w:t>
            </w:r>
          </w:p>
        </w:tc>
        <w:tc>
          <w:tcPr>
            <w:tcW w:w="390" w:type="dxa"/>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目标指</w:t>
            </w:r>
          </w:p>
        </w:tc>
        <w:tc>
          <w:tcPr>
            <w:tcW w:w="660" w:type="dxa"/>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eastAsia="zh-CN" w:bidi="ar"/>
              </w:rPr>
              <w:t>指标</w:t>
            </w:r>
            <w:r>
              <w:rPr>
                <w:rFonts w:hint="eastAsia" w:ascii="幼圆" w:hAnsi="幼圆" w:eastAsia="幼圆" w:cs="幼圆"/>
                <w:b w:val="0"/>
                <w:bCs w:val="0"/>
                <w:color w:val="auto"/>
                <w:sz w:val="21"/>
                <w:szCs w:val="21"/>
                <w:highlight w:val="none"/>
                <w:lang w:bidi="ar"/>
              </w:rPr>
              <w:t>完成值</w:t>
            </w:r>
          </w:p>
        </w:tc>
        <w:tc>
          <w:tcPr>
            <w:tcW w:w="1266"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指标解释</w:t>
            </w:r>
          </w:p>
        </w:tc>
        <w:tc>
          <w:tcPr>
            <w:tcW w:w="4740"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计分标准</w:t>
            </w:r>
          </w:p>
        </w:tc>
        <w:tc>
          <w:tcPr>
            <w:tcW w:w="2880"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依据资料</w:t>
            </w:r>
          </w:p>
        </w:tc>
        <w:tc>
          <w:tcPr>
            <w:tcW w:w="765"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评价过程（只写扣分项的原因）</w:t>
            </w:r>
          </w:p>
        </w:tc>
        <w:tc>
          <w:tcPr>
            <w:tcW w:w="833" w:type="dxa"/>
            <w:vMerge w:val="restart"/>
            <w:shd w:val="clear" w:color="auto" w:fill="FFFFFF"/>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1088" w:type="dxa"/>
            <w:shd w:val="clear" w:color="auto" w:fill="auto"/>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一级指标</w:t>
            </w:r>
          </w:p>
        </w:tc>
        <w:tc>
          <w:tcPr>
            <w:tcW w:w="1113" w:type="dxa"/>
            <w:shd w:val="clear" w:color="auto" w:fill="auto"/>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二级指标</w:t>
            </w: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三级指标</w:t>
            </w:r>
          </w:p>
        </w:tc>
        <w:tc>
          <w:tcPr>
            <w:tcW w:w="435" w:type="dxa"/>
            <w:vMerge w:val="continue"/>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390" w:type="dxa"/>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660" w:type="dxa"/>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1266" w:type="dxa"/>
            <w:vMerge w:val="continue"/>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4740" w:type="dxa"/>
            <w:vMerge w:val="continue"/>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2880" w:type="dxa"/>
            <w:vMerge w:val="continue"/>
            <w:shd w:val="clear" w:color="auto" w:fill="FFFFFF"/>
            <w:vAlign w:val="center"/>
          </w:tcPr>
          <w:p>
            <w:pPr>
              <w:snapToGrid w:val="0"/>
              <w:spacing w:line="240" w:lineRule="atLeast"/>
              <w:jc w:val="center"/>
              <w:rPr>
                <w:rFonts w:hint="eastAsia" w:ascii="幼圆" w:hAnsi="幼圆" w:eastAsia="幼圆" w:cs="幼圆"/>
                <w:color w:val="auto"/>
                <w:sz w:val="21"/>
                <w:szCs w:val="21"/>
                <w:highlight w:val="none"/>
              </w:rPr>
            </w:pPr>
          </w:p>
        </w:tc>
        <w:tc>
          <w:tcPr>
            <w:tcW w:w="765" w:type="dxa"/>
            <w:vMerge w:val="continue"/>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c>
          <w:tcPr>
            <w:tcW w:w="833" w:type="dxa"/>
            <w:vMerge w:val="continue"/>
            <w:shd w:val="clear" w:color="auto" w:fill="FFFFFF"/>
            <w:vAlign w:val="center"/>
          </w:tcPr>
          <w:p>
            <w:pPr>
              <w:snapToGrid w:val="0"/>
              <w:spacing w:line="240" w:lineRule="atLeast"/>
              <w:jc w:val="center"/>
              <w:rPr>
                <w:rFonts w:hint="eastAsia" w:ascii="幼圆" w:hAnsi="幼圆" w:eastAsia="幼圆" w:cs="幼圆"/>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88" w:type="dxa"/>
            <w:vMerge w:val="restart"/>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部门预算管理</w:t>
            </w:r>
          </w:p>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（80分）</w:t>
            </w:r>
          </w:p>
          <w:p>
            <w:pPr>
              <w:snapToGrid w:val="0"/>
              <w:spacing w:line="240" w:lineRule="atLeast"/>
              <w:jc w:val="center"/>
              <w:rPr>
                <w:rFonts w:hint="eastAsia" w:ascii="幼圆" w:hAnsi="幼圆" w:eastAsia="幼圆" w:cs="幼圆"/>
                <w:color w:val="auto"/>
                <w:sz w:val="21"/>
                <w:szCs w:val="21"/>
                <w:highlight w:val="none"/>
              </w:rPr>
            </w:pPr>
          </w:p>
        </w:tc>
        <w:tc>
          <w:tcPr>
            <w:tcW w:w="1113" w:type="dxa"/>
            <w:vMerge w:val="restart"/>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预算编制（30分）</w:t>
            </w: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目标制定</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评价部门绩效目标是否要素完整、细化量化。</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 xml:space="preserve">1.绩效目标编制要素完整的，得5分，否则酌情扣分。                                                       2.绩效指标细化量化的，得5分，否则酌情扣分。                                                                    </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b/>
                <w:bCs/>
                <w:color w:val="auto"/>
                <w:sz w:val="21"/>
                <w:szCs w:val="21"/>
                <w:highlight w:val="none"/>
                <w:lang w:bidi="ar"/>
              </w:rPr>
              <w:t>要素</w:t>
            </w:r>
            <w:r>
              <w:rPr>
                <w:rFonts w:hint="eastAsia" w:ascii="幼圆" w:hAnsi="幼圆" w:eastAsia="幼圆" w:cs="幼圆"/>
                <w:b/>
                <w:bCs/>
                <w:color w:val="auto"/>
                <w:sz w:val="21"/>
                <w:szCs w:val="21"/>
                <w:highlight w:val="none"/>
                <w:lang w:eastAsia="zh-CN" w:bidi="ar"/>
              </w:rPr>
              <w:t>是指</w:t>
            </w:r>
            <w:r>
              <w:rPr>
                <w:rFonts w:hint="eastAsia" w:ascii="幼圆" w:hAnsi="幼圆" w:eastAsia="幼圆" w:cs="幼圆"/>
                <w:b/>
                <w:bCs/>
                <w:color w:val="auto"/>
                <w:sz w:val="21"/>
                <w:szCs w:val="21"/>
                <w:highlight w:val="none"/>
                <w:lang w:bidi="ar"/>
              </w:rPr>
              <w:t>目标</w:t>
            </w:r>
            <w:r>
              <w:rPr>
                <w:rFonts w:hint="eastAsia" w:ascii="幼圆" w:hAnsi="幼圆" w:eastAsia="幼圆" w:cs="幼圆"/>
                <w:color w:val="auto"/>
                <w:sz w:val="21"/>
                <w:szCs w:val="21"/>
                <w:highlight w:val="none"/>
                <w:lang w:bidi="ar"/>
              </w:rPr>
              <w:t>的完成指标及效益指标、满意度指标是否填写完整，根据年初制定目标财政局的要求。指标细化量化指该定量表达的是否表达。</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目标完成</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评价部门绩效目标实际实现程度与预期目标的偏离度。</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以项目完成数量指标为核心，评价项目实际完成情况是否达到预期绩效目标，指标得分=达到预期绩效目标的部门项目个数/纳入绩效目标管理的部门预算项目个数*10</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项目绩效目标申报表（数量指标）</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编制准确</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评价部门年初预算编制是否科学准确。</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指标得分=（1-（10×部门全年预算调剂金额/年初部门预算数））*10。其中：若部门全年预算调剂金额/年初部门预算数&gt;0.1，此项得0分。</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预算调剂金额：大平台中预算下达指标明细对账单—业务类型中“专项调剂”和“非专项调剂”绝对值合计数</w:t>
            </w:r>
          </w:p>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年初部门预算数：年初部门预算批复表，表1部门预算收支总表“本年支出合计”</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restart"/>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预算执行（30分）</w:t>
            </w: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支出控制</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部门公用经费及非定额公用支出控制情况。</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决算数：财政批复的决算套表-从决算科目里删选</w:t>
            </w:r>
          </w:p>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预算数：财政批复预算公开表</w:t>
            </w:r>
          </w:p>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偏差程度=（决算数-预算数）的绝对值/决算数*100%</w:t>
            </w:r>
          </w:p>
        </w:tc>
        <w:tc>
          <w:tcPr>
            <w:tcW w:w="765" w:type="dxa"/>
            <w:vAlign w:val="center"/>
          </w:tcPr>
          <w:p>
            <w:pPr>
              <w:snapToGrid w:val="0"/>
              <w:spacing w:line="240" w:lineRule="atLeast"/>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eastAsia="zh-CN"/>
              </w:rPr>
              <w:t>偏差在</w:t>
            </w:r>
            <w:r>
              <w:rPr>
                <w:rFonts w:hint="eastAsia" w:ascii="幼圆" w:hAnsi="幼圆" w:eastAsia="幼圆" w:cs="幼圆"/>
                <w:color w:val="auto"/>
                <w:sz w:val="21"/>
                <w:szCs w:val="21"/>
                <w:highlight w:val="none"/>
                <w:lang w:val="en-US" w:eastAsia="zh-CN"/>
              </w:rPr>
              <w:t>12%</w:t>
            </w: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动态调整</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评价部门开展绩效运行监控后，将绩效监控结果应用到预算调整的情况。</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 xml:space="preserve">3.当部门绩效监控调整取消额与结余注销额均为零时，得满分。   </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预决算套表（Z01调整预算数、CS01）</w:t>
            </w:r>
          </w:p>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年度预算总额：Z01总计调整预算数</w:t>
            </w:r>
          </w:p>
          <w:p>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绩效监控调整取消额：调整前年初结转和结余-调整后年初结转和结余=0，则没有取消额</w:t>
            </w:r>
          </w:p>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预算结余注销额：归集上缴和缴回资金栏为0，表示当年没有注销，如果有数就是注销额</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执行进度</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评价部门在6、9、11月的预算执行情况。</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部门预算执行进度在6、9、11月应达到序时进度的80%、90%、90%，即实际支出进度分别达到40%、67.5%</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 xml:space="preserve">82.5%。                                                     6、9、11月部门预算执行进度达到量化指标的分别得3、4、3分，未达到目标进度的按其实际进度占目标进度的比重计算得分。                                           </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财政部门统一从国库总会计那取数字发送到各单位</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restart"/>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完成结果（20分）</w:t>
            </w: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预算完成</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评价部门预算项目年终预算执行情况。</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部门预算项目12月预算执行进度达到100%的，得10分，未达100%的，按照实际进度量化计算得分。(含所有下属单位)</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预决算套表（Z01调整预算数、决算数）；实际进度量化计算得分=80%*10=8</w:t>
            </w:r>
          </w:p>
        </w:tc>
        <w:tc>
          <w:tcPr>
            <w:tcW w:w="765" w:type="dxa"/>
            <w:vAlign w:val="center"/>
          </w:tcPr>
          <w:p>
            <w:pPr>
              <w:snapToGrid w:val="0"/>
              <w:spacing w:line="240" w:lineRule="atLeast"/>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跨年实施的项目多</w:t>
            </w: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违规记录</w:t>
            </w:r>
          </w:p>
        </w:tc>
        <w:tc>
          <w:tcPr>
            <w:tcW w:w="435" w:type="dxa"/>
            <w:shd w:val="clear" w:color="auto" w:fill="auto"/>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shd w:val="clear" w:color="auto" w:fill="auto"/>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根据审计监督、财政检查结果反映部门上一年度部门预算管理是否合规。</w:t>
            </w:r>
          </w:p>
        </w:tc>
        <w:tc>
          <w:tcPr>
            <w:tcW w:w="4740" w:type="dxa"/>
            <w:shd w:val="clear" w:color="auto" w:fill="auto"/>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依据上一年度审计监督、财政检查结果，出现部门预算管理方面违纪违规问题的，每个问题扣0.5分，直至扣完。</w:t>
            </w:r>
          </w:p>
        </w:tc>
        <w:tc>
          <w:tcPr>
            <w:tcW w:w="2880" w:type="dxa"/>
            <w:shd w:val="clear" w:color="auto" w:fill="FFFFFF"/>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上一年度的审计监督、财政检查报告</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8" w:type="dxa"/>
            <w:vMerge w:val="restart"/>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绩效结果应用</w:t>
            </w:r>
          </w:p>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（10分）</w:t>
            </w:r>
          </w:p>
          <w:p>
            <w:pPr>
              <w:snapToGrid w:val="0"/>
              <w:spacing w:line="240" w:lineRule="atLeast"/>
              <w:jc w:val="center"/>
              <w:rPr>
                <w:rFonts w:hint="eastAsia" w:ascii="幼圆" w:hAnsi="幼圆" w:eastAsia="幼圆" w:cs="幼圆"/>
                <w:color w:val="auto"/>
                <w:sz w:val="21"/>
                <w:szCs w:val="21"/>
                <w:highlight w:val="none"/>
              </w:rPr>
            </w:pPr>
          </w:p>
        </w:tc>
        <w:tc>
          <w:tcPr>
            <w:tcW w:w="1113" w:type="dxa"/>
            <w:vMerge w:val="restart"/>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信息公开</w:t>
            </w:r>
          </w:p>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（6分）</w:t>
            </w:r>
          </w:p>
        </w:tc>
        <w:tc>
          <w:tcPr>
            <w:tcW w:w="94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目标公开</w:t>
            </w: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3</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评价部门绩效目标是否按要求向社会公开。</w:t>
            </w:r>
          </w:p>
        </w:tc>
        <w:tc>
          <w:tcPr>
            <w:tcW w:w="474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按要求随同预算公开的，得3分。</w:t>
            </w:r>
          </w:p>
        </w:tc>
        <w:tc>
          <w:tcPr>
            <w:tcW w:w="288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人民政府信息公开网—预决算公开栏</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088" w:type="dxa"/>
            <w:vMerge w:val="continue"/>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自评公开</w:t>
            </w: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3</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评价部门是否按要求将部门整体绩效自评情况和自行组织的评价情况向社会公开。</w:t>
            </w:r>
          </w:p>
        </w:tc>
        <w:tc>
          <w:tcPr>
            <w:tcW w:w="474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按要求随同决算公开的，得3分。</w:t>
            </w:r>
          </w:p>
        </w:tc>
        <w:tc>
          <w:tcPr>
            <w:tcW w:w="288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人民政府信息公开网—预决算公开栏</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88" w:type="dxa"/>
            <w:vMerge w:val="continue"/>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restart"/>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整改反馈</w:t>
            </w:r>
          </w:p>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（4分）</w:t>
            </w:r>
          </w:p>
        </w:tc>
        <w:tc>
          <w:tcPr>
            <w:tcW w:w="94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结果整改</w:t>
            </w: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2</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评价部门根据绩效管理结果整改问题、完善政策、改进管理的情况。</w:t>
            </w:r>
          </w:p>
        </w:tc>
        <w:tc>
          <w:tcPr>
            <w:tcW w:w="474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针对绩效管理过程中（包括绩效目标核查、绩效监控核查和重点绩效评价）提出的问题，发现一处未整改的，扣1分，直至扣完。</w:t>
            </w:r>
          </w:p>
        </w:tc>
        <w:tc>
          <w:tcPr>
            <w:tcW w:w="288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结果整改说明、整改报告，现场检查</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vMerge w:val="continue"/>
            <w:vAlign w:val="center"/>
          </w:tcPr>
          <w:p>
            <w:pPr>
              <w:snapToGrid w:val="0"/>
              <w:spacing w:line="240" w:lineRule="atLeast"/>
              <w:jc w:val="center"/>
              <w:rPr>
                <w:rFonts w:hint="eastAsia" w:ascii="幼圆" w:hAnsi="幼圆" w:eastAsia="幼圆" w:cs="幼圆"/>
                <w:color w:val="auto"/>
                <w:sz w:val="21"/>
                <w:szCs w:val="21"/>
                <w:highlight w:val="none"/>
              </w:rPr>
            </w:pPr>
          </w:p>
        </w:tc>
        <w:tc>
          <w:tcPr>
            <w:tcW w:w="1113" w:type="dxa"/>
            <w:vMerge w:val="continue"/>
            <w:vAlign w:val="center"/>
          </w:tcPr>
          <w:p>
            <w:pPr>
              <w:snapToGrid w:val="0"/>
              <w:spacing w:line="240" w:lineRule="atLeast"/>
              <w:jc w:val="center"/>
              <w:rPr>
                <w:rFonts w:hint="eastAsia" w:ascii="幼圆" w:hAnsi="幼圆" w:eastAsia="幼圆" w:cs="幼圆"/>
                <w:color w:val="auto"/>
                <w:sz w:val="21"/>
                <w:szCs w:val="21"/>
                <w:highlight w:val="none"/>
              </w:rPr>
            </w:pPr>
          </w:p>
        </w:tc>
        <w:tc>
          <w:tcPr>
            <w:tcW w:w="94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应用反馈</w:t>
            </w: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2</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评价部门按要求及时向财政部门反馈结果应用情况。</w:t>
            </w:r>
          </w:p>
        </w:tc>
        <w:tc>
          <w:tcPr>
            <w:tcW w:w="474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部门在规定时间内向财政部门反馈应用绩效结果报告的，得满分，否则不得分。</w:t>
            </w:r>
          </w:p>
        </w:tc>
        <w:tc>
          <w:tcPr>
            <w:tcW w:w="288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根据财政部门要求反馈的时间限制。</w:t>
            </w: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088"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自评质量（10分）</w:t>
            </w:r>
          </w:p>
        </w:tc>
        <w:tc>
          <w:tcPr>
            <w:tcW w:w="111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自评质量（10分）</w:t>
            </w:r>
          </w:p>
        </w:tc>
        <w:tc>
          <w:tcPr>
            <w:tcW w:w="943"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bidi="ar"/>
              </w:rPr>
              <w:t>自评准确</w:t>
            </w:r>
            <w:r>
              <w:rPr>
                <w:rFonts w:hint="eastAsia" w:ascii="幼圆" w:hAnsi="幼圆" w:eastAsia="幼圆" w:cs="幼圆"/>
                <w:color w:val="auto"/>
                <w:sz w:val="21"/>
                <w:szCs w:val="21"/>
                <w:highlight w:val="none"/>
                <w:lang w:eastAsia="zh-CN" w:bidi="ar"/>
              </w:rPr>
              <w:t>率</w:t>
            </w: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评价部门整体支出自评准确率。</w:t>
            </w:r>
          </w:p>
        </w:tc>
        <w:tc>
          <w:tcPr>
            <w:tcW w:w="4740" w:type="dxa"/>
            <w:vAlign w:val="center"/>
          </w:tcPr>
          <w:p>
            <w:pPr>
              <w:widowControl w:val="0"/>
              <w:snapToGrid w:val="0"/>
              <w:spacing w:line="240" w:lineRule="atLeast"/>
              <w:textAlignment w:val="center"/>
              <w:rPr>
                <w:rFonts w:hint="eastAsia" w:ascii="幼圆" w:hAnsi="幼圆" w:eastAsia="幼圆" w:cs="幼圆"/>
                <w:color w:val="auto"/>
                <w:sz w:val="21"/>
                <w:szCs w:val="21"/>
                <w:highlight w:val="none"/>
              </w:rPr>
            </w:pPr>
            <w:r>
              <w:rPr>
                <w:rStyle w:val="50"/>
                <w:rFonts w:hint="eastAsia" w:ascii="幼圆" w:hAnsi="幼圆" w:eastAsia="幼圆" w:cs="幼圆"/>
                <w:color w:val="auto"/>
                <w:sz w:val="21"/>
                <w:szCs w:val="21"/>
                <w:highlight w:val="none"/>
                <w:lang w:bidi="ar"/>
              </w:rPr>
              <w:t>部门整体支出自评得分与评价组抽查得分差异在5%以内的，不扣分；在5%-10%之间的，扣4分，在10%-20%的，扣8分，在20%以上的，扣10分。</w:t>
            </w:r>
            <w:r>
              <w:rPr>
                <w:rStyle w:val="51"/>
                <w:rFonts w:hint="eastAsia" w:ascii="幼圆" w:hAnsi="幼圆" w:eastAsia="幼圆" w:cs="幼圆"/>
                <w:color w:val="auto"/>
                <w:sz w:val="21"/>
                <w:szCs w:val="21"/>
                <w:highlight w:val="none"/>
                <w:lang w:bidi="ar"/>
              </w:rPr>
              <w:t>（部门在自评时，此项指标无需打分，部门自评满分为90分）</w:t>
            </w:r>
          </w:p>
        </w:tc>
        <w:tc>
          <w:tcPr>
            <w:tcW w:w="2880" w:type="dxa"/>
            <w:vAlign w:val="center"/>
          </w:tcPr>
          <w:p>
            <w:pPr>
              <w:snapToGrid w:val="0"/>
              <w:spacing w:line="240" w:lineRule="atLeast"/>
              <w:rPr>
                <w:rFonts w:hint="eastAsia" w:ascii="幼圆" w:hAnsi="幼圆" w:eastAsia="幼圆" w:cs="幼圆"/>
                <w:color w:val="auto"/>
                <w:sz w:val="21"/>
                <w:szCs w:val="21"/>
                <w:highlight w:val="none"/>
              </w:rPr>
            </w:pP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eastAsia" w:ascii="幼圆" w:hAnsi="幼圆" w:eastAsia="幼圆" w:cs="幼圆"/>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01" w:type="dxa"/>
            <w:gridSpan w:val="2"/>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自评总分</w:t>
            </w:r>
          </w:p>
        </w:tc>
        <w:tc>
          <w:tcPr>
            <w:tcW w:w="943"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435" w:type="dxa"/>
            <w:vAlign w:val="center"/>
          </w:tcPr>
          <w:p>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90</w:t>
            </w:r>
          </w:p>
        </w:tc>
        <w:tc>
          <w:tcPr>
            <w:tcW w:w="39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660" w:type="dxa"/>
            <w:vAlign w:val="center"/>
          </w:tcPr>
          <w:p>
            <w:pPr>
              <w:snapToGrid w:val="0"/>
              <w:spacing w:line="240" w:lineRule="atLeast"/>
              <w:jc w:val="center"/>
              <w:rPr>
                <w:rFonts w:hint="eastAsia" w:ascii="幼圆" w:hAnsi="幼圆" w:eastAsia="幼圆" w:cs="幼圆"/>
                <w:color w:val="auto"/>
                <w:sz w:val="21"/>
                <w:szCs w:val="21"/>
                <w:highlight w:val="none"/>
              </w:rPr>
            </w:pPr>
          </w:p>
        </w:tc>
        <w:tc>
          <w:tcPr>
            <w:tcW w:w="1266" w:type="dxa"/>
            <w:vAlign w:val="center"/>
          </w:tcPr>
          <w:p>
            <w:pPr>
              <w:snapToGrid w:val="0"/>
              <w:spacing w:line="240" w:lineRule="atLeast"/>
              <w:rPr>
                <w:rFonts w:hint="eastAsia" w:ascii="幼圆" w:hAnsi="幼圆" w:eastAsia="幼圆" w:cs="幼圆"/>
                <w:color w:val="auto"/>
                <w:sz w:val="21"/>
                <w:szCs w:val="21"/>
                <w:highlight w:val="none"/>
              </w:rPr>
            </w:pPr>
          </w:p>
        </w:tc>
        <w:tc>
          <w:tcPr>
            <w:tcW w:w="4740" w:type="dxa"/>
            <w:vAlign w:val="center"/>
          </w:tcPr>
          <w:p>
            <w:pPr>
              <w:snapToGrid w:val="0"/>
              <w:spacing w:line="240" w:lineRule="atLeast"/>
              <w:rPr>
                <w:rFonts w:hint="eastAsia" w:ascii="幼圆" w:hAnsi="幼圆" w:eastAsia="幼圆" w:cs="幼圆"/>
                <w:color w:val="auto"/>
                <w:sz w:val="21"/>
                <w:szCs w:val="21"/>
                <w:highlight w:val="none"/>
              </w:rPr>
            </w:pPr>
          </w:p>
        </w:tc>
        <w:tc>
          <w:tcPr>
            <w:tcW w:w="2880" w:type="dxa"/>
            <w:vAlign w:val="center"/>
          </w:tcPr>
          <w:p>
            <w:pPr>
              <w:snapToGrid w:val="0"/>
              <w:spacing w:line="240" w:lineRule="atLeast"/>
              <w:rPr>
                <w:rFonts w:hint="eastAsia" w:ascii="幼圆" w:hAnsi="幼圆" w:eastAsia="幼圆" w:cs="幼圆"/>
                <w:color w:val="auto"/>
                <w:sz w:val="21"/>
                <w:szCs w:val="21"/>
                <w:highlight w:val="none"/>
              </w:rPr>
            </w:pPr>
          </w:p>
        </w:tc>
        <w:tc>
          <w:tcPr>
            <w:tcW w:w="765" w:type="dxa"/>
            <w:vAlign w:val="center"/>
          </w:tcPr>
          <w:p>
            <w:pPr>
              <w:snapToGrid w:val="0"/>
              <w:spacing w:line="240" w:lineRule="atLeast"/>
              <w:rPr>
                <w:rFonts w:hint="eastAsia" w:ascii="幼圆" w:hAnsi="幼圆" w:eastAsia="幼圆" w:cs="幼圆"/>
                <w:color w:val="auto"/>
                <w:sz w:val="21"/>
                <w:szCs w:val="21"/>
                <w:highlight w:val="none"/>
              </w:rPr>
            </w:pPr>
          </w:p>
        </w:tc>
        <w:tc>
          <w:tcPr>
            <w:tcW w:w="833" w:type="dxa"/>
            <w:vAlign w:val="center"/>
          </w:tcPr>
          <w:p>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81.10</w:t>
            </w:r>
          </w:p>
        </w:tc>
      </w:tr>
    </w:tbl>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keepNext w:val="0"/>
        <w:keepLines w:val="0"/>
        <w:pageBreakBefore w:val="0"/>
        <w:widowControl w:val="0"/>
        <w:kinsoku/>
        <w:overflowPunct/>
        <w:topLinePunct w:val="0"/>
        <w:autoSpaceDE/>
        <w:autoSpaceDN/>
        <w:bidi w:val="0"/>
        <w:adjustRightInd w:val="0"/>
        <w:snapToGrid w:val="0"/>
        <w:spacing w:line="560" w:lineRule="atLeast"/>
        <w:jc w:val="center"/>
        <w:rPr>
          <w:rFonts w:hint="default" w:ascii="Times New Roman" w:hAnsi="Times New Roman" w:eastAsia="方正小标宋简体" w:cs="Times New Roman"/>
          <w:b w:val="0"/>
          <w:bCs w:val="0"/>
          <w:sz w:val="44"/>
          <w:szCs w:val="44"/>
          <w:lang w:eastAsia="zh-CN"/>
        </w:rPr>
        <w:sectPr>
          <w:pgSz w:w="16838" w:h="11905" w:orient="landscape"/>
          <w:pgMar w:top="1587" w:right="2098" w:bottom="1474" w:left="1984" w:header="850" w:footer="1361"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202</w:t>
      </w:r>
      <w:r>
        <w:rPr>
          <w:rFonts w:hint="default" w:ascii="Times New Roman" w:hAnsi="Times New Roman" w:eastAsia="方正小标宋简体" w:cs="Times New Roman"/>
          <w:b/>
          <w:bCs/>
          <w:color w:val="000000" w:themeColor="text1"/>
          <w:kern w:val="0"/>
          <w:sz w:val="44"/>
          <w:szCs w:val="44"/>
          <w:lang w:val="en-US" w:eastAsia="zh-CN"/>
          <w14:textFill>
            <w14:solidFill>
              <w14:schemeClr w14:val="tx1"/>
            </w14:solidFill>
          </w14:textFill>
        </w:rPr>
        <w:t>3</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年</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度中央目标价格补贴—稻谷补贴</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绩效</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自评</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报告</w:t>
      </w:r>
    </w:p>
    <w:p>
      <w:pPr>
        <w:adjustRightInd w:val="0"/>
        <w:snapToGrid w:val="0"/>
        <w:spacing w:beforeLines="0" w:afterLines="0" w:line="578"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beforeLines="0" w:afterLines="0" w:line="578" w:lineRule="exact"/>
        <w:ind w:firstLine="640" w:firstLineChars="200"/>
        <w:outlineLvl w:val="1"/>
        <w:rPr>
          <w:rFonts w:hint="default" w:ascii="Times New Roman" w:hAnsi="Times New Roman" w:eastAsia="黑体" w:cs="Times New Roman"/>
          <w:color w:val="000000" w:themeColor="text1"/>
          <w:sz w:val="32"/>
          <w:szCs w:val="32"/>
          <w:lang w:val="zh-CN"/>
          <w14:textFill>
            <w14:solidFill>
              <w14:schemeClr w14:val="tx1"/>
            </w14:solidFill>
          </w14:textFill>
        </w:rPr>
      </w:pPr>
      <w:bookmarkStart w:id="89" w:name="_Toc2579"/>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黑体" w:cs="Times New Roman"/>
          <w:color w:val="000000" w:themeColor="text1"/>
          <w:sz w:val="32"/>
          <w:szCs w:val="32"/>
          <w:lang w:val="zh-CN"/>
          <w14:textFill>
            <w14:solidFill>
              <w14:schemeClr w14:val="tx1"/>
            </w14:solidFill>
          </w14:textFill>
        </w:rPr>
        <w:t>项目概况</w:t>
      </w:r>
      <w:bookmarkEnd w:id="89"/>
    </w:p>
    <w:p>
      <w:pPr>
        <w:widowControl/>
        <w:numPr>
          <w:ilvl w:val="0"/>
          <w:numId w:val="0"/>
        </w:numPr>
        <w:adjustRightInd w:val="0"/>
        <w:snapToGrid w:val="0"/>
        <w:spacing w:beforeLines="0" w:afterLines="0" w:line="578" w:lineRule="exact"/>
        <w:ind w:firstLine="643" w:firstLineChars="200"/>
        <w:jc w:val="left"/>
        <w:outlineLvl w:val="2"/>
        <w:rPr>
          <w:rFonts w:hint="default" w:ascii="Times New Roman" w:hAnsi="Times New Roman" w:eastAsia="楷体_GB2312" w:cs="Times New Roman"/>
          <w:b/>
          <w:color w:val="000000" w:themeColor="text1"/>
          <w:sz w:val="32"/>
          <w:szCs w:val="32"/>
          <w:lang w:val="zh-CN"/>
          <w14:textFill>
            <w14:solidFill>
              <w14:schemeClr w14:val="tx1"/>
            </w14:solidFill>
          </w14:textFill>
        </w:rPr>
      </w:pPr>
      <w:bookmarkStart w:id="90" w:name="_Toc31087"/>
      <w:r>
        <w:rPr>
          <w:rFonts w:hint="default" w:ascii="Times New Roman" w:hAnsi="Times New Roman" w:eastAsia="楷体_GB2312" w:cs="Times New Roman"/>
          <w:b/>
          <w:color w:val="000000" w:themeColor="text1"/>
          <w:sz w:val="32"/>
          <w:szCs w:val="32"/>
          <w:lang w:val="zh-CN"/>
          <w14:textFill>
            <w14:solidFill>
              <w14:schemeClr w14:val="tx1"/>
            </w14:solidFill>
          </w14:textFill>
        </w:rPr>
        <w:t>（一）设立背景及基本情况。</w:t>
      </w:r>
      <w:bookmarkEnd w:id="9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项目设立原因及背景：</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支持深化稻谷收储制度和价格形成机制改革，增加稻谷最低收购价政策灵活性和弹性，更加有效地发挥市场机制作用，切实保护好种粮农民利益，引导增加绿色优质稻谷供给，适应我区农业高质量发展要求，更好地保障粮食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项目立项、资金申报的依据：</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四川省农业农村厅</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四川省财政厅《关于做好2023年稻谷补贴工作的通知》（川农函〔2023〕</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27号）</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遂宁市财政局</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遂宁市农业农村局《关于下达2023年目标价格补贴（稻谷）的通知》（遂财建〔2023〕79号）</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下达资金75.4363万元、</w:t>
      </w:r>
      <w:r>
        <w:rPr>
          <w:rFonts w:hint="default" w:ascii="Times New Roman" w:hAnsi="Times New Roman" w:eastAsia="仿宋_GB2312" w:cs="Times New Roman"/>
          <w:iCs/>
          <w:kern w:val="2"/>
          <w:sz w:val="32"/>
          <w:szCs w:val="32"/>
          <w:shd w:val="clear" w:color="auto" w:fill="FFFFFF"/>
          <w:lang w:val="en-US" w:eastAsia="zh-CN" w:bidi="ar-SA"/>
        </w:rPr>
        <w:t>遂宁市财政局</w:t>
      </w:r>
      <w:r>
        <w:rPr>
          <w:rFonts w:hint="eastAsia" w:ascii="Times New Roman" w:hAnsi="Times New Roman" w:eastAsia="仿宋_GB2312" w:cs="Times New Roman"/>
          <w:iCs/>
          <w:kern w:val="2"/>
          <w:sz w:val="32"/>
          <w:szCs w:val="32"/>
          <w:shd w:val="clear" w:color="auto" w:fill="FFFFFF"/>
          <w:lang w:val="en-US" w:eastAsia="zh-CN" w:bidi="ar-SA"/>
        </w:rPr>
        <w:t xml:space="preserve"> </w:t>
      </w:r>
      <w:r>
        <w:rPr>
          <w:rFonts w:hint="default" w:ascii="Times New Roman" w:hAnsi="Times New Roman" w:eastAsia="仿宋_GB2312" w:cs="Times New Roman"/>
          <w:iCs/>
          <w:kern w:val="2"/>
          <w:sz w:val="32"/>
          <w:szCs w:val="32"/>
          <w:shd w:val="clear" w:color="auto" w:fill="FFFFFF"/>
          <w:lang w:val="en-US" w:eastAsia="zh-CN" w:bidi="ar-SA"/>
        </w:rPr>
        <w:t>遂宁市农业农村局</w:t>
      </w:r>
      <w:r>
        <w:rPr>
          <w:rFonts w:hint="default" w:ascii="Times New Roman" w:hAnsi="Times New Roman" w:eastAsia="仿宋_GB2312" w:cs="Times New Roman"/>
          <w:iCs/>
          <w:kern w:val="2"/>
          <w:sz w:val="32"/>
          <w:szCs w:val="32"/>
          <w:shd w:val="clear" w:color="auto" w:fill="FFFFFF"/>
          <w:lang w:val="en-US" w:bidi="ar-SA"/>
        </w:rPr>
        <w:t>《关于</w:t>
      </w:r>
      <w:r>
        <w:rPr>
          <w:rFonts w:hint="default" w:ascii="Times New Roman" w:hAnsi="Times New Roman" w:eastAsia="仿宋_GB2312" w:cs="Times New Roman"/>
          <w:iCs/>
          <w:kern w:val="2"/>
          <w:sz w:val="32"/>
          <w:szCs w:val="32"/>
          <w:shd w:val="clear" w:color="auto" w:fill="FFFFFF"/>
          <w:lang w:val="en-US" w:eastAsia="zh-CN" w:bidi="ar-SA"/>
        </w:rPr>
        <w:t>清算</w:t>
      </w:r>
      <w:r>
        <w:rPr>
          <w:rFonts w:hint="default" w:ascii="Times New Roman" w:hAnsi="Times New Roman" w:eastAsia="仿宋_GB2312" w:cs="Times New Roman"/>
          <w:iCs/>
          <w:kern w:val="2"/>
          <w:sz w:val="32"/>
          <w:szCs w:val="32"/>
          <w:shd w:val="clear" w:color="auto" w:fill="FFFFFF"/>
          <w:lang w:val="en-US" w:bidi="ar-SA"/>
        </w:rPr>
        <w:t>下达202</w:t>
      </w:r>
      <w:r>
        <w:rPr>
          <w:rFonts w:hint="default" w:ascii="Times New Roman" w:hAnsi="Times New Roman" w:eastAsia="仿宋_GB2312" w:cs="Times New Roman"/>
          <w:iCs/>
          <w:kern w:val="2"/>
          <w:sz w:val="32"/>
          <w:szCs w:val="32"/>
          <w:shd w:val="clear" w:color="auto" w:fill="FFFFFF"/>
          <w:lang w:val="en-US" w:eastAsia="zh-CN" w:bidi="ar-SA"/>
        </w:rPr>
        <w:t>3</w:t>
      </w:r>
      <w:r>
        <w:rPr>
          <w:rFonts w:hint="default" w:ascii="Times New Roman" w:hAnsi="Times New Roman" w:eastAsia="仿宋_GB2312" w:cs="Times New Roman"/>
          <w:iCs/>
          <w:kern w:val="2"/>
          <w:sz w:val="32"/>
          <w:szCs w:val="32"/>
          <w:shd w:val="clear" w:color="auto" w:fill="FFFFFF"/>
          <w:lang w:val="en-US" w:bidi="ar-SA"/>
        </w:rPr>
        <w:t>年目标价格补贴（稻谷）的通知》（</w:t>
      </w:r>
      <w:r>
        <w:rPr>
          <w:rFonts w:hint="default" w:ascii="Times New Roman" w:hAnsi="Times New Roman" w:eastAsia="仿宋_GB2312" w:cs="Times New Roman"/>
          <w:iCs/>
          <w:kern w:val="2"/>
          <w:sz w:val="32"/>
          <w:szCs w:val="32"/>
          <w:shd w:val="clear" w:color="auto" w:fill="FFFFFF"/>
          <w:lang w:val="en-US" w:eastAsia="zh-CN" w:bidi="ar-SA"/>
        </w:rPr>
        <w:t>遂财建</w:t>
      </w:r>
      <w:r>
        <w:rPr>
          <w:rFonts w:hint="default" w:ascii="Times New Roman" w:hAnsi="Times New Roman" w:eastAsia="仿宋_GB2312" w:cs="Times New Roman"/>
          <w:iCs/>
          <w:kern w:val="2"/>
          <w:sz w:val="32"/>
          <w:szCs w:val="32"/>
          <w:shd w:val="clear" w:color="auto" w:fill="FFFFFF"/>
          <w:lang w:val="en-US" w:bidi="ar-SA"/>
        </w:rPr>
        <w:t>〔202</w:t>
      </w:r>
      <w:r>
        <w:rPr>
          <w:rFonts w:hint="default" w:ascii="Times New Roman" w:hAnsi="Times New Roman" w:eastAsia="仿宋_GB2312" w:cs="Times New Roman"/>
          <w:iCs/>
          <w:kern w:val="2"/>
          <w:sz w:val="32"/>
          <w:szCs w:val="32"/>
          <w:shd w:val="clear" w:color="auto" w:fill="FFFFFF"/>
          <w:lang w:val="en-US" w:eastAsia="zh-CN" w:bidi="ar-SA"/>
        </w:rPr>
        <w:t>3</w:t>
      </w:r>
      <w:r>
        <w:rPr>
          <w:rFonts w:hint="default" w:ascii="Times New Roman" w:hAnsi="Times New Roman" w:eastAsia="仿宋_GB2312" w:cs="Times New Roman"/>
          <w:iCs/>
          <w:kern w:val="2"/>
          <w:sz w:val="32"/>
          <w:szCs w:val="32"/>
          <w:shd w:val="clear" w:color="auto" w:fill="FFFFFF"/>
          <w:lang w:val="en-US" w:bidi="ar-SA"/>
        </w:rPr>
        <w:t>〕</w:t>
      </w:r>
      <w:r>
        <w:rPr>
          <w:rFonts w:hint="default" w:ascii="Times New Roman" w:hAnsi="Times New Roman" w:eastAsia="仿宋_GB2312" w:cs="Times New Roman"/>
          <w:iCs/>
          <w:kern w:val="2"/>
          <w:sz w:val="32"/>
          <w:szCs w:val="32"/>
          <w:shd w:val="clear" w:color="auto" w:fill="FFFFFF"/>
          <w:lang w:val="en-US" w:eastAsia="zh-CN" w:bidi="ar-SA"/>
        </w:rPr>
        <w:t>188</w:t>
      </w:r>
      <w:r>
        <w:rPr>
          <w:rFonts w:hint="default" w:ascii="Times New Roman" w:hAnsi="Times New Roman" w:eastAsia="仿宋_GB2312" w:cs="Times New Roman"/>
          <w:iCs/>
          <w:kern w:val="2"/>
          <w:sz w:val="32"/>
          <w:szCs w:val="32"/>
          <w:shd w:val="clear" w:color="auto" w:fill="FFFFFF"/>
          <w:lang w:val="en-US" w:bidi="ar-SA"/>
        </w:rPr>
        <w:t>号）</w:t>
      </w:r>
      <w:r>
        <w:rPr>
          <w:rFonts w:hint="eastAsia" w:ascii="Times New Roman" w:hAnsi="Times New Roman" w:eastAsia="仿宋_GB2312" w:cs="Times New Roman"/>
          <w:iCs/>
          <w:kern w:val="2"/>
          <w:sz w:val="32"/>
          <w:szCs w:val="32"/>
          <w:shd w:val="clear" w:color="auto" w:fill="FFFFFF"/>
          <w:lang w:val="en-US" w:eastAsia="zh-CN" w:bidi="ar-SA"/>
        </w:rPr>
        <w:t>下达资金6.4980万元</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，2023年稻谷</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补贴项目</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共</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下达资金为</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81.9343万元。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项目主要内容：</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全区行政区划范围内合法耕地（即通过合法程序获得合法经营权）上的稻谷实际生产者（包括农民、种粮大户、家庭农场、农民专业合作社等）。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4.</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主管部门职能：</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船山区</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农业农村局作为项目主管部门</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根据四川省农业农村厅、四川省财政厅《关于做好2023年稻谷补贴工作的通知》（川农函〔2023〕</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27号）</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遂宁市财政局 遂宁市农业农村</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局关于下达</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2023年目标价格补贴（稻谷）的通知》（遂财建〔2023〕79号）；</w:t>
      </w:r>
      <w:r>
        <w:rPr>
          <w:rFonts w:hint="default" w:ascii="Times New Roman" w:hAnsi="Times New Roman" w:eastAsia="仿宋_GB2312" w:cs="Times New Roman"/>
          <w:iCs/>
          <w:kern w:val="2"/>
          <w:sz w:val="32"/>
          <w:szCs w:val="32"/>
          <w:shd w:val="clear" w:color="auto" w:fill="FFFFFF"/>
          <w:lang w:val="en-US" w:eastAsia="zh-CN" w:bidi="ar-SA"/>
        </w:rPr>
        <w:t>遂宁市财政局、遂宁市农业农村局</w:t>
      </w:r>
      <w:r>
        <w:rPr>
          <w:rFonts w:hint="default" w:ascii="Times New Roman" w:hAnsi="Times New Roman" w:eastAsia="仿宋_GB2312" w:cs="Times New Roman"/>
          <w:iCs/>
          <w:kern w:val="2"/>
          <w:sz w:val="32"/>
          <w:szCs w:val="32"/>
          <w:shd w:val="clear" w:color="auto" w:fill="FFFFFF"/>
          <w:lang w:val="en-US" w:bidi="ar-SA"/>
        </w:rPr>
        <w:t>《关于</w:t>
      </w:r>
      <w:r>
        <w:rPr>
          <w:rFonts w:hint="default" w:ascii="Times New Roman" w:hAnsi="Times New Roman" w:eastAsia="仿宋_GB2312" w:cs="Times New Roman"/>
          <w:iCs/>
          <w:kern w:val="2"/>
          <w:sz w:val="32"/>
          <w:szCs w:val="32"/>
          <w:shd w:val="clear" w:color="auto" w:fill="FFFFFF"/>
          <w:lang w:val="en-US" w:eastAsia="zh-CN" w:bidi="ar-SA"/>
        </w:rPr>
        <w:t>清算</w:t>
      </w:r>
      <w:r>
        <w:rPr>
          <w:rFonts w:hint="default" w:ascii="Times New Roman" w:hAnsi="Times New Roman" w:eastAsia="仿宋_GB2312" w:cs="Times New Roman"/>
          <w:iCs/>
          <w:kern w:val="2"/>
          <w:sz w:val="32"/>
          <w:szCs w:val="32"/>
          <w:shd w:val="clear" w:color="auto" w:fill="FFFFFF"/>
          <w:lang w:val="en-US" w:bidi="ar-SA"/>
        </w:rPr>
        <w:t>下达202</w:t>
      </w:r>
      <w:r>
        <w:rPr>
          <w:rFonts w:hint="default" w:ascii="Times New Roman" w:hAnsi="Times New Roman" w:eastAsia="仿宋_GB2312" w:cs="Times New Roman"/>
          <w:iCs/>
          <w:kern w:val="2"/>
          <w:sz w:val="32"/>
          <w:szCs w:val="32"/>
          <w:shd w:val="clear" w:color="auto" w:fill="FFFFFF"/>
          <w:lang w:val="en-US" w:eastAsia="zh-CN" w:bidi="ar-SA"/>
        </w:rPr>
        <w:t>3</w:t>
      </w:r>
      <w:r>
        <w:rPr>
          <w:rFonts w:hint="default" w:ascii="Times New Roman" w:hAnsi="Times New Roman" w:eastAsia="仿宋_GB2312" w:cs="Times New Roman"/>
          <w:iCs/>
          <w:kern w:val="2"/>
          <w:sz w:val="32"/>
          <w:szCs w:val="32"/>
          <w:shd w:val="clear" w:color="auto" w:fill="FFFFFF"/>
          <w:lang w:val="en-US" w:bidi="ar-SA"/>
        </w:rPr>
        <w:t>年目标价格补贴（稻谷）的通知》（</w:t>
      </w:r>
      <w:r>
        <w:rPr>
          <w:rFonts w:hint="default" w:ascii="Times New Roman" w:hAnsi="Times New Roman" w:eastAsia="仿宋_GB2312" w:cs="Times New Roman"/>
          <w:iCs/>
          <w:kern w:val="2"/>
          <w:sz w:val="32"/>
          <w:szCs w:val="32"/>
          <w:shd w:val="clear" w:color="auto" w:fill="FFFFFF"/>
          <w:lang w:val="en-US" w:eastAsia="zh-CN" w:bidi="ar-SA"/>
        </w:rPr>
        <w:t>遂财建</w:t>
      </w:r>
      <w:r>
        <w:rPr>
          <w:rFonts w:hint="default" w:ascii="Times New Roman" w:hAnsi="Times New Roman" w:eastAsia="仿宋_GB2312" w:cs="Times New Roman"/>
          <w:iCs/>
          <w:kern w:val="2"/>
          <w:sz w:val="32"/>
          <w:szCs w:val="32"/>
          <w:shd w:val="clear" w:color="auto" w:fill="FFFFFF"/>
          <w:lang w:val="en-US" w:bidi="ar-SA"/>
        </w:rPr>
        <w:t>〔202</w:t>
      </w:r>
      <w:r>
        <w:rPr>
          <w:rFonts w:hint="default" w:ascii="Times New Roman" w:hAnsi="Times New Roman" w:eastAsia="仿宋_GB2312" w:cs="Times New Roman"/>
          <w:iCs/>
          <w:kern w:val="2"/>
          <w:sz w:val="32"/>
          <w:szCs w:val="32"/>
          <w:shd w:val="clear" w:color="auto" w:fill="FFFFFF"/>
          <w:lang w:val="en-US" w:eastAsia="zh-CN" w:bidi="ar-SA"/>
        </w:rPr>
        <w:t>3</w:t>
      </w:r>
      <w:r>
        <w:rPr>
          <w:rFonts w:hint="default" w:ascii="Times New Roman" w:hAnsi="Times New Roman" w:eastAsia="仿宋_GB2312" w:cs="Times New Roman"/>
          <w:iCs/>
          <w:kern w:val="2"/>
          <w:sz w:val="32"/>
          <w:szCs w:val="32"/>
          <w:shd w:val="clear" w:color="auto" w:fill="FFFFFF"/>
          <w:lang w:val="en-US" w:bidi="ar-SA"/>
        </w:rPr>
        <w:t>〕</w:t>
      </w:r>
      <w:r>
        <w:rPr>
          <w:rFonts w:hint="default" w:ascii="Times New Roman" w:hAnsi="Times New Roman" w:eastAsia="仿宋_GB2312" w:cs="Times New Roman"/>
          <w:iCs/>
          <w:kern w:val="2"/>
          <w:sz w:val="32"/>
          <w:szCs w:val="32"/>
          <w:shd w:val="clear" w:color="auto" w:fill="FFFFFF"/>
          <w:lang w:val="en-US" w:eastAsia="zh-CN" w:bidi="ar-SA"/>
        </w:rPr>
        <w:t>188</w:t>
      </w:r>
      <w:r>
        <w:rPr>
          <w:rFonts w:hint="default" w:ascii="Times New Roman" w:hAnsi="Times New Roman" w:eastAsia="仿宋_GB2312" w:cs="Times New Roman"/>
          <w:iCs/>
          <w:kern w:val="2"/>
          <w:sz w:val="32"/>
          <w:szCs w:val="32"/>
          <w:shd w:val="clear" w:color="auto" w:fill="FFFFFF"/>
          <w:lang w:val="en-US" w:bidi="ar-SA"/>
        </w:rPr>
        <w:t>号）</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文件，制定了《遂宁市船山区2023年稻谷补贴实施方案》。</w:t>
      </w:r>
    </w:p>
    <w:p>
      <w:pPr>
        <w:adjustRightInd w:val="0"/>
        <w:snapToGrid w:val="0"/>
        <w:spacing w:beforeLines="0" w:afterLines="0" w:line="578" w:lineRule="exact"/>
        <w:ind w:firstLine="640" w:firstLineChars="200"/>
        <w:outlineLvl w:val="2"/>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pPr>
      <w:bookmarkStart w:id="91" w:name="_Toc8233"/>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（二）实施目的及支持方向。</w:t>
      </w:r>
      <w:bookmarkEnd w:id="91"/>
    </w:p>
    <w:p>
      <w:pPr>
        <w:pStyle w:val="56"/>
        <w:shd w:val="clear" w:color="auto" w:fill="auto"/>
        <w:spacing w:before="0" w:after="0" w:line="600" w:lineRule="exact"/>
        <w:ind w:firstLine="640" w:firstLineChars="200"/>
        <w:jc w:val="both"/>
        <w:rPr>
          <w:rFonts w:hint="default"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项目资金管理办法制定情况</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稻谷补贴资金发放要做到补贴标准明确，补贴面积准确，补贴对象无异议，操作流程规范、实施过程透明，自觉接受社会有关方面的监督。切实加强组织实施，充分利用已有渠道、人员机构等工作基础，确保补贴及时、足额、准确兑付。</w:t>
      </w:r>
    </w:p>
    <w:p>
      <w:pPr>
        <w:pStyle w:val="56"/>
        <w:shd w:val="clear" w:color="auto" w:fill="auto"/>
        <w:spacing w:before="0" w:after="0"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2.</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项目实施目的和主要工作任务</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zh-CN" w:eastAsia="zh-CN" w:bidi="ar-SA"/>
          <w14:textFill>
            <w14:solidFill>
              <w14:schemeClr w14:val="tx1"/>
            </w14:solidFill>
          </w14:textFill>
        </w:rPr>
        <w:t>：</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bidi="ar-SA"/>
          <w14:textFill>
            <w14:solidFill>
              <w14:schemeClr w14:val="tx1"/>
            </w14:solidFill>
          </w14:textFill>
        </w:rPr>
        <w:t>该补贴以水稻生产者当年在合法耕地上实际播种的稻谷种植面积为依据，不包括在国家和省已明确退耕的土地、未经批准</w:t>
      </w:r>
      <w:r>
        <w:rPr>
          <w:rFonts w:ascii="Times New Roman" w:hAnsi="Times New Roman" w:eastAsia="仿宋_GB2312" w:cs="Times New Roman"/>
          <w:sz w:val="32"/>
          <w:szCs w:val="32"/>
          <w:lang w:val="en-US"/>
        </w:rPr>
        <w:t>开垦的土地或禁止开垦的土地上的稻谷种植面积，不包括已被政府征用并获得补偿、暂时未能开发使用的耕地上的稻谷种植面积等。</w:t>
      </w:r>
    </w:p>
    <w:p>
      <w:pPr>
        <w:adjustRightInd w:val="0"/>
        <w:snapToGrid w:val="0"/>
        <w:spacing w:beforeLines="0" w:afterLines="0" w:line="578" w:lineRule="exact"/>
        <w:ind w:firstLine="640" w:firstLineChars="200"/>
        <w:rPr>
          <w:rFonts w:hint="default" w:ascii="Times New Roman" w:hAnsi="Times New Roman" w:eastAsia="仿宋_GB2312" w:cs="Times New Roman"/>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u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项目支持方向</w:t>
      </w:r>
      <w:r>
        <w:rPr>
          <w:rFonts w:hint="eastAsia"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u w:val="none"/>
          <w:shd w:val="clear" w:color="auto" w:fill="FFFFFF"/>
          <w:lang w:val="en-US" w:eastAsia="zh-CN"/>
          <w14:textFill>
            <w14:solidFill>
              <w14:schemeClr w14:val="tx1"/>
            </w14:solidFill>
          </w14:textFill>
        </w:rPr>
        <w:t>支持深化稻谷收储制度和价格形成机制改革，保障农民种粮收益基本稳定。</w:t>
      </w:r>
    </w:p>
    <w:p>
      <w:pPr>
        <w:widowControl/>
        <w:numPr>
          <w:ilvl w:val="0"/>
          <w:numId w:val="0"/>
        </w:numPr>
        <w:adjustRightInd w:val="0"/>
        <w:snapToGrid w:val="0"/>
        <w:spacing w:beforeLines="0" w:afterLines="0" w:line="578" w:lineRule="exact"/>
        <w:ind w:firstLine="643" w:firstLineChars="200"/>
        <w:jc w:val="left"/>
        <w:outlineLvl w:val="2"/>
        <w:rPr>
          <w:rFonts w:hint="default" w:ascii="Times New Roman" w:hAnsi="Times New Roman" w:eastAsia="楷体_GB2312" w:cs="Times New Roman"/>
          <w:b/>
          <w:color w:val="000000" w:themeColor="text1"/>
          <w:sz w:val="32"/>
          <w:szCs w:val="32"/>
          <w:lang w:val="zh-CN"/>
          <w14:textFill>
            <w14:solidFill>
              <w14:schemeClr w14:val="tx1"/>
            </w14:solidFill>
          </w14:textFill>
        </w:rPr>
      </w:pPr>
      <w:bookmarkStart w:id="92" w:name="_Toc26176"/>
      <w:r>
        <w:rPr>
          <w:rFonts w:hint="default" w:ascii="Times New Roman" w:hAnsi="Times New Roman" w:eastAsia="楷体_GB2312" w:cs="Times New Roman"/>
          <w:b/>
          <w:color w:val="000000" w:themeColor="text1"/>
          <w:sz w:val="32"/>
          <w:szCs w:val="32"/>
          <w:lang w:val="zh-CN"/>
          <w14:textFill>
            <w14:solidFill>
              <w14:schemeClr w14:val="tx1"/>
            </w14:solidFill>
          </w14:textFill>
        </w:rPr>
        <w:t>（三）</w:t>
      </w:r>
      <w:r>
        <w:rPr>
          <w:rFonts w:hint="default" w:ascii="Times New Roman" w:hAnsi="Times New Roman" w:eastAsia="楷体_GB2312" w:cs="Times New Roman"/>
          <w:b/>
          <w:color w:val="000000" w:themeColor="text1"/>
          <w:sz w:val="32"/>
          <w:szCs w:val="32"/>
          <w14:textFill>
            <w14:solidFill>
              <w14:schemeClr w14:val="tx1"/>
            </w14:solidFill>
          </w14:textFill>
        </w:rPr>
        <w:t>预算安排及分配管理</w:t>
      </w:r>
      <w:r>
        <w:rPr>
          <w:rFonts w:hint="default" w:ascii="Times New Roman" w:hAnsi="Times New Roman" w:eastAsia="楷体_GB2312" w:cs="Times New Roman"/>
          <w:b/>
          <w:color w:val="000000" w:themeColor="text1"/>
          <w:sz w:val="32"/>
          <w:szCs w:val="32"/>
          <w:lang w:val="zh-CN"/>
          <w14:textFill>
            <w14:solidFill>
              <w14:schemeClr w14:val="tx1"/>
            </w14:solidFill>
          </w14:textFill>
        </w:rPr>
        <w:t>。</w:t>
      </w:r>
      <w:bookmarkEnd w:id="92"/>
    </w:p>
    <w:p>
      <w:pPr>
        <w:adjustRightInd w:val="0"/>
        <w:snapToGrid w:val="0"/>
        <w:spacing w:line="540" w:lineRule="exact"/>
        <w:ind w:firstLine="640" w:firstLineChars="200"/>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14:textFill>
            <w14:solidFill>
              <w14:schemeClr w14:val="tx1"/>
            </w14:solidFill>
          </w14:textFill>
        </w:rPr>
        <w:t>项</w:t>
      </w:r>
      <w:r>
        <w:rPr>
          <w:rFonts w:hint="default" w:ascii="Times New Roman" w:hAnsi="Times New Roman" w:eastAsia="仿宋_GB2312" w:cs="Times New Roman"/>
          <w:kern w:val="2"/>
          <w:sz w:val="32"/>
          <w:szCs w:val="32"/>
          <w:lang w:val="zh-CN" w:eastAsia="zh-CN" w:bidi="ar-SA"/>
        </w:rPr>
        <w:t>目预算安排情况</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2023年稻谷补贴项目</w:t>
      </w:r>
      <w:r>
        <w:rPr>
          <w:rFonts w:hint="eastAsia" w:ascii="Times New Roman" w:hAnsi="Times New Roman" w:eastAsia="仿宋_GB2312" w:cs="Times New Roman"/>
          <w:kern w:val="2"/>
          <w:sz w:val="32"/>
          <w:szCs w:val="32"/>
          <w:lang w:val="en-US" w:eastAsia="zh-CN" w:bidi="ar-SA"/>
        </w:rPr>
        <w:t>共</w:t>
      </w:r>
      <w:r>
        <w:rPr>
          <w:rFonts w:hint="default" w:ascii="Times New Roman" w:hAnsi="Times New Roman" w:eastAsia="仿宋_GB2312" w:cs="Times New Roman"/>
          <w:kern w:val="2"/>
          <w:sz w:val="32"/>
          <w:szCs w:val="32"/>
          <w:lang w:val="en-US" w:eastAsia="zh-CN" w:bidi="ar-SA"/>
        </w:rPr>
        <w:t>下达资金为</w:t>
      </w:r>
      <w:r>
        <w:rPr>
          <w:rFonts w:hint="eastAsia" w:ascii="Times New Roman" w:hAnsi="Times New Roman" w:eastAsia="仿宋_GB2312" w:cs="Times New Roman"/>
          <w:kern w:val="2"/>
          <w:sz w:val="32"/>
          <w:szCs w:val="32"/>
          <w:lang w:val="en-US" w:eastAsia="zh-CN" w:bidi="ar-SA"/>
        </w:rPr>
        <w:t>81.9343</w:t>
      </w:r>
      <w:r>
        <w:rPr>
          <w:rFonts w:hint="default" w:ascii="Times New Roman" w:hAnsi="Times New Roman" w:eastAsia="仿宋_GB2312" w:cs="Times New Roman"/>
          <w:kern w:val="2"/>
          <w:sz w:val="32"/>
          <w:szCs w:val="32"/>
          <w:lang w:val="en-US" w:eastAsia="zh-CN" w:bidi="ar-SA"/>
        </w:rPr>
        <w:t>万元。202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年稻谷补贴</w:t>
      </w:r>
      <w:r>
        <w:rPr>
          <w:rFonts w:hint="eastAsia" w:ascii="Times New Roman" w:hAnsi="Times New Roman" w:eastAsia="仿宋_GB2312" w:cs="Times New Roman"/>
          <w:kern w:val="2"/>
          <w:sz w:val="32"/>
          <w:szCs w:val="32"/>
          <w:lang w:val="en-US" w:eastAsia="zh-CN" w:bidi="ar-SA"/>
        </w:rPr>
        <w:t>应</w:t>
      </w:r>
      <w:r>
        <w:rPr>
          <w:rFonts w:hint="default" w:ascii="Times New Roman" w:hAnsi="Times New Roman" w:eastAsia="仿宋_GB2312" w:cs="Times New Roman"/>
          <w:kern w:val="2"/>
          <w:sz w:val="32"/>
          <w:szCs w:val="32"/>
          <w:lang w:val="en-US" w:eastAsia="zh-CN" w:bidi="ar-SA"/>
        </w:rPr>
        <w:t>享受补贴农户</w:t>
      </w:r>
      <w:r>
        <w:rPr>
          <w:rFonts w:hint="eastAsia" w:ascii="Times New Roman" w:hAnsi="Times New Roman" w:eastAsia="仿宋_GB2312" w:cs="Times New Roman"/>
          <w:kern w:val="2"/>
          <w:sz w:val="32"/>
          <w:szCs w:val="32"/>
          <w:lang w:val="en-US" w:eastAsia="zh-CN" w:bidi="ar-SA"/>
        </w:rPr>
        <w:t>2211</w:t>
      </w:r>
      <w:r>
        <w:rPr>
          <w:rFonts w:hint="default" w:ascii="Times New Roman" w:hAnsi="Times New Roman" w:eastAsia="仿宋_GB2312" w:cs="Times New Roman"/>
          <w:kern w:val="2"/>
          <w:sz w:val="32"/>
          <w:szCs w:val="32"/>
          <w:lang w:val="en-US" w:eastAsia="zh-CN" w:bidi="ar-SA"/>
        </w:rPr>
        <w:t>户，应补贴面积</w:t>
      </w:r>
      <w:r>
        <w:rPr>
          <w:rFonts w:hint="eastAsia" w:ascii="Times New Roman" w:hAnsi="Times New Roman" w:eastAsia="仿宋_GB2312" w:cs="Times New Roman"/>
          <w:kern w:val="2"/>
          <w:sz w:val="32"/>
          <w:szCs w:val="32"/>
          <w:lang w:val="en-US" w:eastAsia="zh-CN" w:bidi="ar-SA"/>
        </w:rPr>
        <w:t>9921.59</w:t>
      </w:r>
      <w:r>
        <w:rPr>
          <w:rFonts w:hint="default" w:ascii="Times New Roman" w:hAnsi="Times New Roman" w:eastAsia="仿宋_GB2312" w:cs="Times New Roman"/>
          <w:kern w:val="2"/>
          <w:sz w:val="32"/>
          <w:szCs w:val="32"/>
          <w:lang w:val="en-US" w:eastAsia="zh-CN" w:bidi="ar-SA"/>
        </w:rPr>
        <w:t>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平均每亩补贴</w:t>
      </w:r>
      <w:r>
        <w:rPr>
          <w:rFonts w:hint="eastAsia" w:ascii="Times New Roman" w:hAnsi="Times New Roman" w:eastAsia="仿宋_GB2312" w:cs="Times New Roman"/>
          <w:kern w:val="2"/>
          <w:sz w:val="32"/>
          <w:szCs w:val="32"/>
          <w:lang w:val="en-US" w:eastAsia="zh-CN" w:bidi="ar-SA"/>
        </w:rPr>
        <w:t>82.58</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eastAsia="仿宋_GB2312" w:cs="Times New Roman"/>
          <w:kern w:val="2"/>
          <w:sz w:val="32"/>
          <w:szCs w:val="32"/>
          <w:lang w:val="en-US" w:eastAsia="zh-CN" w:bidi="ar-SA"/>
        </w:rPr>
        <w:t>/亩，按总金额/总面积，正常结余21.89元。</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项目资金分配原则及考虑因素</w:t>
      </w:r>
      <w:r>
        <w:rPr>
          <w:rFonts w:hint="eastAsia" w:ascii="Times New Roman" w:hAnsi="Times New Roman" w:eastAsia="仿宋_GB2312" w:cs="Times New Roman"/>
          <w:kern w:val="2"/>
          <w:sz w:val="32"/>
          <w:szCs w:val="32"/>
          <w:lang w:val="zh-CN" w:eastAsia="zh-CN" w:bidi="ar-SA"/>
        </w:rPr>
        <w:t>：遵循</w:t>
      </w:r>
      <w:r>
        <w:rPr>
          <w:rFonts w:hint="eastAsia" w:ascii="Times New Roman" w:hAnsi="Times New Roman" w:eastAsia="仿宋_GB2312" w:cs="Times New Roman"/>
          <w:kern w:val="2"/>
          <w:sz w:val="32"/>
          <w:szCs w:val="32"/>
          <w:lang w:val="en-US" w:eastAsia="zh-CN" w:bidi="ar-SA"/>
        </w:rPr>
        <w:t>公开、透明</w:t>
      </w:r>
      <w:r>
        <w:rPr>
          <w:rFonts w:hint="eastAsia" w:ascii="Times New Roman" w:hAnsi="Times New Roman" w:eastAsia="仿宋_GB2312" w:cs="Times New Roman"/>
          <w:kern w:val="2"/>
          <w:sz w:val="32"/>
          <w:szCs w:val="32"/>
          <w:lang w:val="zh-CN" w:eastAsia="zh-CN" w:bidi="ar-SA"/>
        </w:rPr>
        <w:t>、公正、效率的原则，重点考虑</w:t>
      </w:r>
      <w:r>
        <w:rPr>
          <w:rFonts w:hint="eastAsia" w:ascii="Times New Roman" w:hAnsi="Times New Roman" w:eastAsia="仿宋_GB2312" w:cs="Times New Roman"/>
          <w:kern w:val="2"/>
          <w:sz w:val="32"/>
          <w:szCs w:val="32"/>
          <w:lang w:val="en-US" w:eastAsia="zh-CN" w:bidi="ar-SA"/>
        </w:rPr>
        <w:t>项目目的的</w:t>
      </w:r>
      <w:r>
        <w:rPr>
          <w:rFonts w:hint="eastAsia" w:ascii="Times New Roman" w:hAnsi="Times New Roman" w:eastAsia="仿宋_GB2312" w:cs="Times New Roman"/>
          <w:kern w:val="2"/>
          <w:sz w:val="32"/>
          <w:szCs w:val="32"/>
          <w:lang w:val="zh-CN" w:eastAsia="zh-CN" w:bidi="ar-SA"/>
        </w:rPr>
        <w:t>完成性。</w:t>
      </w:r>
    </w:p>
    <w:p>
      <w:pPr>
        <w:widowControl/>
        <w:numPr>
          <w:ilvl w:val="0"/>
          <w:numId w:val="0"/>
        </w:numPr>
        <w:adjustRightInd w:val="0"/>
        <w:snapToGrid w:val="0"/>
        <w:spacing w:beforeLines="0" w:afterLines="0" w:line="578" w:lineRule="exact"/>
        <w:ind w:firstLine="640" w:firstLineChars="200"/>
        <w:jc w:val="left"/>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kern w:val="0"/>
          <w:sz w:val="32"/>
          <w:szCs w:val="32"/>
          <w:highlight w:val="none"/>
          <w:u w:val="none"/>
          <w:shd w:val="clear" w:color="auto" w:fill="FFFFFF"/>
          <w:lang w:val="zh-CN" w:eastAsia="zh-CN"/>
          <w14:textFill>
            <w14:solidFill>
              <w14:schemeClr w14:val="tx1"/>
            </w14:solidFill>
          </w14:textFill>
        </w:rPr>
        <w:t>项目资金分配情况</w:t>
      </w:r>
      <w:r>
        <w:rPr>
          <w:rFonts w:hint="eastAsia" w:ascii="Times New Roman" w:hAnsi="Times New Roman" w:eastAsia="仿宋_GB2312" w:cs="Times New Roman"/>
          <w:b w:val="0"/>
          <w:bCs/>
          <w:color w:val="000000" w:themeColor="text1"/>
          <w:kern w:val="0"/>
          <w:sz w:val="32"/>
          <w:szCs w:val="32"/>
          <w:highlight w:val="none"/>
          <w:u w:val="none"/>
          <w:shd w:val="clear" w:color="auto" w:fill="FFFFFF"/>
          <w:lang w:val="zh-CN" w:eastAsia="zh-CN"/>
          <w14:textFill>
            <w14:solidFill>
              <w14:schemeClr w14:val="tx1"/>
            </w14:solidFill>
          </w14:textFill>
        </w:rPr>
        <w:t>：</w:t>
      </w:r>
    </w:p>
    <w:tbl>
      <w:tblPr>
        <w:tblStyle w:val="20"/>
        <w:tblW w:w="93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8"/>
        <w:gridCol w:w="1178"/>
        <w:gridCol w:w="1136"/>
        <w:gridCol w:w="1515"/>
        <w:gridCol w:w="1500"/>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乡镇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所含村</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总户数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补贴面积</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补贴标准</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（元/亩）</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永兴镇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1157.3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95569.57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仁里镇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408.4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33725.61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龙凤镇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1331.15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109924.75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桂花镇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2074.93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171346.83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老池镇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2211.15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182595.98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河沙镇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2618.96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216273.66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唐家乡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9884.71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fldChar w:fldCharType="begin"/>
            </w:r>
            <w:r>
              <w:rPr>
                <w:rFonts w:hint="eastAsia" w:ascii="仿宋" w:hAnsi="仿宋" w:eastAsia="仿宋" w:cs="仿宋"/>
                <w:i w:val="0"/>
                <w:iCs w:val="0"/>
                <w:color w:val="000000"/>
                <w:kern w:val="0"/>
                <w:sz w:val="28"/>
                <w:szCs w:val="28"/>
                <w:u w:val="none"/>
                <w:lang w:val="en-US" w:eastAsia="zh-CN" w:bidi="ar"/>
              </w:rPr>
              <w:instrText xml:space="preserve"> = sum(B2:B8) \* MERGEFORMAT </w:instrText>
            </w:r>
            <w:r>
              <w:rPr>
                <w:rFonts w:hint="eastAsia" w:ascii="仿宋" w:hAnsi="仿宋" w:eastAsia="仿宋" w:cs="仿宋"/>
                <w:i w:val="0"/>
                <w:iCs w:val="0"/>
                <w:color w:val="000000"/>
                <w:kern w:val="0"/>
                <w:sz w:val="28"/>
                <w:szCs w:val="28"/>
                <w:u w:val="none"/>
                <w:lang w:val="en-US" w:eastAsia="zh-CN" w:bidi="ar"/>
              </w:rPr>
              <w:fldChar w:fldCharType="separate"/>
            </w:r>
            <w:r>
              <w:rPr>
                <w:rFonts w:hint="eastAsia" w:ascii="仿宋" w:hAnsi="仿宋" w:eastAsia="仿宋" w:cs="仿宋"/>
                <w:i w:val="0"/>
                <w:iCs w:val="0"/>
                <w:color w:val="000000"/>
                <w:kern w:val="0"/>
                <w:sz w:val="28"/>
                <w:szCs w:val="28"/>
                <w:u w:val="none"/>
                <w:lang w:val="en-US" w:eastAsia="zh-CN" w:bidi="ar"/>
              </w:rPr>
              <w:t>64</w:t>
            </w:r>
            <w:r>
              <w:rPr>
                <w:rFonts w:hint="eastAsia" w:ascii="仿宋" w:hAnsi="仿宋" w:eastAsia="仿宋" w:cs="仿宋"/>
                <w:i w:val="0"/>
                <w:iCs w:val="0"/>
                <w:color w:val="000000"/>
                <w:kern w:val="0"/>
                <w:sz w:val="28"/>
                <w:szCs w:val="28"/>
                <w:u w:val="none"/>
                <w:lang w:val="en-US" w:eastAsia="zh-CN" w:bidi="ar"/>
              </w:rPr>
              <w:fldChar w:fldCharType="end"/>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fldChar w:fldCharType="begin"/>
            </w:r>
            <w:r>
              <w:rPr>
                <w:rFonts w:hint="eastAsia" w:ascii="仿宋" w:hAnsi="仿宋" w:eastAsia="仿宋" w:cs="仿宋"/>
                <w:i w:val="0"/>
                <w:iCs w:val="0"/>
                <w:color w:val="000000"/>
                <w:kern w:val="0"/>
                <w:sz w:val="28"/>
                <w:szCs w:val="28"/>
                <w:u w:val="none"/>
                <w:lang w:val="en-US" w:eastAsia="zh-CN" w:bidi="ar"/>
              </w:rPr>
              <w:instrText xml:space="preserve"> = sum(C2:C8) \* MERGEFORMAT </w:instrText>
            </w:r>
            <w:r>
              <w:rPr>
                <w:rFonts w:hint="eastAsia" w:ascii="仿宋" w:hAnsi="仿宋" w:eastAsia="仿宋" w:cs="仿宋"/>
                <w:i w:val="0"/>
                <w:iCs w:val="0"/>
                <w:color w:val="000000"/>
                <w:kern w:val="0"/>
                <w:sz w:val="28"/>
                <w:szCs w:val="28"/>
                <w:u w:val="none"/>
                <w:lang w:val="en-US" w:eastAsia="zh-CN" w:bidi="ar"/>
              </w:rPr>
              <w:fldChar w:fldCharType="separate"/>
            </w:r>
            <w:r>
              <w:rPr>
                <w:rFonts w:hint="eastAsia" w:ascii="仿宋" w:hAnsi="仿宋" w:eastAsia="仿宋" w:cs="仿宋"/>
                <w:i w:val="0"/>
                <w:iCs w:val="0"/>
                <w:color w:val="000000"/>
                <w:kern w:val="0"/>
                <w:sz w:val="28"/>
                <w:szCs w:val="28"/>
                <w:u w:val="none"/>
                <w:lang w:val="en-US" w:eastAsia="zh-CN" w:bidi="ar"/>
              </w:rPr>
              <w:t>2211</w:t>
            </w:r>
            <w:r>
              <w:rPr>
                <w:rFonts w:hint="eastAsia" w:ascii="仿宋" w:hAnsi="仿宋" w:eastAsia="仿宋" w:cs="仿宋"/>
                <w:i w:val="0"/>
                <w:iCs w:val="0"/>
                <w:color w:val="000000"/>
                <w:kern w:val="0"/>
                <w:sz w:val="28"/>
                <w:szCs w:val="28"/>
                <w:u w:val="none"/>
                <w:lang w:val="en-US" w:eastAsia="zh-CN" w:bidi="ar"/>
              </w:rPr>
              <w:fldChar w:fldCharType="end"/>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fldChar w:fldCharType="begin"/>
            </w:r>
            <w:r>
              <w:rPr>
                <w:rFonts w:hint="eastAsia" w:ascii="仿宋" w:hAnsi="仿宋" w:eastAsia="仿宋" w:cs="仿宋"/>
                <w:i w:val="0"/>
                <w:iCs w:val="0"/>
                <w:color w:val="000000"/>
                <w:kern w:val="0"/>
                <w:sz w:val="28"/>
                <w:szCs w:val="28"/>
                <w:u w:val="none"/>
                <w:lang w:val="en-US" w:eastAsia="zh-CN" w:bidi="ar"/>
              </w:rPr>
              <w:instrText xml:space="preserve"> = sum(D2:D8) \* MERGEFORMAT </w:instrText>
            </w:r>
            <w:r>
              <w:rPr>
                <w:rFonts w:hint="eastAsia" w:ascii="仿宋" w:hAnsi="仿宋" w:eastAsia="仿宋" w:cs="仿宋"/>
                <w:i w:val="0"/>
                <w:iCs w:val="0"/>
                <w:color w:val="000000"/>
                <w:kern w:val="0"/>
                <w:sz w:val="28"/>
                <w:szCs w:val="28"/>
                <w:u w:val="none"/>
                <w:lang w:val="en-US" w:eastAsia="zh-CN" w:bidi="ar"/>
              </w:rPr>
              <w:fldChar w:fldCharType="separate"/>
            </w:r>
            <w:r>
              <w:rPr>
                <w:rFonts w:hint="eastAsia" w:ascii="仿宋" w:hAnsi="仿宋" w:eastAsia="仿宋" w:cs="仿宋"/>
                <w:i w:val="0"/>
                <w:iCs w:val="0"/>
                <w:color w:val="000000"/>
                <w:kern w:val="0"/>
                <w:sz w:val="28"/>
                <w:szCs w:val="28"/>
                <w:u w:val="none"/>
                <w:lang w:val="en-US" w:eastAsia="zh-CN" w:bidi="ar"/>
              </w:rPr>
              <w:t>9921.59</w:t>
            </w:r>
            <w:r>
              <w:rPr>
                <w:rFonts w:hint="eastAsia" w:ascii="仿宋" w:hAnsi="仿宋" w:eastAsia="仿宋" w:cs="仿宋"/>
                <w:i w:val="0"/>
                <w:iCs w:val="0"/>
                <w:color w:val="000000"/>
                <w:kern w:val="0"/>
                <w:sz w:val="28"/>
                <w:szCs w:val="28"/>
                <w:u w:val="none"/>
                <w:lang w:val="en-US" w:eastAsia="zh-CN" w:bidi="ar"/>
              </w:rPr>
              <w:fldChar w:fldCharType="end"/>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82.58</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819321.11</w:t>
            </w:r>
          </w:p>
        </w:tc>
      </w:tr>
    </w:tbl>
    <w:p>
      <w:pPr>
        <w:widowControl/>
        <w:numPr>
          <w:ilvl w:val="0"/>
          <w:numId w:val="0"/>
        </w:numPr>
        <w:adjustRightInd w:val="0"/>
        <w:snapToGrid w:val="0"/>
        <w:spacing w:beforeLines="0" w:afterLines="0" w:line="578" w:lineRule="exact"/>
        <w:ind w:firstLine="560" w:firstLineChars="200"/>
        <w:jc w:val="left"/>
        <w:rPr>
          <w:rFonts w:hint="default" w:ascii="Times New Roman" w:hAnsi="Times New Roman" w:eastAsia="仿宋_GB2312" w:cs="Times New Roman"/>
          <w:b w:val="0"/>
          <w:bCs/>
          <w:color w:val="000000" w:themeColor="text1"/>
          <w:kern w:val="0"/>
          <w:sz w:val="28"/>
          <w:szCs w:val="28"/>
          <w:highlight w:val="none"/>
          <w:u w:val="none"/>
          <w:shd w:val="clear" w:color="auto" w:fill="FFFFFF"/>
          <w:lang w:val="zh-CN" w:eastAsia="zh-CN"/>
          <w14:textFill>
            <w14:solidFill>
              <w14:schemeClr w14:val="tx1"/>
            </w14:solidFill>
          </w14:textFill>
        </w:rPr>
      </w:pPr>
    </w:p>
    <w:p>
      <w:pPr>
        <w:numPr>
          <w:ilvl w:val="0"/>
          <w:numId w:val="6"/>
        </w:numPr>
        <w:adjustRightInd w:val="0"/>
        <w:snapToGrid w:val="0"/>
        <w:spacing w:beforeLines="0" w:afterLines="0" w:line="578" w:lineRule="exact"/>
        <w:ind w:firstLine="643" w:firstLineChars="200"/>
        <w:outlineLvl w:val="2"/>
        <w:rPr>
          <w:rFonts w:hint="default" w:ascii="Times New Roman" w:hAnsi="Times New Roman" w:eastAsia="楷体_GB2312" w:cs="Times New Roman"/>
          <w:b/>
          <w:color w:val="000000" w:themeColor="text1"/>
          <w:sz w:val="32"/>
          <w:szCs w:val="32"/>
          <w:lang w:val="zh-CN"/>
          <w14:textFill>
            <w14:solidFill>
              <w14:schemeClr w14:val="tx1"/>
            </w14:solidFill>
          </w14:textFill>
        </w:rPr>
      </w:pPr>
      <w:bookmarkStart w:id="93" w:name="_Toc23325"/>
      <w:r>
        <w:rPr>
          <w:rFonts w:hint="default" w:ascii="Times New Roman" w:hAnsi="Times New Roman" w:eastAsia="楷体_GB2312" w:cs="Times New Roman"/>
          <w:b/>
          <w:color w:val="000000" w:themeColor="text1"/>
          <w:sz w:val="32"/>
          <w:szCs w:val="32"/>
          <w:lang w:val="zh-CN"/>
          <w14:textFill>
            <w14:solidFill>
              <w14:schemeClr w14:val="tx1"/>
            </w14:solidFill>
          </w14:textFill>
        </w:rPr>
        <w:t>项目绩效目标设置。</w:t>
      </w:r>
      <w:bookmarkEnd w:id="9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项目整体、区域：</w:t>
      </w: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稻谷</w:t>
      </w:r>
      <w:r>
        <w:rPr>
          <w:rFonts w:hint="eastAsia" w:ascii="仿宋" w:hAnsi="仿宋" w:eastAsia="仿宋" w:cs="仿宋"/>
          <w:sz w:val="32"/>
          <w:szCs w:val="32"/>
          <w:lang w:val="en-US" w:eastAsia="zh-CN"/>
        </w:rPr>
        <w:t>补贴整体、区域为：老池镇、仁里镇、龙凤镇、桂花镇、永兴镇、河沙镇、唐家乡共7个乡镇。</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2.</w:t>
      </w: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具体绩效目标设置情况：</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）数量指标：补贴资金用于稻谷相关支出的比例</w:t>
      </w: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 xml:space="preserve"> 100%</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（2）质量指标：是否建立部门间协调机制 是</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（3）质量指标：建立稻谷目标价格补贴的补贴公示等制度落实率 100%</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（4）时效指标：及时制定符合当地实际的补贴实施方案 是 100%</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（5）时效指标：及时兑付补贴资金 100%</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(6)经济效益指标：保障优势产区稻谷种植收益   基本稳定</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(7)社会效益指标:2023 年绿色优质稻谷种植面积 高于去年</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（8）社会效益指标:2023年稻谷种植面积与上年比较 基本稳定</w:t>
      </w:r>
    </w:p>
    <w:p>
      <w:pPr>
        <w:numPr>
          <w:ilvl w:val="0"/>
          <w:numId w:val="0"/>
        </w:numPr>
        <w:adjustRightInd w:val="0"/>
        <w:snapToGrid w:val="0"/>
        <w:spacing w:beforeLines="0" w:afterLines="0" w:line="578" w:lineRule="exact"/>
        <w:ind w:firstLine="640" w:firstLineChars="200"/>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（9）服务对象满意度指标：稻谷种植者等补贴对象的满意度≥90%</w:t>
      </w:r>
    </w:p>
    <w:p>
      <w:pPr>
        <w:ind w:firstLine="640" w:firstLineChars="200"/>
        <w:rPr>
          <w:rFonts w:hint="default" w:ascii="Times New Roman" w:hAnsi="Times New Roman" w:eastAsia="宋体" w:cs="Times New Roman"/>
          <w:color w:val="000000" w:themeColor="text1"/>
          <w:kern w:val="0"/>
          <w14:textFill>
            <w14:solidFill>
              <w14:schemeClr w14:val="tx1"/>
            </w14:solidFill>
          </w14:textFill>
        </w:rPr>
      </w:pP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（10）经济成本指标：补贴标准≥82.58元/亩</w:t>
      </w:r>
    </w:p>
    <w:p>
      <w:pPr>
        <w:numPr>
          <w:ilvl w:val="0"/>
          <w:numId w:val="0"/>
        </w:numPr>
        <w:adjustRightInd w:val="0"/>
        <w:snapToGrid w:val="0"/>
        <w:spacing w:beforeLines="0" w:afterLines="0" w:line="578" w:lineRule="exact"/>
        <w:ind w:firstLine="640" w:firstLineChars="200"/>
        <w:rPr>
          <w:rFonts w:hint="default"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u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u w:val="none"/>
          <w:shd w:val="clear" w:color="auto" w:fill="FFFFFF"/>
          <w:lang w:val="zh-CN" w:eastAsia="zh-CN"/>
          <w14:textFill>
            <w14:solidFill>
              <w14:schemeClr w14:val="tx1"/>
            </w14:solidFill>
          </w14:textFill>
        </w:rPr>
        <w:t>项目自</w:t>
      </w:r>
      <w:r>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评工作开展</w:t>
      </w:r>
      <w:r>
        <w:rPr>
          <w:rFonts w:hint="default"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情况</w:t>
      </w: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落实了稻谷补贴的相关工作，及时兑付了补贴资金，确保了稻谷补贴资金的合理使用，保障稻谷种植收益基本稳定，引导种植结构调整，增加绿色优质稻谷供给，支持深化稻谷收储制度改革，充分调动农民种粮的积极性。</w:t>
      </w:r>
    </w:p>
    <w:p>
      <w:pPr>
        <w:adjustRightInd w:val="0"/>
        <w:snapToGrid w:val="0"/>
        <w:spacing w:beforeLines="0" w:afterLines="0" w:line="578" w:lineRule="exact"/>
        <w:ind w:firstLine="640" w:firstLineChars="200"/>
        <w:outlineLvl w:val="1"/>
        <w:rPr>
          <w:rFonts w:hint="default" w:ascii="Times New Roman" w:hAnsi="Times New Roman" w:eastAsia="黑体" w:cs="Times New Roman"/>
          <w:color w:val="000000" w:themeColor="text1"/>
          <w:sz w:val="32"/>
          <w:szCs w:val="32"/>
          <w14:textFill>
            <w14:solidFill>
              <w14:schemeClr w14:val="tx1"/>
            </w14:solidFill>
          </w14:textFill>
        </w:rPr>
      </w:pPr>
      <w:bookmarkStart w:id="94" w:name="_Toc1360"/>
      <w:r>
        <w:rPr>
          <w:rFonts w:hint="default" w:ascii="Times New Roman" w:hAnsi="Times New Roman" w:eastAsia="黑体" w:cs="Times New Roman"/>
          <w:color w:val="000000" w:themeColor="text1"/>
          <w:sz w:val="32"/>
          <w:szCs w:val="32"/>
          <w14:textFill>
            <w14:solidFill>
              <w14:schemeClr w14:val="tx1"/>
            </w14:solidFill>
          </w14:textFill>
        </w:rPr>
        <w:t>二、评价实施</w:t>
      </w:r>
      <w:bookmarkEnd w:id="94"/>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lang w:val="zh-CN"/>
          <w14:textFill>
            <w14:solidFill>
              <w14:schemeClr w14:val="tx1"/>
            </w14:solidFill>
          </w14:textFill>
        </w:rPr>
        <w:t>（一）评价目的。</w:t>
      </w:r>
      <w:r>
        <w:rPr>
          <w:rFonts w:hint="default"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通过项目绩效自评</w:t>
      </w: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反映项目实施效果，发现存在问题，提出改进措施。</w:t>
      </w:r>
    </w:p>
    <w:p>
      <w:pPr>
        <w:adjustRightInd w:val="0"/>
        <w:snapToGrid w:val="0"/>
        <w:spacing w:beforeLines="0" w:afterLines="0" w:line="578" w:lineRule="exact"/>
        <w:ind w:firstLine="643" w:firstLineChars="200"/>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val="zh-CN"/>
          <w14:textFill>
            <w14:solidFill>
              <w14:schemeClr w14:val="tx1"/>
            </w14:solidFill>
          </w14:textFill>
        </w:rPr>
        <w:t>（二）预设问题及评价重点。</w:t>
      </w:r>
      <w:r>
        <w:rPr>
          <w:rFonts w:hint="default" w:ascii="Times New Roman" w:hAnsi="Times New Roman" w:eastAsia="仿宋_GB2312" w:cs="Times New Roman"/>
          <w:sz w:val="32"/>
          <w:szCs w:val="32"/>
          <w:lang w:val="en-US"/>
        </w:rPr>
        <w:t>对稻谷补贴资金使用情况进行专项督查。重点检查资金兑付是否及时、补贴面积认定是否正确、补贴档案是否齐全等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val="zh-CN"/>
          <w14:textFill>
            <w14:solidFill>
              <w14:schemeClr w14:val="tx1"/>
            </w14:solidFill>
          </w14:textFill>
        </w:rPr>
        <w:t>（三）评价选点。</w:t>
      </w:r>
      <w:r>
        <w:rPr>
          <w:rFonts w:hint="eastAsia" w:ascii="仿宋" w:hAnsi="仿宋" w:eastAsia="仿宋" w:cs="仿宋"/>
          <w:color w:val="000000" w:themeColor="text1"/>
          <w:kern w:val="0"/>
          <w:sz w:val="32"/>
          <w:szCs w:val="32"/>
          <w:highlight w:val="none"/>
          <w:u w:val="none"/>
          <w:shd w:val="clear" w:color="auto" w:fill="FFFFFF"/>
          <w:lang w:val="en-US" w:eastAsia="zh-CN"/>
          <w14:textFill>
            <w14:solidFill>
              <w14:schemeClr w14:val="tx1"/>
            </w14:solidFill>
          </w14:textFill>
        </w:rPr>
        <w:t>对稻谷补贴项目涉及的全部乡镇</w:t>
      </w:r>
      <w:r>
        <w:rPr>
          <w:rFonts w:hint="eastAsia" w:ascii="仿宋" w:hAnsi="仿宋" w:eastAsia="仿宋" w:cs="仿宋"/>
          <w:color w:val="000000" w:themeColor="text1"/>
          <w:kern w:val="0"/>
          <w:sz w:val="32"/>
          <w:szCs w:val="32"/>
          <w:highlight w:val="none"/>
          <w:u w:val="none"/>
          <w:shd w:val="clear" w:color="auto" w:fill="FFFFFF"/>
          <w:lang w:val="zh-CN" w:eastAsia="zh-CN"/>
          <w14:textFill>
            <w14:solidFill>
              <w14:schemeClr w14:val="tx1"/>
            </w14:solidFill>
          </w14:textFill>
        </w:rPr>
        <w:t>进行全面、系统的评估。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val="zh-CN"/>
          <w14:textFill>
            <w14:solidFill>
              <w14:schemeClr w14:val="tx1"/>
            </w14:solidFill>
          </w14:textFill>
        </w:rPr>
        <w:t>（四）评价方法。</w:t>
      </w:r>
      <w:r>
        <w:rPr>
          <w:rFonts w:hint="eastAsia"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对</w:t>
      </w:r>
      <w:r>
        <w:rPr>
          <w:rFonts w:hint="eastAsia" w:ascii="Times New Roman" w:hAnsi="Times New Roman" w:eastAsia="仿宋_GB2312" w:cs="Times New Roman"/>
          <w:color w:val="000000" w:themeColor="text1"/>
          <w:kern w:val="0"/>
          <w:sz w:val="32"/>
          <w:szCs w:val="32"/>
          <w:highlight w:val="none"/>
          <w:u w:val="none"/>
          <w:shd w:val="clear" w:color="auto" w:fill="FFFFFF"/>
          <w:lang w:val="en-US" w:eastAsia="zh-CN"/>
          <w14:textFill>
            <w14:solidFill>
              <w14:schemeClr w14:val="tx1"/>
            </w14:solidFill>
          </w14:textFill>
        </w:rPr>
        <w:t>各乡镇村民进行问卷调查的方法对本项目</w:t>
      </w:r>
      <w:r>
        <w:rPr>
          <w:rFonts w:hint="eastAsia"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工作进行全面、系统的评估，以得出评价结果。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val="zh-CN"/>
          <w14:textFill>
            <w14:solidFill>
              <w14:schemeClr w14:val="tx1"/>
            </w14:solidFill>
          </w14:textFill>
        </w:rPr>
        <w:t>（五）评价组织。</w:t>
      </w:r>
      <w:r>
        <w:rPr>
          <w:rFonts w:hint="eastAsia" w:ascii="Times New Roman" w:hAnsi="Times New Roman" w:eastAsia="仿宋_GB2312" w:cs="Times New Roman"/>
          <w:color w:val="000000" w:themeColor="text1"/>
          <w:kern w:val="0"/>
          <w:sz w:val="32"/>
          <w:szCs w:val="32"/>
          <w:highlight w:val="none"/>
          <w:u w:val="none"/>
          <w:shd w:val="clear" w:color="auto" w:fill="FFFFFF"/>
          <w:lang w:val="en-US" w:eastAsia="zh-CN"/>
          <w14:textFill>
            <w14:solidFill>
              <w14:schemeClr w14:val="tx1"/>
            </w14:solidFill>
          </w14:textFill>
        </w:rPr>
        <w:t>由农业农村局负责调查问卷的设置，交由各乡镇对农户进行问卷信息填写收集工作，最后由农业农村局负责调查问卷结果的整理汇总工作。</w:t>
      </w:r>
    </w:p>
    <w:p>
      <w:pPr>
        <w:adjustRightInd w:val="0"/>
        <w:snapToGrid w:val="0"/>
        <w:spacing w:beforeLines="0" w:afterLines="0" w:line="578" w:lineRule="exact"/>
        <w:ind w:firstLine="640" w:firstLineChars="200"/>
        <w:outlineLvl w:val="1"/>
        <w:rPr>
          <w:rFonts w:hint="default" w:ascii="Times New Roman" w:hAnsi="Times New Roman" w:cs="Times New Roman"/>
          <w:color w:val="000000" w:themeColor="text1"/>
          <w:sz w:val="32"/>
          <w:szCs w:val="32"/>
          <w:lang w:val="zh-CN"/>
          <w14:textFill>
            <w14:solidFill>
              <w14:schemeClr w14:val="tx1"/>
            </w14:solidFill>
          </w14:textFill>
        </w:rPr>
      </w:pPr>
      <w:bookmarkStart w:id="95" w:name="_Toc4550"/>
      <w:r>
        <w:rPr>
          <w:rFonts w:hint="default" w:ascii="Times New Roman" w:hAnsi="Times New Roman" w:eastAsia="黑体" w:cs="Times New Roman"/>
          <w:color w:val="000000" w:themeColor="text1"/>
          <w:sz w:val="32"/>
          <w:szCs w:val="32"/>
          <w14:textFill>
            <w14:solidFill>
              <w14:schemeClr w14:val="tx1"/>
            </w14:solidFill>
          </w14:textFill>
        </w:rPr>
        <w:t>三、绩效分析</w:t>
      </w:r>
      <w:bookmarkEnd w:id="95"/>
    </w:p>
    <w:p>
      <w:pPr>
        <w:spacing w:beforeLines="0" w:afterLines="0" w:line="578" w:lineRule="exact"/>
        <w:ind w:firstLine="64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96" w:name="_Toc6883"/>
      <w:r>
        <w:rPr>
          <w:rFonts w:hint="default" w:ascii="Times New Roman" w:hAnsi="Times New Roman" w:eastAsia="楷体_GB2312" w:cs="Times New Roman"/>
          <w:b/>
          <w:color w:val="000000" w:themeColor="text1"/>
          <w:sz w:val="32"/>
          <w:szCs w:val="32"/>
          <w:lang w:val="zh-CN"/>
          <w14:textFill>
            <w14:solidFill>
              <w14:schemeClr w14:val="tx1"/>
            </w14:solidFill>
          </w14:textFill>
        </w:rPr>
        <w:t>（一）</w:t>
      </w:r>
      <w:r>
        <w:rPr>
          <w:rFonts w:hint="default" w:ascii="Times New Roman" w:hAnsi="Times New Roman" w:eastAsia="楷体_GB2312" w:cs="Times New Roman"/>
          <w:b/>
          <w:color w:val="000000" w:themeColor="text1"/>
          <w:sz w:val="32"/>
          <w:szCs w:val="32"/>
          <w14:textFill>
            <w14:solidFill>
              <w14:schemeClr w14:val="tx1"/>
            </w14:solidFill>
          </w14:textFill>
        </w:rPr>
        <w:t>通用指标</w:t>
      </w:r>
      <w:r>
        <w:rPr>
          <w:rFonts w:hint="default" w:ascii="Times New Roman" w:hAnsi="Times New Roman" w:eastAsia="楷体_GB2312" w:cs="Times New Roman"/>
          <w:b/>
          <w:color w:val="000000" w:themeColor="text1"/>
          <w:kern w:val="0"/>
          <w:sz w:val="32"/>
          <w:szCs w:val="32"/>
          <w:shd w:val="clear" w:color="auto" w:fill="FFFFFF"/>
          <w:lang w:val="zh-CN"/>
          <w14:textFill>
            <w14:solidFill>
              <w14:schemeClr w14:val="tx1"/>
            </w14:solidFill>
          </w14:textFill>
        </w:rPr>
        <w:t>绩效分析。</w:t>
      </w:r>
      <w:bookmarkEnd w:id="96"/>
    </w:p>
    <w:p>
      <w:pPr>
        <w:adjustRightInd w:val="0"/>
        <w:snapToGrid w:val="0"/>
        <w:spacing w:beforeLines="0" w:afterLines="0" w:line="578" w:lineRule="exact"/>
        <w:ind w:firstLine="640" w:firstLineChars="200"/>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shd w:val="clear" w:color="auto" w:fill="FFFFFF"/>
          <w:lang w:val="zh-CN" w:eastAsia="zh-CN"/>
          <w14:textFill>
            <w14:solidFill>
              <w14:schemeClr w14:val="tx1"/>
            </w14:solidFill>
          </w14:textFill>
        </w:rPr>
        <w:t>1.项目决策。</w:t>
      </w:r>
    </w:p>
    <w:p>
      <w:pPr>
        <w:pStyle w:val="56"/>
        <w:shd w:val="clear" w:color="auto" w:fill="auto"/>
        <w:spacing w:before="0" w:after="0"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认真落实国家和省政策精神，完善我区稻谷生产者补贴政策，支持巩固提升优势产区产能，引导非优势产区优化调整种植结构，保护稻谷生产总体稳定，保障优势产区稻谷种植收益基本稳定，切实保护好种粮农民利益，引导增加绿色优质稻谷供给，适应我区农业高质量发展要求，更好地保障粮食安全</w:t>
      </w:r>
      <w:r>
        <w:rPr>
          <w:rFonts w:ascii="Times New Roman" w:hAnsi="Times New Roman" w:eastAsia="仿宋_GB2312" w:cs="Times New Roman"/>
          <w:sz w:val="32"/>
          <w:szCs w:val="32"/>
          <w:lang w:val="en-US"/>
        </w:rPr>
        <w:t>。</w:t>
      </w:r>
    </w:p>
    <w:p>
      <w:pPr>
        <w:numPr>
          <w:ilvl w:val="0"/>
          <w:numId w:val="0"/>
        </w:numPr>
        <w:adjustRightInd w:val="0"/>
        <w:snapToGrid w:val="0"/>
        <w:spacing w:beforeLines="0" w:afterLines="0" w:line="578"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项目管理。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制定了实施方案，组织机构健全，有明确的工作程序，基础设施条件能够有效保障，资金能够足额保证，各级各部门按照职责分工，加强协调配合，共同抓好补贴政策的落实，确保工作稳定有序推进。</w:t>
      </w:r>
    </w:p>
    <w:p>
      <w:pPr>
        <w:numPr>
          <w:ilvl w:val="0"/>
          <w:numId w:val="0"/>
        </w:numPr>
        <w:adjustRightInd w:val="0"/>
        <w:snapToGrid w:val="0"/>
        <w:spacing w:beforeLines="0" w:afterLines="0" w:line="578"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CN" w:eastAsia="zh-CN" w:bidi="ar-SA"/>
        </w:rPr>
        <w:t>项目实施。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严格按照</w:t>
      </w:r>
      <w:r>
        <w:rPr>
          <w:rFonts w:hint="eastAsia" w:ascii="Times New Roman" w:hAnsi="Times New Roman" w:eastAsia="仿宋_GB2312" w:cs="Times New Roman"/>
          <w:kern w:val="2"/>
          <w:sz w:val="32"/>
          <w:szCs w:val="32"/>
          <w:lang w:val="en-US" w:eastAsia="zh-CN" w:bidi="ar-SA"/>
        </w:rPr>
        <w:t>项目实施方案</w:t>
      </w:r>
      <w:r>
        <w:rPr>
          <w:rFonts w:hint="eastAsia" w:ascii="Times New Roman" w:hAnsi="Times New Roman" w:eastAsia="仿宋_GB2312" w:cs="Times New Roman"/>
          <w:kern w:val="2"/>
          <w:sz w:val="32"/>
          <w:szCs w:val="32"/>
          <w:lang w:val="zh-CN" w:eastAsia="zh-CN" w:bidi="ar-SA"/>
        </w:rPr>
        <w:t>计划进行，确保了项目的顺利推进。</w:t>
      </w:r>
    </w:p>
    <w:p>
      <w:pPr>
        <w:numPr>
          <w:ilvl w:val="0"/>
          <w:numId w:val="0"/>
        </w:numPr>
        <w:adjustRightInd w:val="0"/>
        <w:snapToGrid w:val="0"/>
        <w:spacing w:beforeLines="0" w:afterLines="0" w:line="578"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zh-CN" w:eastAsia="zh-CN" w:bidi="ar-SA"/>
        </w:rPr>
        <w:t>项目结果。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年稻谷补贴</w:t>
      </w:r>
      <w:r>
        <w:rPr>
          <w:rFonts w:hint="eastAsia" w:ascii="Times New Roman" w:hAnsi="Times New Roman" w:eastAsia="仿宋_GB2312" w:cs="Times New Roman"/>
          <w:kern w:val="2"/>
          <w:sz w:val="32"/>
          <w:szCs w:val="32"/>
          <w:lang w:val="en-US" w:eastAsia="zh-CN" w:bidi="ar-SA"/>
        </w:rPr>
        <w:t>已兑付</w:t>
      </w:r>
      <w:r>
        <w:rPr>
          <w:rFonts w:hint="default" w:ascii="Times New Roman" w:hAnsi="Times New Roman" w:eastAsia="仿宋_GB2312" w:cs="Times New Roman"/>
          <w:kern w:val="2"/>
          <w:sz w:val="32"/>
          <w:szCs w:val="32"/>
          <w:lang w:val="en-US" w:eastAsia="zh-CN" w:bidi="ar-SA"/>
        </w:rPr>
        <w:t>农户</w:t>
      </w:r>
      <w:r>
        <w:rPr>
          <w:rFonts w:hint="eastAsia" w:ascii="Times New Roman" w:hAnsi="Times New Roman" w:eastAsia="仿宋_GB2312" w:cs="Times New Roman"/>
          <w:kern w:val="2"/>
          <w:sz w:val="32"/>
          <w:szCs w:val="32"/>
          <w:lang w:val="en-US" w:eastAsia="zh-CN" w:bidi="ar-SA"/>
        </w:rPr>
        <w:t>2209</w:t>
      </w:r>
      <w:r>
        <w:rPr>
          <w:rFonts w:hint="default" w:ascii="Times New Roman" w:hAnsi="Times New Roman" w:eastAsia="仿宋_GB2312" w:cs="Times New Roman"/>
          <w:kern w:val="2"/>
          <w:sz w:val="32"/>
          <w:szCs w:val="32"/>
          <w:lang w:val="en-US" w:eastAsia="zh-CN" w:bidi="ar-SA"/>
        </w:rPr>
        <w:t>户，补贴面积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9915.87</w:t>
      </w:r>
      <w:r>
        <w:rPr>
          <w:rFonts w:hint="default" w:ascii="Times New Roman" w:hAnsi="Times New Roman" w:eastAsia="仿宋_GB2312" w:cs="Times New Roman"/>
          <w:kern w:val="2"/>
          <w:sz w:val="32"/>
          <w:szCs w:val="32"/>
          <w:lang w:val="en-US" w:eastAsia="zh-CN" w:bidi="ar-SA"/>
        </w:rPr>
        <w:t>亩，平均每亩补贴</w:t>
      </w:r>
      <w:r>
        <w:rPr>
          <w:rFonts w:hint="eastAsia" w:ascii="Times New Roman" w:hAnsi="Times New Roman" w:eastAsia="仿宋_GB2312" w:cs="Times New Roman"/>
          <w:kern w:val="2"/>
          <w:sz w:val="32"/>
          <w:szCs w:val="32"/>
          <w:lang w:val="en-US" w:eastAsia="zh-CN" w:bidi="ar-SA"/>
        </w:rPr>
        <w:t>82.58</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eastAsia="仿宋_GB2312" w:cs="Times New Roman"/>
          <w:kern w:val="2"/>
          <w:sz w:val="32"/>
          <w:szCs w:val="32"/>
          <w:lang w:val="en-US" w:eastAsia="zh-CN" w:bidi="ar-SA"/>
        </w:rPr>
        <w:t>/亩，已拨付金额818852.06元。</w:t>
      </w:r>
    </w:p>
    <w:p>
      <w:pPr>
        <w:numPr>
          <w:ilvl w:val="0"/>
          <w:numId w:val="0"/>
        </w:numPr>
        <w:adjustRightInd w:val="0"/>
        <w:snapToGrid w:val="0"/>
        <w:spacing w:beforeLines="0" w:afterLines="0" w:line="578" w:lineRule="exact"/>
        <w:ind w:firstLine="643" w:firstLineChars="200"/>
        <w:outlineLvl w:val="2"/>
        <w:rPr>
          <w:rFonts w:hint="default" w:ascii="Times New Roman" w:hAnsi="Times New Roman" w:eastAsia="楷体_GB2312" w:cs="Times New Roman"/>
          <w:b/>
          <w:color w:val="000000" w:themeColor="text1"/>
          <w:kern w:val="0"/>
          <w:sz w:val="32"/>
          <w:szCs w:val="32"/>
          <w:shd w:val="clear" w:color="auto" w:fill="FFFFFF"/>
          <w:lang w:val="zh-CN"/>
          <w14:textFill>
            <w14:solidFill>
              <w14:schemeClr w14:val="tx1"/>
            </w14:solidFill>
          </w14:textFill>
        </w:rPr>
      </w:pPr>
      <w:bookmarkStart w:id="97" w:name="_Toc17662"/>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b/>
          <w:color w:val="000000" w:themeColor="text1"/>
          <w:sz w:val="32"/>
          <w:szCs w:val="32"/>
          <w14:textFill>
            <w14:solidFill>
              <w14:schemeClr w14:val="tx1"/>
            </w14:solidFill>
          </w14:textFill>
        </w:rPr>
        <w:t>专用指标</w:t>
      </w:r>
      <w:r>
        <w:rPr>
          <w:rFonts w:hint="default" w:ascii="Times New Roman" w:hAnsi="Times New Roman" w:eastAsia="楷体_GB2312" w:cs="Times New Roman"/>
          <w:b/>
          <w:color w:val="000000" w:themeColor="text1"/>
          <w:kern w:val="0"/>
          <w:sz w:val="32"/>
          <w:szCs w:val="32"/>
          <w:shd w:val="clear" w:color="auto" w:fill="FFFFFF"/>
          <w:lang w:val="zh-CN"/>
          <w14:textFill>
            <w14:solidFill>
              <w14:schemeClr w14:val="tx1"/>
            </w14:solidFill>
          </w14:textFill>
        </w:rPr>
        <w:t>绩效分析。</w:t>
      </w:r>
      <w:bookmarkEnd w:id="97"/>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我区按照项目的各项要求，通过一卡通及时准确</w:t>
      </w:r>
      <w:r>
        <w:rPr>
          <w:rFonts w:hint="eastAsia" w:eastAsia="仿宋_GB2312" w:cs="Times New Roman"/>
          <w:kern w:val="2"/>
          <w:sz w:val="32"/>
          <w:szCs w:val="32"/>
          <w:lang w:val="zh-CN" w:eastAsia="zh-CN" w:bidi="ar-SA"/>
        </w:rPr>
        <w:t>地</w:t>
      </w:r>
      <w:r>
        <w:rPr>
          <w:rFonts w:hint="default" w:ascii="Times New Roman" w:hAnsi="Times New Roman" w:eastAsia="仿宋_GB2312" w:cs="Times New Roman"/>
          <w:kern w:val="2"/>
          <w:sz w:val="32"/>
          <w:szCs w:val="32"/>
          <w:lang w:val="zh-CN" w:eastAsia="zh-CN" w:bidi="ar-SA"/>
        </w:rPr>
        <w:t>给农户</w:t>
      </w:r>
      <w:r>
        <w:rPr>
          <w:rFonts w:hint="eastAsia" w:ascii="Times New Roman" w:hAnsi="Times New Roman" w:eastAsia="仿宋_GB2312" w:cs="Times New Roman"/>
          <w:kern w:val="2"/>
          <w:sz w:val="32"/>
          <w:szCs w:val="32"/>
          <w:lang w:val="en-US" w:eastAsia="zh-CN" w:bidi="ar-SA"/>
        </w:rPr>
        <w:t>兑</w:t>
      </w:r>
      <w:r>
        <w:rPr>
          <w:rFonts w:hint="default" w:ascii="Times New Roman" w:hAnsi="Times New Roman" w:eastAsia="仿宋_GB2312" w:cs="Times New Roman"/>
          <w:kern w:val="2"/>
          <w:sz w:val="32"/>
          <w:szCs w:val="32"/>
          <w:lang w:val="zh-CN" w:eastAsia="zh-CN" w:bidi="ar-SA"/>
        </w:rPr>
        <w:t>付了稻谷补贴，</w:t>
      </w:r>
      <w:r>
        <w:rPr>
          <w:rFonts w:hint="default" w:ascii="Times New Roman" w:hAnsi="Times New Roman" w:eastAsia="仿宋_GB2312" w:cs="Times New Roman"/>
          <w:kern w:val="2"/>
          <w:sz w:val="32"/>
          <w:szCs w:val="32"/>
          <w:lang w:val="en-US" w:eastAsia="zh-CN" w:bidi="ar-SA"/>
        </w:rPr>
        <w:t>通过对补贴对象满意度测评，99％的补贴对象满意。</w:t>
      </w:r>
    </w:p>
    <w:p>
      <w:pPr>
        <w:numPr>
          <w:ilvl w:val="0"/>
          <w:numId w:val="0"/>
        </w:numPr>
        <w:adjustRightInd w:val="0"/>
        <w:snapToGrid w:val="0"/>
        <w:spacing w:beforeLines="0" w:afterLines="0" w:line="578" w:lineRule="exact"/>
        <w:ind w:firstLine="643" w:firstLineChars="200"/>
        <w:outlineLvl w:val="2"/>
        <w:rPr>
          <w:rFonts w:hint="default" w:ascii="Times New Roman" w:hAnsi="Times New Roman" w:eastAsia="仿宋_GB2312" w:cs="Times New Roman"/>
          <w:kern w:val="2"/>
          <w:sz w:val="32"/>
          <w:szCs w:val="32"/>
          <w:lang w:val="zh-CN" w:eastAsia="zh-CN" w:bidi="ar-SA"/>
        </w:rPr>
      </w:pPr>
      <w:bookmarkStart w:id="98" w:name="_Toc17287"/>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color w:val="000000" w:themeColor="text1"/>
          <w:sz w:val="32"/>
          <w:szCs w:val="32"/>
          <w14:textFill>
            <w14:solidFill>
              <w14:schemeClr w14:val="tx1"/>
            </w14:solidFill>
          </w14:textFill>
        </w:rPr>
        <w:t>个性指标</w:t>
      </w:r>
      <w:r>
        <w:rPr>
          <w:rFonts w:hint="default" w:ascii="Times New Roman" w:hAnsi="Times New Roman" w:eastAsia="楷体_GB2312" w:cs="Times New Roman"/>
          <w:b/>
          <w:color w:val="000000" w:themeColor="text1"/>
          <w:kern w:val="0"/>
          <w:sz w:val="32"/>
          <w:szCs w:val="32"/>
          <w:shd w:val="clear" w:color="auto" w:fill="FFFFFF"/>
          <w:lang w:val="zh-CN"/>
          <w14:textFill>
            <w14:solidFill>
              <w14:schemeClr w14:val="tx1"/>
            </w14:solidFill>
          </w14:textFill>
        </w:rPr>
        <w:t>绩效分析</w:t>
      </w:r>
      <w:r>
        <w:rPr>
          <w:rFonts w:hint="default" w:ascii="Times New Roman" w:hAnsi="Times New Roman" w:eastAsia="仿宋_GB2312" w:cs="Times New Roman"/>
          <w:kern w:val="2"/>
          <w:sz w:val="32"/>
          <w:szCs w:val="32"/>
          <w:lang w:val="zh-CN" w:eastAsia="zh-CN" w:bidi="ar-SA"/>
        </w:rPr>
        <w:t>。</w:t>
      </w:r>
      <w:bookmarkEnd w:id="98"/>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202</w:t>
      </w: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年稻谷补贴总体执行情况良好。</w:t>
      </w:r>
      <w:r>
        <w:rPr>
          <w:rFonts w:hint="default" w:ascii="Times New Roman" w:hAnsi="Times New Roman" w:eastAsia="仿宋_GB2312" w:cs="Times New Roman"/>
          <w:kern w:val="2"/>
          <w:sz w:val="32"/>
          <w:szCs w:val="32"/>
          <w:lang w:val="zh-CN" w:eastAsia="zh-CN" w:bidi="ar-SA"/>
        </w:rPr>
        <w:t>及时制定符合当地实际的补贴实施方案</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及时兑付补贴资金</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通过实行稻谷补贴政策，可使农户亩均减少农业生产成本支出</w:t>
      </w:r>
      <w:r>
        <w:rPr>
          <w:rFonts w:hint="eastAsia" w:ascii="Times New Roman" w:hAnsi="Times New Roman" w:eastAsia="仿宋_GB2312" w:cs="Times New Roman"/>
          <w:kern w:val="2"/>
          <w:sz w:val="32"/>
          <w:szCs w:val="32"/>
          <w:lang w:val="en-US" w:eastAsia="zh-CN" w:bidi="ar-SA"/>
        </w:rPr>
        <w:t>82.58</w:t>
      </w:r>
      <w:r>
        <w:rPr>
          <w:rFonts w:hint="default" w:ascii="Times New Roman" w:hAnsi="Times New Roman" w:eastAsia="仿宋_GB2312" w:cs="Times New Roman"/>
          <w:kern w:val="2"/>
          <w:sz w:val="32"/>
          <w:szCs w:val="32"/>
          <w:lang w:val="zh-CN" w:eastAsia="zh-CN" w:bidi="ar-SA"/>
        </w:rPr>
        <w:t>元</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带动能力明显增强。</w:t>
      </w:r>
    </w:p>
    <w:p>
      <w:pPr>
        <w:keepNext w:val="0"/>
        <w:keepLines w:val="0"/>
        <w:pageBreakBefore w:val="0"/>
        <w:widowControl w:val="0"/>
        <w:kinsoku/>
        <w:wordWrap/>
        <w:overflowPunct/>
        <w:topLinePunct w:val="0"/>
        <w:autoSpaceDE/>
        <w:autoSpaceDN/>
        <w:bidi w:val="0"/>
        <w:spacing w:line="578" w:lineRule="exact"/>
        <w:ind w:firstLine="640"/>
        <w:textAlignment w:val="auto"/>
        <w:outlineLvl w:val="1"/>
        <w:rPr>
          <w:rFonts w:hint="default" w:ascii="Times New Roman" w:hAnsi="Times New Roman" w:eastAsia="仿宋_GB2312" w:cs="Times New Roman"/>
          <w:kern w:val="2"/>
          <w:sz w:val="32"/>
          <w:szCs w:val="32"/>
          <w:lang w:val="zh-CN" w:eastAsia="zh-CN" w:bidi="ar-SA"/>
        </w:rPr>
      </w:pPr>
      <w:bookmarkStart w:id="99" w:name="_Toc10698"/>
      <w:r>
        <w:rPr>
          <w:rFonts w:hint="default" w:ascii="Times New Roman" w:hAnsi="Times New Roman" w:eastAsia="仿宋_GB2312" w:cs="Times New Roman"/>
          <w:kern w:val="2"/>
          <w:sz w:val="32"/>
          <w:szCs w:val="32"/>
          <w:lang w:val="zh-CN" w:eastAsia="zh-CN" w:bidi="ar-SA"/>
        </w:rPr>
        <w:t>四、评价结论</w:t>
      </w:r>
      <w:bookmarkEnd w:id="99"/>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w:t>
      </w:r>
      <w:r>
        <w:rPr>
          <w:rFonts w:hint="eastAsia" w:ascii="Times New Roman" w:hAnsi="Times New Roman" w:eastAsia="仿宋_GB2312" w:cs="Times New Roman"/>
          <w:kern w:val="2"/>
          <w:sz w:val="32"/>
          <w:szCs w:val="32"/>
          <w:lang w:val="zh-CN" w:eastAsia="zh-CN" w:bidi="ar-SA"/>
        </w:rPr>
        <w:t>项目自评得分</w:t>
      </w:r>
      <w:r>
        <w:rPr>
          <w:rFonts w:hint="eastAsia"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zh-CN" w:eastAsia="zh-CN" w:bidi="ar-SA"/>
        </w:rPr>
        <w:t>分。</w:t>
      </w:r>
      <w:r>
        <w:rPr>
          <w:rFonts w:hint="default" w:ascii="Times New Roman" w:hAnsi="Times New Roman" w:eastAsia="仿宋_GB2312" w:cs="Times New Roman"/>
          <w:kern w:val="2"/>
          <w:sz w:val="32"/>
          <w:szCs w:val="32"/>
          <w:lang w:val="zh-CN" w:eastAsia="zh-CN" w:bidi="ar-SA"/>
        </w:rPr>
        <w:t>202</w:t>
      </w: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年稻谷补贴总体执行情况良好。基本实现了补贴资金及兑付、保障优势区稻谷种植收益基本稳定、稻谷种植面积基本稳定、引导种植结构调整优化、促进增进绿色优质稻谷供给等绩效目标</w:t>
      </w:r>
      <w:r>
        <w:rPr>
          <w:rFonts w:hint="eastAsia" w:ascii="Times New Roman" w:hAnsi="Times New Roman" w:eastAsia="仿宋_GB2312" w:cs="Times New Roman"/>
          <w:kern w:val="2"/>
          <w:sz w:val="32"/>
          <w:szCs w:val="32"/>
          <w:lang w:val="en-US" w:eastAsia="zh-CN" w:bidi="ar-SA"/>
        </w:rPr>
        <w:t>。</w:t>
      </w:r>
    </w:p>
    <w:p>
      <w:pPr>
        <w:pStyle w:val="2"/>
        <w:numPr>
          <w:ilvl w:val="0"/>
          <w:numId w:val="0"/>
        </w:numPr>
        <w:tabs>
          <w:tab w:val="left" w:pos="2160"/>
        </w:tabs>
        <w:spacing w:beforeLines="0" w:afterLines="0" w:line="600" w:lineRule="exact"/>
        <w:ind w:firstLine="640" w:firstLineChars="200"/>
        <w:outlineLvl w:val="1"/>
        <w:rPr>
          <w:rFonts w:hint="default" w:ascii="Times New Roman" w:hAnsi="Times New Roman" w:eastAsia="黑体" w:cs="Times New Roman"/>
          <w:color w:val="000000" w:themeColor="text1"/>
          <w:sz w:val="32"/>
          <w:szCs w:val="32"/>
          <w:lang w:eastAsia="zh-CN"/>
          <w14:textFill>
            <w14:solidFill>
              <w14:schemeClr w14:val="tx1"/>
            </w14:solidFill>
          </w14:textFill>
        </w:rPr>
      </w:pPr>
      <w:bookmarkStart w:id="100" w:name="_Toc2073"/>
      <w:r>
        <w:rPr>
          <w:rFonts w:hint="default" w:ascii="Times New Roman" w:hAnsi="Times New Roman" w:eastAsia="黑体" w:cs="Times New Roman"/>
          <w:color w:val="000000" w:themeColor="text1"/>
          <w:sz w:val="32"/>
          <w:szCs w:val="32"/>
          <w:lang w:eastAsia="zh-CN"/>
          <w14:textFill>
            <w14:solidFill>
              <w14:schemeClr w14:val="tx1"/>
            </w14:solidFill>
          </w14:textFill>
        </w:rPr>
        <w:t>五、存在主要问题</w:t>
      </w:r>
      <w:bookmarkEnd w:id="100"/>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val="0"/>
          <w:kern w:val="0"/>
          <w:sz w:val="32"/>
          <w:szCs w:val="32"/>
          <w:lang w:eastAsia="zh-CN"/>
        </w:rPr>
        <w:t>一是</w:t>
      </w:r>
      <w:r>
        <w:rPr>
          <w:rFonts w:hint="default" w:ascii="Times New Roman" w:hAnsi="Times New Roman" w:eastAsia="仿宋_GB2312" w:cs="Times New Roman"/>
          <w:bCs/>
          <w:kern w:val="0"/>
          <w:sz w:val="32"/>
          <w:szCs w:val="32"/>
          <w:lang w:eastAsia="zh-CN"/>
        </w:rPr>
        <w:t>下达资金按补贴标准及面积发放后</w:t>
      </w:r>
      <w:r>
        <w:rPr>
          <w:rFonts w:hint="eastAsia" w:ascii="Times New Roman" w:hAnsi="Times New Roman" w:eastAsia="仿宋_GB2312" w:cs="Times New Roman"/>
          <w:bCs/>
          <w:kern w:val="0"/>
          <w:sz w:val="32"/>
          <w:szCs w:val="32"/>
          <w:lang w:val="en" w:eastAsia="zh-CN"/>
        </w:rPr>
        <w:t>，</w:t>
      </w:r>
      <w:r>
        <w:rPr>
          <w:rFonts w:hint="default" w:ascii="Times New Roman" w:hAnsi="Times New Roman" w:eastAsia="仿宋_GB2312" w:cs="Times New Roman"/>
          <w:bCs/>
          <w:kern w:val="0"/>
          <w:sz w:val="32"/>
          <w:szCs w:val="32"/>
          <w:lang w:eastAsia="zh-CN"/>
        </w:rPr>
        <w:t>有少量正常结余</w:t>
      </w:r>
      <w:r>
        <w:rPr>
          <w:rFonts w:hint="eastAsia" w:ascii="Times New Roman" w:hAnsi="Times New Roman" w:eastAsia="仿宋_GB2312" w:cs="Times New Roman"/>
          <w:bCs/>
          <w:kern w:val="0"/>
          <w:sz w:val="32"/>
          <w:szCs w:val="32"/>
          <w:lang w:val="en-US" w:eastAsia="zh-CN"/>
        </w:rPr>
        <w:t>。</w:t>
      </w:r>
      <w:r>
        <w:rPr>
          <w:rFonts w:hint="eastAsia" w:ascii="楷体_GB2312" w:hAnsi="楷体_GB2312" w:eastAsia="楷体_GB2312" w:cs="楷体_GB2312"/>
          <w:b/>
          <w:bCs w:val="0"/>
          <w:kern w:val="0"/>
          <w:sz w:val="32"/>
          <w:szCs w:val="32"/>
          <w:lang w:eastAsia="zh-CN"/>
        </w:rPr>
        <w:t>二是</w:t>
      </w:r>
      <w:r>
        <w:rPr>
          <w:rFonts w:hint="default" w:ascii="Times New Roman" w:hAnsi="Times New Roman" w:eastAsia="仿宋_GB2312" w:cs="Times New Roman"/>
          <w:sz w:val="32"/>
          <w:szCs w:val="32"/>
        </w:rPr>
        <w:t>部分农户外出</w:t>
      </w:r>
      <w:r>
        <w:rPr>
          <w:rFonts w:hint="eastAsia" w:ascii="Times New Roman" w:hAnsi="Times New Roman" w:eastAsia="仿宋_GB2312" w:cs="Times New Roman"/>
          <w:sz w:val="32"/>
          <w:szCs w:val="32"/>
          <w:lang w:val="en-US" w:eastAsia="zh-CN"/>
        </w:rPr>
        <w:t>务工</w:t>
      </w:r>
      <w:r>
        <w:rPr>
          <w:rFonts w:hint="default" w:ascii="Times New Roman" w:hAnsi="Times New Roman" w:eastAsia="仿宋_GB2312" w:cs="Times New Roman"/>
          <w:sz w:val="32"/>
          <w:szCs w:val="32"/>
        </w:rPr>
        <w:t>，未开通“一卡通”金融功能</w:t>
      </w:r>
      <w:r>
        <w:rPr>
          <w:rFonts w:hint="eastAsia" w:ascii="Times New Roman" w:hAnsi="Times New Roman" w:eastAsia="仿宋_GB2312" w:cs="Times New Roman"/>
          <w:sz w:val="32"/>
          <w:szCs w:val="32"/>
          <w:lang w:eastAsia="zh-CN"/>
        </w:rPr>
        <w:t>。</w:t>
      </w:r>
      <w:r>
        <w:rPr>
          <w:rFonts w:hint="eastAsia" w:ascii="楷体_GB2312" w:hAnsi="楷体_GB2312" w:eastAsia="楷体_GB2312" w:cs="楷体_GB2312"/>
          <w:b/>
          <w:bCs w:val="0"/>
          <w:kern w:val="0"/>
          <w:sz w:val="32"/>
          <w:szCs w:val="32"/>
          <w:lang w:eastAsia="zh-CN"/>
        </w:rPr>
        <w:t>三是</w:t>
      </w:r>
      <w:r>
        <w:rPr>
          <w:rFonts w:hint="default" w:ascii="Times New Roman" w:hAnsi="Times New Roman" w:eastAsia="仿宋_GB2312" w:cs="Times New Roman"/>
          <w:b w:val="0"/>
          <w:bCs w:val="0"/>
          <w:kern w:val="2"/>
          <w:sz w:val="32"/>
          <w:szCs w:val="32"/>
          <w:lang w:eastAsia="zh-CN"/>
        </w:rPr>
        <w:t>部分</w:t>
      </w:r>
      <w:r>
        <w:rPr>
          <w:rFonts w:hint="default" w:ascii="Times New Roman" w:hAnsi="Times New Roman" w:eastAsia="仿宋_GB2312" w:cs="Times New Roman"/>
          <w:sz w:val="32"/>
          <w:szCs w:val="32"/>
        </w:rPr>
        <w:t>农户死亡</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及时到乡镇进行备案</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adjustRightInd w:val="0"/>
        <w:snapToGrid w:val="0"/>
        <w:spacing w:beforeLines="0" w:afterLines="0" w:line="578" w:lineRule="exact"/>
        <w:ind w:firstLine="640" w:firstLineChars="200"/>
        <w:rPr>
          <w:rFonts w:hint="default" w:ascii="Times New Roman" w:hAnsi="Times New Roman" w:eastAsia="黑体" w:cs="Times New Roman"/>
          <w:color w:val="000000" w:themeColor="text1"/>
          <w:kern w:val="2"/>
          <w:sz w:val="32"/>
          <w:szCs w:val="32"/>
          <w:lang w:eastAsia="zh-CN"/>
          <w14:textFill>
            <w14:solidFill>
              <w14:schemeClr w14:val="tx1"/>
            </w14:solidFill>
          </w14:textFill>
        </w:rPr>
      </w:pPr>
    </w:p>
    <w:p>
      <w:pPr>
        <w:pStyle w:val="2"/>
        <w:numPr>
          <w:ilvl w:val="0"/>
          <w:numId w:val="0"/>
        </w:numPr>
        <w:tabs>
          <w:tab w:val="left" w:pos="2160"/>
        </w:tabs>
        <w:spacing w:beforeLines="0" w:afterLines="0" w:line="600" w:lineRule="exact"/>
        <w:ind w:firstLine="640" w:firstLineChars="200"/>
        <w:outlineLvl w:val="1"/>
        <w:rPr>
          <w:rFonts w:hint="default" w:ascii="Times New Roman" w:hAnsi="Times New Roman" w:eastAsia="黑体" w:cs="Times New Roman"/>
          <w:color w:val="000000" w:themeColor="text1"/>
          <w:sz w:val="32"/>
          <w:szCs w:val="32"/>
          <w:lang w:val="zh-CN" w:eastAsia="zh-CN"/>
          <w14:textFill>
            <w14:solidFill>
              <w14:schemeClr w14:val="tx1"/>
            </w14:solidFill>
          </w14:textFill>
        </w:rPr>
      </w:pPr>
      <w:bookmarkStart w:id="101" w:name="_Toc21978"/>
      <w:r>
        <w:rPr>
          <w:rFonts w:hint="default" w:ascii="Times New Roman" w:hAnsi="Times New Roman" w:eastAsia="黑体" w:cs="Times New Roman"/>
          <w:color w:val="000000" w:themeColor="text1"/>
          <w:sz w:val="32"/>
          <w:szCs w:val="32"/>
          <w:lang w:val="zh-CN" w:eastAsia="zh-CN"/>
          <w14:textFill>
            <w14:solidFill>
              <w14:schemeClr w14:val="tx1"/>
            </w14:solidFill>
          </w14:textFill>
        </w:rPr>
        <w:t>六、改进建议</w:t>
      </w:r>
      <w:bookmarkEnd w:id="101"/>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02" w:name="_Hlk110546638"/>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将提高政治站位，确保种粮农户利益，提升农户种粮积极性，保障我区粮食安全。</w:t>
      </w:r>
      <w:r>
        <w:rPr>
          <w:rFonts w:hint="default" w:ascii="楷体_GB2312" w:hAnsi="楷体_GB2312" w:eastAsia="楷体_GB2312" w:cs="楷体_GB2312"/>
          <w:b/>
          <w:bCs/>
          <w:kern w:val="2"/>
          <w:sz w:val="32"/>
          <w:szCs w:val="32"/>
          <w:lang w:val="en-US" w:eastAsia="zh-CN" w:bidi="ar-SA"/>
        </w:rPr>
        <w:t>一是</w:t>
      </w:r>
      <w:r>
        <w:rPr>
          <w:rFonts w:hint="eastAsia" w:ascii="楷体_GB2312" w:hAnsi="楷体_GB2312" w:eastAsia="楷体_GB2312" w:cs="楷体_GB2312"/>
          <w:b/>
          <w:bCs/>
          <w:kern w:val="2"/>
          <w:sz w:val="32"/>
          <w:szCs w:val="32"/>
          <w:lang w:val="en-US" w:eastAsia="zh-CN" w:bidi="ar-SA"/>
        </w:rPr>
        <w:t>强化信息审核</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sz w:val="32"/>
          <w:szCs w:val="32"/>
          <w:lang w:val="en-US" w:eastAsia="zh-CN"/>
        </w:rPr>
        <w:t>加强核查力度，</w:t>
      </w:r>
      <w:r>
        <w:rPr>
          <w:rFonts w:hint="eastAsia"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lang w:val="en-US" w:eastAsia="zh-CN"/>
        </w:rPr>
        <w:t>补贴的申报、公示、核实等工作，</w:t>
      </w:r>
      <w:r>
        <w:rPr>
          <w:rFonts w:hint="eastAsia" w:ascii="Times New Roman" w:hAnsi="Times New Roman" w:eastAsia="仿宋_GB2312" w:cs="Times New Roman"/>
          <w:sz w:val="32"/>
          <w:szCs w:val="32"/>
          <w:lang w:val="en-US" w:eastAsia="zh-CN"/>
        </w:rPr>
        <w:t>确保种植面积的真实性、准确性。</w:t>
      </w:r>
      <w:r>
        <w:rPr>
          <w:rFonts w:hint="default" w:ascii="楷体_GB2312" w:hAnsi="楷体_GB2312" w:eastAsia="楷体_GB2312" w:cs="楷体_GB2312"/>
          <w:b/>
          <w:bCs/>
          <w:kern w:val="2"/>
          <w:sz w:val="32"/>
          <w:szCs w:val="32"/>
          <w:lang w:val="en-US" w:eastAsia="zh-CN" w:bidi="ar-SA"/>
        </w:rPr>
        <w:t>二是</w:t>
      </w:r>
      <w:r>
        <w:rPr>
          <w:rFonts w:hint="default" w:ascii="Times New Roman" w:hAnsi="Times New Roman" w:eastAsia="仿宋_GB2312" w:cs="Times New Roman"/>
          <w:sz w:val="30"/>
          <w:szCs w:val="30"/>
        </w:rPr>
        <w:t>进一步强化督察检查。重点围绕补贴资金使用管理工作，加强督察检查。</w:t>
      </w:r>
      <w:r>
        <w:rPr>
          <w:rFonts w:hint="eastAsia" w:ascii="楷体_GB2312" w:hAnsi="楷体_GB2312" w:eastAsia="楷体_GB2312" w:cs="楷体_GB2312"/>
          <w:b/>
          <w:bCs/>
          <w:kern w:val="2"/>
          <w:sz w:val="32"/>
          <w:szCs w:val="32"/>
          <w:lang w:val="en-US" w:eastAsia="zh-CN" w:bidi="ar-SA"/>
        </w:rPr>
        <w:t>三是加强宣传引导。</w:t>
      </w:r>
      <w:r>
        <w:rPr>
          <w:rFonts w:hint="eastAsia" w:ascii="Times New Roman" w:hAnsi="Times New Roman" w:eastAsia="仿宋_GB2312" w:cs="Times New Roman"/>
          <w:sz w:val="32"/>
          <w:szCs w:val="32"/>
          <w:lang w:val="en-US" w:eastAsia="zh-CN"/>
        </w:rPr>
        <w:t>广泛宣传各项涉农、惠农补贴政策，让农户以及粮食生产经营主体全面了解补贴政策，切实提高政策知晓度。</w:t>
      </w: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FFFFFF"/>
          <w:lang w:val="zh-CN"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shd w:val="clear" w:color="auto" w:fill="FFFFFF"/>
          <w:lang w:val="zh-CN" w:eastAsia="zh-CN"/>
          <w14:textFill>
            <w14:solidFill>
              <w14:schemeClr w14:val="tx1"/>
            </w14:solidFill>
          </w14:textFill>
        </w:rPr>
        <w:t>附表</w:t>
      </w:r>
      <w:r>
        <w:rPr>
          <w:rFonts w:hint="default" w:ascii="Times New Roman" w:hAnsi="Times New Roman" w:eastAsia="黑体" w:cs="Times New Roman"/>
          <w:b w:val="0"/>
          <w:bCs w:val="0"/>
          <w:color w:val="000000" w:themeColor="text1"/>
          <w:kern w:val="0"/>
          <w:sz w:val="32"/>
          <w:szCs w:val="32"/>
          <w:highlight w:val="none"/>
          <w:u w:val="none"/>
          <w:shd w:val="clear" w:color="auto" w:fill="FFFFFF"/>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202</w:t>
      </w:r>
      <w:r>
        <w:rPr>
          <w:rFonts w:hint="default" w:ascii="Times New Roman" w:hAnsi="Times New Roman" w:eastAsia="方正小标宋简体" w:cs="Times New Roman"/>
          <w:b/>
          <w:bCs/>
          <w:color w:val="000000" w:themeColor="text1"/>
          <w:kern w:val="0"/>
          <w:sz w:val="44"/>
          <w:szCs w:val="44"/>
          <w:lang w:val="en-US" w:eastAsia="zh-CN"/>
          <w14:textFill>
            <w14:solidFill>
              <w14:schemeClr w14:val="tx1"/>
            </w14:solidFill>
          </w14:textFill>
        </w:rPr>
        <w:t>3</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年</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度中央目标价格补贴—稻谷补贴项目</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2"/>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bookmarkStart w:id="103" w:name="_Toc7871"/>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资金分配涉及所有点位自评得分情况表</w:t>
      </w:r>
      <w:bookmarkEnd w:id="10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t>序号</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000000" w:themeColor="text1"/>
                <w:sz w:val="24"/>
                <w:szCs w:val="24"/>
                <w:highlight w:val="none"/>
                <w:u w:val="none"/>
                <w:vertAlign w:val="baseline"/>
                <w:lang w:val="en"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t>项目资金末端分配点位</w:t>
            </w: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vertAlign w:val="baseline"/>
                <w:lang w:val="en" w:eastAsia="zh-CN"/>
                <w14:textFill>
                  <w14:solidFill>
                    <w14:schemeClr w14:val="tx1"/>
                  </w14:solidFill>
                </w14:textFill>
              </w:rPr>
              <w:t>自评得分（百分制）</w:t>
            </w: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1</w:t>
            </w:r>
          </w:p>
        </w:tc>
        <w:tc>
          <w:tcPr>
            <w:tcW w:w="384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 w:eastAsia="zh-CN" w:bidi="ar-SA"/>
              </w:rPr>
            </w:pPr>
            <w:r>
              <w:rPr>
                <w:rFonts w:hint="eastAsia" w:ascii="宋体" w:hAnsi="宋体" w:eastAsia="宋体" w:cs="宋体"/>
                <w:sz w:val="24"/>
                <w:szCs w:val="24"/>
                <w:lang w:val="en-US" w:eastAsia="zh-CN"/>
              </w:rPr>
              <w:t>船山区2023年稻谷目标价格补贴项目</w:t>
            </w: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default" w:ascii="宋体" w:hAnsi="宋体" w:eastAsia="宋体" w:cs="宋体"/>
                <w:color w:val="auto"/>
                <w:kern w:val="2"/>
                <w:sz w:val="24"/>
                <w:szCs w:val="24"/>
                <w:highlight w:val="none"/>
                <w:u w:val="none"/>
                <w:vertAlign w:val="baseline"/>
                <w:lang w:val="en" w:eastAsia="zh-CN" w:bidi="ar-SA"/>
              </w:rPr>
            </w:pPr>
            <w:r>
              <w:rPr>
                <w:rFonts w:hint="eastAsia" w:ascii="宋体" w:hAnsi="宋体" w:eastAsia="宋体" w:cs="宋体"/>
                <w:color w:val="auto"/>
                <w:sz w:val="24"/>
                <w:szCs w:val="24"/>
                <w:highlight w:val="none"/>
                <w:u w:val="none"/>
                <w:vertAlign w:val="baseline"/>
                <w:lang w:val="en-US" w:eastAsia="zh-CN"/>
              </w:rPr>
              <w:t>100</w:t>
            </w: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2</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3</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4</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5</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6</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7</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2"/>
                <w:szCs w:val="22"/>
                <w:highlight w:val="none"/>
                <w:u w:val="none"/>
                <w:lang w:val="en-US" w:eastAsia="zh-CN"/>
                <w14:textFill>
                  <w14:solidFill>
                    <w14:schemeClr w14:val="tx1"/>
                  </w14:solidFill>
                </w14:textFill>
              </w:rPr>
              <w:t>8</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highlight w:val="none"/>
                <w:u w:val="none"/>
                <w:lang w:val="en-US" w:eastAsia="zh-CN"/>
                <w14:textFill>
                  <w14:solidFill>
                    <w14:schemeClr w14:val="tx1"/>
                  </w14:solidFill>
                </w14:textFill>
              </w:rPr>
              <w:t>……</w:t>
            </w:r>
          </w:p>
        </w:tc>
        <w:tc>
          <w:tcPr>
            <w:tcW w:w="384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2861"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 w:eastAsia="zh-CN"/>
                <w14:textFill>
                  <w14:solidFill>
                    <w14:schemeClr w14:val="tx1"/>
                  </w14:solidFill>
                </w14:textFill>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000000" w:themeColor="text1"/>
                <w:sz w:val="22"/>
                <w:szCs w:val="22"/>
                <w:highlight w:val="none"/>
                <w:u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备注：1.项目资金末端分配点位包括市（州）本级、县（市、区）、省级部门下属单位及一次性单位等。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3.项目资金末端分配点位不清楚的，相关业务处室可与计财处联系，8550</w:t>
      </w:r>
      <w:r>
        <w:rPr>
          <w:rFonts w:hint="eastAsia"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5740</w:t>
      </w:r>
      <w:r>
        <w:rPr>
          <w:rFonts w:hint="default"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w:t>
      </w: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pStyle w:val="5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sz w:val="32"/>
          <w:szCs w:val="32"/>
          <w:lang w:val="en-US" w:eastAsia="zh-CN"/>
        </w:rPr>
      </w:pPr>
    </w:p>
    <w:p>
      <w:pPr>
        <w:tabs>
          <w:tab w:val="left" w:pos="1911"/>
        </w:tabs>
        <w:spacing w:beforeLines="0" w:afterLines="0"/>
        <w:ind w:firstLine="640"/>
        <w:jc w:val="left"/>
        <w:rPr>
          <w:rFonts w:hint="default" w:ascii="Times New Roman" w:hAnsi="Times New Roman" w:eastAsia="仿宋_GB2312" w:cs="Times New Roman"/>
          <w:color w:val="000000" w:themeColor="text1"/>
          <w:kern w:val="0"/>
          <w:sz w:val="32"/>
          <w:szCs w:val="32"/>
          <w:highlight w:val="none"/>
          <w:u w:val="none"/>
          <w:shd w:val="clear" w:color="auto" w:fill="FFFFFF"/>
          <w:lang w:val="en" w:eastAsia="zh-CN"/>
          <w14:textFill>
            <w14:solidFill>
              <w14:schemeClr w14:val="tx1"/>
            </w14:solidFill>
          </w14:textFill>
        </w:rPr>
      </w:pPr>
    </w:p>
    <w:p>
      <w:pPr>
        <w:tabs>
          <w:tab w:val="left" w:pos="1911"/>
        </w:tabs>
        <w:spacing w:beforeLines="0" w:afterLines="0"/>
        <w:ind w:firstLine="640"/>
        <w:jc w:val="left"/>
        <w:rPr>
          <w:rFonts w:hint="default" w:ascii="Times New Roman" w:hAnsi="Times New Roman" w:eastAsia="仿宋_GB2312" w:cs="Times New Roman"/>
          <w:color w:val="000000" w:themeColor="text1"/>
          <w:kern w:val="0"/>
          <w:sz w:val="32"/>
          <w:szCs w:val="32"/>
          <w:highlight w:val="none"/>
          <w:u w:val="none"/>
          <w:shd w:val="clear" w:color="auto" w:fill="FFFFFF"/>
          <w:lang w:val="en" w:eastAsia="zh-CN"/>
          <w14:textFill>
            <w14:solidFill>
              <w14:schemeClr w14:val="tx1"/>
            </w14:solidFill>
          </w14:textFill>
        </w:rPr>
      </w:pPr>
    </w:p>
    <w:p>
      <w:pPr>
        <w:pStyle w:val="48"/>
        <w:rPr>
          <w:rFonts w:hint="default" w:ascii="Times New Roman" w:hAnsi="Times New Roman" w:eastAsia="仿宋_GB2312" w:cs="Times New Roman"/>
          <w:color w:val="000000" w:themeColor="text1"/>
          <w:kern w:val="0"/>
          <w:sz w:val="32"/>
          <w:szCs w:val="32"/>
          <w:highlight w:val="none"/>
          <w:u w:val="none"/>
          <w:shd w:val="clear" w:color="auto" w:fill="FFFFFF"/>
          <w:lang w:val="en" w:eastAsia="zh-CN"/>
          <w14:textFill>
            <w14:solidFill>
              <w14:schemeClr w14:val="tx1"/>
            </w14:solidFill>
          </w14:textFill>
        </w:rPr>
      </w:pPr>
    </w:p>
    <w:p>
      <w:pPr>
        <w:pStyle w:val="49"/>
        <w:rPr>
          <w:rFonts w:hint="default" w:ascii="Times New Roman" w:hAnsi="Times New Roman" w:eastAsia="仿宋_GB2312" w:cs="Times New Roman"/>
          <w:color w:val="000000" w:themeColor="text1"/>
          <w:kern w:val="0"/>
          <w:sz w:val="32"/>
          <w:szCs w:val="32"/>
          <w:highlight w:val="none"/>
          <w:u w:val="none"/>
          <w:shd w:val="clear" w:color="auto" w:fill="FFFFFF"/>
          <w:lang w:val="en" w:eastAsia="zh-CN"/>
          <w14:textFill>
            <w14:solidFill>
              <w14:schemeClr w14:val="tx1"/>
            </w14:solidFill>
          </w14:textFill>
        </w:rPr>
      </w:pPr>
    </w:p>
    <w:p>
      <w:pPr>
        <w:rPr>
          <w:rFonts w:hint="default"/>
          <w:lang w:val="en" w:eastAsia="zh-CN"/>
        </w:rPr>
      </w:pPr>
    </w:p>
    <w:p>
      <w:pPr>
        <w:tabs>
          <w:tab w:val="left" w:pos="1911"/>
        </w:tabs>
        <w:spacing w:beforeLines="0" w:afterLines="0"/>
        <w:ind w:firstLine="640"/>
        <w:jc w:val="left"/>
        <w:rPr>
          <w:rFonts w:hint="default" w:ascii="Times New Roman" w:hAnsi="Times New Roman" w:eastAsia="仿宋_GB2312" w:cs="Times New Roman"/>
          <w:color w:val="000000" w:themeColor="text1"/>
          <w:kern w:val="0"/>
          <w:sz w:val="32"/>
          <w:szCs w:val="32"/>
          <w:highlight w:val="none"/>
          <w:u w:val="none"/>
          <w:shd w:val="clear" w:color="auto" w:fill="FFFFFF"/>
          <w:lang w:val="en" w:eastAsia="zh-CN"/>
          <w14:textFill>
            <w14:solidFill>
              <w14:schemeClr w14:val="tx1"/>
            </w14:solidFill>
          </w14:textFill>
        </w:rPr>
      </w:pPr>
    </w:p>
    <w:p>
      <w:pPr>
        <w:pStyle w:val="48"/>
        <w:rPr>
          <w:rFonts w:hint="default"/>
          <w:lang w:val="en" w:eastAsia="zh-CN"/>
        </w:rPr>
      </w:pPr>
    </w:p>
    <w:bookmarkEnd w:id="102"/>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shd w:val="clear" w:color="auto" w:fill="FFFFFF"/>
          <w:lang w:val="en-US" w:eastAsia="zh-CN"/>
          <w14:textFill>
            <w14:solidFill>
              <w14:schemeClr w14:val="tx1"/>
            </w14:solidFill>
          </w14:textFill>
        </w:rPr>
        <w:t>附表2</w:t>
      </w:r>
    </w:p>
    <w:tbl>
      <w:tblPr>
        <w:tblStyle w:val="20"/>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527"/>
        <w:gridCol w:w="1125"/>
        <w:gridCol w:w="960"/>
        <w:gridCol w:w="1080"/>
        <w:gridCol w:w="717"/>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themeColor="text1"/>
                <w:sz w:val="36"/>
                <w:szCs w:val="36"/>
                <w:u w:val="none"/>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2023年度中央目标价格补贴—稻谷补贴项目绩效目标完成情况自评表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项目名称</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2023年度中央目标价格补贴—稻谷补贴项目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预算单位</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Times New Roman"/>
                <w:i w:val="0"/>
                <w:color w:val="000000" w:themeColor="text1"/>
                <w:sz w:val="22"/>
                <w:szCs w:val="22"/>
                <w:u w:val="none"/>
                <w:lang w:val="en-US" w:eastAsia="zh-CN"/>
                <w14:textFill>
                  <w14:solidFill>
                    <w14:schemeClr w14:val="tx1"/>
                  </w14:solidFill>
                </w14:textFill>
              </w:rPr>
              <w:t>遂宁市船山区农业农村局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项目类型</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常年项目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项目 概况</w:t>
            </w: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常年项目）</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四川省农业农村厅、四川省财政厅《关于做好2023年稻谷补贴工作的通知》（川农函〔2023〕</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资金管理办法（名称、文号）</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遂宁市财政局 遂宁市农业农村</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局关于下达</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2023年目标价格补贴（稻谷）的通知》（遂财建〔2023〕79号）</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遂宁市财政局 遂宁市农业农村</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局</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《关于</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清算</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下达202</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年目标价格补贴（稻谷）的通知》（遂财建〔202</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188</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kern w:val="0"/>
                <w:sz w:val="22"/>
                <w:szCs w:val="22"/>
                <w:u w:val="none"/>
                <w:lang w:val="en-US" w:eastAsia="zh-CN" w:bidi="ar"/>
              </w:rPr>
              <w:t>绩效分配方式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Wingdings 2" w:cs="Times New Roman"/>
                <w:i w:val="0"/>
                <w:color w:val="000000" w:themeColor="text1"/>
                <w:sz w:val="22"/>
                <w:szCs w:val="22"/>
                <w:u w:val="none"/>
                <w14:textFill>
                  <w14:solidFill>
                    <w14:schemeClr w14:val="tx1"/>
                  </w14:solidFill>
                </w14:textFill>
              </w:rPr>
            </w:pPr>
            <w:r>
              <w:rPr>
                <w:rFonts w:hint="default" w:ascii="Times New Roman" w:hAnsi="Times New Roman" w:eastAsia="Wingdings 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因素法</w:t>
            </w:r>
          </w:p>
        </w:tc>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themeColor="text1"/>
                <w:sz w:val="22"/>
                <w:szCs w:val="22"/>
                <w:u w:val="none"/>
                <w14:textFill>
                  <w14:solidFill>
                    <w14:schemeClr w14:val="tx1"/>
                  </w14:solidFill>
                </w14:textFill>
              </w:rPr>
            </w:pPr>
            <w:r>
              <w:rPr>
                <w:rFonts w:hint="default" w:ascii="Times New Roman" w:hAnsi="Times New Roman" w:eastAsia="Wingdings 2" w:cs="Times New Roman"/>
                <w:i w:val="0"/>
                <w:color w:val="000000"/>
                <w:kern w:val="0"/>
                <w:sz w:val="22"/>
                <w:szCs w:val="22"/>
                <w:u w:val="none"/>
                <w:lang w:val="en-US" w:eastAsia="zh-CN" w:bidi="ar"/>
              </w:rPr>
              <w:t>£</w:t>
            </w:r>
            <w:r>
              <w:rPr>
                <w:rFonts w:hint="default" w:ascii="Times New Roman" w:hAnsi="Times New Roman" w:cs="Times New Roman" w:eastAsiaTheme="minorEastAsia"/>
                <w:i w:val="0"/>
                <w:color w:val="000000"/>
                <w:kern w:val="0"/>
                <w:sz w:val="22"/>
                <w:szCs w:val="22"/>
                <w:u w:val="none"/>
                <w:lang w:val="en-US" w:eastAsia="zh-CN" w:bidi="ar"/>
              </w:rPr>
              <w:t>项目法</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Wingdings 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据实</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kern w:val="0"/>
                <w:sz w:val="22"/>
                <w:szCs w:val="22"/>
                <w:u w:val="none"/>
                <w:lang w:val="en-US" w:eastAsia="zh-CN" w:bidi="ar"/>
              </w:rPr>
              <w:t>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themeColor="text1"/>
                <w:sz w:val="22"/>
                <w:szCs w:val="22"/>
                <w:u w:val="none"/>
                <w14:textFill>
                  <w14:solidFill>
                    <w14:schemeClr w14:val="tx1"/>
                  </w14:solidFill>
                </w14:textFill>
              </w:rPr>
            </w:pPr>
            <w:r>
              <w:rPr>
                <w:rFonts w:hint="default" w:ascii="Times New Roman" w:hAnsi="Times New Roman" w:eastAsia="Wingdings 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立项依据</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遂宁市财政局 遂宁市农业农村</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局关于下达</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2023年目标价格补贴（稻谷）的通知》（遂财建〔2023〕79号）</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遂宁市财政局 遂宁市农业农村</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局</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《关于</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清算</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下达202</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年目标价格补贴（稻谷）的通知》（遂财建〔202</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188</w:t>
            </w: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使用范围</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老池镇、仁里镇、龙凤镇、桂花镇、永兴镇、河沙镇、唐家乡</w:t>
            </w:r>
          </w:p>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申报（补助）条件</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全区行政区划范围内合法耕地（即通过合法程序获得合法经营权）上的稻谷实际生产者（包括农民、种粮大户、家庭农场、农民专业合作社等）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项目起止年限</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Times New Roman"/>
                <w:i w:val="0"/>
                <w:color w:val="000000" w:themeColor="text1"/>
                <w:sz w:val="22"/>
                <w:szCs w:val="22"/>
                <w:u w:val="none"/>
                <w:lang w:val="en-US" w:eastAsia="zh-CN"/>
                <w14:textFill>
                  <w14:solidFill>
                    <w14:schemeClr w14:val="tx1"/>
                  </w14:solidFill>
                </w14:textFill>
              </w:rPr>
              <w:t>2023年-2023年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（万元）</w:t>
            </w:r>
          </w:p>
        </w:tc>
        <w:tc>
          <w:tcPr>
            <w:tcW w:w="2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年度资金总额：</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kern w:val="0"/>
                <w:sz w:val="22"/>
                <w:szCs w:val="22"/>
                <w:u w:val="none"/>
                <w:lang w:val="en-US" w:eastAsia="zh-CN" w:bidi="ar"/>
              </w:rPr>
            </w:pPr>
            <w:r>
              <w:rPr>
                <w:rFonts w:hint="eastAsia" w:ascii="Times New Roman" w:hAnsi="Times New Roman" w:eastAsia="Wingdings 2" w:cs="Times New Roman"/>
                <w:i w:val="0"/>
                <w:color w:val="000000"/>
                <w:kern w:val="0"/>
                <w:sz w:val="22"/>
                <w:szCs w:val="22"/>
                <w:u w:val="none"/>
                <w:lang w:val="en-US" w:eastAsia="zh-CN" w:bidi="ar"/>
              </w:rPr>
              <w:t>81.9343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其中：财政拨款</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kern w:val="0"/>
                <w:sz w:val="22"/>
                <w:szCs w:val="22"/>
                <w:u w:val="none"/>
                <w:lang w:val="en-US" w:eastAsia="zh-CN" w:bidi="ar"/>
              </w:rPr>
            </w:pPr>
            <w:r>
              <w:rPr>
                <w:rFonts w:hint="eastAsia" w:ascii="Times New Roman" w:hAnsi="Times New Roman" w:eastAsia="Wingdings 2" w:cs="Times New Roman"/>
                <w:i w:val="0"/>
                <w:color w:val="000000"/>
                <w:kern w:val="0"/>
                <w:sz w:val="22"/>
                <w:szCs w:val="22"/>
                <w:u w:val="none"/>
                <w:lang w:val="en-US" w:eastAsia="zh-CN" w:bidi="ar"/>
              </w:rPr>
              <w:t>81.9343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其他资金</w:t>
            </w:r>
          </w:p>
        </w:tc>
        <w:tc>
          <w:tcPr>
            <w:tcW w:w="57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落实好稻谷补贴有关工作，结合实际制定具体补贴方案，实现补贴资金及兑付、保障优势区稻谷种植收益基本稳定、引导种植结构调整、促进增进绿色优质稻谷供给、支持深化稻谷收储制度改革等绩效目标。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二级指标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指标性质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度量单位</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数量指标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zh-CN" w:eastAsia="zh-CN" w:bidi="ar"/>
              </w:rPr>
              <w:t>补贴资金用于稻谷相关支出的比例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质量指标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是否建立部门间协调机制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zh-CN"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建立稻谷目标价格补贴的补贴公示等制度落实率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时效指标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及时制定符合当地实际的补贴实施方案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cs="宋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及时兑付补贴资金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保障优势产区稻谷种植收益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基本稳定</w:t>
            </w:r>
          </w:p>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基本稳定</w:t>
            </w:r>
          </w:p>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2023年绿色优质稻谷种植面积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定性</w:t>
            </w:r>
          </w:p>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高于去年</w:t>
            </w:r>
          </w:p>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高于去年</w:t>
            </w:r>
          </w:p>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0"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2023年稻谷种植面积与上年比较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定性</w:t>
            </w:r>
          </w:p>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基本稳定</w:t>
            </w:r>
          </w:p>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基本稳定</w:t>
            </w:r>
          </w:p>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w:t>
            </w:r>
          </w:p>
        </w:tc>
        <w:tc>
          <w:tcPr>
            <w:tcW w:w="12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满意度指标</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稻谷种植者等补贴对象的满意度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指标</w:t>
            </w:r>
          </w:p>
        </w:tc>
        <w:tc>
          <w:tcPr>
            <w:tcW w:w="1527"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补贴标准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82.58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元/亩</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82.58</w:t>
            </w:r>
            <w:r>
              <w:rPr>
                <w:rFonts w:hint="default" w:ascii="宋体" w:hAnsi="宋体" w:eastAsia="宋体" w:cs="宋体"/>
                <w:i w:val="0"/>
                <w:color w:val="000000"/>
                <w:kern w:val="0"/>
                <w:sz w:val="24"/>
                <w:szCs w:val="24"/>
                <w:u w:val="none"/>
                <w:lang w:val="en-US" w:eastAsia="zh-CN" w:bidi="ar"/>
              </w:rPr>
              <w:t>元</w:t>
            </w:r>
            <w:r>
              <w:rPr>
                <w:rFonts w:hint="eastAsia" w:ascii="宋体" w:hAnsi="宋体" w:eastAsia="宋体" w:cs="宋体"/>
                <w:i w:val="0"/>
                <w:color w:val="000000"/>
                <w:kern w:val="0"/>
                <w:sz w:val="24"/>
                <w:szCs w:val="24"/>
                <w:u w:val="none"/>
                <w:lang w:val="en-US" w:eastAsia="zh-CN" w:bidi="ar"/>
              </w:rPr>
              <w:t>/亩</w:t>
            </w:r>
          </w:p>
        </w:tc>
      </w:tr>
    </w:tbl>
    <w:p>
      <w:pPr>
        <w:ind w:firstLine="420" w:firstLineChars="200"/>
        <w:rPr>
          <w:rFonts w:hint="default" w:ascii="Times New Roman" w:hAnsi="Times New Roman" w:eastAsia="宋体" w:cs="Times New Roman"/>
          <w:color w:val="000000" w:themeColor="text1"/>
          <w:kern w:val="0"/>
          <w14:textFill>
            <w14:solidFill>
              <w14:schemeClr w14:val="tx1"/>
            </w14:solidFill>
          </w14:textFill>
        </w:rPr>
      </w:pPr>
    </w:p>
    <w:p>
      <w:pPr>
        <w:spacing w:line="600" w:lineRule="exact"/>
        <w:ind w:firstLine="2200" w:firstLineChars="500"/>
        <w:jc w:val="both"/>
        <w:outlineLvl w:val="9"/>
        <w:rPr>
          <w:rFonts w:hint="eastAsia" w:ascii="黑体" w:hAnsi="黑体" w:eastAsia="黑体"/>
          <w:color w:val="auto"/>
          <w:sz w:val="44"/>
          <w:szCs w:val="44"/>
          <w:highlight w:val="none"/>
        </w:rPr>
      </w:pPr>
    </w:p>
    <w:p>
      <w:pPr>
        <w:spacing w:line="600" w:lineRule="exact"/>
        <w:ind w:firstLine="2200" w:firstLineChars="500"/>
        <w:jc w:val="both"/>
        <w:outlineLvl w:val="9"/>
        <w:rPr>
          <w:rFonts w:hint="eastAsia" w:ascii="黑体" w:hAnsi="黑体" w:eastAsia="黑体"/>
          <w:color w:val="auto"/>
          <w:sz w:val="44"/>
          <w:szCs w:val="44"/>
          <w:highlight w:val="none"/>
        </w:rPr>
      </w:pPr>
    </w:p>
    <w:p>
      <w:pPr>
        <w:pStyle w:val="19"/>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19"/>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19"/>
        <w:rPr>
          <w:rFonts w:hint="eastAsia" w:ascii="黑体" w:hAnsi="黑体" w:eastAsia="黑体"/>
          <w:color w:val="auto"/>
          <w:sz w:val="44"/>
          <w:szCs w:val="44"/>
          <w:highlight w:val="none"/>
        </w:rPr>
      </w:pPr>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幼圆" w:hAnsi="幼圆" w:eastAsia="幼圆" w:cs="幼圆"/>
          <w:b/>
          <w:bCs/>
          <w:color w:val="auto"/>
          <w:kern w:val="2"/>
          <w:sz w:val="36"/>
          <w:szCs w:val="36"/>
          <w:highlight w:val="none"/>
          <w:lang w:val="en-US" w:eastAsia="zh-CN"/>
        </w:rPr>
      </w:pPr>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仿宋_GB2312" w:cs="Times New Roman"/>
          <w:color w:val="auto"/>
          <w:kern w:val="0"/>
          <w:sz w:val="36"/>
          <w:szCs w:val="36"/>
          <w:highlight w:val="none"/>
          <w:u w:val="none"/>
          <w:shd w:val="clear" w:color="auto" w:fill="FFFFFF"/>
          <w:lang w:val="en-US" w:eastAsia="zh-CN" w:bidi="ar-SA"/>
        </w:rPr>
      </w:pPr>
      <w:bookmarkStart w:id="104" w:name="bookmark0"/>
      <w:bookmarkStart w:id="105" w:name="bookmark2"/>
      <w:bookmarkStart w:id="106" w:name="bookmark1"/>
      <w:r>
        <w:rPr>
          <w:rFonts w:hint="eastAsia" w:ascii="Times New Roman" w:hAnsi="Times New Roman" w:eastAsia="仿宋_GB2312" w:cs="Times New Roman"/>
          <w:color w:val="auto"/>
          <w:kern w:val="0"/>
          <w:sz w:val="36"/>
          <w:szCs w:val="36"/>
          <w:highlight w:val="none"/>
          <w:u w:val="none"/>
          <w:shd w:val="clear" w:color="auto" w:fill="FFFFFF"/>
          <w:lang w:val="en-US" w:eastAsia="zh-CN" w:bidi="ar-SA"/>
        </w:rPr>
        <w:t>2023年省级财政农业改革创新科技示范奖补资金（贷款贴息方向）</w:t>
      </w:r>
      <w:bookmarkEnd w:id="104"/>
      <w:bookmarkEnd w:id="105"/>
      <w:bookmarkEnd w:id="106"/>
    </w:p>
    <w:p>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仿宋_GB2312" w:cs="Times New Roman"/>
          <w:color w:val="auto"/>
          <w:kern w:val="0"/>
          <w:sz w:val="36"/>
          <w:szCs w:val="36"/>
          <w:highlight w:val="none"/>
          <w:u w:val="none"/>
          <w:shd w:val="clear" w:color="auto" w:fill="FFFFFF"/>
          <w:lang w:val="en-US" w:eastAsia="zh-CN" w:bidi="ar-SA"/>
        </w:rPr>
      </w:pPr>
      <w:r>
        <w:rPr>
          <w:rFonts w:hint="eastAsia" w:ascii="Times New Roman" w:hAnsi="Times New Roman" w:eastAsia="仿宋_GB2312" w:cs="Times New Roman"/>
          <w:color w:val="auto"/>
          <w:kern w:val="0"/>
          <w:sz w:val="36"/>
          <w:szCs w:val="36"/>
          <w:highlight w:val="none"/>
          <w:u w:val="none"/>
          <w:shd w:val="clear" w:color="auto" w:fill="FFFFFF"/>
          <w:lang w:val="en-US" w:eastAsia="zh-CN" w:bidi="ar-SA"/>
        </w:rPr>
        <w:t>项目绩效评价报告</w:t>
      </w:r>
    </w:p>
    <w:p>
      <w:pPr>
        <w:adjustRightInd w:val="0"/>
        <w:snapToGrid w:val="0"/>
        <w:spacing w:beforeLines="0" w:afterLines="0" w:line="578" w:lineRule="exact"/>
        <w:outlineLvl w:val="1"/>
        <w:rPr>
          <w:rFonts w:hint="eastAsia" w:ascii="Times New Roman" w:hAnsi="Times New Roman" w:eastAsia="黑体" w:cs="Times New Roman"/>
          <w:color w:val="auto"/>
          <w:sz w:val="32"/>
          <w:szCs w:val="32"/>
          <w:lang w:val="zh-CN"/>
        </w:rPr>
      </w:pPr>
      <w:bookmarkStart w:id="107" w:name="_Toc10502"/>
      <w:r>
        <w:rPr>
          <w:rFonts w:hint="eastAsia" w:ascii="Times New Roman" w:hAnsi="Times New Roman" w:eastAsia="黑体" w:cs="Times New Roman"/>
          <w:color w:val="auto"/>
          <w:sz w:val="32"/>
          <w:szCs w:val="32"/>
          <w:lang w:val="zh-CN"/>
        </w:rPr>
        <w:t>一、项目概况</w:t>
      </w:r>
      <w:bookmarkEnd w:id="107"/>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zh-CN"/>
        </w:rPr>
      </w:pPr>
      <w:bookmarkStart w:id="108" w:name="_Toc10491"/>
      <w:r>
        <w:rPr>
          <w:rFonts w:hint="eastAsia" w:ascii="Times New Roman" w:hAnsi="Times New Roman" w:eastAsia="楷体_GB2312" w:cs="Times New Roman"/>
          <w:b/>
          <w:color w:val="auto"/>
          <w:sz w:val="32"/>
          <w:szCs w:val="32"/>
          <w:lang w:val="zh-CN"/>
        </w:rPr>
        <w:t>（一）设立背景及基本情况</w:t>
      </w:r>
      <w:bookmarkEnd w:id="108"/>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1.项目设立原因及背景</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根据《四川省农业农村厅四川省财政厅关于做好2023年农业产业化银行贷款贴息申报工作的通知》文件，大力发展农业产业化，降低补助对象融资成本，带动农户增收，促进农业产业发展，助力乡村振兴。</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项目立项、资金申报的依据：</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根据《四川省财政厅 四川省农业农村厅关于下达2023年省级财政农业改革创新科技示范奖补资金（贷款贴息方向）》（川财农〔2023〕105号），下达我区2023年省级财政农业改革创</w:t>
      </w:r>
      <w:r>
        <w:rPr>
          <w:rFonts w:hint="eastAsia" w:eastAsia="仿宋_GB2312" w:cs="Times New Roman"/>
          <w:color w:val="auto"/>
          <w:kern w:val="0"/>
          <w:sz w:val="32"/>
          <w:szCs w:val="32"/>
          <w:highlight w:val="none"/>
          <w:u w:val="none"/>
          <w:shd w:val="clear" w:color="auto" w:fill="FFFFFF"/>
          <w:lang w:val="en-US" w:eastAsia="zh-CN"/>
        </w:rPr>
        <w:t>新</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科技示范奖补资金（贴息方向）100万元，用于农业产业化银行贷款项目财政贴息。</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项目基本情况及主要内容：对农业产业化项目进行财政贴息。</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4、</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主管部门职能：</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遂宁市船山区农业农村局作为项目主管部门，根据《四川省财政厅 四川省农业农村厅关于下达2023年省级财政农业改革创新科技示范奖补资金（贷款贴息方向）》（川财农〔2023〕105号）</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精神，</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对美宁食品有限公司进行贷款贴息补助，并指导和监督我区</w:t>
      </w:r>
      <w:r>
        <w:rPr>
          <w:rFonts w:hint="eastAsia" w:eastAsia="仿宋_GB2312" w:cs="Times New Roman"/>
          <w:color w:val="auto"/>
          <w:kern w:val="0"/>
          <w:sz w:val="32"/>
          <w:szCs w:val="32"/>
          <w:highlight w:val="none"/>
          <w:u w:val="none"/>
          <w:shd w:val="clear" w:color="auto" w:fill="FFFFFF"/>
          <w:lang w:val="en-US" w:eastAsia="zh-CN"/>
        </w:rPr>
        <w:t>公</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司项目建设和管理工作，确保项目资金专款专用、项目按质按期完成。</w:t>
      </w:r>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en-US" w:eastAsia="zh-CN"/>
        </w:rPr>
      </w:pPr>
      <w:bookmarkStart w:id="109" w:name="_Toc9138"/>
      <w:r>
        <w:rPr>
          <w:rFonts w:hint="eastAsia" w:ascii="Times New Roman" w:hAnsi="Times New Roman" w:eastAsia="楷体_GB2312" w:cs="Times New Roman"/>
          <w:b/>
          <w:color w:val="auto"/>
          <w:sz w:val="32"/>
          <w:szCs w:val="32"/>
          <w:lang w:val="zh-CN"/>
        </w:rPr>
        <w:t>（二）</w:t>
      </w:r>
      <w:r>
        <w:rPr>
          <w:rFonts w:hint="eastAsia" w:ascii="Times New Roman" w:hAnsi="Times New Roman" w:eastAsia="楷体_GB2312" w:cs="Times New Roman"/>
          <w:b/>
          <w:color w:val="auto"/>
          <w:sz w:val="32"/>
          <w:szCs w:val="32"/>
          <w:lang w:val="en-US" w:eastAsia="zh-CN"/>
        </w:rPr>
        <w:t>实施目的及支持方向</w:t>
      </w:r>
      <w:bookmarkEnd w:id="109"/>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1.项目资金</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管理办法制定情况：</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我单位严格按照相关资金支付管理办法规定和要求，切实加强资金管理和监督，加快预算执行进度，提高资金使用效益。在资金申报、审核、拨付等环节，对发现的问题及时整改，对弄虚作假、挤占、截留、挪用和套取补贴资金等违规行为，依法依规给予严肃处理。</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降低补助对象融资成本，对美宁食品有限公司进行贷款贴息补助。</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项目支持方向：</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降低补助对象融资成本，推动农业产业化发展。</w:t>
      </w:r>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zh-CN" w:eastAsia="zh-CN"/>
        </w:rPr>
      </w:pPr>
      <w:bookmarkStart w:id="110" w:name="_Toc32509"/>
      <w:r>
        <w:rPr>
          <w:rFonts w:hint="eastAsia" w:ascii="Times New Roman" w:hAnsi="Times New Roman" w:eastAsia="楷体_GB2312" w:cs="Times New Roman"/>
          <w:b/>
          <w:color w:val="auto"/>
          <w:sz w:val="32"/>
          <w:szCs w:val="32"/>
          <w:lang w:val="zh-CN" w:eastAsia="zh-CN"/>
        </w:rPr>
        <w:t>（三）</w:t>
      </w:r>
      <w:r>
        <w:rPr>
          <w:rFonts w:hint="eastAsia" w:ascii="Times New Roman" w:hAnsi="Times New Roman" w:eastAsia="楷体_GB2312" w:cs="Times New Roman"/>
          <w:b/>
          <w:color w:val="auto"/>
          <w:sz w:val="32"/>
          <w:szCs w:val="32"/>
          <w:lang w:val="en-US" w:eastAsia="zh-CN"/>
        </w:rPr>
        <w:t>预算安排及分配管理</w:t>
      </w:r>
      <w:bookmarkEnd w:id="110"/>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楷体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遵循公平、公正、效率的原则，重点考虑</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项目的</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可持续性。美宁食品有限公司获得</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贷款贴息补助资金100万元。</w:t>
      </w:r>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zh-CN" w:eastAsia="zh-CN"/>
        </w:rPr>
      </w:pPr>
      <w:bookmarkStart w:id="111" w:name="_Toc6456"/>
      <w:r>
        <w:rPr>
          <w:rFonts w:hint="eastAsia" w:ascii="Times New Roman" w:hAnsi="Times New Roman" w:eastAsia="楷体_GB2312" w:cs="Times New Roman"/>
          <w:b/>
          <w:color w:val="auto"/>
          <w:sz w:val="32"/>
          <w:szCs w:val="32"/>
          <w:lang w:val="zh-CN" w:eastAsia="zh-CN"/>
        </w:rPr>
        <w:t>（四）项目绩效目标设置</w:t>
      </w:r>
      <w:bookmarkEnd w:id="111"/>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w:t>
      </w:r>
      <w:r>
        <w:rPr>
          <w:rFonts w:hint="eastAsia" w:ascii="Times New Roman" w:hAnsi="Times New Roman"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项目整体区域绩效目标设置情况：该项目总投资17680万元，其中自筹资金3000万元，银行贷款14680万元，本次下达省级财政贴息资金100万元。</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具体绩效目标设置情况：</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数量指标：贷款贴息补助企业数量≥1家</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质量指标：补贴发放精准率＝100%</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时效指标：项目实施时间＝12月</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经济效益指标：降低补助对象融资成本定性优</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服务对象满意度指标：受益对象满意度≥90%</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经济成本指标：贷款贴息补助企业平均成本≤1000000元.</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项目自评工作开展情况：</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项目方案编制情况，资金拨付的及时性和准确性，监督监管工作，等项目开展情况、资金拨付情况以及项目成果综合考虑2023年省级财政农业改革创新科技示范奖补资金（贷款贴息方向）项目的经济效益和社会效益。</w:t>
      </w:r>
    </w:p>
    <w:p>
      <w:pPr>
        <w:adjustRightInd w:val="0"/>
        <w:snapToGrid w:val="0"/>
        <w:spacing w:beforeLines="0" w:afterLines="0" w:line="578" w:lineRule="exact"/>
        <w:ind w:firstLine="640" w:firstLineChars="200"/>
        <w:outlineLvl w:val="1"/>
        <w:rPr>
          <w:rFonts w:hint="eastAsia" w:ascii="Times New Roman" w:hAnsi="Times New Roman" w:eastAsia="黑体" w:cs="Times New Roman"/>
          <w:color w:val="auto"/>
          <w:sz w:val="32"/>
          <w:szCs w:val="32"/>
          <w:lang w:val="zh-CN" w:eastAsia="zh-CN"/>
        </w:rPr>
      </w:pPr>
      <w:bookmarkStart w:id="112" w:name="_Toc23264"/>
      <w:r>
        <w:rPr>
          <w:rFonts w:hint="eastAsia" w:ascii="Times New Roman" w:hAnsi="Times New Roman" w:eastAsia="黑体" w:cs="Times New Roman"/>
          <w:color w:val="auto"/>
          <w:sz w:val="32"/>
          <w:szCs w:val="32"/>
          <w:lang w:val="zh-CN" w:eastAsia="zh-CN"/>
        </w:rPr>
        <w:t>二、评价实施</w:t>
      </w:r>
      <w:bookmarkEnd w:id="112"/>
    </w:p>
    <w:p>
      <w:pPr>
        <w:widowControl/>
        <w:numPr>
          <w:ilvl w:val="0"/>
          <w:numId w:val="0"/>
        </w:numPr>
        <w:adjustRightInd w:val="0"/>
        <w:snapToGrid w:val="0"/>
        <w:spacing w:beforeLines="0" w:afterLines="0" w:line="578" w:lineRule="exact"/>
        <w:ind w:firstLine="643"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楷体_GB2312" w:cs="Times New Roman"/>
          <w:b/>
          <w:color w:val="auto"/>
          <w:sz w:val="32"/>
          <w:szCs w:val="32"/>
          <w:lang w:val="zh-CN" w:eastAsia="zh-CN"/>
        </w:rPr>
        <w:t>（一）评价目的。</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通过项目绩效自评，客观反映项目实施效果，发现</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项目工作</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存在</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的</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问题，提出改进措施。</w:t>
      </w:r>
    </w:p>
    <w:p>
      <w:pPr>
        <w:widowControl/>
        <w:numPr>
          <w:ilvl w:val="0"/>
          <w:numId w:val="0"/>
        </w:numPr>
        <w:adjustRightInd w:val="0"/>
        <w:snapToGrid w:val="0"/>
        <w:spacing w:beforeLines="0" w:afterLines="0" w:line="578" w:lineRule="exact"/>
        <w:ind w:firstLine="643"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楷体_GB2312" w:cs="Times New Roman"/>
          <w:b/>
          <w:color w:val="auto"/>
          <w:sz w:val="32"/>
          <w:szCs w:val="32"/>
          <w:lang w:val="zh-CN" w:eastAsia="zh-CN"/>
        </w:rPr>
        <w:t>（二）预设问题及评价重点。</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针对资金使用、项目管理、活动效果等方面预设问题，重点评价资金使用的合规性、有效性及项目的实施成果。</w:t>
      </w:r>
    </w:p>
    <w:p>
      <w:pPr>
        <w:widowControl/>
        <w:numPr>
          <w:ilvl w:val="0"/>
          <w:numId w:val="0"/>
        </w:numPr>
        <w:adjustRightInd w:val="0"/>
        <w:snapToGrid w:val="0"/>
        <w:spacing w:beforeLines="0" w:afterLines="0" w:line="578" w:lineRule="exact"/>
        <w:ind w:firstLine="643"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楷体_GB2312" w:cs="Times New Roman"/>
          <w:b/>
          <w:color w:val="auto"/>
          <w:sz w:val="32"/>
          <w:szCs w:val="32"/>
          <w:lang w:val="zh-CN" w:eastAsia="zh-CN"/>
        </w:rPr>
        <w:t>（三）评价选点。</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项目绩效自评</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对美宁食品有限公司进行贷款贴息补助的相关工作</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进行全面、系统的评估。</w:t>
      </w:r>
    </w:p>
    <w:p>
      <w:pPr>
        <w:widowControl/>
        <w:numPr>
          <w:ilvl w:val="0"/>
          <w:numId w:val="0"/>
        </w:numPr>
        <w:adjustRightInd w:val="0"/>
        <w:snapToGrid w:val="0"/>
        <w:spacing w:beforeLines="0" w:afterLines="0" w:line="578" w:lineRule="exact"/>
        <w:ind w:firstLine="643"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楷体_GB2312" w:cs="Times New Roman"/>
          <w:b/>
          <w:color w:val="auto"/>
          <w:sz w:val="32"/>
          <w:szCs w:val="32"/>
          <w:lang w:val="zh-CN" w:eastAsia="zh-CN"/>
        </w:rPr>
        <w:t>（四）评价方法。</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采用走访调查方法对本项目</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的各项工作进行全面、系统的评估，以得出评价结果。</w:t>
      </w:r>
    </w:p>
    <w:p>
      <w:pPr>
        <w:adjustRightInd w:val="0"/>
        <w:snapToGrid w:val="0"/>
        <w:spacing w:beforeLines="0" w:afterLines="0" w:line="578" w:lineRule="exact"/>
        <w:ind w:firstLine="640" w:firstLineChars="200"/>
        <w:outlineLvl w:val="1"/>
        <w:rPr>
          <w:rFonts w:hint="eastAsia" w:ascii="Times New Roman" w:hAnsi="Times New Roman" w:eastAsia="黑体" w:cs="Times New Roman"/>
          <w:color w:val="auto"/>
          <w:sz w:val="32"/>
          <w:szCs w:val="32"/>
          <w:lang w:val="zh-CN" w:eastAsia="zh-CN"/>
        </w:rPr>
      </w:pPr>
      <w:bookmarkStart w:id="113" w:name="_Toc26319"/>
      <w:r>
        <w:rPr>
          <w:rFonts w:hint="eastAsia" w:ascii="Times New Roman" w:hAnsi="Times New Roman" w:eastAsia="黑体" w:cs="Times New Roman"/>
          <w:color w:val="auto"/>
          <w:sz w:val="32"/>
          <w:szCs w:val="32"/>
          <w:lang w:val="zh-CN" w:eastAsia="zh-CN"/>
        </w:rPr>
        <w:t>三、绩效分析</w:t>
      </w:r>
      <w:bookmarkEnd w:id="113"/>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en-US" w:eastAsia="zh-CN"/>
        </w:rPr>
      </w:pPr>
      <w:bookmarkStart w:id="114" w:name="_Toc2680"/>
      <w:r>
        <w:rPr>
          <w:rFonts w:hint="eastAsia" w:ascii="Times New Roman" w:hAnsi="Times New Roman" w:eastAsia="楷体_GB2312" w:cs="Times New Roman"/>
          <w:b/>
          <w:color w:val="auto"/>
          <w:sz w:val="32"/>
          <w:szCs w:val="32"/>
          <w:lang w:val="zh-CN" w:eastAsia="zh-CN"/>
        </w:rPr>
        <w:t>（一）</w:t>
      </w:r>
      <w:r>
        <w:rPr>
          <w:rFonts w:hint="eastAsia" w:ascii="Times New Roman" w:hAnsi="Times New Roman" w:eastAsia="楷体_GB2312" w:cs="Times New Roman"/>
          <w:b/>
          <w:color w:val="auto"/>
          <w:sz w:val="32"/>
          <w:szCs w:val="32"/>
          <w:lang w:val="en-US" w:eastAsia="zh-CN"/>
        </w:rPr>
        <w:t>通用指标</w:t>
      </w:r>
      <w:r>
        <w:rPr>
          <w:rFonts w:hint="eastAsia" w:ascii="Times New Roman" w:hAnsi="Times New Roman" w:eastAsia="楷体_GB2312" w:cs="Times New Roman"/>
          <w:b/>
          <w:color w:val="auto"/>
          <w:sz w:val="32"/>
          <w:szCs w:val="32"/>
          <w:lang w:val="zh-CN" w:eastAsia="zh-CN"/>
        </w:rPr>
        <w:t>绩效分析。</w:t>
      </w:r>
      <w:bookmarkEnd w:id="114"/>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1.</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项目决策。</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进行了深入的市场调研和需求分析，准确</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把握农业生产企业的</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实际需求。项目目标的设定上，明确了</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降低补助对象融资成本的目的</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，确保了</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此</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项目的针对性和实效性。决策过程中充分考虑了资源的合理配置和风险控制，为项目的顺利实施奠定了坚实的基础。</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项目管理。</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建立了完善的项目管理制度和流程，注重项目的监控和评估，及时发现问题并采取相应措施进行调整和优化。</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3.项目实施。</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严格按照</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项目实施方案</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计划进行，确保了项目的顺利推进。</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4.项目结果。</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该项目由美宁食品有限公司</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获得</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贷款贴息补助资金100万元，直接降低补助对象融资成本，助力企业发展，推动农业社会化服务的发展。</w:t>
      </w:r>
    </w:p>
    <w:p>
      <w:pPr>
        <w:widowControl/>
        <w:numPr>
          <w:ilvl w:val="0"/>
          <w:numId w:val="0"/>
        </w:numPr>
        <w:adjustRightInd w:val="0"/>
        <w:snapToGrid w:val="0"/>
        <w:spacing w:beforeLines="0" w:afterLines="0" w:line="578" w:lineRule="exact"/>
        <w:ind w:firstLine="643" w:firstLineChars="200"/>
        <w:jc w:val="left"/>
        <w:outlineLvl w:val="2"/>
        <w:rPr>
          <w:rFonts w:hint="eastAsia" w:ascii="Times New Roman" w:hAnsi="Times New Roman" w:eastAsia="楷体_GB2312" w:cs="Times New Roman"/>
          <w:b/>
          <w:color w:val="auto"/>
          <w:sz w:val="32"/>
          <w:szCs w:val="32"/>
          <w:lang w:val="zh-CN" w:eastAsia="zh-CN"/>
        </w:rPr>
      </w:pPr>
      <w:bookmarkStart w:id="115" w:name="_Toc23180"/>
      <w:r>
        <w:rPr>
          <w:rFonts w:hint="eastAsia" w:ascii="Times New Roman" w:hAnsi="Times New Roman" w:eastAsia="楷体_GB2312" w:cs="Times New Roman"/>
          <w:b/>
          <w:color w:val="auto"/>
          <w:sz w:val="32"/>
          <w:szCs w:val="32"/>
          <w:lang w:val="zh-CN" w:eastAsia="zh-CN"/>
        </w:rPr>
        <w:t>（二）</w:t>
      </w:r>
      <w:r>
        <w:rPr>
          <w:rFonts w:hint="eastAsia" w:ascii="Times New Roman" w:hAnsi="Times New Roman" w:eastAsia="楷体_GB2312" w:cs="Times New Roman"/>
          <w:b/>
          <w:color w:val="auto"/>
          <w:sz w:val="32"/>
          <w:szCs w:val="32"/>
          <w:lang w:val="en-US" w:eastAsia="zh-CN"/>
        </w:rPr>
        <w:t>专用指标</w:t>
      </w:r>
      <w:r>
        <w:rPr>
          <w:rFonts w:hint="eastAsia" w:ascii="Times New Roman" w:hAnsi="Times New Roman" w:eastAsia="楷体_GB2312" w:cs="Times New Roman"/>
          <w:b/>
          <w:color w:val="auto"/>
          <w:sz w:val="32"/>
          <w:szCs w:val="32"/>
          <w:lang w:val="zh-CN" w:eastAsia="zh-CN"/>
        </w:rPr>
        <w:t>绩效分析。</w:t>
      </w:r>
      <w:bookmarkEnd w:id="115"/>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产业发展：</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2023年省级财政农业改革创新科技示范奖补资金（贷款贴息方向）项目直接降低补助对象融资成本，鼓励了企业的生产发展积极性，助力企业发展，推动农业社会化服务的发展，助力我区现代农业产业高质量高效率发展。</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个性指标</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绩效分析。</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可持续性</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分析：</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项目直接降低补助对象融资成本，鼓励了企业的生产发展积极性，对我市现代农业发展具有可持续性。</w:t>
      </w:r>
    </w:p>
    <w:p>
      <w:pPr>
        <w:pStyle w:val="2"/>
        <w:widowControl w:val="0"/>
        <w:numPr>
          <w:ilvl w:val="0"/>
          <w:numId w:val="0"/>
        </w:numPr>
        <w:tabs>
          <w:tab w:val="left" w:pos="2160"/>
        </w:tabs>
        <w:spacing w:beforeLines="0" w:afterLines="0" w:line="600" w:lineRule="exact"/>
        <w:ind w:firstLine="640" w:firstLineChars="200"/>
        <w:jc w:val="both"/>
        <w:outlineLvl w:val="1"/>
        <w:rPr>
          <w:rFonts w:hint="eastAsia" w:ascii="Times New Roman" w:hAnsi="Times New Roman" w:eastAsia="黑体" w:cs="Times New Roman"/>
          <w:color w:val="auto"/>
          <w:kern w:val="2"/>
          <w:position w:val="0"/>
          <w:sz w:val="32"/>
          <w:szCs w:val="32"/>
          <w:lang w:val="zh-CN" w:eastAsia="zh-CN"/>
        </w:rPr>
      </w:pPr>
      <w:bookmarkStart w:id="116" w:name="_Toc17620"/>
      <w:r>
        <w:rPr>
          <w:rFonts w:hint="eastAsia" w:ascii="Times New Roman" w:hAnsi="Times New Roman" w:eastAsia="黑体" w:cs="Times New Roman"/>
          <w:color w:val="auto"/>
          <w:kern w:val="2"/>
          <w:position w:val="0"/>
          <w:sz w:val="32"/>
          <w:szCs w:val="32"/>
          <w:lang w:val="en-US" w:eastAsia="zh-CN"/>
        </w:rPr>
        <w:t>四、</w:t>
      </w:r>
      <w:r>
        <w:rPr>
          <w:rFonts w:hint="eastAsia" w:ascii="Times New Roman" w:hAnsi="Times New Roman" w:eastAsia="黑体" w:cs="Times New Roman"/>
          <w:color w:val="auto"/>
          <w:kern w:val="2"/>
          <w:position w:val="0"/>
          <w:sz w:val="32"/>
          <w:szCs w:val="32"/>
          <w:lang w:val="zh-CN" w:eastAsia="zh-CN"/>
        </w:rPr>
        <w:t>评价结论</w:t>
      </w:r>
      <w:bookmarkEnd w:id="116"/>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本</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项目自评得分</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100</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分。</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通过项目实施，大大降低我公司原材料采购成本和融资成本，有利于企业提质增效，促进当地生猪产业发展，带动生猪养殖户增收。</w:t>
      </w:r>
    </w:p>
    <w:p>
      <w:pPr>
        <w:adjustRightInd w:val="0"/>
        <w:snapToGrid w:val="0"/>
        <w:spacing w:beforeLines="0" w:afterLines="0" w:line="578" w:lineRule="exact"/>
        <w:ind w:firstLine="640" w:firstLineChars="200"/>
        <w:outlineLvl w:val="1"/>
        <w:rPr>
          <w:rFonts w:hint="eastAsia" w:ascii="Times New Roman" w:hAnsi="Times New Roman" w:eastAsia="黑体" w:cs="Times New Roman"/>
          <w:color w:val="auto"/>
          <w:sz w:val="32"/>
          <w:szCs w:val="32"/>
          <w:lang w:val="zh-CN" w:eastAsia="zh-CN"/>
        </w:rPr>
      </w:pPr>
      <w:bookmarkStart w:id="117" w:name="_Toc4964"/>
      <w:r>
        <w:rPr>
          <w:rFonts w:hint="eastAsia" w:ascii="Times New Roman" w:hAnsi="Times New Roman" w:eastAsia="黑体" w:cs="Times New Roman"/>
          <w:color w:val="auto"/>
          <w:sz w:val="32"/>
          <w:szCs w:val="32"/>
          <w:lang w:val="zh-CN" w:eastAsia="zh-CN"/>
        </w:rPr>
        <w:t>五、存在主要问题</w:t>
      </w:r>
      <w:bookmarkEnd w:id="117"/>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无</w:t>
      </w:r>
    </w:p>
    <w:p>
      <w:pPr>
        <w:adjustRightInd w:val="0"/>
        <w:snapToGrid w:val="0"/>
        <w:spacing w:beforeLines="0" w:afterLines="0" w:line="578" w:lineRule="exact"/>
        <w:ind w:firstLine="640" w:firstLineChars="200"/>
        <w:outlineLvl w:val="1"/>
        <w:rPr>
          <w:rFonts w:hint="eastAsia" w:ascii="Times New Roman" w:hAnsi="Times New Roman" w:eastAsia="黑体" w:cs="Times New Roman"/>
          <w:color w:val="auto"/>
          <w:sz w:val="32"/>
          <w:szCs w:val="32"/>
          <w:lang w:val="zh-CN" w:eastAsia="zh-CN"/>
        </w:rPr>
      </w:pPr>
      <w:bookmarkStart w:id="118" w:name="_Toc26795"/>
      <w:r>
        <w:rPr>
          <w:rFonts w:hint="eastAsia" w:ascii="Times New Roman" w:hAnsi="Times New Roman" w:eastAsia="黑体" w:cs="Times New Roman"/>
          <w:color w:val="auto"/>
          <w:sz w:val="32"/>
          <w:szCs w:val="32"/>
          <w:lang w:val="zh-CN" w:eastAsia="zh-CN"/>
        </w:rPr>
        <w:t>六、改进建议</w:t>
      </w:r>
      <w:bookmarkEnd w:id="118"/>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无</w:t>
      </w:r>
    </w:p>
    <w:p>
      <w:pPr>
        <w:widowControl/>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Times New Roman"/>
          <w:color w:val="auto"/>
          <w:kern w:val="0"/>
          <w:sz w:val="32"/>
          <w:szCs w:val="32"/>
          <w:highlight w:val="none"/>
          <w:u w:val="none"/>
          <w:shd w:val="clear" w:color="auto" w:fill="FFFFFF"/>
          <w:lang w:val="zh-CN" w:eastAsia="zh-CN"/>
        </w:rPr>
      </w:pPr>
    </w:p>
    <w:p>
      <w:pPr>
        <w:widowControl/>
        <w:numPr>
          <w:ilvl w:val="0"/>
          <w:numId w:val="0"/>
        </w:numPr>
        <w:adjustRightInd w:val="0"/>
        <w:snapToGrid w:val="0"/>
        <w:spacing w:beforeLines="0" w:afterLines="0" w:line="578" w:lineRule="exact"/>
        <w:ind w:firstLine="640" w:firstLineChars="200"/>
        <w:jc w:val="left"/>
        <w:outlineLvl w:val="2"/>
        <w:rPr>
          <w:rFonts w:hint="eastAsia" w:ascii="Times New Roman" w:hAnsi="Times New Roman" w:eastAsia="仿宋_GB2312" w:cs="Times New Roman"/>
          <w:color w:val="auto"/>
          <w:kern w:val="0"/>
          <w:sz w:val="32"/>
          <w:szCs w:val="32"/>
          <w:highlight w:val="none"/>
          <w:u w:val="none"/>
          <w:shd w:val="clear" w:color="auto" w:fill="FFFFFF"/>
          <w:lang w:val="en-US" w:eastAsia="zh-CN"/>
        </w:rPr>
      </w:pPr>
      <w:bookmarkStart w:id="119" w:name="_Toc10850"/>
      <w:r>
        <w:rPr>
          <w:rFonts w:hint="eastAsia" w:ascii="Times New Roman" w:hAnsi="Times New Roman" w:eastAsia="仿宋_GB2312" w:cs="Times New Roman"/>
          <w:color w:val="auto"/>
          <w:kern w:val="0"/>
          <w:sz w:val="32"/>
          <w:szCs w:val="32"/>
          <w:highlight w:val="none"/>
          <w:u w:val="none"/>
          <w:shd w:val="clear" w:color="auto" w:fill="FFFFFF"/>
          <w:lang w:val="en-US" w:eastAsia="zh-CN"/>
        </w:rPr>
        <w:t>附表：1.项目资金分配涉及所有点位自评得分情况表</w:t>
      </w:r>
      <w:bookmarkEnd w:id="119"/>
    </w:p>
    <w:p>
      <w:pPr>
        <w:widowControl/>
        <w:numPr>
          <w:ilvl w:val="0"/>
          <w:numId w:val="0"/>
        </w:numPr>
        <w:adjustRightInd w:val="0"/>
        <w:snapToGrid w:val="0"/>
        <w:spacing w:beforeLines="0" w:afterLines="0" w:line="578" w:lineRule="exact"/>
        <w:ind w:firstLine="1600" w:firstLineChars="500"/>
        <w:jc w:val="left"/>
        <w:outlineLvl w:val="2"/>
        <w:rPr>
          <w:rFonts w:hint="eastAsia" w:ascii="Times New Roman" w:hAnsi="Times New Roman" w:eastAsia="仿宋_GB2312" w:cs="Times New Roman"/>
          <w:color w:val="auto"/>
          <w:kern w:val="0"/>
          <w:sz w:val="32"/>
          <w:szCs w:val="32"/>
          <w:highlight w:val="none"/>
          <w:u w:val="none"/>
          <w:shd w:val="clear" w:color="auto" w:fill="FFFFFF"/>
          <w:lang w:val="en-US" w:eastAsia="zh-CN"/>
        </w:rPr>
      </w:pPr>
      <w:bookmarkStart w:id="120" w:name="_Toc21318"/>
      <w:r>
        <w:rPr>
          <w:rFonts w:hint="eastAsia" w:ascii="Times New Roman" w:hAnsi="Times New Roman" w:eastAsia="仿宋_GB2312" w:cs="Times New Roman"/>
          <w:color w:val="auto"/>
          <w:kern w:val="0"/>
          <w:sz w:val="32"/>
          <w:szCs w:val="32"/>
          <w:highlight w:val="none"/>
          <w:u w:val="none"/>
          <w:shd w:val="clear" w:color="auto" w:fill="FFFFFF"/>
          <w:lang w:val="en-US" w:eastAsia="zh-CN"/>
        </w:rPr>
        <w:t>2.项目绩效目标完成情况自评表</w:t>
      </w:r>
      <w:bookmarkEnd w:id="120"/>
    </w:p>
    <w:p>
      <w:pPr>
        <w:keepNext w:val="0"/>
        <w:keepLines w:val="0"/>
        <w:pageBreakBefore w:val="0"/>
        <w:kinsoku/>
        <w:wordWrap/>
        <w:overflowPunct/>
        <w:topLinePunct w:val="0"/>
        <w:autoSpaceDE/>
        <w:autoSpaceDN/>
        <w:bidi w:val="0"/>
        <w:adjustRightInd/>
        <w:snapToGrid w:val="0"/>
        <w:spacing w:line="578" w:lineRule="exact"/>
        <w:ind w:left="0" w:leftChars="0" w:firstLine="560" w:firstLineChars="200"/>
        <w:textAlignment w:val="auto"/>
        <w:outlineLvl w:val="9"/>
        <w:rPr>
          <w:rFonts w:hint="eastAsia" w:ascii="幼圆" w:hAnsi="幼圆" w:eastAsia="幼圆" w:cs="幼圆"/>
          <w:color w:val="auto"/>
          <w:kern w:val="0"/>
          <w:sz w:val="28"/>
          <w:szCs w:val="28"/>
          <w:highlight w:val="none"/>
          <w:shd w:val="clear" w:color="auto" w:fill="FFFFFF"/>
          <w:lang w:val="zh-CN" w:eastAsia="zh-CN"/>
        </w:rPr>
      </w:pPr>
      <w:r>
        <w:rPr>
          <w:rFonts w:hint="eastAsia" w:ascii="幼圆" w:hAnsi="幼圆" w:eastAsia="幼圆" w:cs="幼圆"/>
          <w:color w:val="auto"/>
          <w:kern w:val="0"/>
          <w:sz w:val="28"/>
          <w:szCs w:val="28"/>
          <w:highlight w:val="none"/>
          <w:shd w:val="clear" w:color="auto" w:fill="FFFFFF"/>
          <w:lang w:val="zh-CN"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Times New Roman" w:hAnsi="Times New Roman" w:eastAsia="黑体"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黑体" w:cs="Times New Roman"/>
          <w:b w:val="0"/>
          <w:bCs w:val="0"/>
          <w:color w:val="auto"/>
          <w:kern w:val="0"/>
          <w:sz w:val="32"/>
          <w:szCs w:val="32"/>
          <w:highlight w:val="none"/>
          <w:u w:val="none"/>
          <w:shd w:val="clear" w:color="auto" w:fill="FFFFFF"/>
          <w:lang w:val="zh-CN" w:eastAsia="zh-CN"/>
        </w:rPr>
        <w:t>附表</w:t>
      </w:r>
      <w:r>
        <w:rPr>
          <w:rFonts w:hint="eastAsia" w:ascii="Times New Roman" w:hAnsi="Times New Roman" w:eastAsia="黑体" w:cs="Times New Roman"/>
          <w:b w:val="0"/>
          <w:bCs w:val="0"/>
          <w:color w:val="auto"/>
          <w:kern w:val="0"/>
          <w:sz w:val="32"/>
          <w:szCs w:val="32"/>
          <w:highlight w:val="none"/>
          <w:u w:val="none"/>
          <w:shd w:val="clear" w:color="auto" w:fill="FFFFFF"/>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outlineLvl w:val="0"/>
        <w:rPr>
          <w:rFonts w:hint="eastAsia" w:ascii="Times New Roman" w:hAnsi="Times New Roman" w:eastAsia="方正小标宋简体" w:cs="Times New Roman"/>
          <w:i w:val="0"/>
          <w:color w:val="auto"/>
          <w:kern w:val="0"/>
          <w:sz w:val="36"/>
          <w:szCs w:val="36"/>
          <w:u w:val="none"/>
          <w:lang w:val="en-US" w:eastAsia="zh-CN" w:bidi="ar"/>
        </w:rPr>
      </w:pPr>
      <w:bookmarkStart w:id="121" w:name="_Toc13935"/>
      <w:r>
        <w:rPr>
          <w:rFonts w:hint="eastAsia" w:ascii="Times New Roman" w:hAnsi="Times New Roman" w:eastAsia="方正小标宋简体" w:cs="Times New Roman"/>
          <w:i w:val="0"/>
          <w:color w:val="auto"/>
          <w:kern w:val="0"/>
          <w:sz w:val="36"/>
          <w:szCs w:val="36"/>
          <w:u w:val="none"/>
          <w:lang w:val="en-US" w:eastAsia="zh-CN" w:bidi="ar"/>
        </w:rPr>
        <w:t>项目资金分配涉及所有点位自评得分情况表</w:t>
      </w:r>
      <w:bookmarkEnd w:id="121"/>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947"/>
        <w:gridCol w:w="2939"/>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636"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shd w:val="clear" w:color="auto" w:fill="FFFFFF"/>
                <w:lang w:val="en-US" w:eastAsia="zh-CN"/>
              </w:rPr>
              <w:t>序号</w:t>
            </w:r>
          </w:p>
        </w:tc>
        <w:tc>
          <w:tcPr>
            <w:tcW w:w="2178"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 w:eastAsia="zh-CN"/>
              </w:rPr>
            </w:pPr>
            <w:r>
              <w:rPr>
                <w:rFonts w:hint="eastAsia" w:ascii="仿宋_GB2312" w:hAnsi="仿宋_GB2312" w:eastAsia="仿宋_GB2312" w:cs="仿宋_GB2312"/>
                <w:color w:val="auto"/>
                <w:kern w:val="0"/>
                <w:sz w:val="28"/>
                <w:szCs w:val="28"/>
                <w:highlight w:val="none"/>
                <w:u w:val="none"/>
                <w:shd w:val="clear" w:color="auto" w:fill="FFFFFF"/>
                <w:lang w:val="en-US" w:eastAsia="zh-CN"/>
              </w:rPr>
              <w:t>项目资金末端分配点位</w:t>
            </w:r>
          </w:p>
        </w:tc>
        <w:tc>
          <w:tcPr>
            <w:tcW w:w="1622"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shd w:val="clear" w:color="auto" w:fill="FFFFFF"/>
                <w:lang w:val="en" w:eastAsia="zh-CN"/>
              </w:rPr>
              <w:t>自评得分（百分制）</w:t>
            </w:r>
          </w:p>
        </w:tc>
        <w:tc>
          <w:tcPr>
            <w:tcW w:w="562"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636" w:type="pct"/>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w:t>
            </w:r>
          </w:p>
        </w:tc>
        <w:tc>
          <w:tcPr>
            <w:tcW w:w="2178" w:type="pc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 w:eastAsia="zh-CN"/>
              </w:rPr>
            </w:pPr>
            <w:r>
              <w:rPr>
                <w:rFonts w:hint="eastAsia" w:ascii="仿宋_GB2312" w:hAnsi="仿宋_GB2312" w:eastAsia="仿宋_GB2312" w:cs="仿宋_GB2312"/>
                <w:color w:val="auto"/>
                <w:kern w:val="0"/>
                <w:sz w:val="28"/>
                <w:szCs w:val="28"/>
                <w:highlight w:val="none"/>
                <w:u w:val="none"/>
                <w:shd w:val="clear" w:color="auto" w:fill="FFFFFF"/>
                <w:lang w:val="en-US" w:eastAsia="zh-CN"/>
              </w:rPr>
              <w:t>四川美宁食品有限公司</w:t>
            </w:r>
          </w:p>
        </w:tc>
        <w:tc>
          <w:tcPr>
            <w:tcW w:w="1622"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shd w:val="clear" w:color="auto" w:fill="FFFFFF"/>
                <w:lang w:val="en-US" w:eastAsia="zh-CN"/>
              </w:rPr>
              <w:t>100</w:t>
            </w:r>
          </w:p>
        </w:tc>
        <w:tc>
          <w:tcPr>
            <w:tcW w:w="562" w:type="pct"/>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636" w:type="pct"/>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w:t>
            </w:r>
          </w:p>
        </w:tc>
        <w:tc>
          <w:tcPr>
            <w:tcW w:w="2178" w:type="pc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 w:eastAsia="zh-CN"/>
              </w:rPr>
            </w:pPr>
          </w:p>
        </w:tc>
        <w:tc>
          <w:tcPr>
            <w:tcW w:w="1622" w:type="pct"/>
            <w:vAlign w:val="top"/>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shd w:val="clear" w:color="auto" w:fill="FFFFFF"/>
                <w:lang w:val="en-US" w:eastAsia="zh-CN"/>
              </w:rPr>
            </w:pPr>
          </w:p>
        </w:tc>
        <w:tc>
          <w:tcPr>
            <w:tcW w:w="562" w:type="pct"/>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sz w:val="28"/>
                <w:szCs w:val="28"/>
                <w:highlight w:val="none"/>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备注：1.项目资金末端分配点位包括市（州）本级、县（市、区）、省级部门下属单位及一次性单位等。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Theme="minorEastAsia" w:hAnsiTheme="minorEastAsia" w:eastAsiaTheme="minorEastAsia" w:cstheme="minorEastAsia"/>
          <w:b w:val="0"/>
          <w:bCs w:val="0"/>
          <w:color w:val="auto"/>
          <w:sz w:val="21"/>
          <w:szCs w:val="21"/>
          <w:highlight w:val="none"/>
          <w:u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pPr>
        <w:rPr>
          <w:rFonts w:hint="eastAsia" w:ascii="幼圆" w:hAnsi="幼圆" w:eastAsia="幼圆" w:cs="幼圆"/>
          <w:color w:val="auto"/>
          <w:kern w:val="2"/>
          <w:sz w:val="28"/>
          <w:szCs w:val="28"/>
          <w:highlight w:val="none"/>
          <w:lang w:val="en-US" w:eastAsia="zh-CN" w:bidi="ar-SA"/>
        </w:rPr>
      </w:pPr>
      <w:r>
        <w:rPr>
          <w:rFonts w:hint="eastAsia" w:ascii="幼圆" w:hAnsi="幼圆" w:eastAsia="幼圆" w:cs="幼圆"/>
          <w:color w:val="auto"/>
          <w:kern w:val="2"/>
          <w:sz w:val="28"/>
          <w:szCs w:val="28"/>
          <w:highlight w:val="none"/>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Times New Roman" w:hAnsi="Times New Roman" w:eastAsia="黑体" w:cs="Times New Roman"/>
          <w:b w:val="0"/>
          <w:bCs w:val="0"/>
          <w:color w:val="auto"/>
          <w:kern w:val="0"/>
          <w:sz w:val="32"/>
          <w:szCs w:val="32"/>
          <w:highlight w:val="none"/>
          <w:u w:val="none"/>
          <w:shd w:val="clear" w:color="auto" w:fill="FFFFFF"/>
          <w:lang w:val="en-US" w:eastAsia="zh-CN"/>
        </w:rPr>
      </w:pPr>
      <w:r>
        <w:rPr>
          <w:rFonts w:hint="eastAsia" w:ascii="Times New Roman" w:hAnsi="Times New Roman" w:eastAsia="黑体" w:cs="Times New Roman"/>
          <w:b w:val="0"/>
          <w:bCs w:val="0"/>
          <w:color w:val="auto"/>
          <w:kern w:val="0"/>
          <w:sz w:val="32"/>
          <w:szCs w:val="32"/>
          <w:highlight w:val="none"/>
          <w:u w:val="none"/>
          <w:shd w:val="clear" w:color="auto" w:fill="FFFFFF"/>
          <w:lang w:val="en-US" w:eastAsia="zh-CN"/>
        </w:rPr>
        <w:t>附表2</w:t>
      </w:r>
    </w:p>
    <w:tbl>
      <w:tblPr>
        <w:tblStyle w:val="20"/>
        <w:tblW w:w="51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934"/>
        <w:gridCol w:w="930"/>
        <w:gridCol w:w="1098"/>
        <w:gridCol w:w="1052"/>
        <w:gridCol w:w="1120"/>
        <w:gridCol w:w="936"/>
        <w:gridCol w:w="930"/>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Times New Roman" w:hAnsi="Times New Roman" w:eastAsia="方正小标宋简体" w:cs="Times New Roman"/>
                <w:i w:val="0"/>
                <w:color w:val="auto"/>
                <w:kern w:val="0"/>
                <w:sz w:val="36"/>
                <w:szCs w:val="36"/>
                <w:u w:val="none"/>
                <w:lang w:val="en-US" w:eastAsia="zh-CN" w:bidi="ar"/>
              </w:rPr>
              <w:t>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71"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项目名称</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幼圆" w:hAnsi="幼圆" w:eastAsia="幼圆" w:cs="幼圆"/>
                <w:i w:val="0"/>
                <w:iCs w:val="0"/>
                <w:color w:val="000000"/>
                <w:sz w:val="21"/>
                <w:szCs w:val="21"/>
                <w:u w:val="none"/>
              </w:rPr>
            </w:pPr>
            <w:r>
              <w:rPr>
                <w:rFonts w:hint="eastAsia" w:ascii="幼圆" w:hAnsi="幼圆" w:eastAsia="幼圆" w:cs="幼圆"/>
                <w:color w:val="000000"/>
                <w:spacing w:val="0"/>
                <w:w w:val="100"/>
                <w:position w:val="0"/>
                <w:sz w:val="21"/>
                <w:szCs w:val="21"/>
                <w:lang w:val="en-US" w:eastAsia="zh-CN"/>
              </w:rPr>
              <w:t>2023年省级财政农业改革创新科技示范奖补资金（贷款贴息方向）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71"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预算单位</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71"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项目类型</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项目概况</w:t>
            </w: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中长期规划（名称、文号，仅指常年项目）</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川财农[2023]105号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资金管理办法（名称、文号）</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幼圆" w:hAnsi="幼圆" w:eastAsia="幼圆" w:cs="幼圆"/>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绩效分配方式</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color w:val="000000"/>
                <w:kern w:val="0"/>
                <w:sz w:val="21"/>
                <w:szCs w:val="21"/>
                <w:u w:val="none"/>
                <w:lang w:val="en-US" w:eastAsia="zh-CN" w:bidi="ar"/>
              </w:rPr>
              <w:sym w:font="Wingdings 2" w:char="0052"/>
            </w:r>
            <w:r>
              <w:rPr>
                <w:rFonts w:hint="eastAsia" w:ascii="幼圆" w:hAnsi="幼圆" w:eastAsia="幼圆" w:cs="幼圆"/>
                <w:i w:val="0"/>
                <w:color w:val="000000"/>
                <w:kern w:val="0"/>
                <w:sz w:val="21"/>
                <w:szCs w:val="21"/>
                <w:u w:val="none"/>
                <w:lang w:val="en-US" w:eastAsia="zh-CN" w:bidi="ar"/>
              </w:rPr>
              <w:t>因素法</w:t>
            </w:r>
          </w:p>
        </w:tc>
        <w:tc>
          <w:tcPr>
            <w:tcW w:w="109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color w:val="000000"/>
                <w:kern w:val="0"/>
                <w:sz w:val="21"/>
                <w:szCs w:val="21"/>
                <w:u w:val="none"/>
                <w:lang w:val="en-US" w:eastAsia="zh-CN" w:bidi="ar"/>
              </w:rPr>
              <w:sym w:font="Wingdings 2" w:char="00A3"/>
            </w:r>
            <w:r>
              <w:rPr>
                <w:rFonts w:hint="eastAsia" w:ascii="幼圆" w:hAnsi="幼圆" w:eastAsia="幼圆" w:cs="幼圆"/>
                <w:i w:val="0"/>
                <w:color w:val="000000"/>
                <w:kern w:val="0"/>
                <w:sz w:val="21"/>
                <w:szCs w:val="21"/>
                <w:u w:val="none"/>
                <w:lang w:val="en-US" w:eastAsia="zh-CN" w:bidi="ar"/>
              </w:rPr>
              <w:t>项目法</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color w:val="000000"/>
                <w:kern w:val="0"/>
                <w:sz w:val="21"/>
                <w:szCs w:val="21"/>
                <w:u w:val="none"/>
                <w:lang w:val="en-US" w:eastAsia="zh-CN" w:bidi="ar"/>
              </w:rPr>
              <w:sym w:font="Wingdings 2" w:char="00A3"/>
            </w:r>
            <w:r>
              <w:rPr>
                <w:rFonts w:hint="eastAsia" w:ascii="幼圆" w:hAnsi="幼圆" w:eastAsia="幼圆" w:cs="幼圆"/>
                <w:i w:val="0"/>
                <w:color w:val="000000"/>
                <w:kern w:val="0"/>
                <w:sz w:val="21"/>
                <w:szCs w:val="21"/>
                <w:u w:val="none"/>
                <w:lang w:val="en-US" w:eastAsia="zh-CN" w:bidi="ar"/>
              </w:rPr>
              <w:t>据实据效</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color w:val="000000"/>
                <w:kern w:val="0"/>
                <w:sz w:val="21"/>
                <w:szCs w:val="21"/>
                <w:u w:val="none"/>
                <w:lang w:val="en-US" w:eastAsia="zh-CN" w:bidi="ar"/>
              </w:rPr>
              <w:sym w:font="Wingdings 2" w:char="00A3"/>
            </w:r>
            <w:r>
              <w:rPr>
                <w:rFonts w:hint="eastAsia" w:ascii="幼圆" w:hAnsi="幼圆" w:eastAsia="幼圆" w:cs="幼圆"/>
                <w:i w:val="0"/>
                <w:color w:val="000000"/>
                <w:kern w:val="0"/>
                <w:sz w:val="21"/>
                <w:szCs w:val="21"/>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立项依据</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幼圆" w:hAnsi="幼圆" w:eastAsia="幼圆" w:cs="幼圆"/>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使用范围</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农业产业化项目银行贷款项目财政贴息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申报（补助）条件</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四川富器通养殖有限公司、四川明润养殖有限公司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5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项目起止年限</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2023年-2023年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项目资金（万元）</w:t>
            </w:r>
          </w:p>
        </w:tc>
        <w:tc>
          <w:tcPr>
            <w:tcW w:w="107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年度资金总额：</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lang w:val="en-US"/>
              </w:rPr>
            </w:pPr>
            <w:r>
              <w:rPr>
                <w:rFonts w:hint="eastAsia" w:ascii="幼圆" w:hAnsi="幼圆" w:eastAsia="幼圆" w:cs="幼圆"/>
                <w:i w:val="0"/>
                <w:iCs w:val="0"/>
                <w:color w:val="000000"/>
                <w:kern w:val="0"/>
                <w:sz w:val="21"/>
                <w:szCs w:val="21"/>
                <w:u w:val="none"/>
                <w:lang w:val="en-US" w:eastAsia="zh-CN" w:bidi="ar"/>
              </w:rPr>
              <w:t>17680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9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07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 xml:space="preserve">   其中：财政拨款</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lang w:val="en-US"/>
              </w:rPr>
            </w:pPr>
            <w:r>
              <w:rPr>
                <w:rFonts w:hint="eastAsia" w:ascii="幼圆" w:hAnsi="幼圆" w:eastAsia="幼圆" w:cs="幼圆"/>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9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107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 xml:space="preserve">         其他资金</w:t>
            </w:r>
          </w:p>
        </w:tc>
        <w:tc>
          <w:tcPr>
            <w:tcW w:w="29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lang w:val="en-US" w:eastAsia="zh-CN"/>
              </w:rPr>
            </w:pPr>
            <w:r>
              <w:rPr>
                <w:rFonts w:hint="eastAsia" w:ascii="幼圆" w:hAnsi="幼圆" w:eastAsia="幼圆" w:cs="幼圆"/>
                <w:i w:val="0"/>
                <w:iCs w:val="0"/>
                <w:color w:val="000000"/>
                <w:sz w:val="21"/>
                <w:szCs w:val="21"/>
                <w:u w:val="none"/>
                <w:lang w:val="en-US" w:eastAsia="zh-CN"/>
              </w:rPr>
              <w:t>17580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总体目标</w:t>
            </w:r>
          </w:p>
        </w:tc>
        <w:tc>
          <w:tcPr>
            <w:tcW w:w="4504"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504" w:type="pct"/>
            <w:gridSpan w:val="8"/>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按照《四川省农业农村厅四川省财政厅关于做好2023年农业产业化银行贷款贴息申报工作的通知》要求，对四川美宁食品有限公司进行贷款贴息补助。通过此项目的实施，降低我公司原材料采购成本、融资成本，带动农户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绩效指标</w:t>
            </w: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一级指标</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二级指标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三级指标</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指标性质</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指标值</w:t>
            </w: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度量单位</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权重</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产出指标</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数量指标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贷款贴息补助企业数量</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家</w:t>
            </w: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15</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质量指标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补贴发放精准率</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100</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15</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时效指标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项目实施时间</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12</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月</w:t>
            </w: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15</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效益指标</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经济效益指标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降低补助对象融资成本</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定性</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优</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幼圆" w:hAnsi="幼圆" w:eastAsia="幼圆" w:cs="幼圆"/>
                <w:i w:val="0"/>
                <w:iCs w:val="0"/>
                <w:color w:val="000000"/>
                <w:sz w:val="21"/>
                <w:szCs w:val="21"/>
                <w:u w:val="none"/>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20</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满意度指标</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服务对象满意度指标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受益对象满意度</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90</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10</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幼圆" w:hAnsi="幼圆" w:eastAsia="幼圆" w:cs="幼圆"/>
                <w:i w:val="0"/>
                <w:iCs w:val="0"/>
                <w:color w:val="000000"/>
                <w:sz w:val="21"/>
                <w:szCs w:val="21"/>
                <w:u w:val="none"/>
              </w:rPr>
            </w:pP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成本指标</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经济成本指标</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贷款贴息补助企业平均成本</w:t>
            </w:r>
          </w:p>
        </w:tc>
        <w:tc>
          <w:tcPr>
            <w:tcW w:w="5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lang w:val="en-US" w:eastAsia="zh-CN"/>
              </w:rPr>
            </w:pPr>
            <w:r>
              <w:rPr>
                <w:rFonts w:hint="eastAsia" w:ascii="幼圆" w:hAnsi="幼圆" w:eastAsia="幼圆" w:cs="幼圆"/>
                <w:i w:val="0"/>
                <w:iCs w:val="0"/>
                <w:color w:val="000000"/>
                <w:sz w:val="21"/>
                <w:szCs w:val="21"/>
                <w:u w:val="none"/>
                <w:lang w:val="en-US" w:eastAsia="zh-CN"/>
              </w:rPr>
              <w:t>1000000</w:t>
            </w: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元</w:t>
            </w: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15</w:t>
            </w:r>
          </w:p>
        </w:tc>
        <w:tc>
          <w:tcPr>
            <w:tcW w:w="7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幼圆" w:hAnsi="幼圆" w:eastAsia="幼圆" w:cs="幼圆"/>
                <w:i w:val="0"/>
                <w:iCs w:val="0"/>
                <w:color w:val="000000"/>
                <w:sz w:val="21"/>
                <w:szCs w:val="21"/>
                <w:u w:val="none"/>
              </w:rPr>
            </w:pPr>
            <w:r>
              <w:rPr>
                <w:rFonts w:hint="eastAsia" w:ascii="幼圆" w:hAnsi="幼圆" w:eastAsia="幼圆" w:cs="幼圆"/>
                <w:i w:val="0"/>
                <w:iCs w:val="0"/>
                <w:color w:val="000000"/>
                <w:kern w:val="0"/>
                <w:sz w:val="21"/>
                <w:szCs w:val="21"/>
                <w:u w:val="none"/>
                <w:lang w:val="en-US" w:eastAsia="zh-CN" w:bidi="ar"/>
              </w:rPr>
              <w:t>1000000元</w:t>
            </w:r>
          </w:p>
        </w:tc>
      </w:tr>
    </w:tbl>
    <w:p>
      <w:pPr>
        <w:pStyle w:val="19"/>
        <w:keepNext w:val="0"/>
        <w:keepLines w:val="0"/>
        <w:pageBreakBefore w:val="0"/>
        <w:kinsoku/>
        <w:wordWrap/>
        <w:overflowPunct/>
        <w:topLinePunct w:val="0"/>
        <w:autoSpaceDE/>
        <w:autoSpaceDN/>
        <w:bidi w:val="0"/>
        <w:spacing w:after="0" w:line="578" w:lineRule="exact"/>
        <w:ind w:left="0" w:leftChars="0"/>
        <w:rPr>
          <w:rFonts w:hint="eastAsia" w:ascii="幼圆" w:hAnsi="幼圆" w:eastAsia="幼圆" w:cs="幼圆"/>
          <w:color w:val="auto"/>
          <w:sz w:val="21"/>
          <w:szCs w:val="21"/>
          <w:highlight w:val="none"/>
          <w:lang w:val="en-US" w:eastAsia="zh-CN"/>
        </w:rPr>
      </w:pPr>
    </w:p>
    <w:p>
      <w:pPr>
        <w:rPr>
          <w:rFonts w:hint="eastAsia" w:ascii="黑体" w:hAnsi="黑体" w:eastAsia="黑体"/>
          <w:color w:val="auto"/>
          <w:sz w:val="44"/>
          <w:szCs w:val="44"/>
          <w:highlight w:val="none"/>
        </w:rPr>
      </w:pPr>
    </w:p>
    <w:p>
      <w:pPr>
        <w:pStyle w:val="19"/>
        <w:rPr>
          <w:rFonts w:hint="eastAsia"/>
        </w:rPr>
      </w:pPr>
    </w:p>
    <w:p>
      <w:pPr>
        <w:spacing w:line="600" w:lineRule="exact"/>
        <w:ind w:firstLine="2200" w:firstLineChars="500"/>
        <w:jc w:val="both"/>
        <w:outlineLvl w:val="9"/>
        <w:rPr>
          <w:rFonts w:hint="eastAsia" w:ascii="黑体" w:hAnsi="黑体" w:eastAsia="黑体"/>
          <w:color w:val="auto"/>
          <w:sz w:val="44"/>
          <w:szCs w:val="44"/>
          <w:highlight w:val="none"/>
        </w:rPr>
        <w:sectPr>
          <w:headerReference r:id="rId5" w:type="default"/>
          <w:footerReference r:id="rId6" w:type="default"/>
          <w:pgSz w:w="11905" w:h="16838"/>
          <w:pgMar w:top="2098" w:right="1474" w:bottom="1984" w:left="1587" w:header="850" w:footer="1361" w:gutter="0"/>
          <w:pgNumType w:start="1"/>
          <w:cols w:space="0" w:num="1"/>
          <w:rtlGutter w:val="0"/>
          <w:docGrid w:type="lines" w:linePitch="315" w:charSpace="0"/>
        </w:sectPr>
      </w:pPr>
    </w:p>
    <w:p>
      <w:pPr>
        <w:numPr>
          <w:ilvl w:val="0"/>
          <w:numId w:val="7"/>
        </w:numPr>
        <w:spacing w:line="600" w:lineRule="exact"/>
        <w:ind w:firstLine="2200" w:firstLineChars="500"/>
        <w:jc w:val="both"/>
        <w:outlineLvl w:val="0"/>
        <w:rPr>
          <w:rStyle w:val="28"/>
          <w:rFonts w:hint="eastAsia" w:ascii="黑体" w:hAnsi="黑体" w:eastAsia="黑体"/>
          <w:b w:val="0"/>
          <w:color w:val="auto"/>
          <w:highlight w:val="none"/>
        </w:rPr>
      </w:pPr>
      <w:bookmarkStart w:id="122" w:name="_Toc15272"/>
      <w:r>
        <w:rPr>
          <w:rStyle w:val="28"/>
          <w:rFonts w:hint="eastAsia" w:ascii="黑体" w:hAnsi="黑体" w:eastAsia="黑体"/>
          <w:b w:val="0"/>
          <w:color w:val="auto"/>
          <w:highlight w:val="none"/>
        </w:rPr>
        <w:t>附表</w:t>
      </w:r>
      <w:bookmarkEnd w:id="122"/>
      <w:bookmarkStart w:id="123" w:name="_Toc15396619"/>
    </w:p>
    <w:p>
      <w:pPr>
        <w:numPr>
          <w:ilvl w:val="0"/>
          <w:numId w:val="0"/>
        </w:numPr>
        <w:spacing w:line="600" w:lineRule="exact"/>
        <w:jc w:val="both"/>
        <w:outlineLvl w:val="1"/>
        <w:rPr>
          <w:rStyle w:val="29"/>
          <w:rFonts w:hint="eastAsia" w:ascii="仿宋" w:hAnsi="仿宋" w:eastAsia="仿宋" w:cs="Times New Roman"/>
          <w:b w:val="0"/>
          <w:bCs w:val="0"/>
          <w:color w:val="auto"/>
          <w:highlight w:val="none"/>
          <w:lang w:val="en-US" w:eastAsia="zh-CN" w:bidi="ar-SA"/>
        </w:rPr>
      </w:pPr>
      <w:bookmarkStart w:id="124" w:name="_Toc1874"/>
      <w:r>
        <w:rPr>
          <w:rStyle w:val="29"/>
          <w:rFonts w:hint="eastAsia" w:ascii="仿宋" w:hAnsi="仿宋" w:eastAsia="仿宋" w:cs="Times New Roman"/>
          <w:b w:val="0"/>
          <w:bCs w:val="0"/>
          <w:color w:val="auto"/>
          <w:highlight w:val="none"/>
          <w:lang w:val="en-US" w:eastAsia="zh-CN" w:bidi="ar-SA"/>
        </w:rPr>
        <w:t>一、收入支出决算总表</w:t>
      </w:r>
      <w:bookmarkEnd w:id="123"/>
      <w:bookmarkEnd w:id="124"/>
    </w:p>
    <w:p>
      <w:pPr>
        <w:pStyle w:val="5"/>
        <w:rPr>
          <w:rFonts w:ascii="仿宋" w:hAnsi="仿宋" w:eastAsia="仿宋"/>
          <w:color w:val="auto"/>
          <w:highlight w:val="none"/>
        </w:rPr>
      </w:pPr>
      <w:bookmarkStart w:id="125" w:name="_Toc7169"/>
      <w:bookmarkStart w:id="126"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125"/>
      <w:bookmarkEnd w:id="126"/>
    </w:p>
    <w:p>
      <w:pPr>
        <w:pStyle w:val="5"/>
        <w:rPr>
          <w:rFonts w:ascii="仿宋" w:hAnsi="仿宋" w:eastAsia="仿宋"/>
          <w:color w:val="auto"/>
          <w:highlight w:val="none"/>
        </w:rPr>
      </w:pPr>
      <w:bookmarkStart w:id="127" w:name="_Toc6624"/>
      <w:bookmarkStart w:id="128"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127"/>
      <w:bookmarkEnd w:id="128"/>
    </w:p>
    <w:p>
      <w:pPr>
        <w:pStyle w:val="5"/>
        <w:rPr>
          <w:rFonts w:ascii="仿宋" w:hAnsi="仿宋" w:eastAsia="仿宋"/>
          <w:b w:val="0"/>
          <w:color w:val="auto"/>
          <w:highlight w:val="none"/>
        </w:rPr>
      </w:pPr>
      <w:bookmarkStart w:id="129" w:name="_Toc17327"/>
      <w:bookmarkStart w:id="130"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129"/>
      <w:bookmarkEnd w:id="130"/>
    </w:p>
    <w:p>
      <w:pPr>
        <w:pStyle w:val="5"/>
        <w:rPr>
          <w:rStyle w:val="29"/>
          <w:rFonts w:ascii="仿宋" w:hAnsi="仿宋" w:eastAsia="仿宋"/>
          <w:b w:val="0"/>
          <w:bCs w:val="0"/>
          <w:color w:val="auto"/>
          <w:highlight w:val="none"/>
        </w:rPr>
      </w:pPr>
      <w:bookmarkStart w:id="131" w:name="_Toc5741"/>
      <w:bookmarkStart w:id="132"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131"/>
      <w:bookmarkEnd w:id="132"/>
      <w:bookmarkStart w:id="133" w:name="_Toc15396624"/>
    </w:p>
    <w:p>
      <w:pPr>
        <w:pStyle w:val="5"/>
        <w:rPr>
          <w:rFonts w:ascii="仿宋" w:hAnsi="仿宋" w:eastAsia="仿宋"/>
          <w:color w:val="auto"/>
          <w:highlight w:val="none"/>
        </w:rPr>
      </w:pPr>
      <w:bookmarkStart w:id="134" w:name="_Toc15966"/>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133"/>
      <w:bookmarkEnd w:id="134"/>
    </w:p>
    <w:p>
      <w:pPr>
        <w:pStyle w:val="5"/>
        <w:rPr>
          <w:rFonts w:ascii="仿宋" w:hAnsi="仿宋" w:eastAsia="仿宋"/>
          <w:color w:val="auto"/>
          <w:highlight w:val="none"/>
        </w:rPr>
      </w:pPr>
      <w:bookmarkStart w:id="135" w:name="_Toc29693"/>
      <w:bookmarkStart w:id="136"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135"/>
      <w:bookmarkEnd w:id="136"/>
    </w:p>
    <w:p>
      <w:pPr>
        <w:pStyle w:val="5"/>
        <w:rPr>
          <w:rFonts w:ascii="仿宋" w:hAnsi="仿宋" w:eastAsia="仿宋"/>
          <w:color w:val="auto"/>
          <w:highlight w:val="none"/>
        </w:rPr>
      </w:pPr>
      <w:bookmarkStart w:id="137" w:name="_Toc24831"/>
      <w:bookmarkStart w:id="138"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137"/>
      <w:bookmarkEnd w:id="138"/>
    </w:p>
    <w:p>
      <w:pPr>
        <w:pStyle w:val="5"/>
        <w:rPr>
          <w:rFonts w:ascii="仿宋" w:hAnsi="仿宋" w:eastAsia="仿宋"/>
          <w:color w:val="auto"/>
          <w:highlight w:val="none"/>
        </w:rPr>
      </w:pPr>
      <w:bookmarkStart w:id="139" w:name="_Toc28102"/>
      <w:bookmarkStart w:id="140"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139"/>
      <w:bookmarkEnd w:id="140"/>
    </w:p>
    <w:p>
      <w:pPr>
        <w:pStyle w:val="5"/>
        <w:rPr>
          <w:rFonts w:ascii="仿宋" w:hAnsi="仿宋" w:eastAsia="仿宋"/>
          <w:color w:val="auto"/>
          <w:highlight w:val="none"/>
        </w:rPr>
      </w:pPr>
      <w:bookmarkStart w:id="141" w:name="_Toc15396628"/>
      <w:bookmarkStart w:id="142" w:name="_Toc5047"/>
      <w:r>
        <w:rPr>
          <w:rStyle w:val="29"/>
          <w:rFonts w:hint="eastAsia" w:ascii="仿宋" w:hAnsi="仿宋" w:eastAsia="仿宋"/>
          <w:b w:val="0"/>
          <w:bCs w:val="0"/>
          <w:color w:val="auto"/>
          <w:highlight w:val="none"/>
        </w:rPr>
        <w:t>十、</w:t>
      </w:r>
      <w:bookmarkEnd w:id="141"/>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142"/>
    </w:p>
    <w:p>
      <w:pPr>
        <w:pStyle w:val="5"/>
        <w:rPr>
          <w:rFonts w:ascii="仿宋" w:hAnsi="仿宋" w:eastAsia="仿宋"/>
          <w:color w:val="auto"/>
          <w:highlight w:val="none"/>
        </w:rPr>
      </w:pPr>
      <w:bookmarkStart w:id="143" w:name="_Toc15396629"/>
      <w:bookmarkStart w:id="144" w:name="_Toc9733"/>
      <w:r>
        <w:rPr>
          <w:rStyle w:val="29"/>
          <w:rFonts w:hint="eastAsia" w:ascii="仿宋" w:hAnsi="仿宋" w:eastAsia="仿宋"/>
          <w:b w:val="0"/>
          <w:bCs w:val="0"/>
          <w:color w:val="auto"/>
          <w:highlight w:val="none"/>
        </w:rPr>
        <w:t>十一、</w:t>
      </w:r>
      <w:bookmarkEnd w:id="143"/>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44"/>
    </w:p>
    <w:p>
      <w:pPr>
        <w:pStyle w:val="5"/>
        <w:rPr>
          <w:rFonts w:ascii="仿宋" w:hAnsi="仿宋" w:eastAsia="仿宋"/>
          <w:color w:val="auto"/>
          <w:highlight w:val="none"/>
        </w:rPr>
      </w:pPr>
      <w:bookmarkStart w:id="145" w:name="_Toc15396630"/>
      <w:bookmarkStart w:id="146" w:name="_Toc26604"/>
      <w:r>
        <w:rPr>
          <w:rStyle w:val="29"/>
          <w:rFonts w:hint="eastAsia" w:ascii="仿宋" w:hAnsi="仿宋" w:eastAsia="仿宋"/>
          <w:b w:val="0"/>
          <w:bCs w:val="0"/>
          <w:color w:val="auto"/>
          <w:highlight w:val="none"/>
        </w:rPr>
        <w:t>十二、</w:t>
      </w:r>
      <w:bookmarkEnd w:id="145"/>
      <w:r>
        <w:rPr>
          <w:rStyle w:val="29"/>
          <w:rFonts w:hint="eastAsia" w:ascii="仿宋" w:hAnsi="仿宋" w:eastAsia="仿宋"/>
          <w:b w:val="0"/>
          <w:bCs w:val="0"/>
          <w:color w:val="auto"/>
          <w:highlight w:val="none"/>
          <w:lang w:eastAsia="zh-CN"/>
        </w:rPr>
        <w:t>国有资本经营预算财政拨款支出决算表</w:t>
      </w:r>
      <w:bookmarkEnd w:id="146"/>
    </w:p>
    <w:p>
      <w:pPr>
        <w:pStyle w:val="5"/>
        <w:rPr>
          <w:rStyle w:val="29"/>
          <w:rFonts w:hint="eastAsia" w:ascii="仿宋" w:hAnsi="仿宋" w:eastAsia="仿宋"/>
          <w:b w:val="0"/>
          <w:bCs w:val="0"/>
          <w:color w:val="auto"/>
          <w:highlight w:val="none"/>
          <w:lang w:eastAsia="zh-CN"/>
        </w:rPr>
      </w:pPr>
      <w:bookmarkStart w:id="147" w:name="_Toc15396631"/>
      <w:bookmarkStart w:id="148" w:name="_Toc26674"/>
      <w:r>
        <w:rPr>
          <w:rStyle w:val="29"/>
          <w:rFonts w:hint="eastAsia" w:ascii="仿宋" w:hAnsi="仿宋" w:eastAsia="仿宋"/>
          <w:b w:val="0"/>
          <w:bCs w:val="0"/>
          <w:color w:val="auto"/>
          <w:highlight w:val="none"/>
        </w:rPr>
        <w:t>十三、</w:t>
      </w:r>
      <w:bookmarkEnd w:id="147"/>
      <w:r>
        <w:rPr>
          <w:rStyle w:val="29"/>
          <w:rFonts w:hint="eastAsia" w:ascii="仿宋" w:hAnsi="仿宋" w:eastAsia="仿宋"/>
          <w:b w:val="0"/>
          <w:bCs w:val="0"/>
          <w:color w:val="auto"/>
          <w:highlight w:val="none"/>
          <w:lang w:eastAsia="zh-CN"/>
        </w:rPr>
        <w:t>财政拨款“三公”经费支出决算表</w:t>
      </w:r>
      <w:bookmarkEnd w:id="148"/>
    </w:p>
    <w:p>
      <w:pPr>
        <w:pStyle w:val="5"/>
        <w:spacing w:before="0" w:after="0" w:line="600" w:lineRule="exact"/>
        <w:outlineLvl w:val="9"/>
        <w:rPr>
          <w:rFonts w:ascii="仿宋_GB2312" w:hAnsi="仿宋_GB2312" w:eastAsia="仿宋_GB2312" w:cs="仿宋_GB2312"/>
          <w:color w:val="auto"/>
        </w:rPr>
      </w:pPr>
    </w:p>
    <w:sectPr>
      <w:pgSz w:w="11905" w:h="16838"/>
      <w:pgMar w:top="2098" w:right="1474" w:bottom="1984" w:left="1587" w:header="850" w:footer="1361" w:gutter="0"/>
      <w:pgNumType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7</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04FEFC2"/>
    <w:multiLevelType w:val="singleLevel"/>
    <w:tmpl w:val="E04FEFC2"/>
    <w:lvl w:ilvl="0" w:tentative="0">
      <w:start w:val="5"/>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25103BF3"/>
    <w:multiLevelType w:val="singleLevel"/>
    <w:tmpl w:val="25103BF3"/>
    <w:lvl w:ilvl="0" w:tentative="0">
      <w:start w:val="3"/>
      <w:numFmt w:val="chineseCounting"/>
      <w:suff w:val="nothing"/>
      <w:lvlText w:val="%1、"/>
      <w:lvlJc w:val="left"/>
      <w:rPr>
        <w:rFonts w:hint="eastAsia"/>
      </w:rPr>
    </w:lvl>
  </w:abstractNum>
  <w:abstractNum w:abstractNumId="5">
    <w:nsid w:val="40C21F29"/>
    <w:multiLevelType w:val="singleLevel"/>
    <w:tmpl w:val="40C21F29"/>
    <w:lvl w:ilvl="0" w:tentative="0">
      <w:start w:val="4"/>
      <w:numFmt w:val="chineseCounting"/>
      <w:suff w:val="nothing"/>
      <w:lvlText w:val="（%1）"/>
      <w:lvlJc w:val="left"/>
      <w:rPr>
        <w:rFonts w:hint="eastAsia"/>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YmYwMzE4Y2ViM2VmMDU1NGYzNTRhMGQyNjhkMDcifQ=="/>
  </w:docVars>
  <w:rsids>
    <w:rsidRoot w:val="00F1361C"/>
    <w:rsid w:val="000015E6"/>
    <w:rsid w:val="0001603E"/>
    <w:rsid w:val="00017B9F"/>
    <w:rsid w:val="000222C6"/>
    <w:rsid w:val="0002549F"/>
    <w:rsid w:val="00041532"/>
    <w:rsid w:val="00046F97"/>
    <w:rsid w:val="0006487A"/>
    <w:rsid w:val="00064BBB"/>
    <w:rsid w:val="00065F8F"/>
    <w:rsid w:val="000768F2"/>
    <w:rsid w:val="00084549"/>
    <w:rsid w:val="000862CC"/>
    <w:rsid w:val="0009184B"/>
    <w:rsid w:val="0009593C"/>
    <w:rsid w:val="000B047F"/>
    <w:rsid w:val="000B5923"/>
    <w:rsid w:val="000B5A48"/>
    <w:rsid w:val="000B6FF3"/>
    <w:rsid w:val="000C3467"/>
    <w:rsid w:val="000C3CA6"/>
    <w:rsid w:val="000C6F5D"/>
    <w:rsid w:val="000C7F2E"/>
    <w:rsid w:val="000D1267"/>
    <w:rsid w:val="000D1D50"/>
    <w:rsid w:val="000D5782"/>
    <w:rsid w:val="000D57DA"/>
    <w:rsid w:val="000D71B1"/>
    <w:rsid w:val="000E6613"/>
    <w:rsid w:val="000E7119"/>
    <w:rsid w:val="00114E9B"/>
    <w:rsid w:val="00121301"/>
    <w:rsid w:val="00123627"/>
    <w:rsid w:val="001333BA"/>
    <w:rsid w:val="0014729F"/>
    <w:rsid w:val="00157BAB"/>
    <w:rsid w:val="001654D1"/>
    <w:rsid w:val="0018106D"/>
    <w:rsid w:val="001877A7"/>
    <w:rsid w:val="00191536"/>
    <w:rsid w:val="00196687"/>
    <w:rsid w:val="001C0962"/>
    <w:rsid w:val="001D3F35"/>
    <w:rsid w:val="001D7531"/>
    <w:rsid w:val="001D7568"/>
    <w:rsid w:val="001E737D"/>
    <w:rsid w:val="001F0592"/>
    <w:rsid w:val="001F7506"/>
    <w:rsid w:val="002006CD"/>
    <w:rsid w:val="00202B36"/>
    <w:rsid w:val="00204B7A"/>
    <w:rsid w:val="0021101A"/>
    <w:rsid w:val="00217F0F"/>
    <w:rsid w:val="00220536"/>
    <w:rsid w:val="00223472"/>
    <w:rsid w:val="002238EB"/>
    <w:rsid w:val="00223A63"/>
    <w:rsid w:val="00235629"/>
    <w:rsid w:val="002361C6"/>
    <w:rsid w:val="00237D32"/>
    <w:rsid w:val="002411FB"/>
    <w:rsid w:val="00243469"/>
    <w:rsid w:val="00260C38"/>
    <w:rsid w:val="002616C0"/>
    <w:rsid w:val="002662AA"/>
    <w:rsid w:val="00275026"/>
    <w:rsid w:val="00280496"/>
    <w:rsid w:val="00295495"/>
    <w:rsid w:val="002B2613"/>
    <w:rsid w:val="002F0ED3"/>
    <w:rsid w:val="002F1818"/>
    <w:rsid w:val="002F567B"/>
    <w:rsid w:val="003216A9"/>
    <w:rsid w:val="00322E77"/>
    <w:rsid w:val="003413BB"/>
    <w:rsid w:val="0037013F"/>
    <w:rsid w:val="003718AA"/>
    <w:rsid w:val="00380C92"/>
    <w:rsid w:val="00390402"/>
    <w:rsid w:val="003979DB"/>
    <w:rsid w:val="003A2E6B"/>
    <w:rsid w:val="003A484F"/>
    <w:rsid w:val="003B0BE0"/>
    <w:rsid w:val="003B0C1B"/>
    <w:rsid w:val="003B688C"/>
    <w:rsid w:val="003C0291"/>
    <w:rsid w:val="003C39AE"/>
    <w:rsid w:val="003C7B60"/>
    <w:rsid w:val="003D1FB2"/>
    <w:rsid w:val="003D66DA"/>
    <w:rsid w:val="003E0CF8"/>
    <w:rsid w:val="003E1310"/>
    <w:rsid w:val="003E6F55"/>
    <w:rsid w:val="003F3BB9"/>
    <w:rsid w:val="00406254"/>
    <w:rsid w:val="004176E0"/>
    <w:rsid w:val="00421ED6"/>
    <w:rsid w:val="004223DE"/>
    <w:rsid w:val="00424C19"/>
    <w:rsid w:val="00434489"/>
    <w:rsid w:val="00437085"/>
    <w:rsid w:val="0044086B"/>
    <w:rsid w:val="00443880"/>
    <w:rsid w:val="004464F4"/>
    <w:rsid w:val="00447255"/>
    <w:rsid w:val="0045718B"/>
    <w:rsid w:val="00460045"/>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3534"/>
    <w:rsid w:val="00534EA1"/>
    <w:rsid w:val="00547441"/>
    <w:rsid w:val="00557579"/>
    <w:rsid w:val="005664BB"/>
    <w:rsid w:val="0057481D"/>
    <w:rsid w:val="0058486E"/>
    <w:rsid w:val="0058710F"/>
    <w:rsid w:val="00593740"/>
    <w:rsid w:val="005C0305"/>
    <w:rsid w:val="005C746F"/>
    <w:rsid w:val="005D1978"/>
    <w:rsid w:val="005D1C8B"/>
    <w:rsid w:val="005D5CED"/>
    <w:rsid w:val="005E30D9"/>
    <w:rsid w:val="005E7AE6"/>
    <w:rsid w:val="005F1A4C"/>
    <w:rsid w:val="005F7E8A"/>
    <w:rsid w:val="006037F8"/>
    <w:rsid w:val="00605688"/>
    <w:rsid w:val="006070AF"/>
    <w:rsid w:val="00607E6C"/>
    <w:rsid w:val="006101B1"/>
    <w:rsid w:val="006105FB"/>
    <w:rsid w:val="006133A5"/>
    <w:rsid w:val="00614E44"/>
    <w:rsid w:val="006168A2"/>
    <w:rsid w:val="006210B4"/>
    <w:rsid w:val="00622830"/>
    <w:rsid w:val="00630AEF"/>
    <w:rsid w:val="006325F8"/>
    <w:rsid w:val="00634C9A"/>
    <w:rsid w:val="006440E4"/>
    <w:rsid w:val="00655F72"/>
    <w:rsid w:val="0066343B"/>
    <w:rsid w:val="00664777"/>
    <w:rsid w:val="00673CDF"/>
    <w:rsid w:val="006748A4"/>
    <w:rsid w:val="00683E73"/>
    <w:rsid w:val="00687205"/>
    <w:rsid w:val="006A3141"/>
    <w:rsid w:val="006A5E34"/>
    <w:rsid w:val="006A6192"/>
    <w:rsid w:val="006A7BC5"/>
    <w:rsid w:val="006B2422"/>
    <w:rsid w:val="006B2B9A"/>
    <w:rsid w:val="006B3D8E"/>
    <w:rsid w:val="006B49E7"/>
    <w:rsid w:val="006C1937"/>
    <w:rsid w:val="006E2554"/>
    <w:rsid w:val="006F020C"/>
    <w:rsid w:val="00704323"/>
    <w:rsid w:val="007127B7"/>
    <w:rsid w:val="00725138"/>
    <w:rsid w:val="0073330B"/>
    <w:rsid w:val="00740885"/>
    <w:rsid w:val="007416B6"/>
    <w:rsid w:val="00746F48"/>
    <w:rsid w:val="0075404D"/>
    <w:rsid w:val="00756BE5"/>
    <w:rsid w:val="0076182A"/>
    <w:rsid w:val="00767B7E"/>
    <w:rsid w:val="007770C3"/>
    <w:rsid w:val="00784D24"/>
    <w:rsid w:val="00785FBA"/>
    <w:rsid w:val="00786E4A"/>
    <w:rsid w:val="007875EB"/>
    <w:rsid w:val="007906A7"/>
    <w:rsid w:val="0079426B"/>
    <w:rsid w:val="007D312A"/>
    <w:rsid w:val="007D3F19"/>
    <w:rsid w:val="007E23B0"/>
    <w:rsid w:val="007E50CD"/>
    <w:rsid w:val="007F1991"/>
    <w:rsid w:val="007F2C2F"/>
    <w:rsid w:val="007F2F48"/>
    <w:rsid w:val="007F55FC"/>
    <w:rsid w:val="007F5665"/>
    <w:rsid w:val="00800112"/>
    <w:rsid w:val="00815D10"/>
    <w:rsid w:val="008253BB"/>
    <w:rsid w:val="0083706E"/>
    <w:rsid w:val="008423A5"/>
    <w:rsid w:val="00843699"/>
    <w:rsid w:val="00850625"/>
    <w:rsid w:val="00853718"/>
    <w:rsid w:val="00854F2C"/>
    <w:rsid w:val="00855221"/>
    <w:rsid w:val="00855A06"/>
    <w:rsid w:val="00856D40"/>
    <w:rsid w:val="00860645"/>
    <w:rsid w:val="008626C3"/>
    <w:rsid w:val="00871F71"/>
    <w:rsid w:val="008835AD"/>
    <w:rsid w:val="00885AF4"/>
    <w:rsid w:val="008939CD"/>
    <w:rsid w:val="00894861"/>
    <w:rsid w:val="00895A89"/>
    <w:rsid w:val="008B5DA6"/>
    <w:rsid w:val="008B768C"/>
    <w:rsid w:val="008C4DB1"/>
    <w:rsid w:val="008C4EAF"/>
    <w:rsid w:val="008C5176"/>
    <w:rsid w:val="008C6F02"/>
    <w:rsid w:val="008C7FD0"/>
    <w:rsid w:val="008E1DE7"/>
    <w:rsid w:val="008E25F9"/>
    <w:rsid w:val="008E2D70"/>
    <w:rsid w:val="008E707C"/>
    <w:rsid w:val="008F4613"/>
    <w:rsid w:val="00900B08"/>
    <w:rsid w:val="00902155"/>
    <w:rsid w:val="00902D8A"/>
    <w:rsid w:val="00902FA3"/>
    <w:rsid w:val="0090780A"/>
    <w:rsid w:val="00910D00"/>
    <w:rsid w:val="00923564"/>
    <w:rsid w:val="0092392E"/>
    <w:rsid w:val="009315F9"/>
    <w:rsid w:val="00935428"/>
    <w:rsid w:val="00940BF2"/>
    <w:rsid w:val="00942778"/>
    <w:rsid w:val="00946945"/>
    <w:rsid w:val="00951248"/>
    <w:rsid w:val="0095152F"/>
    <w:rsid w:val="00954C49"/>
    <w:rsid w:val="0097099F"/>
    <w:rsid w:val="00971997"/>
    <w:rsid w:val="00971FFC"/>
    <w:rsid w:val="00983D72"/>
    <w:rsid w:val="009855F1"/>
    <w:rsid w:val="0098660A"/>
    <w:rsid w:val="009931C3"/>
    <w:rsid w:val="009B2C43"/>
    <w:rsid w:val="009B4EAE"/>
    <w:rsid w:val="009B7573"/>
    <w:rsid w:val="009C22F4"/>
    <w:rsid w:val="009C2E98"/>
    <w:rsid w:val="009C5F9B"/>
    <w:rsid w:val="009C7E55"/>
    <w:rsid w:val="009D3447"/>
    <w:rsid w:val="009D4711"/>
    <w:rsid w:val="009E2D38"/>
    <w:rsid w:val="009E7452"/>
    <w:rsid w:val="009F1185"/>
    <w:rsid w:val="009F18CD"/>
    <w:rsid w:val="009F2A13"/>
    <w:rsid w:val="00A04EB0"/>
    <w:rsid w:val="00A13CC1"/>
    <w:rsid w:val="00A16847"/>
    <w:rsid w:val="00A237D8"/>
    <w:rsid w:val="00A268C4"/>
    <w:rsid w:val="00A307CD"/>
    <w:rsid w:val="00A368C1"/>
    <w:rsid w:val="00A40A00"/>
    <w:rsid w:val="00A4142F"/>
    <w:rsid w:val="00A56715"/>
    <w:rsid w:val="00A56DF2"/>
    <w:rsid w:val="00A67AB5"/>
    <w:rsid w:val="00A7333B"/>
    <w:rsid w:val="00A91760"/>
    <w:rsid w:val="00A930AB"/>
    <w:rsid w:val="00A93B00"/>
    <w:rsid w:val="00A93C21"/>
    <w:rsid w:val="00AA0F1B"/>
    <w:rsid w:val="00AC3C6A"/>
    <w:rsid w:val="00AD1AB5"/>
    <w:rsid w:val="00AD5620"/>
    <w:rsid w:val="00AD7C1B"/>
    <w:rsid w:val="00AE16BA"/>
    <w:rsid w:val="00AE1EBE"/>
    <w:rsid w:val="00AE4723"/>
    <w:rsid w:val="00AE5805"/>
    <w:rsid w:val="00B03C9D"/>
    <w:rsid w:val="00B060AE"/>
    <w:rsid w:val="00B06F60"/>
    <w:rsid w:val="00B10517"/>
    <w:rsid w:val="00B14E76"/>
    <w:rsid w:val="00B161B8"/>
    <w:rsid w:val="00B2048C"/>
    <w:rsid w:val="00B25063"/>
    <w:rsid w:val="00B26B94"/>
    <w:rsid w:val="00B30DA5"/>
    <w:rsid w:val="00B310B9"/>
    <w:rsid w:val="00B35F3F"/>
    <w:rsid w:val="00B36CBB"/>
    <w:rsid w:val="00B425E0"/>
    <w:rsid w:val="00B440AA"/>
    <w:rsid w:val="00B44B70"/>
    <w:rsid w:val="00B53C56"/>
    <w:rsid w:val="00B77EA6"/>
    <w:rsid w:val="00B81598"/>
    <w:rsid w:val="00B841F1"/>
    <w:rsid w:val="00B944D6"/>
    <w:rsid w:val="00BA3127"/>
    <w:rsid w:val="00BB4DF0"/>
    <w:rsid w:val="00BC289F"/>
    <w:rsid w:val="00BC5361"/>
    <w:rsid w:val="00BC5460"/>
    <w:rsid w:val="00BC6B50"/>
    <w:rsid w:val="00BD0E25"/>
    <w:rsid w:val="00BD3D99"/>
    <w:rsid w:val="00BD77C6"/>
    <w:rsid w:val="00BE748B"/>
    <w:rsid w:val="00BF5BD6"/>
    <w:rsid w:val="00BF71A1"/>
    <w:rsid w:val="00C03326"/>
    <w:rsid w:val="00C03E31"/>
    <w:rsid w:val="00C11477"/>
    <w:rsid w:val="00C24943"/>
    <w:rsid w:val="00C33E72"/>
    <w:rsid w:val="00C354B2"/>
    <w:rsid w:val="00C35554"/>
    <w:rsid w:val="00C40279"/>
    <w:rsid w:val="00C42709"/>
    <w:rsid w:val="00C533CC"/>
    <w:rsid w:val="00C5751C"/>
    <w:rsid w:val="00C61BFC"/>
    <w:rsid w:val="00C62B85"/>
    <w:rsid w:val="00C65438"/>
    <w:rsid w:val="00C72966"/>
    <w:rsid w:val="00C740FB"/>
    <w:rsid w:val="00C808E2"/>
    <w:rsid w:val="00C81995"/>
    <w:rsid w:val="00C91CBB"/>
    <w:rsid w:val="00C92CA3"/>
    <w:rsid w:val="00CB59C5"/>
    <w:rsid w:val="00CC09B6"/>
    <w:rsid w:val="00CC58D1"/>
    <w:rsid w:val="00CC666F"/>
    <w:rsid w:val="00CD0448"/>
    <w:rsid w:val="00CD1E3F"/>
    <w:rsid w:val="00CE12FF"/>
    <w:rsid w:val="00CE44F6"/>
    <w:rsid w:val="00CE49DA"/>
    <w:rsid w:val="00CE7B61"/>
    <w:rsid w:val="00CF153A"/>
    <w:rsid w:val="00D00095"/>
    <w:rsid w:val="00D15585"/>
    <w:rsid w:val="00D20620"/>
    <w:rsid w:val="00D247FC"/>
    <w:rsid w:val="00D26091"/>
    <w:rsid w:val="00D26AED"/>
    <w:rsid w:val="00D34E7C"/>
    <w:rsid w:val="00D35489"/>
    <w:rsid w:val="00D37780"/>
    <w:rsid w:val="00D41478"/>
    <w:rsid w:val="00D51276"/>
    <w:rsid w:val="00D52F39"/>
    <w:rsid w:val="00D7035F"/>
    <w:rsid w:val="00D910DD"/>
    <w:rsid w:val="00DA0706"/>
    <w:rsid w:val="00DA65AC"/>
    <w:rsid w:val="00DB1913"/>
    <w:rsid w:val="00DB2ECC"/>
    <w:rsid w:val="00DB60A8"/>
    <w:rsid w:val="00DC410D"/>
    <w:rsid w:val="00DC68CA"/>
    <w:rsid w:val="00DC7CBA"/>
    <w:rsid w:val="00DD388F"/>
    <w:rsid w:val="00DD73B7"/>
    <w:rsid w:val="00DE618A"/>
    <w:rsid w:val="00DF02EF"/>
    <w:rsid w:val="00DF28BC"/>
    <w:rsid w:val="00DF34B9"/>
    <w:rsid w:val="00E01053"/>
    <w:rsid w:val="00E0252A"/>
    <w:rsid w:val="00E07ACF"/>
    <w:rsid w:val="00E331A1"/>
    <w:rsid w:val="00E33202"/>
    <w:rsid w:val="00E336A9"/>
    <w:rsid w:val="00E4468A"/>
    <w:rsid w:val="00E50624"/>
    <w:rsid w:val="00E53154"/>
    <w:rsid w:val="00E568DF"/>
    <w:rsid w:val="00E60F39"/>
    <w:rsid w:val="00E64269"/>
    <w:rsid w:val="00E65BB0"/>
    <w:rsid w:val="00E82267"/>
    <w:rsid w:val="00E92C35"/>
    <w:rsid w:val="00EA010F"/>
    <w:rsid w:val="00EB3B45"/>
    <w:rsid w:val="00ED1B63"/>
    <w:rsid w:val="00ED3C1F"/>
    <w:rsid w:val="00ED4085"/>
    <w:rsid w:val="00ED420E"/>
    <w:rsid w:val="00EE2F57"/>
    <w:rsid w:val="00EF4C34"/>
    <w:rsid w:val="00EF77C6"/>
    <w:rsid w:val="00F05438"/>
    <w:rsid w:val="00F10FA4"/>
    <w:rsid w:val="00F1361C"/>
    <w:rsid w:val="00F160C7"/>
    <w:rsid w:val="00F36D8F"/>
    <w:rsid w:val="00F4096E"/>
    <w:rsid w:val="00F417B1"/>
    <w:rsid w:val="00F556D8"/>
    <w:rsid w:val="00F602DF"/>
    <w:rsid w:val="00F66EEB"/>
    <w:rsid w:val="00F71986"/>
    <w:rsid w:val="00F730BE"/>
    <w:rsid w:val="00F758FD"/>
    <w:rsid w:val="00F81FD9"/>
    <w:rsid w:val="00F841AA"/>
    <w:rsid w:val="00FA0ED4"/>
    <w:rsid w:val="00FA23E8"/>
    <w:rsid w:val="00FD3CC1"/>
    <w:rsid w:val="00FD6484"/>
    <w:rsid w:val="00FE1957"/>
    <w:rsid w:val="00FE5394"/>
    <w:rsid w:val="00FF1E02"/>
    <w:rsid w:val="00FF30B4"/>
    <w:rsid w:val="00FF7CDE"/>
    <w:rsid w:val="01084F22"/>
    <w:rsid w:val="01901907"/>
    <w:rsid w:val="0409417B"/>
    <w:rsid w:val="044C4A63"/>
    <w:rsid w:val="047F4A31"/>
    <w:rsid w:val="04D0742C"/>
    <w:rsid w:val="0542015D"/>
    <w:rsid w:val="06334CFB"/>
    <w:rsid w:val="07EB6620"/>
    <w:rsid w:val="088B46A0"/>
    <w:rsid w:val="090F66B0"/>
    <w:rsid w:val="09261568"/>
    <w:rsid w:val="09C248AF"/>
    <w:rsid w:val="0A1F38CA"/>
    <w:rsid w:val="0BBB229F"/>
    <w:rsid w:val="0C0B3E50"/>
    <w:rsid w:val="0C802710"/>
    <w:rsid w:val="0CC26944"/>
    <w:rsid w:val="0D0F1D27"/>
    <w:rsid w:val="0E4D5935"/>
    <w:rsid w:val="0ED11A03"/>
    <w:rsid w:val="0F9056D2"/>
    <w:rsid w:val="0FA76C0D"/>
    <w:rsid w:val="0FEF4F11"/>
    <w:rsid w:val="1027486C"/>
    <w:rsid w:val="10C055FF"/>
    <w:rsid w:val="11491AC5"/>
    <w:rsid w:val="12C04343"/>
    <w:rsid w:val="133E6E21"/>
    <w:rsid w:val="139F23D1"/>
    <w:rsid w:val="13FA2CBB"/>
    <w:rsid w:val="14B12A8D"/>
    <w:rsid w:val="16362571"/>
    <w:rsid w:val="16AA6356"/>
    <w:rsid w:val="16BB723D"/>
    <w:rsid w:val="17854654"/>
    <w:rsid w:val="1B840E02"/>
    <w:rsid w:val="1B940D41"/>
    <w:rsid w:val="1C9F2C62"/>
    <w:rsid w:val="1CE6737E"/>
    <w:rsid w:val="1EBE36AA"/>
    <w:rsid w:val="1F4B217C"/>
    <w:rsid w:val="1F851D39"/>
    <w:rsid w:val="1FDA1EA4"/>
    <w:rsid w:val="203B49AC"/>
    <w:rsid w:val="208F018C"/>
    <w:rsid w:val="22A91EAC"/>
    <w:rsid w:val="22B3519C"/>
    <w:rsid w:val="22D13524"/>
    <w:rsid w:val="23C13549"/>
    <w:rsid w:val="240371BF"/>
    <w:rsid w:val="240962C1"/>
    <w:rsid w:val="257665B8"/>
    <w:rsid w:val="25B853AB"/>
    <w:rsid w:val="27153B2D"/>
    <w:rsid w:val="29115058"/>
    <w:rsid w:val="29227FB7"/>
    <w:rsid w:val="29FD04D3"/>
    <w:rsid w:val="2A617763"/>
    <w:rsid w:val="2BF63258"/>
    <w:rsid w:val="2CB4436F"/>
    <w:rsid w:val="2D043018"/>
    <w:rsid w:val="2D696D22"/>
    <w:rsid w:val="2D7E65B1"/>
    <w:rsid w:val="2E94331C"/>
    <w:rsid w:val="2F615351"/>
    <w:rsid w:val="2F790E4E"/>
    <w:rsid w:val="2F9465EE"/>
    <w:rsid w:val="3079738C"/>
    <w:rsid w:val="319F7F4E"/>
    <w:rsid w:val="31D476EF"/>
    <w:rsid w:val="32BD65BA"/>
    <w:rsid w:val="33CA3217"/>
    <w:rsid w:val="343612CB"/>
    <w:rsid w:val="34E730A5"/>
    <w:rsid w:val="34E95F93"/>
    <w:rsid w:val="3597206F"/>
    <w:rsid w:val="3761570A"/>
    <w:rsid w:val="38704078"/>
    <w:rsid w:val="3A583BCF"/>
    <w:rsid w:val="3A991044"/>
    <w:rsid w:val="3B032670"/>
    <w:rsid w:val="3C077FDA"/>
    <w:rsid w:val="3CE80AA1"/>
    <w:rsid w:val="3D3445F1"/>
    <w:rsid w:val="3D4665AB"/>
    <w:rsid w:val="3DC04DA6"/>
    <w:rsid w:val="3DC758BB"/>
    <w:rsid w:val="3E006B77"/>
    <w:rsid w:val="3E1B21D1"/>
    <w:rsid w:val="3F272867"/>
    <w:rsid w:val="3F7E6B80"/>
    <w:rsid w:val="40A91FC6"/>
    <w:rsid w:val="433744A8"/>
    <w:rsid w:val="444E0201"/>
    <w:rsid w:val="44B709F2"/>
    <w:rsid w:val="453D0A1B"/>
    <w:rsid w:val="474E1665"/>
    <w:rsid w:val="48C937F0"/>
    <w:rsid w:val="490C0DA7"/>
    <w:rsid w:val="4ACE1F72"/>
    <w:rsid w:val="4ADB6356"/>
    <w:rsid w:val="4BA831C2"/>
    <w:rsid w:val="4CA60AD9"/>
    <w:rsid w:val="4D86712D"/>
    <w:rsid w:val="4DA22F52"/>
    <w:rsid w:val="4E316649"/>
    <w:rsid w:val="4E414422"/>
    <w:rsid w:val="4F3342D7"/>
    <w:rsid w:val="5027222E"/>
    <w:rsid w:val="51131675"/>
    <w:rsid w:val="51752ADA"/>
    <w:rsid w:val="52016FC6"/>
    <w:rsid w:val="52CA1363"/>
    <w:rsid w:val="532419CF"/>
    <w:rsid w:val="532B0B26"/>
    <w:rsid w:val="537E210B"/>
    <w:rsid w:val="5398761F"/>
    <w:rsid w:val="539C3CDF"/>
    <w:rsid w:val="54665F52"/>
    <w:rsid w:val="55057599"/>
    <w:rsid w:val="5536079B"/>
    <w:rsid w:val="572F3796"/>
    <w:rsid w:val="57495E05"/>
    <w:rsid w:val="57FB730D"/>
    <w:rsid w:val="583354EA"/>
    <w:rsid w:val="5843653E"/>
    <w:rsid w:val="58767C55"/>
    <w:rsid w:val="5A9030A9"/>
    <w:rsid w:val="5BD20A0B"/>
    <w:rsid w:val="5C373C42"/>
    <w:rsid w:val="5C5744A1"/>
    <w:rsid w:val="5CED7874"/>
    <w:rsid w:val="5DDF3D11"/>
    <w:rsid w:val="5EB977B8"/>
    <w:rsid w:val="5F237664"/>
    <w:rsid w:val="5F547839"/>
    <w:rsid w:val="60642877"/>
    <w:rsid w:val="61CF3479"/>
    <w:rsid w:val="625B1928"/>
    <w:rsid w:val="62B7461A"/>
    <w:rsid w:val="637E2496"/>
    <w:rsid w:val="63C42D1D"/>
    <w:rsid w:val="643F68FF"/>
    <w:rsid w:val="652B2DBF"/>
    <w:rsid w:val="67941983"/>
    <w:rsid w:val="67FD0993"/>
    <w:rsid w:val="6A8543EB"/>
    <w:rsid w:val="6A870C58"/>
    <w:rsid w:val="6B8B1B48"/>
    <w:rsid w:val="6C7137BA"/>
    <w:rsid w:val="6CEF6252"/>
    <w:rsid w:val="6D723EEC"/>
    <w:rsid w:val="6E3601CC"/>
    <w:rsid w:val="6ED50D75"/>
    <w:rsid w:val="6F7F4F7A"/>
    <w:rsid w:val="714F23EC"/>
    <w:rsid w:val="71EF790A"/>
    <w:rsid w:val="726769EB"/>
    <w:rsid w:val="73633D3C"/>
    <w:rsid w:val="752363C4"/>
    <w:rsid w:val="75D07C79"/>
    <w:rsid w:val="77F93C73"/>
    <w:rsid w:val="782F3D61"/>
    <w:rsid w:val="78A54DFF"/>
    <w:rsid w:val="78DF4BA4"/>
    <w:rsid w:val="79B1078F"/>
    <w:rsid w:val="7B0F6D9C"/>
    <w:rsid w:val="7B144A81"/>
    <w:rsid w:val="7B2509EB"/>
    <w:rsid w:val="7BDF7A64"/>
    <w:rsid w:val="7BF60691"/>
    <w:rsid w:val="7CC86B56"/>
    <w:rsid w:val="7E073C53"/>
    <w:rsid w:val="7E831340"/>
    <w:rsid w:val="7F20190D"/>
    <w:rsid w:val="7F3A5B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24"/>
      <w:szCs w:val="20"/>
    </w:rPr>
  </w:style>
  <w:style w:type="paragraph" w:styleId="3">
    <w:name w:val="Date"/>
    <w:basedOn w:val="1"/>
    <w:next w:val="1"/>
    <w:link w:val="31"/>
    <w:unhideWhenUsed/>
    <w:qFormat/>
    <w:uiPriority w:val="99"/>
    <w:pPr>
      <w:ind w:left="100" w:leftChars="2500"/>
    </w:pPr>
  </w:style>
  <w:style w:type="paragraph" w:styleId="7">
    <w:name w:val="Normal Indent"/>
    <w:basedOn w:val="1"/>
    <w:next w:val="1"/>
    <w:unhideWhenUsed/>
    <w:qFormat/>
    <w:uiPriority w:val="99"/>
    <w:pPr>
      <w:ind w:firstLine="420"/>
    </w:pPr>
    <w:rPr>
      <w:rFonts w:ascii="Times New Roman" w:hAnsi="Times New Roman"/>
      <w:szCs w:val="20"/>
    </w:rPr>
  </w:style>
  <w:style w:type="paragraph" w:styleId="8">
    <w:name w:val="index 5"/>
    <w:basedOn w:val="1"/>
    <w:next w:val="1"/>
    <w:qFormat/>
    <w:uiPriority w:val="0"/>
    <w:pPr>
      <w:ind w:left="1680"/>
    </w:pPr>
  </w:style>
  <w:style w:type="paragraph" w:styleId="9">
    <w:name w:val="annotation text"/>
    <w:basedOn w:val="1"/>
    <w:unhideWhenUsed/>
    <w:qFormat/>
    <w:uiPriority w:val="99"/>
    <w:pPr>
      <w:jc w:val="left"/>
    </w:pPr>
  </w:style>
  <w:style w:type="paragraph" w:styleId="10">
    <w:name w:val="Body Text Indent"/>
    <w:basedOn w:val="1"/>
    <w:next w:val="8"/>
    <w:unhideWhenUsed/>
    <w:qFormat/>
    <w:uiPriority w:val="99"/>
    <w:pPr>
      <w:spacing w:after="120"/>
      <w:ind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Body Text Indent 2"/>
    <w:qFormat/>
    <w:uiPriority w:val="0"/>
    <w:pPr>
      <w:widowControl w:val="0"/>
      <w:spacing w:line="360" w:lineRule="auto"/>
      <w:ind w:firstLine="880" w:firstLineChars="200"/>
      <w:jc w:val="both"/>
    </w:pPr>
    <w:rPr>
      <w:rFonts w:ascii="Times New Roman" w:hAnsi="Times New Roman" w:eastAsia="宋体" w:cs="Times New Roman"/>
      <w:color w:val="000000"/>
      <w:kern w:val="2"/>
      <w:sz w:val="21"/>
      <w:szCs w:val="28"/>
      <w:lang w:val="en-US" w:eastAsia="zh-CN" w:bidi="ar-SA"/>
    </w:rPr>
  </w:style>
  <w:style w:type="paragraph" w:styleId="13">
    <w:name w:val="Balloon Text"/>
    <w:basedOn w:val="1"/>
    <w:link w:val="32"/>
    <w:unhideWhenUsed/>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kern w:val="0"/>
      <w:sz w:val="18"/>
      <w:szCs w:val="20"/>
    </w:rPr>
  </w:style>
  <w:style w:type="paragraph" w:styleId="15">
    <w:name w:val="header"/>
    <w:basedOn w:val="1"/>
    <w:link w:val="34"/>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b/>
    </w:rPr>
  </w:style>
  <w:style w:type="character" w:styleId="24">
    <w:name w:val="page number"/>
    <w:qFormat/>
    <w:uiPriority w:val="0"/>
  </w:style>
  <w:style w:type="character" w:styleId="25">
    <w:name w:val="Hyperlink"/>
    <w:basedOn w:val="22"/>
    <w:unhideWhenUsed/>
    <w:qFormat/>
    <w:uiPriority w:val="99"/>
    <w:rPr>
      <w:color w:val="0000FF"/>
      <w:u w:val="single"/>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正文文本 Char"/>
    <w:link w:val="2"/>
    <w:qFormat/>
    <w:locked/>
    <w:uiPriority w:val="99"/>
    <w:rPr>
      <w:rFonts w:ascii="仿宋_GB2312" w:hAnsi="Times New Roman" w:eastAsia="仿宋_GB2312"/>
      <w:sz w:val="24"/>
    </w:rPr>
  </w:style>
  <w:style w:type="character" w:customStyle="1" w:styleId="28">
    <w:name w:val="标题 1 Char"/>
    <w:basedOn w:val="22"/>
    <w:link w:val="4"/>
    <w:qFormat/>
    <w:locked/>
    <w:uiPriority w:val="9"/>
    <w:rPr>
      <w:rFonts w:ascii="Times New Roman" w:hAnsi="Times New Roman" w:cs="Times New Roman"/>
      <w:b/>
      <w:bCs/>
      <w:kern w:val="44"/>
      <w:sz w:val="44"/>
      <w:szCs w:val="44"/>
    </w:rPr>
  </w:style>
  <w:style w:type="character" w:customStyle="1" w:styleId="29">
    <w:name w:val="标题 2 Char"/>
    <w:basedOn w:val="22"/>
    <w:link w:val="5"/>
    <w:qFormat/>
    <w:locked/>
    <w:uiPriority w:val="9"/>
    <w:rPr>
      <w:rFonts w:ascii="Cambria" w:hAnsi="Cambria" w:eastAsia="宋体" w:cs="Times New Roman"/>
      <w:b/>
      <w:bCs/>
      <w:kern w:val="2"/>
      <w:sz w:val="32"/>
      <w:szCs w:val="32"/>
    </w:rPr>
  </w:style>
  <w:style w:type="character" w:customStyle="1" w:styleId="30">
    <w:name w:val="标题 3 Char"/>
    <w:link w:val="6"/>
    <w:qFormat/>
    <w:uiPriority w:val="9"/>
    <w:rPr>
      <w:rFonts w:ascii="Times New Roman" w:hAnsi="Times New Roman"/>
      <w:b/>
      <w:bCs/>
      <w:kern w:val="2"/>
      <w:sz w:val="32"/>
      <w:szCs w:val="32"/>
    </w:rPr>
  </w:style>
  <w:style w:type="character" w:customStyle="1" w:styleId="31">
    <w:name w:val="日期 Char"/>
    <w:basedOn w:val="22"/>
    <w:link w:val="3"/>
    <w:semiHidden/>
    <w:qFormat/>
    <w:uiPriority w:val="99"/>
    <w:rPr>
      <w:kern w:val="2"/>
      <w:sz w:val="21"/>
      <w:szCs w:val="24"/>
    </w:rPr>
  </w:style>
  <w:style w:type="character" w:customStyle="1" w:styleId="32">
    <w:name w:val="批注框文本 Char"/>
    <w:link w:val="13"/>
    <w:semiHidden/>
    <w:qFormat/>
    <w:uiPriority w:val="99"/>
    <w:rPr>
      <w:rFonts w:ascii="Times New Roman" w:hAnsi="Times New Roman"/>
      <w:kern w:val="2"/>
      <w:sz w:val="18"/>
      <w:szCs w:val="18"/>
    </w:rPr>
  </w:style>
  <w:style w:type="character" w:customStyle="1" w:styleId="33">
    <w:name w:val="页脚 Char"/>
    <w:link w:val="14"/>
    <w:qFormat/>
    <w:locked/>
    <w:uiPriority w:val="99"/>
    <w:rPr>
      <w:sz w:val="18"/>
    </w:rPr>
  </w:style>
  <w:style w:type="character" w:customStyle="1" w:styleId="34">
    <w:name w:val="页眉 Char"/>
    <w:link w:val="15"/>
    <w:semiHidden/>
    <w:qFormat/>
    <w:locked/>
    <w:uiPriority w:val="99"/>
    <w:rPr>
      <w:sz w:val="18"/>
    </w:rPr>
  </w:style>
  <w:style w:type="character" w:customStyle="1" w:styleId="35">
    <w:name w:val="Footer Char"/>
    <w:semiHidden/>
    <w:qFormat/>
    <w:uiPriority w:val="99"/>
    <w:rPr>
      <w:rFonts w:ascii="Times New Roman" w:hAnsi="Times New Roman"/>
      <w:sz w:val="18"/>
      <w:szCs w:val="18"/>
    </w:rPr>
  </w:style>
  <w:style w:type="character" w:customStyle="1" w:styleId="36">
    <w:name w:val="标题 2 字符"/>
    <w:qFormat/>
    <w:uiPriority w:val="9"/>
    <w:rPr>
      <w:rFonts w:ascii="Cambria" w:hAnsi="Cambria" w:eastAsia="宋体" w:cs="Times New Roman"/>
      <w:b/>
      <w:bCs/>
      <w:kern w:val="2"/>
      <w:sz w:val="32"/>
      <w:szCs w:val="32"/>
    </w:rPr>
  </w:style>
  <w:style w:type="character" w:customStyle="1" w:styleId="37">
    <w:name w:val="标题 1 字符"/>
    <w:qFormat/>
    <w:uiPriority w:val="9"/>
    <w:rPr>
      <w:rFonts w:ascii="Times New Roman" w:hAnsi="Times New Roman"/>
      <w:b/>
      <w:bCs/>
      <w:kern w:val="44"/>
      <w:sz w:val="44"/>
      <w:szCs w:val="44"/>
    </w:rPr>
  </w:style>
  <w:style w:type="character" w:customStyle="1" w:styleId="38">
    <w:name w:val="Body Text Char"/>
    <w:semiHidden/>
    <w:qFormat/>
    <w:uiPriority w:val="99"/>
    <w:rPr>
      <w:rFonts w:ascii="Times New Roman" w:hAnsi="Times New Roman"/>
      <w:szCs w:val="24"/>
    </w:rPr>
  </w:style>
  <w:style w:type="character" w:customStyle="1" w:styleId="39">
    <w:name w:val="Header Char"/>
    <w:semiHidden/>
    <w:qFormat/>
    <w:uiPriority w:val="99"/>
    <w:rPr>
      <w:rFonts w:ascii="Times New Roman" w:hAnsi="Times New Roman"/>
      <w:sz w:val="18"/>
      <w:szCs w:val="18"/>
    </w:rPr>
  </w:style>
  <w:style w:type="paragraph" w:styleId="40">
    <w:name w:val="List Paragraph"/>
    <w:basedOn w:val="1"/>
    <w:qFormat/>
    <w:uiPriority w:val="34"/>
    <w:pPr>
      <w:ind w:firstLine="420" w:firstLineChars="200"/>
    </w:pPr>
  </w:style>
  <w:style w:type="paragraph" w:customStyle="1" w:styleId="4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4">
    <w:name w:val="WPSOffice手动目录 2"/>
    <w:qFormat/>
    <w:uiPriority w:val="0"/>
    <w:pPr>
      <w:ind w:leftChars="200"/>
    </w:pPr>
    <w:rPr>
      <w:rFonts w:ascii="Calibri" w:hAnsi="Calibri" w:eastAsia="宋体" w:cs="Times New Roman"/>
      <w:lang w:val="en-US" w:eastAsia="zh-CN" w:bidi="ar-SA"/>
    </w:rPr>
  </w:style>
  <w:style w:type="paragraph" w:customStyle="1" w:styleId="45">
    <w:name w:val="WPSOffice手动目录 1"/>
    <w:qFormat/>
    <w:uiPriority w:val="0"/>
    <w:rPr>
      <w:rFonts w:ascii="Calibri" w:hAnsi="Calibri" w:eastAsia="宋体" w:cs="Times New Roman"/>
      <w:lang w:val="en-US" w:eastAsia="zh-CN" w:bidi="ar-SA"/>
    </w:rPr>
  </w:style>
  <w:style w:type="paragraph" w:customStyle="1" w:styleId="46">
    <w:name w:val="Body text|1"/>
    <w:basedOn w:val="1"/>
    <w:qFormat/>
    <w:uiPriority w:val="0"/>
    <w:pPr>
      <w:spacing w:line="437" w:lineRule="auto"/>
      <w:ind w:firstLine="400"/>
    </w:pPr>
    <w:rPr>
      <w:rFonts w:ascii="宋体" w:hAnsi="宋体" w:eastAsia="宋体" w:cs="宋体"/>
      <w:sz w:val="30"/>
      <w:szCs w:val="30"/>
      <w:lang w:val="zh-TW" w:eastAsia="zh-TW" w:bidi="zh-TW"/>
    </w:rPr>
  </w:style>
  <w:style w:type="character" w:customStyle="1" w:styleId="47">
    <w:name w:val="NormalCharacter"/>
    <w:qFormat/>
    <w:uiPriority w:val="0"/>
    <w:rPr>
      <w:rFonts w:ascii="Calibri" w:hAnsi="Calibri" w:eastAsia="宋体" w:cs="Times New Roman"/>
      <w:kern w:val="2"/>
      <w:sz w:val="21"/>
      <w:szCs w:val="24"/>
      <w:lang w:val="en-US" w:eastAsia="zh-CN" w:bidi="ar-SA"/>
    </w:rPr>
  </w:style>
  <w:style w:type="paragraph" w:customStyle="1" w:styleId="48">
    <w:name w:val="章标题"/>
    <w:basedOn w:val="1"/>
    <w:next w:val="49"/>
    <w:qFormat/>
    <w:uiPriority w:val="99"/>
    <w:pPr>
      <w:widowControl/>
      <w:spacing w:before="158" w:after="153" w:line="323" w:lineRule="atLeast"/>
      <w:ind w:right="-120"/>
      <w:jc w:val="center"/>
      <w:textAlignment w:val="baseline"/>
    </w:pPr>
    <w:rPr>
      <w:color w:val="FF0000"/>
      <w:sz w:val="18"/>
    </w:rPr>
  </w:style>
  <w:style w:type="paragraph" w:customStyle="1" w:styleId="49">
    <w:name w:val="节标题"/>
    <w:basedOn w:val="1"/>
    <w:next w:val="1"/>
    <w:qFormat/>
    <w:uiPriority w:val="99"/>
    <w:pPr>
      <w:widowControl/>
      <w:spacing w:line="289" w:lineRule="atLeast"/>
      <w:jc w:val="center"/>
      <w:textAlignment w:val="baseline"/>
    </w:pPr>
    <w:rPr>
      <w:color w:val="000000"/>
      <w:sz w:val="28"/>
    </w:rPr>
  </w:style>
  <w:style w:type="character" w:customStyle="1" w:styleId="50">
    <w:name w:val="font91"/>
    <w:basedOn w:val="22"/>
    <w:qFormat/>
    <w:uiPriority w:val="0"/>
    <w:rPr>
      <w:rFonts w:hint="eastAsia" w:ascii="宋体" w:hAnsi="宋体" w:eastAsia="宋体" w:cs="宋体"/>
      <w:color w:val="000000"/>
      <w:sz w:val="24"/>
      <w:szCs w:val="24"/>
      <w:u w:val="none"/>
    </w:rPr>
  </w:style>
  <w:style w:type="character" w:customStyle="1" w:styleId="51">
    <w:name w:val="font122"/>
    <w:basedOn w:val="22"/>
    <w:qFormat/>
    <w:uiPriority w:val="0"/>
    <w:rPr>
      <w:rFonts w:hint="eastAsia" w:ascii="宋体" w:hAnsi="宋体" w:eastAsia="宋体" w:cs="宋体"/>
      <w:color w:val="FF0000"/>
      <w:sz w:val="24"/>
      <w:szCs w:val="24"/>
      <w:u w:val="none"/>
    </w:rPr>
  </w:style>
  <w:style w:type="character" w:customStyle="1" w:styleId="52">
    <w:name w:val="font41"/>
    <w:basedOn w:val="22"/>
    <w:qFormat/>
    <w:uiPriority w:val="0"/>
    <w:rPr>
      <w:rFonts w:hint="eastAsia" w:ascii="宋体" w:hAnsi="宋体" w:eastAsia="宋体" w:cs="宋体"/>
      <w:b/>
      <w:bCs/>
      <w:color w:val="000000"/>
      <w:sz w:val="22"/>
      <w:szCs w:val="22"/>
      <w:u w:val="none"/>
    </w:rPr>
  </w:style>
  <w:style w:type="character" w:customStyle="1" w:styleId="53">
    <w:name w:val="font121"/>
    <w:basedOn w:val="22"/>
    <w:qFormat/>
    <w:uiPriority w:val="0"/>
    <w:rPr>
      <w:rFonts w:hint="eastAsia" w:ascii="宋体" w:hAnsi="宋体" w:eastAsia="宋体" w:cs="宋体"/>
      <w:b/>
      <w:bCs/>
      <w:color w:val="FF0000"/>
      <w:sz w:val="22"/>
      <w:szCs w:val="22"/>
      <w:u w:val="none"/>
    </w:rPr>
  </w:style>
  <w:style w:type="character" w:customStyle="1" w:styleId="54">
    <w:name w:val="font81"/>
    <w:basedOn w:val="22"/>
    <w:qFormat/>
    <w:uiPriority w:val="0"/>
    <w:rPr>
      <w:rFonts w:hint="eastAsia" w:ascii="宋体" w:hAnsi="宋体" w:eastAsia="宋体" w:cs="宋体"/>
      <w:color w:val="000000"/>
      <w:sz w:val="28"/>
      <w:szCs w:val="28"/>
      <w:u w:val="none"/>
    </w:rPr>
  </w:style>
  <w:style w:type="character" w:customStyle="1" w:styleId="55">
    <w:name w:val="font131"/>
    <w:basedOn w:val="22"/>
    <w:qFormat/>
    <w:uiPriority w:val="0"/>
    <w:rPr>
      <w:rFonts w:hint="eastAsia" w:ascii="宋体" w:hAnsi="宋体" w:eastAsia="宋体" w:cs="宋体"/>
      <w:color w:val="FF0000"/>
      <w:sz w:val="28"/>
      <w:szCs w:val="28"/>
      <w:u w:val="none"/>
    </w:rPr>
  </w:style>
  <w:style w:type="paragraph" w:customStyle="1" w:styleId="56">
    <w:name w:val="Body text|2"/>
    <w:basedOn w:val="1"/>
    <w:qFormat/>
    <w:uiPriority w:val="0"/>
    <w:pPr>
      <w:shd w:val="clear" w:color="auto" w:fill="FFFFFF"/>
      <w:spacing w:before="640" w:after="1500" w:line="280" w:lineRule="exact"/>
      <w:jc w:val="center"/>
    </w:pPr>
    <w:rPr>
      <w:rFonts w:ascii="PMingLiU" w:hAnsi="PMingLiU" w:eastAsia="PMingLiU" w:cs="PMingLiU"/>
      <w:sz w:val="28"/>
      <w:szCs w:val="28"/>
    </w:rPr>
  </w:style>
  <w:style w:type="paragraph" w:customStyle="1" w:styleId="57">
    <w:name w:val="Heading #1|1"/>
    <w:basedOn w:val="1"/>
    <w:qFormat/>
    <w:uiPriority w:val="0"/>
    <w:pPr>
      <w:widowControl w:val="0"/>
      <w:shd w:val="clear" w:color="auto" w:fill="auto"/>
      <w:spacing w:after="480" w:line="518"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5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16452.44</c:v>
                </c:pt>
                <c:pt idx="1">
                  <c:v>4300</c:v>
                </c:pt>
                <c:pt idx="2" c:formatCode="General">
                  <c:v>492.64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81.02%</a:t>
                    </a:r>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公务用车购置及运行维护费</c:v>
                </c:pt>
                <c:pt idx="2">
                  <c:v>因公出国（境）费</c:v>
                </c:pt>
              </c:strCache>
            </c:strRef>
          </c:cat>
          <c:val>
            <c:numRef>
              <c:f>Sheet1!$B$2:$B$4</c:f>
              <c:numCache>
                <c:formatCode>General</c:formatCode>
                <c:ptCount val="3"/>
                <c:pt idx="0">
                  <c:v>13.92</c:v>
                </c:pt>
                <c:pt idx="1">
                  <c:v>3.26</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3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25546</Words>
  <Characters>27695</Characters>
  <Lines>125</Lines>
  <Paragraphs>35</Paragraphs>
  <TotalTime>0</TotalTime>
  <ScaleCrop>false</ScaleCrop>
  <LinksUpToDate>false</LinksUpToDate>
  <CharactersWithSpaces>28425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2024-10-30T03:05:05Z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43D45592B35A4C5A9536D88754CDBF61</vt:lpwstr>
  </property>
</Properties>
</file>